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color w:val="auto"/>
        </w:rPr>
      </w:pPr>
    </w:p>
    <w:p>
      <w:pPr>
        <w:jc w:val="center"/>
        <w:rPr>
          <w:rFonts w:hAnsi="宋体" w:cs="宋体"/>
          <w:sz w:val="20"/>
        </w:rPr>
      </w:pPr>
    </w:p>
    <w:p>
      <w:pPr>
        <w:pStyle w:val="9"/>
        <w:rPr>
          <w:rFonts w:hAnsi="宋体" w:cs="宋体"/>
          <w:sz w:val="20"/>
        </w:rPr>
      </w:pPr>
    </w:p>
    <w:p>
      <w:pPr>
        <w:spacing w:line="360" w:lineRule="auto"/>
        <w:jc w:val="both"/>
        <w:rPr>
          <w:rFonts w:hint="eastAsia" w:ascii="楷体_GB2312" w:hAnsi="楷体_GB2312" w:eastAsia="楷体_GB2312" w:cs="楷体_GB2312"/>
          <w:b/>
          <w:sz w:val="56"/>
          <w:szCs w:val="56"/>
        </w:rPr>
      </w:pPr>
    </w:p>
    <w:p>
      <w:pPr>
        <w:pStyle w:val="9"/>
        <w:rPr>
          <w:rFonts w:hint="eastAsia"/>
        </w:rPr>
      </w:pPr>
      <w:r>
        <w:rPr>
          <w:rFonts w:hAnsi="宋体" w:cs="宋体"/>
        </w:rPr>
        <mc:AlternateContent>
          <mc:Choice Requires="wps">
            <w:drawing>
              <wp:anchor distT="0" distB="0" distL="114300" distR="114300" simplePos="0" relativeHeight="251661312" behindDoc="1" locked="0" layoutInCell="1" allowOverlap="1">
                <wp:simplePos x="0" y="0"/>
                <wp:positionH relativeFrom="page">
                  <wp:posOffset>-436245</wp:posOffset>
                </wp:positionH>
                <wp:positionV relativeFrom="page">
                  <wp:posOffset>2209800</wp:posOffset>
                </wp:positionV>
                <wp:extent cx="231140" cy="76200"/>
                <wp:effectExtent l="0" t="0" r="12700" b="0"/>
                <wp:wrapNone/>
                <wp:docPr id="1" name="矩形 1"/>
                <wp:cNvGraphicFramePr/>
                <a:graphic xmlns:a="http://schemas.openxmlformats.org/drawingml/2006/main">
                  <a:graphicData uri="http://schemas.microsoft.com/office/word/2010/wordprocessingShape">
                    <wps:wsp>
                      <wps:cNvSpPr/>
                      <wps:spPr>
                        <a:xfrm flipH="1">
                          <a:off x="0" y="0"/>
                          <a:ext cx="231140" cy="76200"/>
                        </a:xfrm>
                        <a:prstGeom prst="rect">
                          <a:avLst/>
                        </a:prstGeom>
                        <a:solidFill>
                          <a:srgbClr val="0072BC"/>
                        </a:solidFill>
                        <a:ln>
                          <a:noFill/>
                        </a:ln>
                        <a:effectLst/>
                      </wps:spPr>
                      <wps:bodyPr upright="1"/>
                    </wps:wsp>
                  </a:graphicData>
                </a:graphic>
              </wp:anchor>
            </w:drawing>
          </mc:Choice>
          <mc:Fallback>
            <w:pict>
              <v:rect id="_x0000_s1026" o:spid="_x0000_s1026" o:spt="1" style="position:absolute;left:0pt;flip:x;margin-left:-34.35pt;margin-top:174pt;height:6pt;width:18.2pt;mso-position-horizontal-relative:page;mso-position-vertical-relative:page;z-index:-251655168;mso-width-relative:page;mso-height-relative:page;" fillcolor="#0072BC" filled="t" stroked="f" coordsize="21600,21600" o:gfxdata="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UDd1vXAAAACwEAAA8AAAAAAAAAAQAgAAAAIgAAAGRycy9kb3ducmV2LnhtbFBLAQIU&#10;ABQAAAAIAIdO4kBcf4ykuwEAAHUDAAAOAAAAAAAAAAEAIAAAACYBAABkcnMvZTJvRG9jLnhtbFBL&#10;BQYAAAAABgAGAFkBAABTBQAAAAA=&#10;">
                <v:fill on="t" focussize="0,0"/>
                <v:stroke on="f"/>
                <v:imagedata o:title=""/>
                <o:lock v:ext="edit" aspectratio="f"/>
              </v:rect>
            </w:pict>
          </mc:Fallback>
        </mc:AlternateContent>
      </w:r>
    </w:p>
    <w:p>
      <w:pPr>
        <w:pStyle w:val="10"/>
        <w:rPr>
          <w:rFonts w:hint="eastAsia"/>
        </w:rPr>
      </w:pPr>
    </w:p>
    <w:p>
      <w:pPr>
        <w:pStyle w:val="10"/>
        <w:rPr>
          <w:rFonts w:hint="eastAsia"/>
        </w:rPr>
      </w:pPr>
    </w:p>
    <w:p>
      <w:pPr>
        <w:pStyle w:val="10"/>
        <w:rPr>
          <w:rFonts w:hint="eastAsia"/>
        </w:rPr>
      </w:pPr>
    </w:p>
    <w:p>
      <w:pPr>
        <w:pStyle w:val="10"/>
        <w:rPr>
          <w:rFonts w:hint="eastAsia"/>
        </w:rPr>
      </w:pPr>
    </w:p>
    <w:p>
      <w:pPr>
        <w:spacing w:line="360" w:lineRule="auto"/>
        <w:jc w:val="center"/>
        <w:rPr>
          <w:rFonts w:hint="eastAsia" w:ascii="宋体" w:hAnsi="宋体" w:eastAsia="宋体" w:cs="宋体"/>
          <w:b/>
          <w:color w:val="auto"/>
          <w:sz w:val="56"/>
          <w:szCs w:val="56"/>
        </w:rPr>
      </w:pPr>
      <w:r>
        <w:rPr>
          <w:rFonts w:hint="eastAsia" w:ascii="宋体" w:hAnsi="宋体" w:eastAsia="宋体" w:cs="宋体"/>
          <w:b/>
          <w:bCs w:val="0"/>
          <w:color w:val="auto"/>
          <w:sz w:val="56"/>
          <w:szCs w:val="56"/>
        </w:rPr>
        <w:t>货</w:t>
      </w:r>
      <w:r>
        <w:rPr>
          <w:rFonts w:hint="eastAsia" w:ascii="宋体" w:hAnsi="宋体" w:eastAsia="宋体" w:cs="宋体"/>
          <w:b/>
          <w:bCs w:val="0"/>
          <w:color w:val="auto"/>
          <w:sz w:val="56"/>
          <w:szCs w:val="56"/>
          <w:lang w:val="en-US" w:eastAsia="zh-CN"/>
        </w:rPr>
        <w:t xml:space="preserve"> </w:t>
      </w:r>
      <w:r>
        <w:rPr>
          <w:rFonts w:hint="eastAsia" w:ascii="宋体" w:hAnsi="宋体" w:eastAsia="宋体" w:cs="宋体"/>
          <w:b/>
          <w:bCs w:val="0"/>
          <w:color w:val="auto"/>
          <w:sz w:val="56"/>
          <w:szCs w:val="56"/>
        </w:rPr>
        <w:t>物</w:t>
      </w:r>
      <w:r>
        <w:rPr>
          <w:rFonts w:hint="eastAsia" w:ascii="宋体" w:hAnsi="宋体" w:eastAsia="宋体" w:cs="宋体"/>
          <w:b/>
          <w:bCs w:val="0"/>
          <w:color w:val="auto"/>
          <w:sz w:val="56"/>
          <w:szCs w:val="56"/>
          <w:lang w:val="en-US" w:eastAsia="zh-CN"/>
        </w:rPr>
        <w:t xml:space="preserve"> </w:t>
      </w:r>
      <w:r>
        <w:rPr>
          <w:rFonts w:hint="eastAsia" w:ascii="宋体" w:hAnsi="宋体" w:eastAsia="宋体" w:cs="宋体"/>
          <w:b/>
          <w:bCs w:val="0"/>
          <w:color w:val="auto"/>
          <w:sz w:val="56"/>
          <w:szCs w:val="56"/>
        </w:rPr>
        <w:t>类</w:t>
      </w:r>
    </w:p>
    <w:p>
      <w:pPr>
        <w:spacing w:line="360" w:lineRule="auto"/>
        <w:jc w:val="center"/>
        <w:rPr>
          <w:rFonts w:hint="eastAsia" w:ascii="方正小标宋简体" w:hAnsi="方正小标宋简体" w:eastAsia="方正小标宋简体" w:cs="方正小标宋简体"/>
          <w:b w:val="0"/>
          <w:bCs/>
          <w:sz w:val="56"/>
          <w:szCs w:val="56"/>
          <w:lang w:eastAsia="zh-CN"/>
        </w:rPr>
      </w:pPr>
      <w:r>
        <w:rPr>
          <w:rFonts w:hint="eastAsia" w:ascii="宋体" w:hAnsi="宋体" w:eastAsia="宋体" w:cs="宋体"/>
          <w:b/>
          <w:bCs w:val="0"/>
          <w:color w:val="auto"/>
          <w:sz w:val="56"/>
          <w:szCs w:val="56"/>
        </w:rPr>
        <w:t>政府采购公开招标文件</w:t>
      </w:r>
    </w:p>
    <w:p>
      <w:pPr>
        <w:rPr>
          <w:sz w:val="44"/>
          <w:szCs w:val="44"/>
        </w:rPr>
      </w:pPr>
    </w:p>
    <w:p>
      <w:pPr>
        <w:pStyle w:val="57"/>
      </w:pPr>
    </w:p>
    <w:p>
      <w:pPr>
        <w:pStyle w:val="57"/>
        <w:ind w:left="0" w:leftChars="0" w:firstLine="0" w:firstLineChars="0"/>
      </w:pPr>
    </w:p>
    <w:p>
      <w:pPr>
        <w:pStyle w:val="5"/>
        <w:ind w:left="0" w:leftChars="0" w:firstLine="0" w:firstLineChars="0"/>
        <w:rPr>
          <w:rFonts w:hAnsi="宋体" w:cs="宋体"/>
          <w:sz w:val="20"/>
        </w:rPr>
      </w:pPr>
    </w:p>
    <w:p>
      <w:pPr>
        <w:pStyle w:val="5"/>
        <w:ind w:left="0" w:leftChars="0" w:firstLine="0" w:firstLineChars="0"/>
        <w:rPr>
          <w:rFonts w:hAnsi="宋体" w:cs="宋体"/>
          <w:sz w:val="20"/>
        </w:rPr>
      </w:pPr>
    </w:p>
    <w:p>
      <w:pPr>
        <w:pStyle w:val="5"/>
        <w:rPr>
          <w:rFonts w:hAnsi="宋体" w:cs="宋体"/>
          <w:sz w:val="20"/>
        </w:rPr>
      </w:pPr>
    </w:p>
    <w:p>
      <w:pPr>
        <w:pStyle w:val="5"/>
        <w:ind w:left="0" w:leftChars="0" w:firstLine="0" w:firstLineChars="0"/>
        <w:rPr>
          <w:rFonts w:hAnsi="宋体" w:cs="宋体"/>
          <w:sz w:val="20"/>
        </w:rPr>
      </w:pP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firstLine="643" w:firstLineChars="200"/>
        <w:textAlignment w:val="auto"/>
        <w:rPr>
          <w:rFonts w:hint="eastAsia" w:ascii="宋体" w:hAnsi="宋体" w:eastAsia="宋体" w:cs="宋体"/>
          <w:b/>
          <w:color w:val="auto"/>
          <w:sz w:val="32"/>
          <w:szCs w:val="32"/>
          <w:u w:val="none"/>
        </w:rPr>
      </w:pPr>
    </w:p>
    <w:p>
      <w:pPr>
        <w:spacing w:line="600" w:lineRule="exact"/>
        <w:ind w:firstLine="904" w:firstLineChars="300"/>
        <w:rPr>
          <w:rFonts w:hint="eastAsia" w:ascii="宋体" w:hAnsi="宋体" w:eastAsia="宋体" w:cs="宋体"/>
          <w:b/>
          <w:color w:val="auto"/>
          <w:sz w:val="30"/>
          <w:szCs w:val="30"/>
          <w:lang w:val="en-US" w:eastAsia="zh-CN"/>
        </w:rPr>
      </w:pPr>
      <w:r>
        <w:rPr>
          <w:rFonts w:hint="eastAsia" w:ascii="宋体" w:hAnsi="宋体" w:eastAsia="宋体" w:cs="宋体"/>
          <w:b/>
          <w:color w:val="auto"/>
          <w:sz w:val="30"/>
          <w:szCs w:val="30"/>
          <w:lang w:val="en-US" w:eastAsia="zh-CN"/>
        </w:rPr>
        <w:t>项目名称</w:t>
      </w:r>
      <w:r>
        <w:rPr>
          <w:rFonts w:hint="eastAsia" w:ascii="宋体" w:hAnsi="宋体" w:eastAsia="宋体" w:cs="宋体"/>
          <w:b w:val="0"/>
          <w:bCs/>
          <w:color w:val="auto"/>
          <w:sz w:val="30"/>
          <w:szCs w:val="30"/>
          <w:lang w:val="en-US" w:eastAsia="zh-CN"/>
        </w:rPr>
        <w:t>：</w:t>
      </w:r>
      <w:r>
        <w:rPr>
          <w:rFonts w:hint="eastAsia" w:ascii="宋体" w:hAnsi="宋体" w:eastAsia="宋体" w:cs="宋体"/>
          <w:b/>
          <w:color w:val="auto"/>
          <w:sz w:val="30"/>
          <w:szCs w:val="30"/>
          <w:lang w:val="en-US" w:eastAsia="zh-CN"/>
        </w:rPr>
        <w:t>食药环快检设备项目</w:t>
      </w: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firstLine="904" w:firstLineChars="300"/>
        <w:jc w:val="left"/>
        <w:textAlignment w:val="auto"/>
        <w:rPr>
          <w:rFonts w:hint="eastAsia" w:ascii="宋体" w:hAnsi="宋体" w:eastAsia="宋体" w:cs="宋体"/>
          <w:b/>
          <w:bCs w:val="0"/>
          <w:kern w:val="2"/>
          <w:sz w:val="30"/>
          <w:szCs w:val="30"/>
          <w:u w:val="none"/>
          <w:lang w:val="en-US" w:eastAsia="zh-CN" w:bidi="ar-SA"/>
        </w:rPr>
      </w:pPr>
      <w:r>
        <w:rPr>
          <w:rFonts w:hint="eastAsia" w:ascii="宋体" w:hAnsi="宋体" w:eastAsia="宋体" w:cs="宋体"/>
          <w:b/>
          <w:bCs w:val="0"/>
          <w:color w:val="auto"/>
          <w:sz w:val="30"/>
          <w:szCs w:val="30"/>
          <w:lang w:val="en-US" w:eastAsia="zh-CN"/>
        </w:rPr>
        <w:t>采购计划</w:t>
      </w:r>
      <w:r>
        <w:rPr>
          <w:rFonts w:hint="eastAsia" w:ascii="宋体" w:hAnsi="宋体" w:eastAsia="宋体" w:cs="宋体"/>
          <w:b/>
          <w:bCs w:val="0"/>
          <w:color w:val="auto"/>
          <w:sz w:val="30"/>
          <w:szCs w:val="30"/>
        </w:rPr>
        <w:t>编号:</w:t>
      </w:r>
      <w:r>
        <w:rPr>
          <w:rFonts w:hint="eastAsia" w:ascii="宋体" w:hAnsi="宋体" w:eastAsia="宋体" w:cs="宋体"/>
          <w:b/>
          <w:bCs w:val="0"/>
          <w:color w:val="auto"/>
          <w:sz w:val="30"/>
          <w:szCs w:val="30"/>
          <w:lang w:val="en-US" w:eastAsia="zh-CN"/>
        </w:rPr>
        <w:t>2022NCZ000896</w:t>
      </w:r>
    </w:p>
    <w:p>
      <w:pPr>
        <w:spacing w:line="600" w:lineRule="exact"/>
        <w:ind w:firstLine="904" w:firstLineChars="300"/>
        <w:rPr>
          <w:rFonts w:hint="eastAsia" w:ascii="宋体" w:hAnsi="宋体" w:eastAsia="宋体" w:cs="宋体"/>
          <w:b w:val="0"/>
          <w:bCs/>
          <w:color w:val="auto"/>
          <w:sz w:val="30"/>
          <w:szCs w:val="30"/>
          <w:lang w:eastAsia="zh-CN"/>
        </w:rPr>
      </w:pPr>
      <w:r>
        <w:rPr>
          <w:rFonts w:hint="eastAsia" w:ascii="宋体" w:hAnsi="宋体" w:eastAsia="宋体" w:cs="宋体"/>
          <w:b/>
          <w:color w:val="auto"/>
          <w:sz w:val="30"/>
          <w:szCs w:val="30"/>
          <w:lang w:val="en-US" w:eastAsia="zh-CN"/>
        </w:rPr>
        <w:t>项目</w:t>
      </w:r>
      <w:r>
        <w:rPr>
          <w:rFonts w:hint="eastAsia" w:ascii="宋体" w:hAnsi="宋体" w:eastAsia="宋体" w:cs="宋体"/>
          <w:b/>
          <w:color w:val="auto"/>
          <w:sz w:val="30"/>
          <w:szCs w:val="30"/>
        </w:rPr>
        <w:t>编号</w:t>
      </w:r>
      <w:r>
        <w:rPr>
          <w:rFonts w:hint="eastAsia" w:ascii="宋体" w:hAnsi="宋体" w:eastAsia="宋体" w:cs="宋体"/>
          <w:b w:val="0"/>
          <w:bCs/>
          <w:color w:val="auto"/>
          <w:sz w:val="30"/>
          <w:szCs w:val="30"/>
          <w:lang w:eastAsia="zh-CN"/>
        </w:rPr>
        <w:t>：</w:t>
      </w:r>
      <w:r>
        <w:rPr>
          <w:rFonts w:hint="eastAsia" w:ascii="宋体" w:hAnsi="宋体" w:eastAsia="宋体" w:cs="宋体"/>
          <w:b/>
          <w:bCs w:val="0"/>
          <w:color w:val="auto"/>
          <w:sz w:val="30"/>
          <w:szCs w:val="30"/>
          <w:lang w:eastAsia="zh-CN"/>
        </w:rPr>
        <w:t>ZSLZCG22005Y</w:t>
      </w:r>
    </w:p>
    <w:p>
      <w:pPr>
        <w:spacing w:line="600" w:lineRule="exact"/>
        <w:ind w:firstLine="904" w:firstLineChars="300"/>
        <w:rPr>
          <w:rFonts w:hint="eastAsia" w:ascii="宋体" w:hAnsi="宋体" w:eastAsia="宋体" w:cs="宋体"/>
          <w:b/>
          <w:color w:val="auto"/>
          <w:sz w:val="30"/>
          <w:szCs w:val="30"/>
          <w:lang w:val="en-US" w:eastAsia="zh-CN"/>
        </w:rPr>
      </w:pPr>
      <w:r>
        <w:rPr>
          <w:rFonts w:hint="eastAsia" w:ascii="宋体" w:hAnsi="宋体" w:eastAsia="宋体" w:cs="宋体"/>
          <w:b/>
          <w:color w:val="auto"/>
          <w:sz w:val="30"/>
          <w:szCs w:val="30"/>
          <w:lang w:val="en-US" w:eastAsia="zh-CN"/>
        </w:rPr>
        <w:t>采 购 人</w:t>
      </w:r>
      <w:r>
        <w:rPr>
          <w:rFonts w:hint="eastAsia" w:ascii="宋体" w:hAnsi="宋体" w:eastAsia="宋体" w:cs="宋体"/>
          <w:b w:val="0"/>
          <w:bCs/>
          <w:color w:val="auto"/>
          <w:sz w:val="30"/>
          <w:szCs w:val="30"/>
          <w:lang w:val="en-US" w:eastAsia="zh-CN"/>
        </w:rPr>
        <w:t>：</w:t>
      </w:r>
      <w:r>
        <w:rPr>
          <w:rFonts w:hint="eastAsia" w:ascii="宋体" w:hAnsi="宋体" w:eastAsia="宋体" w:cs="宋体"/>
          <w:b/>
          <w:bCs w:val="0"/>
          <w:color w:val="auto"/>
          <w:sz w:val="30"/>
          <w:szCs w:val="30"/>
          <w:lang w:val="en-US" w:eastAsia="zh-CN"/>
        </w:rPr>
        <w:t>宁夏回族自治区公安厅</w:t>
      </w:r>
    </w:p>
    <w:p>
      <w:pPr>
        <w:spacing w:line="600" w:lineRule="exact"/>
        <w:ind w:firstLine="904" w:firstLineChars="300"/>
        <w:rPr>
          <w:rFonts w:hint="eastAsia" w:ascii="宋体" w:hAnsi="宋体" w:eastAsia="宋体" w:cs="宋体"/>
          <w:b/>
          <w:color w:val="auto"/>
          <w:sz w:val="32"/>
          <w:szCs w:val="32"/>
          <w:lang w:val="zh-CN" w:eastAsia="zh-CN"/>
        </w:rPr>
      </w:pPr>
      <w:r>
        <w:rPr>
          <w:rFonts w:hint="eastAsia" w:ascii="宋体" w:hAnsi="宋体" w:eastAsia="宋体" w:cs="宋体"/>
          <w:b/>
          <w:color w:val="auto"/>
          <w:sz w:val="30"/>
          <w:szCs w:val="30"/>
          <w:lang w:val="zh-CN" w:eastAsia="zh-CN"/>
        </w:rPr>
        <w:t>采购代理机构</w:t>
      </w:r>
      <w:r>
        <w:rPr>
          <w:rFonts w:hint="eastAsia" w:ascii="宋体" w:hAnsi="宋体" w:eastAsia="宋体" w:cs="宋体"/>
          <w:b w:val="0"/>
          <w:bCs/>
          <w:color w:val="auto"/>
          <w:sz w:val="30"/>
          <w:szCs w:val="30"/>
          <w:lang w:val="zh-CN" w:eastAsia="zh-CN"/>
        </w:rPr>
        <w:t>：</w:t>
      </w:r>
      <w:r>
        <w:rPr>
          <w:rFonts w:hint="eastAsia" w:ascii="宋体" w:hAnsi="宋体" w:eastAsia="宋体" w:cs="宋体"/>
          <w:b/>
          <w:bCs w:val="0"/>
          <w:color w:val="auto"/>
          <w:sz w:val="30"/>
          <w:szCs w:val="30"/>
          <w:lang w:val="en-US" w:eastAsia="zh-CN"/>
        </w:rPr>
        <w:t>宁夏中世联众工程咨询有限公司</w:t>
      </w: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firstLine="964" w:firstLineChars="300"/>
        <w:jc w:val="center"/>
        <w:textAlignment w:val="auto"/>
        <w:rPr>
          <w:rFonts w:hint="eastAsia" w:ascii="仿宋_GB2312" w:hAnsi="仿宋_GB2312" w:eastAsia="仿宋_GB2312" w:cs="仿宋_GB2312"/>
          <w:b/>
          <w:bCs w:val="0"/>
          <w:kern w:val="2"/>
          <w:sz w:val="32"/>
          <w:szCs w:val="32"/>
          <w:u w:val="none"/>
          <w:lang w:val="en-US" w:eastAsia="zh-CN" w:bidi="ar-SA"/>
        </w:rPr>
      </w:pP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jc w:val="center"/>
        <w:textAlignment w:val="auto"/>
        <w:rPr>
          <w:rFonts w:hint="eastAsia" w:ascii="仿宋_GB2312" w:hAnsi="仿宋_GB2312" w:eastAsia="仿宋_GB2312" w:cs="仿宋_GB2312"/>
          <w:b w:val="0"/>
          <w:bCs/>
          <w:kern w:val="2"/>
          <w:sz w:val="32"/>
          <w:szCs w:val="32"/>
          <w:u w:val="none"/>
          <w:lang w:val="zh-CN" w:eastAsia="en-US" w:bidi="ar-SA"/>
        </w:rPr>
      </w:pPr>
      <w:r>
        <w:rPr>
          <w:rFonts w:hint="eastAsia" w:ascii="宋体" w:hAnsi="宋体" w:eastAsia="宋体" w:cs="宋体"/>
          <w:b/>
          <w:color w:val="auto"/>
          <w:sz w:val="30"/>
          <w:szCs w:val="30"/>
          <w:lang w:val="en-US" w:eastAsia="en-US"/>
        </w:rPr>
        <mc:AlternateContent>
          <mc:Choice Requires="wpg">
            <w:drawing>
              <wp:anchor distT="0" distB="0" distL="114300" distR="114300" simplePos="0" relativeHeight="251662336" behindDoc="0" locked="0" layoutInCell="1" allowOverlap="1">
                <wp:simplePos x="0" y="0"/>
                <wp:positionH relativeFrom="page">
                  <wp:posOffset>-413385</wp:posOffset>
                </wp:positionH>
                <wp:positionV relativeFrom="page">
                  <wp:posOffset>10615930</wp:posOffset>
                </wp:positionV>
                <wp:extent cx="8362315" cy="76200"/>
                <wp:effectExtent l="0" t="0" r="0" b="0"/>
                <wp:wrapNone/>
                <wp:docPr id="11" name="组合 11"/>
                <wp:cNvGraphicFramePr/>
                <a:graphic xmlns:a="http://schemas.openxmlformats.org/drawingml/2006/main">
                  <a:graphicData uri="http://schemas.microsoft.com/office/word/2010/wordprocessingGroup">
                    <wpg:wgp>
                      <wpg:cNvGrpSpPr/>
                      <wpg:grpSpPr>
                        <a:xfrm>
                          <a:off x="0" y="0"/>
                          <a:ext cx="8362315" cy="76044"/>
                          <a:chOff x="-651" y="16655"/>
                          <a:chExt cx="13169" cy="183"/>
                        </a:xfrm>
                        <a:effectLst/>
                      </wpg:grpSpPr>
                      <wps:wsp>
                        <wps:cNvPr id="2" name="矩形 2"/>
                        <wps:cNvSpPr/>
                        <wps:spPr>
                          <a:xfrm flipH="1">
                            <a:off x="-651" y="16655"/>
                            <a:ext cx="651" cy="183"/>
                          </a:xfrm>
                          <a:prstGeom prst="rect">
                            <a:avLst/>
                          </a:prstGeom>
                          <a:solidFill>
                            <a:srgbClr val="0072BC"/>
                          </a:solidFill>
                          <a:ln>
                            <a:noFill/>
                          </a:ln>
                          <a:effectLst/>
                        </wps:spPr>
                        <wps:bodyPr upright="1"/>
                      </wps:wsp>
                      <wps:wsp>
                        <wps:cNvPr id="3" name="文本框 3"/>
                        <wps:cNvSpPr txBox="1"/>
                        <wps:spPr>
                          <a:xfrm flipH="1">
                            <a:off x="11906" y="16684"/>
                            <a:ext cx="612" cy="154"/>
                          </a:xfrm>
                          <a:prstGeom prst="rect">
                            <a:avLst/>
                          </a:prstGeom>
                          <a:noFill/>
                          <a:ln>
                            <a:noFill/>
                          </a:ln>
                          <a:effectLst/>
                        </wps:spPr>
                        <wps:txbx>
                          <w:txbxContent>
                            <w:p>
                              <w:pPr>
                                <w:autoSpaceDE w:val="0"/>
                                <w:autoSpaceDN w:val="0"/>
                                <w:spacing w:before="11"/>
                                <w:jc w:val="left"/>
                                <w:rPr>
                                  <w:rFonts w:hint="eastAsia" w:ascii="宋体" w:hAnsi="宋体" w:cs="宋体"/>
                                  <w:kern w:val="0"/>
                                  <w:sz w:val="20"/>
                                  <w:szCs w:val="22"/>
                                  <w:lang w:val="zh-CN" w:eastAsia="en-US"/>
                                </w:rPr>
                              </w:pPr>
                            </w:p>
                            <w:p>
                              <w:pPr>
                                <w:autoSpaceDE w:val="0"/>
                                <w:autoSpaceDN w:val="0"/>
                                <w:spacing w:before="11"/>
                                <w:jc w:val="left"/>
                                <w:rPr>
                                  <w:rFonts w:hint="eastAsia" w:ascii="宋体" w:hAnsi="宋体" w:cs="宋体"/>
                                  <w:kern w:val="0"/>
                                  <w:sz w:val="20"/>
                                  <w:szCs w:val="22"/>
                                  <w:lang w:val="zh-CN" w:eastAsia="en-US"/>
                                </w:rPr>
                              </w:pPr>
                            </w:p>
                            <w:p>
                              <w:pPr>
                                <w:autoSpaceDE w:val="0"/>
                                <w:autoSpaceDN w:val="0"/>
                                <w:spacing w:before="1"/>
                                <w:ind w:left="4769" w:right="4697"/>
                                <w:jc w:val="center"/>
                                <w:rPr>
                                  <w:rFonts w:ascii="宋体" w:hAnsi="宋体" w:cs="宋体"/>
                                  <w:kern w:val="0"/>
                                  <w:sz w:val="20"/>
                                  <w:szCs w:val="22"/>
                                </w:rPr>
                              </w:pPr>
                              <w:r>
                                <w:rPr>
                                  <w:rFonts w:hint="eastAsia" w:ascii="宋体" w:hAnsi="宋体" w:cs="宋体"/>
                                  <w:color w:val="FFFFFF"/>
                                  <w:kern w:val="0"/>
                                  <w:sz w:val="16"/>
                                  <w:szCs w:val="22"/>
                                  <w:lang w:val="zh-CN"/>
                                </w:rPr>
                                <w:t>宁夏中世联众招投标服务有限公司</w:t>
                              </w:r>
                              <w:r>
                                <w:rPr>
                                  <w:rFonts w:hint="eastAsia" w:ascii="宋体" w:hAnsi="宋体" w:cs="宋体"/>
                                  <w:kern w:val="0"/>
                                  <w:sz w:val="16"/>
                                  <w:szCs w:val="22"/>
                                </w:rPr>
                                <w:t xml:space="preserve">        </w:t>
                              </w:r>
                            </w:p>
                          </w:txbxContent>
                        </wps:txbx>
                        <wps:bodyPr lIns="0" tIns="0" rIns="0" bIns="0" upright="1"/>
                      </wps:wsp>
                    </wpg:wgp>
                  </a:graphicData>
                </a:graphic>
              </wp:anchor>
            </w:drawing>
          </mc:Choice>
          <mc:Fallback>
            <w:pict>
              <v:group id="_x0000_s1026" o:spid="_x0000_s1026" o:spt="203" style="position:absolute;left:0pt;margin-left:-32.55pt;margin-top:835.9pt;height:6pt;width:658.45pt;mso-position-horizontal-relative:page;mso-position-vertical-relative:page;z-index:251662336;mso-width-relative:page;mso-height-relative:page;" coordorigin="-651,16655" coordsize="13169,183" o:gfxdata="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ZudJnbAAAADgEAAA8AAAAAAAAAAQAgAAAAIgAAAGRycy9kb3ducmV2LnhtbFBLAQIUABQAAAAI&#10;AIdO4kBPboVKlQIAAGQGAAAOAAAAAAAAAAEAIAAAACoBAABkcnMvZTJvRG9jLnhtbFBLBQYAAAAA&#10;BgAGAFkBAAAxBgAAAAA=&#10;">
                <o:lock v:ext="edit" aspectratio="f"/>
                <v:rect id="_x0000_s1026" o:spid="_x0000_s1026" o:spt="1" style="position:absolute;left:-651;top:16655;flip:x;height:183;width:651;" fillcolor="#0072BC" filled="t" stroked="f" coordsize="21600,21600" o:gfxdata="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za+65AAAA2gAA&#10;AA8AAAAAAAAAAQAgAAAAIgAAAGRycy9kb3ducmV2LnhtbFBLAQIUABQAAAAIAIdO4kAzLwWeOwAA&#10;ADkAAAAQAAAAAAAAAAEAIAAAAAgBAABkcnMvc2hhcGV4bWwueG1sUEsFBgAAAAAGAAYAWwEAALID&#10;AAAAAA==&#10;">
                  <v:fill on="t" focussize="0,0"/>
                  <v:stroke on="f"/>
                  <v:imagedata o:title=""/>
                  <o:lock v:ext="edit" aspectratio="f"/>
                </v:rect>
                <v:shape id="_x0000_s1026" o:spid="_x0000_s1026" o:spt="202" type="#_x0000_t202" style="position:absolute;left:11906;top:16684;flip:x;height:154;width:612;" filled="f" stroked="f" coordsize="21600,21600" o:gfxdata="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R9Fu8AAAA&#10;2g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utoSpaceDE w:val="0"/>
                          <w:autoSpaceDN w:val="0"/>
                          <w:spacing w:before="11"/>
                          <w:jc w:val="left"/>
                          <w:rPr>
                            <w:rFonts w:hint="eastAsia" w:ascii="宋体" w:hAnsi="宋体" w:cs="宋体"/>
                            <w:kern w:val="0"/>
                            <w:sz w:val="20"/>
                            <w:szCs w:val="22"/>
                            <w:lang w:val="zh-CN" w:eastAsia="en-US"/>
                          </w:rPr>
                        </w:pPr>
                      </w:p>
                      <w:p>
                        <w:pPr>
                          <w:autoSpaceDE w:val="0"/>
                          <w:autoSpaceDN w:val="0"/>
                          <w:spacing w:before="11"/>
                          <w:jc w:val="left"/>
                          <w:rPr>
                            <w:rFonts w:hint="eastAsia" w:ascii="宋体" w:hAnsi="宋体" w:cs="宋体"/>
                            <w:kern w:val="0"/>
                            <w:sz w:val="20"/>
                            <w:szCs w:val="22"/>
                            <w:lang w:val="zh-CN" w:eastAsia="en-US"/>
                          </w:rPr>
                        </w:pPr>
                      </w:p>
                      <w:p>
                        <w:pPr>
                          <w:autoSpaceDE w:val="0"/>
                          <w:autoSpaceDN w:val="0"/>
                          <w:spacing w:before="1"/>
                          <w:ind w:left="4769" w:right="4697"/>
                          <w:jc w:val="center"/>
                          <w:rPr>
                            <w:rFonts w:ascii="宋体" w:hAnsi="宋体" w:cs="宋体"/>
                            <w:kern w:val="0"/>
                            <w:sz w:val="20"/>
                            <w:szCs w:val="22"/>
                          </w:rPr>
                        </w:pPr>
                        <w:r>
                          <w:rPr>
                            <w:rFonts w:hint="eastAsia" w:ascii="宋体" w:hAnsi="宋体" w:cs="宋体"/>
                            <w:color w:val="FFFFFF"/>
                            <w:kern w:val="0"/>
                            <w:sz w:val="16"/>
                            <w:szCs w:val="22"/>
                            <w:lang w:val="zh-CN"/>
                          </w:rPr>
                          <w:t>宁夏中世联众招投标服务有限公司</w:t>
                        </w:r>
                        <w:r>
                          <w:rPr>
                            <w:rFonts w:hint="eastAsia" w:ascii="宋体" w:hAnsi="宋体" w:cs="宋体"/>
                            <w:kern w:val="0"/>
                            <w:sz w:val="16"/>
                            <w:szCs w:val="22"/>
                          </w:rPr>
                          <w:t xml:space="preserve">        </w:t>
                        </w:r>
                      </w:p>
                    </w:txbxContent>
                  </v:textbox>
                </v:shape>
              </v:group>
            </w:pict>
          </mc:Fallback>
        </mc:AlternateContent>
      </w:r>
      <w:r>
        <w:rPr>
          <w:rFonts w:hint="eastAsia" w:ascii="宋体" w:hAnsi="宋体" w:eastAsia="宋体" w:cs="宋体"/>
          <w:b/>
          <w:bCs w:val="0"/>
          <w:kern w:val="2"/>
          <w:sz w:val="30"/>
          <w:szCs w:val="30"/>
          <w:u w:val="none"/>
          <w:lang w:val="en-US" w:eastAsia="zh-CN" w:bidi="ar-SA"/>
        </w:rPr>
        <w:t xml:space="preserve">2022 年 </w:t>
      </w:r>
      <w:r>
        <w:rPr>
          <w:rFonts w:hint="eastAsia" w:cs="宋体"/>
          <w:b/>
          <w:bCs w:val="0"/>
          <w:kern w:val="2"/>
          <w:sz w:val="30"/>
          <w:szCs w:val="30"/>
          <w:u w:val="none"/>
          <w:lang w:val="en-US" w:eastAsia="zh-CN" w:bidi="ar-SA"/>
        </w:rPr>
        <w:t>3</w:t>
      </w:r>
      <w:r>
        <w:rPr>
          <w:rFonts w:hint="eastAsia" w:ascii="宋体" w:hAnsi="宋体" w:eastAsia="宋体" w:cs="宋体"/>
          <w:b/>
          <w:bCs w:val="0"/>
          <w:kern w:val="2"/>
          <w:sz w:val="30"/>
          <w:szCs w:val="30"/>
          <w:u w:val="none"/>
          <w:lang w:val="en-US" w:eastAsia="zh-CN" w:bidi="ar-SA"/>
        </w:rPr>
        <w:t xml:space="preserve"> 月</w:t>
      </w: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firstLine="960" w:firstLineChars="300"/>
        <w:textAlignment w:val="auto"/>
        <w:rPr>
          <w:rFonts w:hint="eastAsia" w:ascii="仿宋_GB2312" w:hAnsi="仿宋_GB2312" w:eastAsia="仿宋_GB2312" w:cs="仿宋_GB2312"/>
          <w:b w:val="0"/>
          <w:bCs/>
          <w:kern w:val="2"/>
          <w:sz w:val="32"/>
          <w:szCs w:val="32"/>
          <w:u w:val="none"/>
          <w:lang w:val="en-US" w:eastAsia="zh-CN" w:bidi="ar-SA"/>
        </w:rPr>
        <w:sectPr>
          <w:headerReference r:id="rId4" w:type="default"/>
          <w:footerReference r:id="rId5" w:type="default"/>
          <w:pgSz w:w="11906" w:h="16838"/>
          <w:pgMar w:top="1160" w:right="1309" w:bottom="1440" w:left="135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56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目  录</w:t>
      </w:r>
    </w:p>
    <w:p>
      <w:pPr>
        <w:spacing w:line="560" w:lineRule="exact"/>
        <w:rPr>
          <w:rFonts w:ascii="仿宋" w:hAnsi="仿宋" w:eastAsia="仿宋" w:cs="仿宋"/>
          <w:color w:val="auto"/>
          <w:sz w:val="32"/>
          <w:szCs w:val="32"/>
        </w:rPr>
      </w:pP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第一章 投标邀请</w:t>
      </w: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第二章 供应商须知前附表</w:t>
      </w: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第三章 供应商须知</w:t>
      </w: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第四章 项目说明和采购需求</w:t>
      </w: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第五章 评标方法和标准</w:t>
      </w:r>
    </w:p>
    <w:p>
      <w:pPr>
        <w:spacing w:line="560" w:lineRule="exact"/>
        <w:rPr>
          <w:rFonts w:hint="eastAsia" w:ascii="宋体" w:hAnsi="宋体" w:eastAsia="宋体" w:cs="宋体"/>
          <w:color w:val="auto"/>
          <w:sz w:val="32"/>
          <w:szCs w:val="32"/>
        </w:rPr>
      </w:pPr>
      <w:r>
        <w:rPr>
          <w:rFonts w:hint="eastAsia" w:ascii="宋体" w:hAnsi="宋体" w:eastAsia="宋体" w:cs="宋体"/>
          <w:color w:val="auto"/>
          <w:sz w:val="32"/>
          <w:szCs w:val="32"/>
        </w:rPr>
        <w:t>第六章 政府采购合同范本</w:t>
      </w:r>
    </w:p>
    <w:p>
      <w:pPr>
        <w:spacing w:line="560" w:lineRule="exact"/>
        <w:rPr>
          <w:rFonts w:hint="eastAsia" w:ascii="仿宋_GB2312" w:hAnsi="仿宋_GB2312" w:eastAsia="仿宋_GB2312" w:cs="仿宋_GB2312"/>
          <w:color w:val="auto"/>
          <w:sz w:val="32"/>
          <w:szCs w:val="32"/>
        </w:rPr>
      </w:pPr>
      <w:r>
        <w:rPr>
          <w:rFonts w:hint="eastAsia" w:ascii="宋体" w:hAnsi="宋体" w:eastAsia="宋体" w:cs="宋体"/>
          <w:color w:val="auto"/>
          <w:sz w:val="32"/>
          <w:szCs w:val="32"/>
        </w:rPr>
        <w:t>第七章 投标文件格式</w:t>
      </w:r>
    </w:p>
    <w:p>
      <w:pPr>
        <w:spacing w:line="560" w:lineRule="exact"/>
        <w:rPr>
          <w:rFonts w:ascii="仿宋" w:hAnsi="仿宋" w:eastAsia="仿宋" w:cs="仿宋"/>
          <w:color w:val="auto"/>
          <w:szCs w:val="28"/>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rPr>
      </w:pPr>
    </w:p>
    <w:p>
      <w:pPr>
        <w:spacing w:line="560" w:lineRule="exact"/>
        <w:jc w:val="center"/>
        <w:rPr>
          <w:rFonts w:ascii="仿宋" w:hAnsi="仿宋" w:eastAsia="仿宋" w:cs="仿宋"/>
          <w:b/>
          <w:bCs/>
          <w:color w:val="auto"/>
          <w:sz w:val="36"/>
          <w:szCs w:val="36"/>
        </w:rPr>
        <w:sectPr>
          <w:footerReference r:id="rId6" w:type="default"/>
          <w:pgSz w:w="11906" w:h="16838"/>
          <w:pgMar w:top="1440" w:right="1474" w:bottom="1440" w:left="1587" w:header="851" w:footer="992" w:gutter="0"/>
          <w:pgNumType w:fmt="decimal"/>
          <w:cols w:space="720" w:num="1"/>
          <w:rtlGutter w:val="0"/>
          <w:docGrid w:linePitch="312" w:charSpace="0"/>
        </w:sectPr>
      </w:pPr>
    </w:p>
    <w:p>
      <w:pPr>
        <w:pStyle w:val="3"/>
        <w:pageBreakBefore w:val="0"/>
        <w:widowControl w:val="0"/>
        <w:kinsoku/>
        <w:wordWrap/>
        <w:overflowPunct/>
        <w:topLinePunct w:val="0"/>
        <w:autoSpaceDE/>
        <w:autoSpaceDN/>
        <w:bidi w:val="0"/>
        <w:spacing w:line="560" w:lineRule="exact"/>
        <w:ind w:left="0" w:leftChars="0"/>
        <w:textAlignment w:val="auto"/>
        <w:rPr>
          <w:rFonts w:hint="eastAsia" w:ascii="宋体" w:hAnsi="宋体" w:eastAsia="宋体" w:cs="宋体"/>
          <w:color w:val="auto"/>
        </w:rPr>
      </w:pPr>
      <w:r>
        <w:rPr>
          <w:rFonts w:hint="eastAsia" w:ascii="宋体" w:hAnsi="宋体" w:eastAsia="宋体" w:cs="宋体"/>
          <w:color w:val="auto"/>
        </w:rPr>
        <w:t>第一章 投标邀请</w:t>
      </w:r>
    </w:p>
    <w:p>
      <w:pPr>
        <w:pStyle w:val="4"/>
        <w:keepNext w:val="0"/>
        <w:keepLines w:val="0"/>
        <w:widowControl/>
        <w:suppressLineNumbers w:val="0"/>
        <w:spacing w:before="0" w:beforeAutospacing="0" w:after="0" w:afterAutospacing="0" w:line="480" w:lineRule="atLeast"/>
        <w:ind w:left="0" w:right="0"/>
        <w:jc w:val="center"/>
      </w:pPr>
      <w:r>
        <w:t>食药环快检设备项目项目招标公告</w:t>
      </w:r>
    </w:p>
    <w:p>
      <w:pPr>
        <w:pStyle w:val="7"/>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rPr>
        <w:t xml:space="preserve">一、项目基本情况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采购计划编号：</w:t>
      </w:r>
      <w:r>
        <w:rPr>
          <w:rFonts w:hint="eastAsia" w:ascii="宋体" w:hAnsi="宋体" w:eastAsia="宋体" w:cs="宋体"/>
          <w:color w:val="000000"/>
          <w:sz w:val="24"/>
          <w:szCs w:val="24"/>
        </w:rPr>
        <w:t xml:space="preserve">2022NCZ000896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项目编号：</w:t>
      </w:r>
      <w:r>
        <w:rPr>
          <w:rFonts w:hint="eastAsia" w:ascii="宋体" w:hAnsi="宋体" w:eastAsia="宋体" w:cs="宋体"/>
          <w:color w:val="000000"/>
          <w:sz w:val="24"/>
          <w:szCs w:val="24"/>
        </w:rPr>
        <w:t xml:space="preserve">ZSLZCG22005Y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项目名称：</w:t>
      </w:r>
      <w:r>
        <w:rPr>
          <w:rFonts w:hint="eastAsia" w:ascii="宋体" w:hAnsi="宋体" w:eastAsia="宋体" w:cs="宋体"/>
          <w:color w:val="000000"/>
          <w:sz w:val="24"/>
          <w:szCs w:val="24"/>
        </w:rPr>
        <w:t xml:space="preserve">食药环快检设备项目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预算金额（元）：</w:t>
      </w:r>
      <w:r>
        <w:rPr>
          <w:rFonts w:hint="eastAsia" w:ascii="宋体" w:hAnsi="宋体" w:eastAsia="宋体" w:cs="宋体"/>
          <w:color w:val="000000"/>
          <w:sz w:val="24"/>
          <w:szCs w:val="24"/>
        </w:rPr>
        <w:t xml:space="preserve">823000.00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最高限价（如有）：</w:t>
      </w:r>
      <w:r>
        <w:rPr>
          <w:rFonts w:hint="eastAsia" w:ascii="宋体" w:hAnsi="宋体" w:eastAsia="宋体" w:cs="宋体"/>
          <w:color w:val="000000"/>
          <w:sz w:val="24"/>
          <w:szCs w:val="24"/>
        </w:rPr>
        <w:t xml:space="preserve">823000.00元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采购需求：</w:t>
      </w:r>
    </w:p>
    <w:tbl>
      <w:tblPr>
        <w:tblStyle w:val="19"/>
        <w:tblW w:w="5000" w:type="pct"/>
        <w:tblInd w:w="300" w:type="dxa"/>
        <w:tblBorders>
          <w:top w:val="single" w:color="A5BED2" w:sz="4" w:space="0"/>
          <w:left w:val="single" w:color="A5BED2" w:sz="4" w:space="0"/>
          <w:bottom w:val="single" w:color="A5BED2" w:sz="4" w:space="0"/>
          <w:right w:val="single" w:color="A5BED2" w:sz="4" w:space="0"/>
          <w:insideH w:val="none" w:color="auto" w:sz="0" w:space="0"/>
          <w:insideV w:val="none" w:color="auto" w:sz="0" w:space="0"/>
        </w:tblBorders>
        <w:tblLayout w:type="fixed"/>
        <w:tblCellMar>
          <w:top w:w="0" w:type="dxa"/>
          <w:left w:w="0" w:type="dxa"/>
          <w:bottom w:w="0" w:type="dxa"/>
          <w:right w:w="0" w:type="dxa"/>
        </w:tblCellMar>
      </w:tblPr>
      <w:tblGrid>
        <w:gridCol w:w="1407"/>
        <w:gridCol w:w="1407"/>
        <w:gridCol w:w="720"/>
        <w:gridCol w:w="2514"/>
        <w:gridCol w:w="1750"/>
        <w:gridCol w:w="748"/>
      </w:tblGrid>
      <w:tr>
        <w:tblPrEx>
          <w:tblBorders>
            <w:top w:val="single" w:color="A5BED2" w:sz="4" w:space="0"/>
            <w:left w:val="single" w:color="A5BED2" w:sz="4" w:space="0"/>
            <w:bottom w:val="single" w:color="A5BED2" w:sz="4" w:space="0"/>
            <w:right w:val="single" w:color="A5BED2" w:sz="4" w:space="0"/>
            <w:insideH w:val="none" w:color="auto" w:sz="0" w:space="0"/>
            <w:insideV w:val="none" w:color="auto" w:sz="0" w:space="0"/>
          </w:tblBorders>
          <w:tblCellMar>
            <w:top w:w="0" w:type="dxa"/>
            <w:left w:w="0" w:type="dxa"/>
            <w:bottom w:w="0" w:type="dxa"/>
            <w:right w:w="0" w:type="dxa"/>
          </w:tblCellMar>
        </w:tblPrEx>
        <w:tc>
          <w:tcPr>
            <w:tcW w:w="1407" w:type="dxa"/>
            <w:tcBorders>
              <w:top w:val="single" w:color="A5BED2" w:sz="4" w:space="0"/>
              <w:left w:val="single" w:color="A5BED2" w:sz="4" w:space="0"/>
              <w:bottom w:val="single" w:color="A5BED2" w:sz="4" w:space="0"/>
              <w:right w:val="single" w:color="A5BED2" w:sz="4" w:space="0"/>
            </w:tcBorders>
            <w:shd w:val="clear" w:color="auto" w:fill="E6F0FF"/>
            <w:noWrap/>
            <w:tcMar>
              <w:top w:w="60" w:type="dxa"/>
              <w:left w:w="120" w:type="dxa"/>
              <w:bottom w:w="60" w:type="dxa"/>
              <w:right w:w="120" w:type="dxa"/>
            </w:tcMar>
            <w:vAlign w:val="top"/>
          </w:tcPr>
          <w:p>
            <w:pPr>
              <w:keepNext w:val="0"/>
              <w:keepLines w:val="0"/>
              <w:widowControl/>
              <w:suppressLineNumbers w:val="0"/>
              <w:spacing w:line="336" w:lineRule="atLeast"/>
              <w:jc w:val="center"/>
              <w:textAlignment w:val="top"/>
              <w:rPr>
                <w:b w:val="0"/>
                <w:bCs w:val="0"/>
                <w:color w:val="000000"/>
                <w:sz w:val="24"/>
                <w:szCs w:val="24"/>
              </w:rPr>
            </w:pPr>
            <w:r>
              <w:rPr>
                <w:rFonts w:ascii="宋体" w:hAnsi="宋体" w:eastAsia="宋体" w:cs="宋体"/>
                <w:b w:val="0"/>
                <w:bCs w:val="0"/>
                <w:color w:val="000000"/>
                <w:kern w:val="0"/>
                <w:sz w:val="24"/>
                <w:szCs w:val="24"/>
                <w:lang w:val="en-US" w:eastAsia="zh-CN" w:bidi="ar"/>
              </w:rPr>
              <w:t>采购标段</w:t>
            </w:r>
          </w:p>
        </w:tc>
        <w:tc>
          <w:tcPr>
            <w:tcW w:w="1407" w:type="dxa"/>
            <w:tcBorders>
              <w:top w:val="single" w:color="A5BED2" w:sz="4" w:space="0"/>
              <w:left w:val="single" w:color="A5BED2" w:sz="4" w:space="0"/>
              <w:bottom w:val="single" w:color="A5BED2" w:sz="4" w:space="0"/>
              <w:right w:val="single" w:color="A5BED2" w:sz="4" w:space="0"/>
            </w:tcBorders>
            <w:shd w:val="clear" w:color="auto" w:fill="E6F0FF"/>
            <w:noWrap/>
            <w:tcMar>
              <w:top w:w="60" w:type="dxa"/>
              <w:left w:w="120" w:type="dxa"/>
              <w:bottom w:w="60" w:type="dxa"/>
              <w:right w:w="120" w:type="dxa"/>
            </w:tcMar>
            <w:vAlign w:val="top"/>
          </w:tcPr>
          <w:p>
            <w:pPr>
              <w:keepNext w:val="0"/>
              <w:keepLines w:val="0"/>
              <w:widowControl/>
              <w:suppressLineNumbers w:val="0"/>
              <w:spacing w:line="336" w:lineRule="atLeast"/>
              <w:jc w:val="center"/>
              <w:textAlignment w:val="top"/>
              <w:rPr>
                <w:b w:val="0"/>
                <w:bCs w:val="0"/>
                <w:color w:val="000000"/>
                <w:sz w:val="24"/>
                <w:szCs w:val="24"/>
              </w:rPr>
            </w:pPr>
            <w:r>
              <w:rPr>
                <w:rFonts w:ascii="宋体" w:hAnsi="宋体" w:eastAsia="宋体" w:cs="宋体"/>
                <w:b w:val="0"/>
                <w:bCs w:val="0"/>
                <w:color w:val="000000"/>
                <w:kern w:val="0"/>
                <w:sz w:val="24"/>
                <w:szCs w:val="24"/>
                <w:lang w:val="en-US" w:eastAsia="zh-CN" w:bidi="ar"/>
              </w:rPr>
              <w:t>标的名称</w:t>
            </w:r>
          </w:p>
        </w:tc>
        <w:tc>
          <w:tcPr>
            <w:tcW w:w="720" w:type="dxa"/>
            <w:tcBorders>
              <w:top w:val="single" w:color="A5BED2" w:sz="4" w:space="0"/>
              <w:left w:val="single" w:color="A5BED2" w:sz="4" w:space="0"/>
              <w:bottom w:val="single" w:color="A5BED2" w:sz="4" w:space="0"/>
              <w:right w:val="single" w:color="A5BED2" w:sz="4" w:space="0"/>
            </w:tcBorders>
            <w:shd w:val="clear" w:color="auto" w:fill="E6F0FF"/>
            <w:noWrap/>
            <w:tcMar>
              <w:top w:w="60" w:type="dxa"/>
              <w:left w:w="120" w:type="dxa"/>
              <w:bottom w:w="60" w:type="dxa"/>
              <w:right w:w="120" w:type="dxa"/>
            </w:tcMar>
            <w:vAlign w:val="top"/>
          </w:tcPr>
          <w:p>
            <w:pPr>
              <w:keepNext w:val="0"/>
              <w:keepLines w:val="0"/>
              <w:widowControl/>
              <w:suppressLineNumbers w:val="0"/>
              <w:spacing w:line="336" w:lineRule="atLeast"/>
              <w:jc w:val="center"/>
              <w:textAlignment w:val="top"/>
              <w:rPr>
                <w:b w:val="0"/>
                <w:bCs w:val="0"/>
                <w:color w:val="000000"/>
                <w:sz w:val="24"/>
                <w:szCs w:val="24"/>
              </w:rPr>
            </w:pPr>
            <w:r>
              <w:rPr>
                <w:rFonts w:ascii="宋体" w:hAnsi="宋体" w:eastAsia="宋体" w:cs="宋体"/>
                <w:b w:val="0"/>
                <w:bCs w:val="0"/>
                <w:color w:val="000000"/>
                <w:kern w:val="0"/>
                <w:sz w:val="24"/>
                <w:szCs w:val="24"/>
                <w:lang w:val="en-US" w:eastAsia="zh-CN" w:bidi="ar"/>
              </w:rPr>
              <w:t>数量</w:t>
            </w:r>
          </w:p>
        </w:tc>
        <w:tc>
          <w:tcPr>
            <w:tcW w:w="2514" w:type="dxa"/>
            <w:tcBorders>
              <w:top w:val="single" w:color="A5BED2" w:sz="4" w:space="0"/>
              <w:left w:val="single" w:color="A5BED2" w:sz="4" w:space="0"/>
              <w:bottom w:val="single" w:color="A5BED2" w:sz="4" w:space="0"/>
              <w:right w:val="single" w:color="A5BED2" w:sz="4" w:space="0"/>
            </w:tcBorders>
            <w:shd w:val="clear" w:color="auto" w:fill="E6F0FF"/>
            <w:noWrap/>
            <w:tcMar>
              <w:top w:w="60" w:type="dxa"/>
              <w:left w:w="120" w:type="dxa"/>
              <w:bottom w:w="60" w:type="dxa"/>
              <w:right w:w="120" w:type="dxa"/>
            </w:tcMar>
            <w:vAlign w:val="top"/>
          </w:tcPr>
          <w:p>
            <w:pPr>
              <w:keepNext w:val="0"/>
              <w:keepLines w:val="0"/>
              <w:widowControl/>
              <w:suppressLineNumbers w:val="0"/>
              <w:spacing w:line="336" w:lineRule="atLeast"/>
              <w:jc w:val="center"/>
              <w:textAlignment w:val="top"/>
              <w:rPr>
                <w:b w:val="0"/>
                <w:bCs w:val="0"/>
                <w:color w:val="000000"/>
                <w:sz w:val="24"/>
                <w:szCs w:val="24"/>
              </w:rPr>
            </w:pPr>
            <w:r>
              <w:rPr>
                <w:rFonts w:ascii="宋体" w:hAnsi="宋体" w:eastAsia="宋体" w:cs="宋体"/>
                <w:b w:val="0"/>
                <w:bCs w:val="0"/>
                <w:color w:val="000000"/>
                <w:kern w:val="0"/>
                <w:sz w:val="24"/>
                <w:szCs w:val="24"/>
                <w:lang w:val="en-US" w:eastAsia="zh-CN" w:bidi="ar"/>
              </w:rPr>
              <w:t>简要规格描述或项目基本概况</w:t>
            </w:r>
          </w:p>
        </w:tc>
        <w:tc>
          <w:tcPr>
            <w:tcW w:w="1750" w:type="dxa"/>
            <w:tcBorders>
              <w:top w:val="single" w:color="A5BED2" w:sz="4" w:space="0"/>
              <w:left w:val="single" w:color="A5BED2" w:sz="4" w:space="0"/>
              <w:bottom w:val="single" w:color="A5BED2" w:sz="4" w:space="0"/>
              <w:right w:val="single" w:color="A5BED2" w:sz="4" w:space="0"/>
            </w:tcBorders>
            <w:shd w:val="clear" w:color="auto" w:fill="E6F0FF"/>
            <w:noWrap/>
            <w:tcMar>
              <w:top w:w="60" w:type="dxa"/>
              <w:left w:w="120" w:type="dxa"/>
              <w:bottom w:w="60" w:type="dxa"/>
              <w:right w:w="120" w:type="dxa"/>
            </w:tcMar>
            <w:vAlign w:val="top"/>
          </w:tcPr>
          <w:p>
            <w:pPr>
              <w:keepNext w:val="0"/>
              <w:keepLines w:val="0"/>
              <w:widowControl/>
              <w:suppressLineNumbers w:val="0"/>
              <w:spacing w:line="336" w:lineRule="atLeast"/>
              <w:jc w:val="center"/>
              <w:textAlignment w:val="top"/>
              <w:rPr>
                <w:b w:val="0"/>
                <w:bCs w:val="0"/>
                <w:color w:val="000000"/>
                <w:sz w:val="24"/>
                <w:szCs w:val="24"/>
              </w:rPr>
            </w:pPr>
            <w:r>
              <w:rPr>
                <w:rFonts w:ascii="宋体" w:hAnsi="宋体" w:eastAsia="宋体" w:cs="宋体"/>
                <w:b w:val="0"/>
                <w:bCs w:val="0"/>
                <w:color w:val="000000"/>
                <w:kern w:val="0"/>
                <w:sz w:val="24"/>
                <w:szCs w:val="24"/>
                <w:lang w:val="en-US" w:eastAsia="zh-CN" w:bidi="ar"/>
              </w:rPr>
              <w:t>预算金额(元)</w:t>
            </w:r>
          </w:p>
        </w:tc>
        <w:tc>
          <w:tcPr>
            <w:tcW w:w="748" w:type="dxa"/>
            <w:tcBorders>
              <w:top w:val="single" w:color="A5BED2" w:sz="4" w:space="0"/>
              <w:left w:val="single" w:color="A5BED2" w:sz="4" w:space="0"/>
              <w:bottom w:val="single" w:color="A5BED2" w:sz="4" w:space="0"/>
              <w:right w:val="single" w:color="A5BED2" w:sz="4" w:space="0"/>
            </w:tcBorders>
            <w:shd w:val="clear" w:color="auto" w:fill="E6F0FF"/>
            <w:noWrap/>
            <w:tcMar>
              <w:top w:w="60" w:type="dxa"/>
              <w:left w:w="120" w:type="dxa"/>
              <w:bottom w:w="60" w:type="dxa"/>
              <w:right w:w="120" w:type="dxa"/>
            </w:tcMar>
            <w:vAlign w:val="top"/>
          </w:tcPr>
          <w:p>
            <w:pPr>
              <w:keepNext w:val="0"/>
              <w:keepLines w:val="0"/>
              <w:widowControl/>
              <w:suppressLineNumbers w:val="0"/>
              <w:spacing w:line="336" w:lineRule="atLeast"/>
              <w:jc w:val="center"/>
              <w:textAlignment w:val="top"/>
              <w:rPr>
                <w:b w:val="0"/>
                <w:bCs w:val="0"/>
                <w:color w:val="000000"/>
                <w:sz w:val="24"/>
                <w:szCs w:val="24"/>
              </w:rPr>
            </w:pPr>
            <w:r>
              <w:rPr>
                <w:rFonts w:ascii="宋体" w:hAnsi="宋体" w:eastAsia="宋体" w:cs="宋体"/>
                <w:b w:val="0"/>
                <w:bCs w:val="0"/>
                <w:color w:val="000000"/>
                <w:kern w:val="0"/>
                <w:sz w:val="24"/>
                <w:szCs w:val="24"/>
                <w:lang w:val="en-US" w:eastAsia="zh-CN" w:bidi="ar"/>
              </w:rPr>
              <w:t>备注</w:t>
            </w:r>
          </w:p>
        </w:tc>
      </w:tr>
      <w:tr>
        <w:tblPrEx>
          <w:tblBorders>
            <w:top w:val="single" w:color="A5BED2" w:sz="4" w:space="0"/>
            <w:left w:val="single" w:color="A5BED2" w:sz="4" w:space="0"/>
            <w:bottom w:val="single" w:color="A5BED2" w:sz="4" w:space="0"/>
            <w:right w:val="single" w:color="A5BED2" w:sz="4" w:space="0"/>
            <w:insideH w:val="none" w:color="auto" w:sz="0" w:space="0"/>
            <w:insideV w:val="none" w:color="auto" w:sz="0" w:space="0"/>
          </w:tblBorders>
          <w:tblCellMar>
            <w:top w:w="0" w:type="dxa"/>
            <w:left w:w="0" w:type="dxa"/>
            <w:bottom w:w="0" w:type="dxa"/>
            <w:right w:w="0" w:type="dxa"/>
          </w:tblCellMar>
        </w:tblPrEx>
        <w:tc>
          <w:tcPr>
            <w:tcW w:w="1407"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center"/>
              <w:textAlignment w:val="top"/>
              <w:rPr>
                <w:color w:val="555555"/>
                <w:sz w:val="24"/>
                <w:szCs w:val="24"/>
              </w:rPr>
            </w:pPr>
            <w:r>
              <w:rPr>
                <w:rFonts w:ascii="宋体" w:hAnsi="宋体" w:eastAsia="宋体" w:cs="宋体"/>
                <w:color w:val="555555"/>
                <w:kern w:val="0"/>
                <w:sz w:val="24"/>
                <w:szCs w:val="24"/>
                <w:lang w:val="en-US" w:eastAsia="zh-CN" w:bidi="ar"/>
              </w:rPr>
              <w:t>食药环快检设备</w:t>
            </w:r>
          </w:p>
        </w:tc>
        <w:tc>
          <w:tcPr>
            <w:tcW w:w="1407"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center"/>
              <w:textAlignment w:val="top"/>
              <w:rPr>
                <w:color w:val="555555"/>
                <w:sz w:val="24"/>
                <w:szCs w:val="24"/>
              </w:rPr>
            </w:pPr>
            <w:r>
              <w:rPr>
                <w:rFonts w:ascii="宋体" w:hAnsi="宋体" w:eastAsia="宋体" w:cs="宋体"/>
                <w:color w:val="555555"/>
                <w:kern w:val="0"/>
                <w:sz w:val="24"/>
                <w:szCs w:val="24"/>
                <w:lang w:val="en-US" w:eastAsia="zh-CN" w:bidi="ar"/>
              </w:rPr>
              <w:t>食品检测、监测设备</w:t>
            </w:r>
          </w:p>
        </w:tc>
        <w:tc>
          <w:tcPr>
            <w:tcW w:w="720"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center"/>
              <w:textAlignment w:val="top"/>
              <w:rPr>
                <w:color w:val="555555"/>
                <w:sz w:val="24"/>
                <w:szCs w:val="24"/>
              </w:rPr>
            </w:pPr>
            <w:r>
              <w:rPr>
                <w:rFonts w:ascii="宋体" w:hAnsi="宋体" w:eastAsia="宋体" w:cs="宋体"/>
                <w:color w:val="555555"/>
                <w:kern w:val="0"/>
                <w:sz w:val="24"/>
                <w:szCs w:val="24"/>
                <w:lang w:val="en-US" w:eastAsia="zh-CN" w:bidi="ar"/>
              </w:rPr>
              <w:t>1</w:t>
            </w:r>
          </w:p>
        </w:tc>
        <w:tc>
          <w:tcPr>
            <w:tcW w:w="2514"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center"/>
              <w:textAlignment w:val="top"/>
              <w:rPr>
                <w:color w:val="555555"/>
                <w:sz w:val="24"/>
                <w:szCs w:val="24"/>
              </w:rPr>
            </w:pPr>
            <w:r>
              <w:rPr>
                <w:rFonts w:ascii="宋体" w:hAnsi="宋体" w:eastAsia="宋体" w:cs="宋体"/>
                <w:color w:val="555555"/>
                <w:kern w:val="0"/>
                <w:sz w:val="24"/>
                <w:szCs w:val="24"/>
                <w:lang w:val="en-US" w:eastAsia="zh-CN" w:bidi="ar"/>
              </w:rPr>
              <w:t>详见招标文件</w:t>
            </w:r>
          </w:p>
        </w:tc>
        <w:tc>
          <w:tcPr>
            <w:tcW w:w="1750"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right"/>
              <w:textAlignment w:val="top"/>
              <w:rPr>
                <w:color w:val="555555"/>
                <w:sz w:val="24"/>
                <w:szCs w:val="24"/>
              </w:rPr>
            </w:pPr>
            <w:r>
              <w:rPr>
                <w:rFonts w:ascii="宋体" w:hAnsi="宋体" w:eastAsia="宋体" w:cs="宋体"/>
                <w:color w:val="555555"/>
                <w:kern w:val="0"/>
                <w:sz w:val="24"/>
                <w:szCs w:val="24"/>
                <w:lang w:val="en-US" w:eastAsia="zh-CN" w:bidi="ar"/>
              </w:rPr>
              <w:t>823000</w:t>
            </w:r>
          </w:p>
        </w:tc>
        <w:tc>
          <w:tcPr>
            <w:tcW w:w="748"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jc w:val="center"/>
              <w:rPr>
                <w:rFonts w:hint="eastAsia" w:ascii="宋体"/>
                <w:color w:val="555555"/>
                <w:sz w:val="24"/>
                <w:szCs w:val="24"/>
              </w:rPr>
            </w:pPr>
          </w:p>
        </w:tc>
      </w:tr>
      <w:tr>
        <w:tblPrEx>
          <w:tblBorders>
            <w:top w:val="single" w:color="A5BED2" w:sz="4" w:space="0"/>
            <w:left w:val="single" w:color="A5BED2" w:sz="4" w:space="0"/>
            <w:bottom w:val="single" w:color="A5BED2" w:sz="4" w:space="0"/>
            <w:right w:val="single" w:color="A5BED2" w:sz="4" w:space="0"/>
            <w:insideH w:val="none" w:color="auto" w:sz="0" w:space="0"/>
            <w:insideV w:val="none" w:color="auto" w:sz="0" w:space="0"/>
          </w:tblBorders>
          <w:tblCellMar>
            <w:top w:w="0" w:type="dxa"/>
            <w:left w:w="0" w:type="dxa"/>
            <w:bottom w:w="0" w:type="dxa"/>
            <w:right w:w="0" w:type="dxa"/>
          </w:tblCellMar>
        </w:tblPrEx>
        <w:tc>
          <w:tcPr>
            <w:tcW w:w="2814" w:type="dxa"/>
            <w:gridSpan w:val="2"/>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center"/>
              <w:textAlignment w:val="top"/>
              <w:rPr>
                <w:color w:val="555555"/>
                <w:sz w:val="24"/>
                <w:szCs w:val="24"/>
              </w:rPr>
            </w:pPr>
            <w:r>
              <w:rPr>
                <w:rFonts w:ascii="宋体" w:hAnsi="宋体" w:eastAsia="宋体" w:cs="宋体"/>
                <w:color w:val="555555"/>
                <w:kern w:val="0"/>
                <w:sz w:val="24"/>
                <w:szCs w:val="24"/>
                <w:lang w:val="en-US" w:eastAsia="zh-CN" w:bidi="ar"/>
              </w:rPr>
              <w:t>数量合计：</w:t>
            </w:r>
          </w:p>
        </w:tc>
        <w:tc>
          <w:tcPr>
            <w:tcW w:w="720"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center"/>
              <w:textAlignment w:val="top"/>
              <w:rPr>
                <w:color w:val="555555"/>
                <w:sz w:val="24"/>
                <w:szCs w:val="24"/>
              </w:rPr>
            </w:pPr>
            <w:r>
              <w:rPr>
                <w:rFonts w:ascii="宋体" w:hAnsi="宋体" w:eastAsia="宋体" w:cs="宋体"/>
                <w:color w:val="555555"/>
                <w:kern w:val="0"/>
                <w:sz w:val="24"/>
                <w:szCs w:val="24"/>
                <w:lang w:val="en-US" w:eastAsia="zh-CN" w:bidi="ar"/>
              </w:rPr>
              <w:t>1</w:t>
            </w:r>
          </w:p>
        </w:tc>
        <w:tc>
          <w:tcPr>
            <w:tcW w:w="2514"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center"/>
              <w:textAlignment w:val="top"/>
              <w:rPr>
                <w:color w:val="555555"/>
                <w:sz w:val="24"/>
                <w:szCs w:val="24"/>
              </w:rPr>
            </w:pPr>
            <w:r>
              <w:rPr>
                <w:rFonts w:ascii="宋体" w:hAnsi="宋体" w:eastAsia="宋体" w:cs="宋体"/>
                <w:color w:val="555555"/>
                <w:kern w:val="0"/>
                <w:sz w:val="24"/>
                <w:szCs w:val="24"/>
                <w:lang w:val="en-US" w:eastAsia="zh-CN" w:bidi="ar"/>
              </w:rPr>
              <w:t>预算合计：</w:t>
            </w:r>
          </w:p>
        </w:tc>
        <w:tc>
          <w:tcPr>
            <w:tcW w:w="1750"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right"/>
              <w:textAlignment w:val="top"/>
              <w:rPr>
                <w:color w:val="555555"/>
                <w:sz w:val="24"/>
                <w:szCs w:val="24"/>
              </w:rPr>
            </w:pPr>
            <w:r>
              <w:rPr>
                <w:rFonts w:ascii="宋体" w:hAnsi="宋体" w:eastAsia="宋体" w:cs="宋体"/>
                <w:color w:val="555555"/>
                <w:kern w:val="0"/>
                <w:sz w:val="24"/>
                <w:szCs w:val="24"/>
                <w:lang w:val="en-US" w:eastAsia="zh-CN" w:bidi="ar"/>
              </w:rPr>
              <w:t>823000</w:t>
            </w:r>
          </w:p>
        </w:tc>
        <w:tc>
          <w:tcPr>
            <w:tcW w:w="748" w:type="dxa"/>
            <w:tcBorders>
              <w:top w:val="single" w:color="A5BED2" w:sz="4" w:space="0"/>
              <w:left w:val="single" w:color="A5BED2" w:sz="4" w:space="0"/>
              <w:bottom w:val="single" w:color="A5BED2" w:sz="4" w:space="0"/>
              <w:right w:val="single" w:color="A5BED2" w:sz="4" w:space="0"/>
            </w:tcBorders>
            <w:noWrap w:val="0"/>
            <w:tcMar>
              <w:top w:w="60" w:type="dxa"/>
              <w:left w:w="120" w:type="dxa"/>
              <w:bottom w:w="60" w:type="dxa"/>
              <w:right w:w="120" w:type="dxa"/>
            </w:tcMar>
            <w:vAlign w:val="top"/>
          </w:tcPr>
          <w:p>
            <w:pPr>
              <w:keepNext w:val="0"/>
              <w:keepLines w:val="0"/>
              <w:widowControl/>
              <w:suppressLineNumbers w:val="0"/>
              <w:spacing w:line="300" w:lineRule="atLeast"/>
              <w:jc w:val="left"/>
              <w:textAlignment w:val="top"/>
              <w:rPr>
                <w:color w:val="555555"/>
                <w:sz w:val="24"/>
                <w:szCs w:val="24"/>
              </w:rPr>
            </w:pPr>
            <w:r>
              <w:rPr>
                <w:rFonts w:ascii="宋体" w:hAnsi="宋体" w:eastAsia="宋体" w:cs="宋体"/>
                <w:color w:val="555555"/>
                <w:kern w:val="0"/>
                <w:sz w:val="24"/>
                <w:szCs w:val="24"/>
                <w:lang w:val="en-US" w:eastAsia="zh-CN" w:bidi="ar"/>
              </w:rPr>
              <w:t>  </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合同履行期限：</w:t>
      </w:r>
      <w:r>
        <w:rPr>
          <w:rFonts w:hint="eastAsia" w:ascii="宋体" w:hAnsi="宋体" w:eastAsia="宋体" w:cs="宋体"/>
          <w:color w:val="000000"/>
          <w:sz w:val="24"/>
          <w:szCs w:val="24"/>
        </w:rPr>
        <w:t xml:space="preserve">合同签订后30日（日历日）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微软雅黑" w:hAnsi="微软雅黑" w:eastAsia="微软雅黑" w:cs="微软雅黑"/>
          <w:color w:val="000000"/>
          <w:sz w:val="19"/>
          <w:szCs w:val="19"/>
        </w:rPr>
      </w:pPr>
      <w:r>
        <w:rPr>
          <w:rFonts w:hint="eastAsia" w:ascii="宋体" w:hAnsi="宋体" w:eastAsia="宋体" w:cs="宋体"/>
          <w:b/>
          <w:bCs/>
          <w:color w:val="000000"/>
          <w:sz w:val="24"/>
          <w:szCs w:val="24"/>
        </w:rPr>
        <w:t>本项目（是/否）接受联合体投标:</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是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1"/>
          <w:szCs w:val="21"/>
          <w:lang w:val="en-US" w:eastAsia="zh-CN"/>
        </w:rPr>
        <w:t>·</w:t>
      </w:r>
      <w:r>
        <w:rPr>
          <w:rFonts w:hint="eastAsia" w:ascii="微软雅黑" w:hAnsi="微软雅黑" w:eastAsia="微软雅黑" w:cs="微软雅黑"/>
          <w:color w:val="000000"/>
          <w:sz w:val="19"/>
          <w:szCs w:val="19"/>
        </w:rPr>
        <w:t>否</w:t>
      </w:r>
      <w:r>
        <w:rPr>
          <w:rFonts w:hint="eastAsia" w:ascii="宋体" w:hAnsi="宋体" w:eastAsia="宋体" w:cs="宋体"/>
          <w:color w:val="000000"/>
          <w:sz w:val="24"/>
          <w:szCs w:val="24"/>
        </w:rPr>
        <w:t xml:space="preserve"> </w:t>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right="0"/>
        <w:jc w:val="left"/>
        <w:textAlignment w:val="auto"/>
      </w:pPr>
      <w:r>
        <w:rPr>
          <w:rFonts w:hint="eastAsia" w:ascii="宋体" w:hAnsi="宋体" w:eastAsia="宋体" w:cs="宋体"/>
        </w:rPr>
        <w:t>二、申请人的资格要求：</w:t>
      </w:r>
      <w:r>
        <w:t xml:space="preserve"> </w:t>
      </w:r>
      <w:bookmarkStart w:id="260" w:name="_GoBack"/>
      <w:bookmarkEnd w:id="260"/>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1.满足《中华人民共和国政府采购法》第二十二条规定；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jc w:val="left"/>
        <w:textAlignment w:val="auto"/>
        <w:rPr>
          <w:rFonts w:hint="eastAsia" w:ascii="微软雅黑" w:hAnsi="微软雅黑" w:eastAsia="微软雅黑" w:cs="微软雅黑"/>
          <w:color w:val="000000"/>
          <w:sz w:val="19"/>
          <w:szCs w:val="19"/>
        </w:rPr>
      </w:pPr>
      <w:r>
        <w:rPr>
          <w:rFonts w:hint="eastAsia" w:ascii="宋体" w:hAnsi="宋体" w:eastAsia="宋体" w:cs="宋体"/>
          <w:b/>
          <w:bCs/>
          <w:color w:val="000000"/>
          <w:sz w:val="24"/>
          <w:szCs w:val="24"/>
        </w:rPr>
        <w:t>2.落实政府采购政策需满足的资格要求：</w:t>
      </w:r>
      <w:r>
        <w:rPr>
          <w:rFonts w:hint="eastAsia" w:ascii="宋体" w:hAnsi="宋体" w:eastAsia="宋体" w:cs="宋体"/>
          <w:color w:val="000000"/>
          <w:sz w:val="24"/>
          <w:szCs w:val="24"/>
        </w:rPr>
        <w:t>2.落实政府采购政策需满足的资格要求：（1)《政府采购促进中小企业发展管理办法》（财库〔2020〕46 号）、《宁夏回族自治区政府采购促进中小企业发展管理办法实施细则》（宁财规发〔2021〕2号）；（2)《财政部、司法部关于政府采购支持监狱企业发展有关问题的通知》（财库〔2014〕68 号）；（3)《财政部 民政部 中国残疾人联合会关于促进残疾人就业政府采购政策的通知》（财库〔2017〕141 号）、《自治区财政厅残疾人联合会关于政府采购支持残疾人就业有关问题的通知》（宁财（采）发〔2020〕545 号）。</w:t>
      </w:r>
      <w:r>
        <w:rPr>
          <w:rFonts w:hint="eastAsia" w:ascii="微软雅黑" w:hAnsi="微软雅黑" w:eastAsia="微软雅黑" w:cs="微软雅黑"/>
          <w:color w:val="000000"/>
          <w:sz w:val="19"/>
          <w:szCs w:val="19"/>
        </w:rPr>
        <w:t xml:space="preserve">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微软雅黑" w:hAnsi="微软雅黑" w:eastAsia="微软雅黑" w:cs="微软雅黑"/>
          <w:color w:val="000000"/>
          <w:sz w:val="19"/>
          <w:szCs w:val="19"/>
        </w:rPr>
      </w:pPr>
      <w:r>
        <w:rPr>
          <w:rFonts w:hint="eastAsia" w:ascii="宋体" w:hAnsi="宋体" w:eastAsia="宋体" w:cs="宋体"/>
          <w:b/>
          <w:bCs/>
          <w:color w:val="000000"/>
          <w:sz w:val="24"/>
          <w:szCs w:val="24"/>
        </w:rPr>
        <w:t>3.本项目的特定资格要求：</w:t>
      </w:r>
      <w:r>
        <w:rPr>
          <w:rFonts w:hint="eastAsia" w:ascii="宋体" w:hAnsi="宋体" w:eastAsia="宋体" w:cs="宋体"/>
          <w:color w:val="000000"/>
          <w:sz w:val="24"/>
          <w:szCs w:val="24"/>
        </w:rPr>
        <w:t>（1)投标人营业执照、税务登记证、组织机构代码证（三证合一只提供营业执照）；（2)法定代表人授权书原件及被授权人身份证复印件（法定代表人直接投标可不提供，但须提供法定代表人身份证明）；（3)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投标无效。如无法查询的行政事业单位或自然人等可不提供。（4）具有良好的商业信誉和健全的财务会计制度承诺书；（5）依法缴纳税收和社会保障资金承诺书；（6）参加政府采购活动前三年内，在经营活动中没有重大违法记录承诺书；（7）本项目专门面向中小企业采购，拒绝大型企业投标，投标人须提供《中小企业声明函》。</w:t>
      </w:r>
      <w:r>
        <w:rPr>
          <w:rFonts w:hint="eastAsia" w:ascii="微软雅黑" w:hAnsi="微软雅黑" w:eastAsia="微软雅黑" w:cs="微软雅黑"/>
          <w:color w:val="000000"/>
          <w:sz w:val="19"/>
          <w:szCs w:val="19"/>
        </w:rPr>
        <w:t xml:space="preserve"> </w:t>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right="0"/>
        <w:jc w:val="left"/>
        <w:textAlignment w:val="auto"/>
      </w:pPr>
      <w:r>
        <w:rPr>
          <w:rFonts w:hint="eastAsia" w:ascii="宋体" w:hAnsi="宋体" w:eastAsia="宋体" w:cs="宋体"/>
        </w:rPr>
        <w:t>三、获取招标文件：</w:t>
      </w:r>
      <w:r>
        <w:t xml:space="preserve">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时间： 2022-03-24 10:55:07 至 2022-03-31 23:59:59 （提供期限自本公告发布之日起不得少于5个工作日），每天上午00：00至12:00，下午12:00至24:00（北京时间，法定节假日除外 ）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地点：中国政府采购网；宁夏回族自治区政府采购网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方式：电子下载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微软雅黑" w:hAnsi="微软雅黑" w:eastAsia="微软雅黑" w:cs="微软雅黑"/>
          <w:color w:val="000000"/>
          <w:sz w:val="19"/>
          <w:szCs w:val="19"/>
        </w:rPr>
      </w:pPr>
      <w:r>
        <w:rPr>
          <w:rFonts w:hint="eastAsia" w:ascii="宋体" w:hAnsi="宋体" w:eastAsia="宋体" w:cs="宋体"/>
          <w:color w:val="000000"/>
          <w:sz w:val="24"/>
          <w:szCs w:val="24"/>
        </w:rPr>
        <w:t xml:space="preserve">售价：0元 </w:t>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right="0"/>
        <w:jc w:val="left"/>
        <w:textAlignment w:val="auto"/>
        <w:rPr>
          <w:rFonts w:hint="eastAsia" w:ascii="宋体" w:hAnsi="宋体" w:eastAsia="宋体" w:cs="宋体"/>
        </w:rPr>
      </w:pPr>
      <w:r>
        <w:rPr>
          <w:rFonts w:hint="eastAsia" w:ascii="宋体" w:hAnsi="宋体" w:eastAsia="宋体" w:cs="宋体"/>
        </w:rPr>
        <w:t xml:space="preserve">四、提交投标文件截止时间、开标时间和地点：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微软雅黑" w:hAnsi="微软雅黑" w:eastAsia="微软雅黑" w:cs="微软雅黑"/>
          <w:color w:val="000000"/>
          <w:sz w:val="19"/>
          <w:szCs w:val="19"/>
        </w:rPr>
      </w:pPr>
      <w:r>
        <w:rPr>
          <w:rFonts w:hint="eastAsia" w:ascii="宋体" w:hAnsi="宋体" w:eastAsia="宋体" w:cs="宋体"/>
          <w:color w:val="000000"/>
          <w:sz w:val="24"/>
          <w:szCs w:val="24"/>
        </w:rPr>
        <w:t>2022-04-14 09:00:00（北京时间）（自招标文件开始发出之日起至投标人提交投标文件截止之日止，不得少于20日）</w:t>
      </w:r>
      <w:r>
        <w:rPr>
          <w:rFonts w:hint="eastAsia" w:ascii="微软雅黑" w:hAnsi="微软雅黑" w:eastAsia="微软雅黑" w:cs="微软雅黑"/>
          <w:color w:val="000000"/>
          <w:sz w:val="19"/>
          <w:szCs w:val="19"/>
        </w:rPr>
        <w:t xml:space="preserve">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微软雅黑" w:hAnsi="微软雅黑" w:eastAsia="微软雅黑" w:cs="微软雅黑"/>
          <w:color w:val="000000"/>
          <w:sz w:val="19"/>
          <w:szCs w:val="19"/>
        </w:rPr>
      </w:pPr>
      <w:r>
        <w:rPr>
          <w:rFonts w:hint="eastAsia" w:ascii="宋体" w:hAnsi="宋体" w:eastAsia="宋体" w:cs="宋体"/>
          <w:color w:val="000000"/>
          <w:sz w:val="24"/>
          <w:szCs w:val="24"/>
        </w:rPr>
        <w:t>地点：http://nxzbtb.com.cn（交易平台入口）</w:t>
      </w:r>
      <w:r>
        <w:rPr>
          <w:rFonts w:hint="eastAsia" w:ascii="微软雅黑" w:hAnsi="微软雅黑" w:eastAsia="微软雅黑" w:cs="微软雅黑"/>
          <w:color w:val="000000"/>
          <w:sz w:val="19"/>
          <w:szCs w:val="19"/>
        </w:rPr>
        <w:t xml:space="preserve"> </w:t>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right="0"/>
        <w:jc w:val="left"/>
        <w:textAlignment w:val="auto"/>
        <w:rPr>
          <w:rFonts w:hint="eastAsia" w:ascii="宋体" w:hAnsi="宋体" w:eastAsia="宋体" w:cs="宋体"/>
        </w:rPr>
      </w:pPr>
      <w:r>
        <w:rPr>
          <w:rFonts w:hint="eastAsia" w:ascii="宋体" w:hAnsi="宋体" w:eastAsia="宋体" w:cs="宋体"/>
        </w:rPr>
        <w:t xml:space="preserve">五、公告期限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36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自本公告发布之日起5个工作日。</w:t>
      </w:r>
    </w:p>
    <w:p>
      <w:pPr>
        <w:pStyle w:val="7"/>
        <w:keepNext w:val="0"/>
        <w:keepLines w:val="0"/>
        <w:widowControl/>
        <w:suppressLineNumbers w:val="0"/>
        <w:spacing w:before="0" w:beforeAutospacing="0" w:after="0" w:afterAutospacing="0"/>
        <w:ind w:left="0" w:right="0"/>
        <w:jc w:val="left"/>
      </w:pPr>
      <w:r>
        <w:rPr>
          <w:rFonts w:hint="eastAsia" w:ascii="宋体" w:hAnsi="宋体" w:eastAsia="宋体" w:cs="宋体"/>
        </w:rPr>
        <w:t>六、其他补充事宜</w:t>
      </w:r>
      <w:r>
        <w:t xml:space="preserve"> </w:t>
      </w:r>
    </w:p>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left="300" w:right="0" w:firstLine="480" w:firstLineChars="200"/>
        <w:jc w:val="left"/>
        <w:textAlignment w:val="auto"/>
      </w:pPr>
      <w:r>
        <w:rPr>
          <w:rFonts w:ascii="宋体" w:hAnsi="宋体" w:eastAsia="宋体" w:cs="宋体"/>
          <w:kern w:val="0"/>
          <w:sz w:val="24"/>
          <w:szCs w:val="24"/>
          <w:lang w:val="en-US" w:eastAsia="zh-CN" w:bidi="ar"/>
        </w:rPr>
        <w:t xml:space="preserve">2022年3月24日至2022年3月31日（北京时间）（自招标文件开始发出之日起至投标人提交投标文件截止之日止，不得少于20日），每天上午00：00至12:00，下午12:00至24:00（法定节假日除外），登录中世e招电子交易平台（http://nxzbtb.com.cn）进行网上报名，报名成功后下载招标文件。（1）投标人应首先在中世e招电子交易平台（http://nxzbtb.com.cn）办理注册，注册成功后，投标人用CA锁登录交易系统进行网上报名，即可下载招标文件。 （2）在规定时间内未按以上程序进行报名及下载招标文件的投标人，投标一律不予接收。（3）系统实行CA锁认证安全登录管理，办理CA锁、制作电子标书等业务，请加入QQ群（373236413）进行系统操作及业务咨询。CA锁代办及业务咨询地点：中世e招电子交易平台，联系电话：0951-8303983。 注：请各投标人在开标前随时关注中国政府采购网、宁夏回族自治区政府采购网、中世e招电子交易平台“变更补遗”公告栏。您所关注的项目有可能进行时间或内容上的调整。调整内容只在“变更补遗”公告栏中以公告形式公示。招标代理机构不再以其他方式通知。如因自身原因未及时关注招标公告或变更(澄清、补充等)公告从而导致投标失败，其后果自行承担。 </w:t>
      </w:r>
    </w:p>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60" w:lineRule="exact"/>
        <w:ind w:left="0" w:right="0"/>
        <w:jc w:val="left"/>
        <w:textAlignment w:val="auto"/>
      </w:pPr>
      <w:r>
        <w:rPr>
          <w:rFonts w:hint="eastAsia" w:ascii="宋体" w:hAnsi="宋体" w:eastAsia="宋体" w:cs="宋体"/>
        </w:rPr>
        <w:t>七、对本次招标提出询问，请按以下方式联系</w:t>
      </w:r>
      <w:r>
        <w:t xml:space="preserve"> </w:t>
      </w:r>
    </w:p>
    <w:tbl>
      <w:tblPr>
        <w:tblStyle w:val="19"/>
        <w:tblW w:w="5000" w:type="pct"/>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vAlign w:val="top"/>
          </w:tcPr>
          <w:p>
            <w:pPr>
              <w:keepNext w:val="0"/>
              <w:keepLines w:val="0"/>
              <w:widowControl/>
              <w:suppressLineNumbers w:val="0"/>
              <w:spacing w:line="432" w:lineRule="atLeast"/>
              <w:jc w:val="left"/>
              <w:textAlignment w:val="top"/>
              <w:rPr>
                <w:rFonts w:hint="eastAsia" w:ascii="微软雅黑" w:hAnsi="微软雅黑" w:eastAsia="微软雅黑" w:cs="微软雅黑"/>
                <w:b/>
                <w:bCs/>
                <w:color w:val="000000"/>
                <w:sz w:val="19"/>
                <w:szCs w:val="19"/>
              </w:rPr>
            </w:pPr>
            <w:r>
              <w:rPr>
                <w:rFonts w:hint="eastAsia" w:ascii="宋体" w:hAnsi="宋体" w:eastAsia="宋体" w:cs="宋体"/>
                <w:b/>
                <w:bCs/>
                <w:color w:val="000000"/>
                <w:kern w:val="0"/>
                <w:sz w:val="24"/>
                <w:szCs w:val="24"/>
                <w:lang w:val="en-US" w:eastAsia="zh-CN" w:bidi="ar"/>
              </w:rPr>
              <w:t>1.采购人信息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名 称：宁夏回族自治区公安厅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地址：银川市北京中路86号宁夏公安厅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联系方式：0951-6136133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000" w:type="dxa"/>
            <w:noWrap w:val="0"/>
            <w:vAlign w:val="top"/>
          </w:tcPr>
          <w:p>
            <w:pPr>
              <w:keepNext w:val="0"/>
              <w:keepLines w:val="0"/>
              <w:widowControl/>
              <w:suppressLineNumbers w:val="0"/>
              <w:spacing w:line="432" w:lineRule="atLeast"/>
              <w:jc w:val="left"/>
              <w:textAlignment w:val="top"/>
              <w:rPr>
                <w:rFonts w:hint="eastAsia" w:ascii="微软雅黑" w:hAnsi="微软雅黑" w:eastAsia="微软雅黑" w:cs="微软雅黑"/>
                <w:b/>
                <w:bCs/>
                <w:color w:val="000000"/>
                <w:sz w:val="19"/>
                <w:szCs w:val="19"/>
              </w:rPr>
            </w:pPr>
            <w:r>
              <w:rPr>
                <w:rFonts w:hint="eastAsia" w:ascii="宋体" w:hAnsi="宋体" w:eastAsia="宋体" w:cs="宋体"/>
                <w:b/>
                <w:bCs/>
                <w:color w:val="000000"/>
                <w:kern w:val="0"/>
                <w:sz w:val="24"/>
                <w:szCs w:val="24"/>
                <w:lang w:val="en-US" w:eastAsia="zh-CN" w:bidi="ar"/>
              </w:rPr>
              <w:t>2.采购代理机构信息（如有）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名 称：宁夏中世联众工程咨询有限公司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地址：银川市金凤区新昌西路金钻名座1308室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联系方式：0951-6719326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vAlign w:val="top"/>
          </w:tcPr>
          <w:p>
            <w:pPr>
              <w:keepNext w:val="0"/>
              <w:keepLines w:val="0"/>
              <w:widowControl/>
              <w:suppressLineNumbers w:val="0"/>
              <w:spacing w:line="432" w:lineRule="atLeast"/>
              <w:jc w:val="left"/>
              <w:textAlignment w:val="top"/>
              <w:rPr>
                <w:rFonts w:hint="eastAsia" w:ascii="微软雅黑" w:hAnsi="微软雅黑" w:eastAsia="微软雅黑" w:cs="微软雅黑"/>
                <w:b/>
                <w:bCs/>
                <w:color w:val="000000"/>
                <w:sz w:val="19"/>
                <w:szCs w:val="19"/>
              </w:rPr>
            </w:pPr>
            <w:r>
              <w:rPr>
                <w:rFonts w:hint="eastAsia" w:ascii="宋体" w:hAnsi="宋体" w:eastAsia="宋体" w:cs="宋体"/>
                <w:b/>
                <w:bCs/>
                <w:color w:val="000000"/>
                <w:kern w:val="0"/>
                <w:sz w:val="24"/>
                <w:szCs w:val="24"/>
                <w:lang w:val="en-US" w:eastAsia="zh-CN" w:bidi="ar"/>
              </w:rPr>
              <w:t>3.项目联系方式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采购人项目联系人：李婷婷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　话：0951-6136133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代理机构项目联系人：尤全乐 刘红明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noWrap w:val="0"/>
            <w:tcMar>
              <w:left w:w="300" w:type="dxa"/>
            </w:tcMar>
            <w:vAlign w:val="top"/>
          </w:tcPr>
          <w:p>
            <w:pPr>
              <w:keepNext w:val="0"/>
              <w:keepLines w:val="0"/>
              <w:pageBreakBefore w:val="0"/>
              <w:widowControl/>
              <w:suppressLineNumbers w:val="0"/>
              <w:pBdr>
                <w:bottom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电话：0951-6719326</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代理机构：宁夏中世联众工程咨询有限公司 </w:t>
      </w:r>
    </w:p>
    <w:p>
      <w:pPr>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宋体" w:hAnsi="宋体" w:eastAsia="宋体" w:cs="宋体"/>
          <w:kern w:val="0"/>
          <w:sz w:val="24"/>
          <w:szCs w:val="24"/>
          <w:lang w:val="en-US" w:eastAsia="zh-CN" w:bidi="ar"/>
        </w:rPr>
        <w:t xml:space="preserve">                              发布日期：2022年3月24日</w:t>
      </w:r>
      <w:r>
        <w:rPr>
          <w:rStyle w:val="22"/>
          <w:rFonts w:hint="eastAsia" w:ascii="仿宋_GB2312" w:hAnsi="仿宋_GB2312" w:eastAsia="仿宋_GB2312" w:cs="仿宋_GB2312"/>
          <w:color w:val="auto"/>
          <w:sz w:val="32"/>
          <w:szCs w:val="32"/>
        </w:rPr>
        <w:br w:type="page"/>
      </w:r>
    </w:p>
    <w:p>
      <w:pPr>
        <w:pageBreakBefore w:val="0"/>
        <w:kinsoku/>
        <w:wordWrap/>
        <w:overflowPunct/>
        <w:topLinePunct w:val="0"/>
        <w:bidi w:val="0"/>
        <w:spacing w:line="560" w:lineRule="exact"/>
        <w:jc w:val="center"/>
        <w:textAlignment w:val="auto"/>
        <w:rPr>
          <w:rFonts w:hint="eastAsia" w:ascii="宋体" w:hAnsi="宋体" w:eastAsia="宋体" w:cs="宋体"/>
          <w:color w:val="auto"/>
          <w:sz w:val="36"/>
          <w:szCs w:val="36"/>
        </w:rPr>
      </w:pPr>
      <w:r>
        <w:rPr>
          <w:rFonts w:hint="eastAsia" w:ascii="宋体" w:hAnsi="宋体" w:eastAsia="宋体" w:cs="宋体"/>
          <w:b/>
          <w:bCs/>
          <w:color w:val="auto"/>
          <w:sz w:val="36"/>
          <w:szCs w:val="36"/>
        </w:rPr>
        <w:t>第二章 供应商须知前附表</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color w:val="auto"/>
          <w:szCs w:val="28"/>
        </w:rPr>
      </w:pPr>
      <w:r>
        <w:rPr>
          <w:rFonts w:hint="eastAsia" w:ascii="宋体" w:hAnsi="宋体" w:eastAsia="宋体" w:cs="宋体"/>
          <w:color w:val="auto"/>
          <w:szCs w:val="28"/>
        </w:rPr>
        <w:t>本表是本招标项目的具体资料，是对投标人须知的具体补充和修改，如有矛盾，应以本表为准。</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877"/>
        <w:gridCol w:w="74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序号</w:t>
            </w:r>
          </w:p>
        </w:tc>
        <w:tc>
          <w:tcPr>
            <w:tcW w:w="7490" w:type="dxa"/>
            <w:vAlign w:val="center"/>
          </w:tcPr>
          <w:p>
            <w:pPr>
              <w:pageBreakBefore w:val="0"/>
              <w:kinsoku/>
              <w:wordWrap/>
              <w:overflowPunct/>
              <w:topLinePunct w:val="0"/>
              <w:bidi w:val="0"/>
              <w:spacing w:line="560" w:lineRule="exact"/>
              <w:ind w:left="-64" w:leftChars="-23" w:firstLine="5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食药环快检设备项目</w:t>
            </w:r>
            <w:r>
              <w:rPr>
                <w:rFonts w:hint="eastAsia" w:ascii="宋体" w:hAnsi="宋体" w:eastAsia="宋体" w:cs="宋体"/>
                <w:color w:val="auto"/>
                <w:sz w:val="24"/>
                <w:szCs w:val="24"/>
              </w:rPr>
              <w:t xml:space="preserve">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采购需求：详见招标文件第四章项目说明和采购需求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7490" w:type="dxa"/>
            <w:vAlign w:val="center"/>
          </w:tcPr>
          <w:p>
            <w:pPr>
              <w:pageBreakBefore w:val="0"/>
              <w:kinsoku/>
              <w:wordWrap/>
              <w:overflowPunct/>
              <w:topLinePunct w:val="0"/>
              <w:bidi w:val="0"/>
              <w:spacing w:line="560" w:lineRule="exact"/>
              <w:textAlignment w:val="auto"/>
              <w:rPr>
                <w:rStyle w:val="22"/>
                <w:rFonts w:hint="eastAsia" w:ascii="宋体" w:hAnsi="宋体" w:eastAsia="宋体" w:cs="宋体"/>
                <w:b w:val="0"/>
                <w:bCs/>
                <w:color w:val="auto"/>
                <w:sz w:val="24"/>
                <w:szCs w:val="24"/>
              </w:rPr>
            </w:pPr>
            <w:r>
              <w:rPr>
                <w:rStyle w:val="22"/>
                <w:rFonts w:hint="eastAsia" w:ascii="宋体" w:hAnsi="宋体" w:eastAsia="宋体" w:cs="宋体"/>
                <w:b w:val="0"/>
                <w:bCs/>
                <w:color w:val="auto"/>
                <w:sz w:val="24"/>
                <w:szCs w:val="24"/>
              </w:rPr>
              <w:t>采购人：</w:t>
            </w:r>
            <w:r>
              <w:rPr>
                <w:rStyle w:val="22"/>
                <w:rFonts w:hint="eastAsia" w:ascii="宋体" w:hAnsi="宋体" w:eastAsia="宋体" w:cs="宋体"/>
                <w:b w:val="0"/>
                <w:bCs/>
                <w:color w:val="auto"/>
                <w:sz w:val="24"/>
                <w:szCs w:val="24"/>
                <w:lang w:val="en-US" w:eastAsia="zh-CN"/>
              </w:rPr>
              <w:t>宁夏回族自治区公安厅</w:t>
            </w:r>
            <w:r>
              <w:rPr>
                <w:rStyle w:val="22"/>
                <w:rFonts w:hint="eastAsia" w:ascii="宋体" w:hAnsi="宋体" w:eastAsia="宋体" w:cs="宋体"/>
                <w:b w:val="0"/>
                <w:bCs/>
                <w:color w:val="auto"/>
                <w:sz w:val="24"/>
                <w:szCs w:val="24"/>
              </w:rPr>
              <w:t xml:space="preserve"> 　</w:t>
            </w:r>
          </w:p>
          <w:p>
            <w:pPr>
              <w:pageBreakBefore w:val="0"/>
              <w:kinsoku/>
              <w:wordWrap/>
              <w:overflowPunct/>
              <w:topLinePunct w:val="0"/>
              <w:bidi w:val="0"/>
              <w:spacing w:line="560" w:lineRule="exact"/>
              <w:textAlignment w:val="auto"/>
              <w:rPr>
                <w:rStyle w:val="22"/>
                <w:rFonts w:hint="eastAsia" w:ascii="宋体" w:hAnsi="宋体" w:eastAsia="宋体" w:cs="宋体"/>
                <w:b w:val="0"/>
                <w:bCs/>
                <w:color w:val="auto"/>
                <w:sz w:val="24"/>
                <w:szCs w:val="24"/>
              </w:rPr>
            </w:pPr>
            <w:r>
              <w:rPr>
                <w:rStyle w:val="22"/>
                <w:rFonts w:hint="eastAsia" w:ascii="宋体" w:hAnsi="宋体" w:eastAsia="宋体" w:cs="宋体"/>
                <w:b w:val="0"/>
                <w:bCs/>
                <w:color w:val="auto"/>
                <w:sz w:val="24"/>
                <w:szCs w:val="24"/>
              </w:rPr>
              <w:t>地  址：</w:t>
            </w:r>
            <w:r>
              <w:rPr>
                <w:rStyle w:val="22"/>
                <w:rFonts w:hint="eastAsia" w:ascii="宋体" w:hAnsi="宋体" w:eastAsia="宋体" w:cs="宋体"/>
                <w:b w:val="0"/>
                <w:bCs/>
                <w:color w:val="auto"/>
                <w:sz w:val="24"/>
                <w:szCs w:val="24"/>
                <w:lang w:val="en-US" w:eastAsia="zh-CN"/>
              </w:rPr>
              <w:t>银川市金凤区雪绒巷51号</w:t>
            </w:r>
            <w:r>
              <w:rPr>
                <w:rStyle w:val="22"/>
                <w:rFonts w:hint="eastAsia" w:ascii="宋体" w:hAnsi="宋体" w:eastAsia="宋体" w:cs="宋体"/>
                <w:b w:val="0"/>
                <w:bCs/>
                <w:color w:val="auto"/>
                <w:sz w:val="24"/>
                <w:szCs w:val="24"/>
              </w:rPr>
              <w:t xml:space="preserve"> </w:t>
            </w:r>
          </w:p>
          <w:p>
            <w:pPr>
              <w:pageBreakBefore w:val="0"/>
              <w:kinsoku/>
              <w:wordWrap/>
              <w:overflowPunct/>
              <w:topLinePunct w:val="0"/>
              <w:bidi w:val="0"/>
              <w:spacing w:line="560" w:lineRule="exact"/>
              <w:textAlignment w:val="auto"/>
              <w:rPr>
                <w:rStyle w:val="22"/>
                <w:rFonts w:hint="eastAsia" w:ascii="宋体" w:hAnsi="宋体" w:eastAsia="宋体" w:cs="宋体"/>
                <w:b w:val="0"/>
                <w:bCs/>
                <w:color w:val="auto"/>
                <w:sz w:val="24"/>
                <w:szCs w:val="24"/>
                <w:lang w:val="en-US" w:eastAsia="zh-CN"/>
              </w:rPr>
            </w:pPr>
            <w:r>
              <w:rPr>
                <w:rStyle w:val="22"/>
                <w:rFonts w:hint="eastAsia" w:ascii="宋体" w:hAnsi="宋体" w:eastAsia="宋体" w:cs="宋体"/>
                <w:b w:val="0"/>
                <w:bCs/>
                <w:color w:val="auto"/>
                <w:sz w:val="24"/>
                <w:szCs w:val="24"/>
                <w:lang w:val="en-US" w:eastAsia="zh-CN"/>
              </w:rPr>
              <w:t>联系人：杨文文</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Style w:val="22"/>
                <w:rFonts w:hint="eastAsia" w:ascii="宋体" w:hAnsi="宋体" w:eastAsia="宋体" w:cs="宋体"/>
                <w:b w:val="0"/>
                <w:bCs/>
                <w:color w:val="auto"/>
                <w:sz w:val="24"/>
                <w:szCs w:val="24"/>
                <w:lang w:val="en-US" w:eastAsia="zh-CN"/>
              </w:rPr>
              <w:t>电  话：0951-6136456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7490" w:type="dxa"/>
            <w:vAlign w:val="center"/>
          </w:tcPr>
          <w:p>
            <w:pPr>
              <w:pageBreakBefore w:val="0"/>
              <w:kinsoku/>
              <w:wordWrap/>
              <w:overflowPunct/>
              <w:topLinePunct w:val="0"/>
              <w:bidi w:val="0"/>
              <w:spacing w:line="560" w:lineRule="exact"/>
              <w:textAlignment w:val="auto"/>
              <w:rPr>
                <w:rStyle w:val="22"/>
                <w:rFonts w:hint="eastAsia" w:ascii="宋体" w:hAnsi="宋体" w:eastAsia="宋体" w:cs="宋体"/>
                <w:b w:val="0"/>
                <w:bCs/>
                <w:color w:val="auto"/>
                <w:sz w:val="24"/>
                <w:szCs w:val="24"/>
              </w:rPr>
            </w:pPr>
            <w:r>
              <w:rPr>
                <w:rStyle w:val="22"/>
                <w:rFonts w:hint="eastAsia" w:ascii="宋体" w:hAnsi="宋体" w:eastAsia="宋体" w:cs="宋体"/>
                <w:b w:val="0"/>
                <w:bCs/>
                <w:color w:val="auto"/>
                <w:sz w:val="24"/>
                <w:szCs w:val="24"/>
              </w:rPr>
              <w:t>采购代理机构:</w:t>
            </w:r>
            <w:r>
              <w:rPr>
                <w:rStyle w:val="22"/>
                <w:rFonts w:hint="eastAsia" w:ascii="宋体" w:hAnsi="宋体" w:eastAsia="宋体" w:cs="宋体"/>
                <w:b w:val="0"/>
                <w:bCs/>
                <w:color w:val="auto"/>
                <w:kern w:val="2"/>
                <w:sz w:val="24"/>
                <w:szCs w:val="24"/>
                <w:lang w:val="en-US" w:eastAsia="zh-CN" w:bidi="ar-SA"/>
              </w:rPr>
              <w:t>宁夏中世联众工程咨询有限公司</w:t>
            </w:r>
            <w:r>
              <w:rPr>
                <w:rStyle w:val="22"/>
                <w:rFonts w:hint="eastAsia" w:ascii="宋体" w:hAnsi="宋体" w:eastAsia="宋体" w:cs="宋体"/>
                <w:b w:val="0"/>
                <w:bCs/>
                <w:color w:val="auto"/>
                <w:sz w:val="24"/>
                <w:szCs w:val="24"/>
              </w:rPr>
              <w:t xml:space="preserve">  </w:t>
            </w:r>
          </w:p>
          <w:p>
            <w:pPr>
              <w:pageBreakBefore w:val="0"/>
              <w:kinsoku/>
              <w:wordWrap/>
              <w:overflowPunct/>
              <w:topLinePunct w:val="0"/>
              <w:bidi w:val="0"/>
              <w:spacing w:line="560" w:lineRule="exact"/>
              <w:textAlignment w:val="auto"/>
              <w:rPr>
                <w:rStyle w:val="22"/>
                <w:rFonts w:hint="eastAsia" w:ascii="宋体" w:hAnsi="宋体" w:eastAsia="宋体" w:cs="宋体"/>
                <w:b w:val="0"/>
                <w:bCs/>
                <w:color w:val="auto"/>
                <w:sz w:val="24"/>
                <w:szCs w:val="24"/>
              </w:rPr>
            </w:pPr>
            <w:r>
              <w:rPr>
                <w:rStyle w:val="22"/>
                <w:rFonts w:hint="eastAsia" w:ascii="宋体" w:hAnsi="宋体" w:eastAsia="宋体" w:cs="宋体"/>
                <w:b w:val="0"/>
                <w:bCs/>
                <w:color w:val="auto"/>
                <w:sz w:val="24"/>
                <w:szCs w:val="24"/>
              </w:rPr>
              <w:t>地  址：</w:t>
            </w:r>
            <w:r>
              <w:rPr>
                <w:rStyle w:val="22"/>
                <w:rFonts w:hint="eastAsia" w:ascii="宋体" w:hAnsi="宋体" w:eastAsia="宋体" w:cs="宋体"/>
                <w:b w:val="0"/>
                <w:bCs/>
                <w:color w:val="auto"/>
                <w:sz w:val="24"/>
                <w:szCs w:val="24"/>
                <w:lang w:val="en-US" w:eastAsia="zh-CN"/>
              </w:rPr>
              <w:t>银川市金凤区新昌西路金钻名座1308室</w:t>
            </w:r>
          </w:p>
          <w:p>
            <w:pPr>
              <w:pageBreakBefore w:val="0"/>
              <w:kinsoku/>
              <w:wordWrap/>
              <w:overflowPunct/>
              <w:topLinePunct w:val="0"/>
              <w:bidi w:val="0"/>
              <w:spacing w:line="560" w:lineRule="exact"/>
              <w:textAlignment w:val="auto"/>
              <w:rPr>
                <w:rStyle w:val="22"/>
                <w:rFonts w:hint="eastAsia" w:ascii="宋体" w:hAnsi="宋体" w:eastAsia="宋体" w:cs="宋体"/>
                <w:b w:val="0"/>
                <w:bCs/>
                <w:color w:val="auto"/>
                <w:sz w:val="24"/>
                <w:szCs w:val="24"/>
              </w:rPr>
            </w:pPr>
            <w:r>
              <w:rPr>
                <w:rStyle w:val="22"/>
                <w:rFonts w:hint="eastAsia" w:ascii="宋体" w:hAnsi="宋体" w:eastAsia="宋体" w:cs="宋体"/>
                <w:b w:val="0"/>
                <w:bCs/>
                <w:color w:val="auto"/>
                <w:sz w:val="24"/>
                <w:szCs w:val="24"/>
              </w:rPr>
              <w:t>联系人：</w:t>
            </w:r>
            <w:r>
              <w:rPr>
                <w:rStyle w:val="22"/>
                <w:rFonts w:hint="eastAsia" w:ascii="宋体" w:hAnsi="宋体" w:eastAsia="宋体" w:cs="宋体"/>
                <w:b w:val="0"/>
                <w:bCs/>
                <w:color w:val="auto"/>
                <w:sz w:val="24"/>
                <w:szCs w:val="24"/>
                <w:lang w:val="en-US" w:eastAsia="zh-CN"/>
              </w:rPr>
              <w:t>尤全乐  刘红明</w:t>
            </w:r>
            <w:r>
              <w:rPr>
                <w:rStyle w:val="22"/>
                <w:rFonts w:hint="eastAsia" w:ascii="宋体" w:hAnsi="宋体" w:eastAsia="宋体" w:cs="宋体"/>
                <w:b w:val="0"/>
                <w:bCs/>
                <w:color w:val="auto"/>
                <w:sz w:val="24"/>
                <w:szCs w:val="24"/>
              </w:rPr>
              <w:t xml:space="preserve">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Style w:val="22"/>
                <w:rFonts w:hint="eastAsia" w:ascii="宋体" w:hAnsi="宋体" w:eastAsia="宋体" w:cs="宋体"/>
                <w:b w:val="0"/>
                <w:bCs/>
                <w:color w:val="auto"/>
                <w:sz w:val="24"/>
                <w:szCs w:val="24"/>
              </w:rPr>
              <w:t>电  话：</w:t>
            </w:r>
            <w:r>
              <w:rPr>
                <w:rStyle w:val="22"/>
                <w:rFonts w:hint="eastAsia" w:ascii="宋体" w:hAnsi="宋体" w:eastAsia="宋体" w:cs="宋体"/>
                <w:b w:val="0"/>
                <w:bCs/>
                <w:color w:val="auto"/>
                <w:sz w:val="24"/>
                <w:szCs w:val="24"/>
                <w:lang w:val="en-US" w:eastAsia="zh-CN"/>
              </w:rPr>
              <w:t>0951-6719326</w:t>
            </w:r>
            <w:r>
              <w:rPr>
                <w:rStyle w:val="22"/>
                <w:rFonts w:hint="eastAsia" w:ascii="宋体" w:hAnsi="宋体" w:eastAsia="宋体" w:cs="宋体"/>
                <w:b w:val="0"/>
                <w:bCs/>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合格投标人的资格要求：</w:t>
            </w:r>
          </w:p>
          <w:p>
            <w:pPr>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参与投标的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应符合《中华人民共和国政府采购法》第二十二条规定的条件， 并应同时具备下述条件：</w:t>
            </w:r>
          </w:p>
          <w:p>
            <w:pPr>
              <w:spacing w:line="56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1.投标人营业执照、组织机构代码证、税务登记证书（三证合一只需提供营业执照）</w:t>
            </w:r>
            <w:r>
              <w:rPr>
                <w:rFonts w:hint="eastAsia" w:ascii="宋体" w:hAnsi="宋体" w:cs="宋体"/>
                <w:b w:val="0"/>
                <w:bCs w:val="0"/>
                <w:color w:val="auto"/>
                <w:sz w:val="24"/>
                <w:szCs w:val="24"/>
                <w:lang w:eastAsia="zh-CN"/>
              </w:rPr>
              <w:t>；</w:t>
            </w:r>
          </w:p>
          <w:p>
            <w:pPr>
              <w:spacing w:line="56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2.法定代表人授权书原件及被授权人身份证复印件（法定代表人直接投标可不提供，但须提供法定代表人身份证明）</w:t>
            </w:r>
            <w:r>
              <w:rPr>
                <w:rFonts w:hint="eastAsia" w:ascii="宋体" w:hAnsi="宋体" w:cs="宋体"/>
                <w:color w:val="auto"/>
                <w:sz w:val="24"/>
                <w:szCs w:val="24"/>
                <w:lang w:eastAsia="zh-CN"/>
              </w:rPr>
              <w:t>；</w:t>
            </w:r>
          </w:p>
          <w:p>
            <w:pPr>
              <w:spacing w:line="560" w:lineRule="exact"/>
              <w:ind w:firstLine="480" w:firstLineChars="200"/>
              <w:jc w:val="left"/>
              <w:rPr>
                <w:rFonts w:hint="eastAsia" w:ascii="宋体" w:hAnsi="宋体" w:eastAsia="宋体" w:cs="宋体"/>
                <w:color w:val="auto"/>
                <w:kern w:val="0"/>
                <w:sz w:val="24"/>
                <w:szCs w:val="24"/>
                <w:lang w:bidi="ar"/>
              </w:rPr>
            </w:pPr>
            <w:r>
              <w:rPr>
                <w:rFonts w:hint="eastAsia" w:ascii="宋体" w:hAnsi="宋体" w:eastAsia="宋体" w:cs="宋体"/>
                <w:color w:val="auto"/>
                <w:sz w:val="24"/>
                <w:szCs w:val="24"/>
              </w:rPr>
              <w:t>3.</w:t>
            </w:r>
            <w:r>
              <w:rPr>
                <w:rFonts w:hint="eastAsia" w:ascii="宋体" w:hAnsi="宋体" w:eastAsia="宋体" w:cs="宋体"/>
                <w:color w:val="auto"/>
                <w:sz w:val="24"/>
                <w:szCs w:val="24"/>
                <w:lang w:bidi="ar"/>
              </w:rPr>
              <w:t>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r>
              <w:rPr>
                <w:rFonts w:hint="eastAsia" w:ascii="宋体" w:hAnsi="宋体" w:eastAsia="宋体" w:cs="宋体"/>
                <w:color w:val="auto"/>
                <w:kern w:val="0"/>
                <w:sz w:val="24"/>
                <w:szCs w:val="24"/>
                <w:lang w:bidi="ar"/>
              </w:rPr>
              <w:t>，投标将被认定为</w:t>
            </w:r>
            <w:r>
              <w:rPr>
                <w:rFonts w:hint="eastAsia" w:ascii="宋体" w:hAnsi="宋体" w:eastAsia="宋体" w:cs="宋体"/>
                <w:b/>
                <w:bCs/>
                <w:color w:val="auto"/>
                <w:kern w:val="0"/>
                <w:sz w:val="24"/>
                <w:szCs w:val="24"/>
                <w:lang w:bidi="ar"/>
              </w:rPr>
              <w:t>投标无效</w:t>
            </w:r>
            <w:r>
              <w:rPr>
                <w:rFonts w:hint="eastAsia" w:ascii="宋体" w:hAnsi="宋体" w:cs="宋体"/>
                <w:color w:val="auto"/>
                <w:kern w:val="0"/>
                <w:sz w:val="24"/>
                <w:szCs w:val="24"/>
                <w:lang w:eastAsia="zh-CN" w:bidi="ar"/>
              </w:rPr>
              <w:t>；</w:t>
            </w:r>
            <w:r>
              <w:rPr>
                <w:rFonts w:hint="eastAsia" w:ascii="宋体" w:hAnsi="宋体" w:eastAsia="宋体" w:cs="宋体"/>
                <w:color w:val="auto"/>
                <w:kern w:val="0"/>
                <w:sz w:val="24"/>
                <w:szCs w:val="24"/>
                <w:lang w:bidi="ar"/>
              </w:rPr>
              <w:t xml:space="preserve"> </w:t>
            </w:r>
          </w:p>
          <w:p>
            <w:pPr>
              <w:spacing w:line="560" w:lineRule="exact"/>
              <w:ind w:firstLine="480" w:firstLineChars="200"/>
              <w:rPr>
                <w:rFonts w:hint="eastAsia" w:ascii="宋体" w:hAnsi="宋体" w:eastAsia="宋体" w:cs="宋体"/>
                <w:color w:val="000000"/>
                <w:kern w:val="2"/>
                <w:sz w:val="24"/>
                <w:szCs w:val="24"/>
                <w:shd w:val="clear" w:color="auto" w:fill="auto"/>
                <w:lang w:bidi="ar"/>
              </w:rPr>
            </w:pPr>
            <w:r>
              <w:rPr>
                <w:rFonts w:hint="eastAsia" w:ascii="宋体" w:hAnsi="宋体" w:eastAsia="宋体" w:cs="宋体"/>
                <w:color w:val="000000"/>
                <w:kern w:val="2"/>
                <w:sz w:val="24"/>
                <w:szCs w:val="24"/>
                <w:shd w:val="clear" w:color="auto" w:fill="auto"/>
                <w:lang w:bidi="ar"/>
              </w:rPr>
              <w:t>4.具有良好的商业信誉和健全的财务会计制度承诺书；</w:t>
            </w:r>
          </w:p>
          <w:p>
            <w:pPr>
              <w:spacing w:line="560" w:lineRule="exact"/>
              <w:ind w:firstLine="480" w:firstLineChars="200"/>
              <w:rPr>
                <w:rFonts w:hint="eastAsia" w:ascii="宋体" w:hAnsi="宋体" w:eastAsia="宋体" w:cs="宋体"/>
                <w:color w:val="000000"/>
                <w:kern w:val="2"/>
                <w:sz w:val="24"/>
                <w:szCs w:val="24"/>
                <w:shd w:val="clear" w:color="auto" w:fill="auto"/>
                <w:lang w:bidi="ar"/>
              </w:rPr>
            </w:pPr>
            <w:r>
              <w:rPr>
                <w:rFonts w:hint="eastAsia" w:ascii="宋体" w:hAnsi="宋体" w:eastAsia="宋体" w:cs="宋体"/>
                <w:color w:val="000000"/>
                <w:kern w:val="2"/>
                <w:sz w:val="24"/>
                <w:szCs w:val="24"/>
                <w:shd w:val="clear" w:color="auto" w:fill="auto"/>
                <w:lang w:bidi="ar"/>
              </w:rPr>
              <w:t>5.依法缴纳税收和社会保障资金承诺书；</w:t>
            </w:r>
          </w:p>
          <w:p>
            <w:pPr>
              <w:spacing w:line="560" w:lineRule="exact"/>
              <w:ind w:firstLine="480" w:firstLineChars="200"/>
              <w:rPr>
                <w:rFonts w:hint="eastAsia" w:ascii="宋体" w:hAnsi="宋体" w:eastAsia="宋体" w:cs="宋体"/>
                <w:b/>
                <w:bCs/>
                <w:color w:val="auto"/>
                <w:sz w:val="24"/>
                <w:szCs w:val="24"/>
              </w:rPr>
            </w:pPr>
            <w:r>
              <w:rPr>
                <w:rFonts w:hint="eastAsia" w:ascii="宋体" w:hAnsi="宋体" w:eastAsia="宋体" w:cs="宋体"/>
                <w:color w:val="000000"/>
                <w:kern w:val="2"/>
                <w:sz w:val="24"/>
                <w:szCs w:val="24"/>
                <w:shd w:val="clear" w:color="auto" w:fill="auto"/>
                <w:lang w:bidi="ar"/>
              </w:rPr>
              <w:t>6.参加政府采购活动前三年内，在经营活动中没有重大违法记录承诺书；</w:t>
            </w:r>
            <w:r>
              <w:rPr>
                <w:rFonts w:hint="eastAsia" w:ascii="宋体" w:hAnsi="宋体" w:eastAsia="宋体" w:cs="宋体"/>
                <w:b/>
                <w:bCs/>
                <w:color w:val="auto"/>
                <w:sz w:val="24"/>
                <w:szCs w:val="24"/>
              </w:rPr>
              <w:t xml:space="preserve"> </w:t>
            </w:r>
          </w:p>
          <w:p>
            <w:pPr>
              <w:spacing w:line="560" w:lineRule="exact"/>
              <w:ind w:firstLine="480" w:firstLineChars="200"/>
              <w:rPr>
                <w:rFonts w:hint="eastAsia" w:ascii="宋体" w:hAnsi="宋体" w:eastAsia="宋体" w:cs="宋体"/>
                <w:b/>
                <w:bCs/>
                <w:color w:val="auto"/>
                <w:sz w:val="24"/>
                <w:szCs w:val="24"/>
              </w:rPr>
            </w:pPr>
            <w:r>
              <w:rPr>
                <w:rFonts w:hint="eastAsia" w:ascii="宋体" w:hAnsi="宋体" w:eastAsia="宋体" w:cs="宋体"/>
                <w:color w:val="000000"/>
                <w:kern w:val="2"/>
                <w:sz w:val="24"/>
                <w:szCs w:val="24"/>
                <w:shd w:val="clear" w:color="auto" w:fill="auto"/>
                <w:lang w:bidi="ar"/>
              </w:rPr>
              <w:t>7</w:t>
            </w:r>
            <w:r>
              <w:rPr>
                <w:rFonts w:hint="eastAsia" w:ascii="宋体" w:hAnsi="宋体" w:eastAsia="宋体" w:cs="宋体"/>
                <w:color w:val="000000"/>
                <w:kern w:val="2"/>
                <w:sz w:val="24"/>
                <w:szCs w:val="24"/>
                <w:shd w:val="clear" w:color="auto" w:fill="auto"/>
                <w:lang w:val="en-US" w:eastAsia="zh-CN" w:bidi="ar"/>
              </w:rPr>
              <w:t>.</w:t>
            </w:r>
            <w:r>
              <w:rPr>
                <w:rFonts w:hint="eastAsia" w:ascii="宋体" w:hAnsi="宋体" w:eastAsia="宋体" w:cs="宋体"/>
                <w:color w:val="000000"/>
                <w:kern w:val="2"/>
                <w:sz w:val="24"/>
                <w:szCs w:val="24"/>
                <w:shd w:val="clear" w:color="auto" w:fill="auto"/>
                <w:lang w:bidi="ar"/>
              </w:rPr>
              <w:t xml:space="preserve">本项目专门面向中小企业采购，拒绝大型企业投标，投标人须提供《中小企业声明函》。 </w:t>
            </w:r>
            <w:r>
              <w:rPr>
                <w:rFonts w:hint="eastAsia" w:ascii="宋体" w:hAnsi="宋体" w:eastAsia="宋体" w:cs="宋体"/>
                <w:b/>
                <w:bCs/>
                <w:color w:val="auto"/>
                <w:sz w:val="24"/>
                <w:szCs w:val="24"/>
              </w:rPr>
              <w:t xml:space="preserve">                                                                                                                            </w:t>
            </w:r>
          </w:p>
          <w:p>
            <w:pPr>
              <w:spacing w:line="560" w:lineRule="exact"/>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注：1、将上述资料扫描件放入电子投标文件中相应位置，并加盖投标人电子章。</w:t>
            </w:r>
          </w:p>
          <w:p>
            <w:pPr>
              <w:spacing w:line="560" w:lineRule="exact"/>
              <w:ind w:firstLine="480"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2、需保证上述资料完整并清晰可辨。如出现模糊无法辨认的情况，评委有权视其为不合格资料。</w:t>
            </w:r>
          </w:p>
          <w:p>
            <w:pPr>
              <w:pageBreakBefore w:val="0"/>
              <w:widowControl/>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3、以上</w:t>
            </w: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6</w:t>
            </w:r>
            <w:r>
              <w:rPr>
                <w:rFonts w:hint="eastAsia" w:ascii="宋体" w:hAnsi="宋体" w:eastAsia="宋体" w:cs="宋体"/>
                <w:b/>
                <w:bCs/>
                <w:color w:val="auto"/>
                <w:sz w:val="24"/>
                <w:szCs w:val="24"/>
                <w:lang w:val="en-US" w:eastAsia="zh-CN"/>
              </w:rPr>
              <w:t>项投标人可选择提供资格承诺函，也可选择按《中华人民共和国政府采购法》《中华人民共和国政府采购法实施条例》及招标文件资格要求提供相应的证明材料，若二者均不提供，视为无效投标。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合格投标人的其他资格要求：</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val="0"/>
                <w:bCs w:val="0"/>
                <w:color w:val="auto"/>
                <w:sz w:val="24"/>
                <w:szCs w:val="24"/>
                <w:u w:val="single"/>
                <w:lang w:val="en-US" w:eastAsia="zh-CN"/>
              </w:rPr>
              <w:t>无</w:t>
            </w:r>
            <w:r>
              <w:rPr>
                <w:rFonts w:hint="eastAsia" w:ascii="宋体" w:hAnsi="宋体" w:eastAsia="宋体" w:cs="宋体"/>
                <w:b/>
                <w:bCs/>
                <w:color w:val="auto"/>
                <w:sz w:val="24"/>
                <w:szCs w:val="24"/>
                <w:u w:val="single"/>
              </w:rPr>
              <w:t xml:space="preserve">  </w:t>
            </w:r>
            <w:r>
              <w:rPr>
                <w:rFonts w:hint="eastAsia" w:ascii="宋体" w:hAnsi="宋体" w:eastAsia="宋体" w:cs="宋体"/>
                <w:color w:val="auto"/>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是否允许采购进口产品：</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val="0"/>
                <w:bCs w:val="0"/>
                <w:color w:val="auto"/>
                <w:sz w:val="24"/>
                <w:szCs w:val="24"/>
                <w:u w:val="single"/>
              </w:rPr>
              <w:t>否</w:t>
            </w:r>
            <w:r>
              <w:rPr>
                <w:rFonts w:hint="eastAsia" w:ascii="宋体" w:hAnsi="宋体" w:eastAsia="宋体" w:cs="宋体"/>
                <w:b/>
                <w:bCs/>
                <w:color w:val="auto"/>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是否为专门面向中小企业采购：</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是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（专门面向中小企业采购，供应商需出具《中小企业声明函》）</w:t>
            </w:r>
            <w:r>
              <w:rPr>
                <w:rFonts w:hint="eastAsia" w:ascii="宋体" w:hAnsi="宋体" w:eastAsia="宋体" w:cs="宋体"/>
                <w:b/>
                <w:bCs/>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是否允许联合体投标：</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val="0"/>
                <w:bCs w:val="0"/>
                <w:color w:val="auto"/>
                <w:sz w:val="24"/>
                <w:szCs w:val="24"/>
                <w:u w:val="single"/>
              </w:rPr>
              <w:t>否</w:t>
            </w:r>
            <w:r>
              <w:rPr>
                <w:rFonts w:hint="eastAsia" w:ascii="宋体" w:hAnsi="宋体" w:eastAsia="宋体" w:cs="宋体"/>
                <w:b/>
                <w:bCs/>
                <w:color w:val="auto"/>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联合体的其他资格要求：</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val="0"/>
                <w:bCs w:val="0"/>
                <w:color w:val="auto"/>
                <w:sz w:val="24"/>
                <w:szCs w:val="24"/>
                <w:u w:val="single"/>
                <w:lang w:val="en-US" w:eastAsia="zh-CN"/>
              </w:rPr>
              <w:t>无</w:t>
            </w:r>
            <w:r>
              <w:rPr>
                <w:rFonts w:hint="eastAsia" w:ascii="宋体" w:hAnsi="宋体" w:eastAsia="宋体" w:cs="宋体"/>
                <w:b/>
                <w:bCs/>
                <w:color w:val="auto"/>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项目预算金额：</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lang w:val="en-US" w:eastAsia="zh-CN"/>
              </w:rPr>
              <w:t>823000.00</w:t>
            </w:r>
            <w:r>
              <w:rPr>
                <w:rFonts w:hint="eastAsia" w:ascii="宋体" w:hAnsi="宋体" w:eastAsia="宋体" w:cs="宋体"/>
                <w:b w:val="0"/>
                <w:bCs w:val="0"/>
                <w:color w:val="auto"/>
                <w:sz w:val="24"/>
                <w:szCs w:val="24"/>
              </w:rPr>
              <w:t>元；最高限价：¥</w:t>
            </w:r>
            <w:r>
              <w:rPr>
                <w:rFonts w:hint="eastAsia" w:ascii="宋体" w:hAnsi="宋体" w:eastAsia="宋体" w:cs="宋体"/>
                <w:b w:val="0"/>
                <w:bCs w:val="0"/>
                <w:color w:val="auto"/>
                <w:sz w:val="24"/>
                <w:szCs w:val="24"/>
                <w:u w:val="single"/>
                <w:lang w:val="en-US" w:eastAsia="zh-CN"/>
              </w:rPr>
              <w:t>823000.00</w:t>
            </w:r>
            <w:r>
              <w:rPr>
                <w:rFonts w:hint="eastAsia" w:ascii="宋体" w:hAnsi="宋体" w:eastAsia="宋体" w:cs="宋体"/>
                <w:b w:val="0"/>
                <w:bCs w:val="0"/>
                <w:color w:val="auto"/>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7490" w:type="dxa"/>
            <w:vAlign w:val="center"/>
          </w:tcPr>
          <w:p>
            <w:pPr>
              <w:spacing w:line="5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投标人可选择以下方式缴纳保证金</w:t>
            </w:r>
          </w:p>
          <w:p>
            <w:pPr>
              <w:spacing w:line="5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方式一：对公转账缴纳（缴纳时备注所投项目及投标人名称）</w:t>
            </w:r>
          </w:p>
          <w:p>
            <w:pPr>
              <w:tabs>
                <w:tab w:val="left" w:pos="5879"/>
              </w:tabs>
              <w:spacing w:line="560" w:lineRule="exact"/>
              <w:jc w:val="left"/>
              <w:rPr>
                <w:rFonts w:hint="eastAsia" w:ascii="宋体" w:hAnsi="宋体" w:eastAsia="宋体" w:cs="宋体"/>
                <w:color w:val="FF0000"/>
                <w:sz w:val="24"/>
                <w:szCs w:val="24"/>
              </w:rPr>
            </w:pPr>
            <w:r>
              <w:rPr>
                <w:rFonts w:hint="eastAsia" w:ascii="宋体" w:hAnsi="宋体" w:eastAsia="宋体" w:cs="宋体"/>
                <w:color w:val="000000"/>
                <w:sz w:val="24"/>
                <w:szCs w:val="24"/>
              </w:rPr>
              <w:t>投标保证金：</w:t>
            </w:r>
            <w:r>
              <w:rPr>
                <w:rFonts w:hint="eastAsia" w:ascii="宋体" w:hAnsi="宋体" w:eastAsia="宋体" w:cs="宋体"/>
                <w:b/>
                <w:bCs/>
                <w:color w:val="000000"/>
                <w:sz w:val="24"/>
                <w:szCs w:val="24"/>
              </w:rPr>
              <w:t>¥</w:t>
            </w:r>
            <w:r>
              <w:rPr>
                <w:rFonts w:hint="eastAsia" w:ascii="宋体" w:hAnsi="宋体" w:cs="宋体"/>
                <w:b/>
                <w:bCs/>
                <w:color w:val="000000"/>
                <w:sz w:val="24"/>
                <w:szCs w:val="24"/>
                <w:u w:val="single"/>
                <w:lang w:val="en-US" w:eastAsia="zh-CN"/>
              </w:rPr>
              <w:t>13000</w:t>
            </w:r>
            <w:r>
              <w:rPr>
                <w:rFonts w:hint="eastAsia" w:ascii="宋体" w:hAnsi="宋体" w:eastAsia="宋体" w:cs="宋体"/>
                <w:color w:val="000000"/>
                <w:sz w:val="24"/>
                <w:szCs w:val="24"/>
              </w:rPr>
              <w:t>元</w:t>
            </w:r>
            <w:r>
              <w:rPr>
                <w:rFonts w:hint="eastAsia" w:ascii="宋体" w:hAnsi="宋体" w:eastAsia="宋体" w:cs="宋体"/>
                <w:color w:val="FF0000"/>
                <w:sz w:val="24"/>
                <w:szCs w:val="24"/>
              </w:rPr>
              <w:tab/>
            </w:r>
          </w:p>
          <w:p>
            <w:pPr>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缴纳截止时间：以开标时间实际到账为准</w:t>
            </w:r>
          </w:p>
          <w:p>
            <w:pPr>
              <w:spacing w:line="56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户  名：</w:t>
            </w:r>
            <w:r>
              <w:rPr>
                <w:rStyle w:val="22"/>
                <w:rFonts w:hint="eastAsia" w:ascii="宋体" w:hAnsi="宋体" w:eastAsia="宋体" w:cs="宋体"/>
                <w:b w:val="0"/>
                <w:bCs/>
                <w:color w:val="auto"/>
                <w:kern w:val="2"/>
                <w:sz w:val="24"/>
                <w:szCs w:val="24"/>
                <w:lang w:val="en-US" w:eastAsia="zh-CN" w:bidi="ar-SA"/>
              </w:rPr>
              <w:t>宁夏中世联众工程咨询有限公司</w:t>
            </w:r>
          </w:p>
          <w:p>
            <w:pPr>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开户行：</w:t>
            </w:r>
            <w:r>
              <w:rPr>
                <w:rFonts w:hint="eastAsia" w:ascii="宋体" w:hAnsi="宋体" w:eastAsia="宋体" w:cs="宋体"/>
                <w:color w:val="000000"/>
                <w:sz w:val="24"/>
                <w:szCs w:val="24"/>
                <w:lang w:val="en-US" w:eastAsia="zh-CN"/>
              </w:rPr>
              <w:t>上海浦东发展银行银川兴庆府支行</w:t>
            </w:r>
          </w:p>
          <w:p>
            <w:pPr>
              <w:spacing w:line="560" w:lineRule="exact"/>
              <w:jc w:val="left"/>
              <w:rPr>
                <w:rFonts w:hint="eastAsia" w:ascii="宋体" w:hAnsi="宋体" w:eastAsia="宋体" w:cs="宋体"/>
                <w:b/>
                <w:bCs w:val="0"/>
                <w:color w:val="auto"/>
                <w:sz w:val="24"/>
                <w:szCs w:val="24"/>
              </w:rPr>
            </w:pPr>
            <w:r>
              <w:rPr>
                <w:rFonts w:hint="eastAsia" w:ascii="宋体" w:hAnsi="宋体" w:eastAsia="宋体" w:cs="宋体"/>
                <w:color w:val="000000"/>
                <w:sz w:val="24"/>
                <w:szCs w:val="24"/>
              </w:rPr>
              <w:t>账　号：</w:t>
            </w:r>
            <w:r>
              <w:rPr>
                <w:rFonts w:hint="eastAsia" w:ascii="宋体" w:hAnsi="宋体" w:eastAsia="宋体" w:cs="宋体"/>
                <w:color w:val="000000"/>
                <w:kern w:val="2"/>
                <w:sz w:val="24"/>
                <w:szCs w:val="24"/>
                <w:shd w:val="clear" w:color="auto" w:fill="auto"/>
                <w:lang w:val="en-US" w:eastAsia="zh-CN" w:bidi="ar"/>
              </w:rPr>
              <w:t>3305 0078 8013 0000 0487</w:t>
            </w:r>
          </w:p>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方式二：保函缴纳</w:t>
            </w:r>
          </w:p>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根据（宁财（采）发【2019】654号）《自治区财政厅关于促进政府采购公平竞争优化营商环境有关事项的通知》的文件精神，为降低各中小企业的交易成本，本项目鼓励各投标人以保函的形式缴纳保证金。投标人可登陆中世e招电子交易平台（http://nxzbtb.com.cn/）自行录入企业信息开具电子保函。各投标人也可开具纸质保函，在投标截止时间前，将单独密封的保函原件随投标文件一并递交至开标现场。</w:t>
            </w:r>
          </w:p>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b/>
                <w:bCs/>
                <w:color w:val="000000"/>
                <w:kern w:val="2"/>
                <w:sz w:val="24"/>
                <w:szCs w:val="24"/>
                <w:shd w:val="clear" w:color="auto" w:fill="auto"/>
                <w:lang w:eastAsia="zh-CN" w:bidi="ar"/>
              </w:rPr>
              <w:t>注：投标截止时间前，将保证金缴纳凭证或保函扫描件上传至中世e招电子交易系统-保证金管理界面。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是否组织现场考察或者召开答疑会：</w:t>
            </w:r>
            <w:r>
              <w:rPr>
                <w:rFonts w:hint="eastAsia" w:ascii="宋体" w:hAnsi="宋体" w:eastAsia="宋体" w:cs="宋体"/>
                <w:color w:val="auto"/>
                <w:sz w:val="24"/>
                <w:szCs w:val="24"/>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是否需要提供样品：</w:t>
            </w:r>
            <w:r>
              <w:rPr>
                <w:rFonts w:hint="eastAsia" w:ascii="宋体" w:hAnsi="宋体" w:eastAsia="宋体" w:cs="宋体"/>
                <w:color w:val="auto"/>
                <w:sz w:val="24"/>
                <w:szCs w:val="24"/>
                <w:u w:val="single"/>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投标有效期：提交投标文件截止之日起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60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自然日（日历日）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7490" w:type="dxa"/>
            <w:vAlign w:val="center"/>
          </w:tcPr>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val="en-US" w:eastAsia="zh-CN" w:bidi="ar"/>
              </w:rPr>
              <w:t>投标</w:t>
            </w:r>
            <w:r>
              <w:rPr>
                <w:rFonts w:hint="eastAsia" w:ascii="宋体" w:hAnsi="宋体" w:eastAsia="宋体" w:cs="宋体"/>
                <w:color w:val="000000"/>
                <w:kern w:val="2"/>
                <w:sz w:val="24"/>
                <w:szCs w:val="24"/>
                <w:shd w:val="clear" w:color="auto" w:fill="auto"/>
                <w:lang w:eastAsia="zh-CN" w:bidi="ar"/>
              </w:rPr>
              <w:t>文件（电子）提交截止时间：</w:t>
            </w:r>
            <w:r>
              <w:rPr>
                <w:rFonts w:hint="eastAsia" w:ascii="宋体" w:hAnsi="宋体" w:eastAsia="宋体" w:cs="宋体"/>
                <w:color w:val="000000"/>
                <w:kern w:val="2"/>
                <w:sz w:val="24"/>
                <w:szCs w:val="24"/>
                <w:shd w:val="clear" w:color="auto" w:fill="auto"/>
                <w:lang w:val="en-US" w:eastAsia="zh-CN" w:bidi="ar"/>
              </w:rPr>
              <w:t>202</w:t>
            </w:r>
            <w:r>
              <w:rPr>
                <w:rFonts w:hint="eastAsia" w:ascii="宋体" w:hAnsi="宋体" w:cs="宋体"/>
                <w:color w:val="000000"/>
                <w:kern w:val="2"/>
                <w:sz w:val="24"/>
                <w:szCs w:val="24"/>
                <w:shd w:val="clear" w:color="auto" w:fill="auto"/>
                <w:lang w:val="en-US" w:eastAsia="zh-CN" w:bidi="ar"/>
              </w:rPr>
              <w:t>2</w:t>
            </w:r>
            <w:r>
              <w:rPr>
                <w:rFonts w:hint="eastAsia" w:ascii="宋体" w:hAnsi="宋体" w:eastAsia="宋体" w:cs="宋体"/>
                <w:color w:val="000000"/>
                <w:kern w:val="2"/>
                <w:sz w:val="24"/>
                <w:szCs w:val="24"/>
                <w:shd w:val="clear" w:color="auto" w:fill="auto"/>
                <w:lang w:eastAsia="zh-CN" w:bidi="ar"/>
              </w:rPr>
              <w:t>年</w:t>
            </w:r>
            <w:r>
              <w:rPr>
                <w:rFonts w:hint="eastAsia" w:ascii="宋体" w:hAnsi="宋体" w:cs="宋体"/>
                <w:color w:val="000000"/>
                <w:kern w:val="2"/>
                <w:sz w:val="24"/>
                <w:szCs w:val="24"/>
                <w:shd w:val="clear" w:color="auto" w:fill="auto"/>
                <w:lang w:val="en-US" w:eastAsia="zh-CN" w:bidi="ar"/>
              </w:rPr>
              <w:t>4</w:t>
            </w:r>
            <w:r>
              <w:rPr>
                <w:rFonts w:hint="eastAsia" w:ascii="宋体" w:hAnsi="宋体" w:eastAsia="宋体" w:cs="宋体"/>
                <w:color w:val="000000"/>
                <w:kern w:val="2"/>
                <w:sz w:val="24"/>
                <w:szCs w:val="24"/>
                <w:shd w:val="clear" w:color="auto" w:fill="auto"/>
                <w:lang w:eastAsia="zh-CN" w:bidi="ar"/>
              </w:rPr>
              <w:t>月</w:t>
            </w:r>
            <w:r>
              <w:rPr>
                <w:rFonts w:hint="eastAsia" w:ascii="宋体" w:hAnsi="宋体" w:cs="宋体"/>
                <w:color w:val="000000"/>
                <w:kern w:val="2"/>
                <w:sz w:val="24"/>
                <w:szCs w:val="24"/>
                <w:shd w:val="clear" w:color="auto" w:fill="auto"/>
                <w:lang w:val="en-US" w:eastAsia="zh-CN" w:bidi="ar"/>
              </w:rPr>
              <w:t>14</w:t>
            </w:r>
            <w:r>
              <w:rPr>
                <w:rFonts w:hint="eastAsia" w:ascii="宋体" w:hAnsi="宋体" w:eastAsia="宋体" w:cs="宋体"/>
                <w:color w:val="000000"/>
                <w:kern w:val="2"/>
                <w:sz w:val="24"/>
                <w:szCs w:val="24"/>
                <w:shd w:val="clear" w:color="auto" w:fill="auto"/>
                <w:lang w:eastAsia="zh-CN" w:bidi="ar"/>
              </w:rPr>
              <w:t>日</w:t>
            </w:r>
            <w:r>
              <w:rPr>
                <w:rFonts w:hint="eastAsia" w:ascii="宋体" w:hAnsi="宋体" w:cs="宋体"/>
                <w:color w:val="000000"/>
                <w:kern w:val="2"/>
                <w:sz w:val="24"/>
                <w:szCs w:val="24"/>
                <w:shd w:val="clear" w:color="auto" w:fill="auto"/>
                <w:lang w:val="en-US" w:eastAsia="zh-CN" w:bidi="ar"/>
              </w:rPr>
              <w:t>09:00</w:t>
            </w:r>
            <w:r>
              <w:rPr>
                <w:rFonts w:hint="eastAsia" w:ascii="宋体" w:hAnsi="宋体" w:eastAsia="宋体" w:cs="宋体"/>
                <w:color w:val="000000"/>
                <w:kern w:val="2"/>
                <w:sz w:val="24"/>
                <w:szCs w:val="24"/>
                <w:shd w:val="clear" w:color="auto" w:fill="auto"/>
                <w:lang w:val="en-US" w:eastAsia="zh-CN" w:bidi="ar"/>
              </w:rPr>
              <w:t>分</w:t>
            </w:r>
            <w:r>
              <w:rPr>
                <w:rFonts w:hint="eastAsia" w:ascii="宋体" w:hAnsi="宋体" w:eastAsia="宋体" w:cs="宋体"/>
                <w:color w:val="000000"/>
                <w:kern w:val="2"/>
                <w:sz w:val="24"/>
                <w:szCs w:val="24"/>
                <w:shd w:val="clear" w:color="auto" w:fill="auto"/>
                <w:lang w:eastAsia="zh-CN" w:bidi="ar"/>
              </w:rPr>
              <w:t>（以电子交易平台具体显示时间为准）</w:t>
            </w:r>
          </w:p>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val="en-US" w:eastAsia="zh-CN" w:bidi="ar"/>
              </w:rPr>
              <w:t>投标</w:t>
            </w:r>
            <w:r>
              <w:rPr>
                <w:rFonts w:hint="eastAsia" w:ascii="宋体" w:hAnsi="宋体" w:eastAsia="宋体" w:cs="宋体"/>
                <w:color w:val="000000"/>
                <w:kern w:val="2"/>
                <w:sz w:val="24"/>
                <w:szCs w:val="24"/>
                <w:shd w:val="clear" w:color="auto" w:fill="auto"/>
                <w:lang w:eastAsia="zh-CN" w:bidi="ar"/>
              </w:rPr>
              <w:t>文件提交网址：</w:t>
            </w:r>
            <w:r>
              <w:rPr>
                <w:rFonts w:hint="eastAsia" w:ascii="宋体" w:hAnsi="宋体" w:eastAsia="宋体" w:cs="宋体"/>
                <w:color w:val="000000"/>
                <w:kern w:val="2"/>
                <w:sz w:val="24"/>
                <w:szCs w:val="24"/>
                <w:shd w:val="clear" w:color="auto" w:fill="auto"/>
                <w:lang w:eastAsia="zh-CN" w:bidi="ar"/>
              </w:rPr>
              <w:fldChar w:fldCharType="begin"/>
            </w:r>
            <w:r>
              <w:rPr>
                <w:rFonts w:hint="eastAsia" w:ascii="宋体" w:hAnsi="宋体" w:eastAsia="宋体" w:cs="宋体"/>
                <w:color w:val="000000"/>
                <w:kern w:val="2"/>
                <w:sz w:val="24"/>
                <w:szCs w:val="24"/>
                <w:shd w:val="clear" w:color="auto" w:fill="auto"/>
                <w:lang w:eastAsia="zh-CN" w:bidi="ar"/>
              </w:rPr>
              <w:instrText xml:space="preserve">HYPERLINK "http://nxzbtb.com.cn（交易平台入口）"</w:instrText>
            </w:r>
            <w:r>
              <w:rPr>
                <w:rFonts w:hint="eastAsia" w:ascii="宋体" w:hAnsi="宋体" w:eastAsia="宋体" w:cs="宋体"/>
                <w:color w:val="000000"/>
                <w:kern w:val="2"/>
                <w:sz w:val="24"/>
                <w:szCs w:val="24"/>
                <w:shd w:val="clear" w:color="auto" w:fill="auto"/>
                <w:lang w:eastAsia="zh-CN" w:bidi="ar"/>
              </w:rPr>
              <w:fldChar w:fldCharType="separate"/>
            </w:r>
            <w:r>
              <w:rPr>
                <w:rFonts w:hint="eastAsia" w:ascii="宋体" w:hAnsi="宋体" w:eastAsia="宋体" w:cs="宋体"/>
                <w:color w:val="000000"/>
                <w:kern w:val="2"/>
                <w:sz w:val="24"/>
                <w:szCs w:val="24"/>
                <w:shd w:val="clear" w:color="auto" w:fill="auto"/>
                <w:lang w:eastAsia="zh-CN" w:bidi="ar"/>
              </w:rPr>
              <w:t>http://nxzbtb.com.cn（政府采购交易系统）</w:t>
            </w:r>
            <w:r>
              <w:rPr>
                <w:rFonts w:hint="eastAsia" w:ascii="宋体" w:hAnsi="宋体" w:eastAsia="宋体" w:cs="宋体"/>
                <w:color w:val="000000"/>
                <w:kern w:val="2"/>
                <w:sz w:val="24"/>
                <w:szCs w:val="24"/>
                <w:shd w:val="clear" w:color="auto" w:fill="auto"/>
                <w:lang w:eastAsia="zh-CN" w:bidi="ar"/>
              </w:rPr>
              <w:fldChar w:fldCharType="end"/>
            </w:r>
          </w:p>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val="en-US" w:eastAsia="zh-CN" w:bidi="ar"/>
              </w:rPr>
              <w:t>投标</w:t>
            </w:r>
            <w:r>
              <w:rPr>
                <w:rFonts w:hint="eastAsia" w:ascii="宋体" w:hAnsi="宋体" w:eastAsia="宋体" w:cs="宋体"/>
                <w:color w:val="000000"/>
                <w:kern w:val="2"/>
                <w:sz w:val="24"/>
                <w:szCs w:val="24"/>
                <w:shd w:val="clear" w:color="auto" w:fill="auto"/>
                <w:lang w:eastAsia="zh-CN" w:bidi="ar"/>
              </w:rPr>
              <w:t>文件提交地点：中世e招电子交易平台(银川市金凤区新昌路金钻名座财富中心20层）</w:t>
            </w:r>
          </w:p>
          <w:p>
            <w:pPr>
              <w:spacing w:line="560" w:lineRule="exact"/>
              <w:rPr>
                <w:rFonts w:hint="eastAsia" w:ascii="宋体" w:hAnsi="宋体" w:eastAsia="宋体" w:cs="宋体"/>
                <w:b/>
                <w:bCs/>
                <w:color w:val="000000"/>
                <w:kern w:val="2"/>
                <w:sz w:val="24"/>
                <w:szCs w:val="24"/>
                <w:shd w:val="clear" w:color="auto" w:fill="auto"/>
                <w:lang w:val="en-US" w:eastAsia="zh-CN" w:bidi="ar"/>
              </w:rPr>
            </w:pPr>
            <w:r>
              <w:rPr>
                <w:rFonts w:hint="eastAsia" w:ascii="宋体" w:hAnsi="宋体" w:eastAsia="宋体" w:cs="宋体"/>
                <w:b/>
                <w:bCs/>
                <w:color w:val="000000"/>
                <w:kern w:val="2"/>
                <w:sz w:val="24"/>
                <w:szCs w:val="24"/>
                <w:shd w:val="clear" w:color="auto" w:fill="auto"/>
                <w:lang w:val="en-US" w:eastAsia="zh-CN" w:bidi="ar"/>
              </w:rPr>
              <w:t>注：① 电子投标文件：电子投标文件必须包括：数据文件（开标一览表等）、投标文件（pdf格式），以上内容缺一不可。（网上递交）</w:t>
            </w:r>
          </w:p>
          <w:p>
            <w:pPr>
              <w:spacing w:line="560" w:lineRule="exact"/>
              <w:rPr>
                <w:rFonts w:hint="eastAsia" w:ascii="宋体" w:hAnsi="宋体" w:eastAsia="宋体" w:cs="宋体"/>
                <w:b/>
                <w:bCs/>
                <w:color w:val="000000"/>
                <w:kern w:val="2"/>
                <w:sz w:val="24"/>
                <w:szCs w:val="24"/>
                <w:shd w:val="clear" w:color="auto" w:fill="auto"/>
                <w:lang w:eastAsia="zh-CN" w:bidi="ar"/>
              </w:rPr>
            </w:pPr>
            <w:r>
              <w:rPr>
                <w:rFonts w:hint="eastAsia" w:ascii="宋体" w:hAnsi="宋体" w:eastAsia="宋体" w:cs="宋体"/>
                <w:b/>
                <w:bCs/>
                <w:color w:val="000000"/>
                <w:kern w:val="2"/>
                <w:sz w:val="24"/>
                <w:szCs w:val="24"/>
                <w:shd w:val="clear" w:color="auto" w:fill="auto"/>
                <w:lang w:val="en-US" w:eastAsia="zh-CN" w:bidi="ar"/>
              </w:rPr>
              <w:t>② 纸质投标</w:t>
            </w:r>
            <w:r>
              <w:rPr>
                <w:rFonts w:hint="eastAsia" w:ascii="宋体" w:hAnsi="宋体" w:eastAsia="宋体" w:cs="宋体"/>
                <w:b/>
                <w:bCs/>
                <w:color w:val="000000"/>
                <w:kern w:val="2"/>
                <w:sz w:val="24"/>
                <w:szCs w:val="24"/>
                <w:shd w:val="clear" w:color="auto" w:fill="auto"/>
                <w:lang w:eastAsia="zh-CN" w:bidi="ar"/>
              </w:rPr>
              <w:t>文件：本项目属于远程开标（解密）开标现场无需提供纸质</w:t>
            </w:r>
            <w:r>
              <w:rPr>
                <w:rFonts w:hint="eastAsia" w:ascii="宋体" w:hAnsi="宋体" w:eastAsia="宋体" w:cs="宋体"/>
                <w:b/>
                <w:bCs/>
                <w:color w:val="000000"/>
                <w:kern w:val="2"/>
                <w:sz w:val="24"/>
                <w:szCs w:val="24"/>
                <w:shd w:val="clear" w:color="auto" w:fill="auto"/>
                <w:lang w:val="en-US" w:eastAsia="zh-CN" w:bidi="ar"/>
              </w:rPr>
              <w:t>投标</w:t>
            </w:r>
            <w:r>
              <w:rPr>
                <w:rFonts w:hint="eastAsia" w:ascii="宋体" w:hAnsi="宋体" w:eastAsia="宋体" w:cs="宋体"/>
                <w:b/>
                <w:bCs/>
                <w:color w:val="000000"/>
                <w:kern w:val="2"/>
                <w:sz w:val="24"/>
                <w:szCs w:val="24"/>
                <w:shd w:val="clear" w:color="auto" w:fill="auto"/>
                <w:lang w:eastAsia="zh-CN" w:bidi="ar"/>
              </w:rPr>
              <w:t>文件(中标之后由中标单位提供纸质版</w:t>
            </w:r>
            <w:r>
              <w:rPr>
                <w:rFonts w:hint="eastAsia" w:ascii="宋体" w:hAnsi="宋体" w:eastAsia="宋体" w:cs="宋体"/>
                <w:b/>
                <w:bCs/>
                <w:color w:val="000000"/>
                <w:kern w:val="2"/>
                <w:sz w:val="24"/>
                <w:szCs w:val="24"/>
                <w:shd w:val="clear" w:color="auto" w:fill="auto"/>
                <w:lang w:val="en-US" w:eastAsia="zh-CN" w:bidi="ar"/>
              </w:rPr>
              <w:t>投标</w:t>
            </w:r>
            <w:r>
              <w:rPr>
                <w:rFonts w:hint="eastAsia" w:ascii="宋体" w:hAnsi="宋体" w:eastAsia="宋体" w:cs="宋体"/>
                <w:b/>
                <w:bCs/>
                <w:color w:val="000000"/>
                <w:kern w:val="2"/>
                <w:sz w:val="24"/>
                <w:szCs w:val="24"/>
                <w:shd w:val="clear" w:color="auto" w:fill="auto"/>
                <w:lang w:eastAsia="zh-CN" w:bidi="ar"/>
              </w:rPr>
              <w:t>文件做留档资料)。</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b/>
                <w:bCs/>
                <w:color w:val="000000"/>
                <w:kern w:val="2"/>
                <w:sz w:val="24"/>
                <w:szCs w:val="24"/>
                <w:shd w:val="clear" w:color="auto" w:fill="auto"/>
                <w:lang w:eastAsia="zh-CN" w:bidi="ar"/>
              </w:rPr>
              <w:t>纸质</w:t>
            </w:r>
            <w:r>
              <w:rPr>
                <w:rFonts w:hint="eastAsia" w:ascii="宋体" w:hAnsi="宋体" w:eastAsia="宋体" w:cs="宋体"/>
                <w:b/>
                <w:bCs/>
                <w:color w:val="000000"/>
                <w:kern w:val="2"/>
                <w:sz w:val="24"/>
                <w:szCs w:val="24"/>
                <w:shd w:val="clear" w:color="auto" w:fill="auto"/>
                <w:lang w:val="en-US" w:eastAsia="zh-CN" w:bidi="ar"/>
              </w:rPr>
              <w:t>投标</w:t>
            </w:r>
            <w:r>
              <w:rPr>
                <w:rFonts w:hint="eastAsia" w:ascii="宋体" w:hAnsi="宋体" w:eastAsia="宋体" w:cs="宋体"/>
                <w:b/>
                <w:bCs/>
                <w:color w:val="000000"/>
                <w:kern w:val="2"/>
                <w:sz w:val="24"/>
                <w:szCs w:val="24"/>
                <w:shd w:val="clear" w:color="auto" w:fill="auto"/>
                <w:lang w:eastAsia="zh-CN" w:bidi="ar"/>
              </w:rPr>
              <w:t>文件须以网上递交的加盖了电子印章的数据文件和PDF</w:t>
            </w:r>
            <w:r>
              <w:rPr>
                <w:rFonts w:hint="eastAsia" w:ascii="宋体" w:hAnsi="宋体" w:eastAsia="宋体" w:cs="宋体"/>
                <w:b/>
                <w:bCs/>
                <w:color w:val="000000"/>
                <w:kern w:val="2"/>
                <w:sz w:val="24"/>
                <w:szCs w:val="24"/>
                <w:shd w:val="clear" w:color="auto" w:fill="auto"/>
                <w:lang w:val="en-US" w:eastAsia="zh-CN" w:bidi="ar"/>
              </w:rPr>
              <w:t>投标</w:t>
            </w:r>
            <w:r>
              <w:rPr>
                <w:rFonts w:hint="eastAsia" w:ascii="宋体" w:hAnsi="宋体" w:eastAsia="宋体" w:cs="宋体"/>
                <w:b/>
                <w:bCs/>
                <w:color w:val="000000"/>
                <w:kern w:val="2"/>
                <w:sz w:val="24"/>
                <w:szCs w:val="24"/>
                <w:shd w:val="clear" w:color="auto" w:fill="auto"/>
                <w:lang w:eastAsia="zh-CN" w:bidi="ar"/>
              </w:rPr>
              <w:t>文件为准，双面打印并逐页加盖鲜章；采用胶订方式牢固装订成册，不可活页装订</w:t>
            </w:r>
            <w:r>
              <w:rPr>
                <w:rFonts w:hint="eastAsia" w:ascii="宋体" w:hAnsi="宋体" w:eastAsia="宋体" w:cs="宋体"/>
                <w:color w:val="000000"/>
                <w:kern w:val="2"/>
                <w:sz w:val="24"/>
                <w:szCs w:val="24"/>
                <w:shd w:val="clear" w:color="auto" w:fill="auto"/>
                <w:lang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7490" w:type="dxa"/>
            <w:vAlign w:val="center"/>
          </w:tcPr>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val="en-US" w:eastAsia="zh-CN" w:bidi="ar"/>
              </w:rPr>
              <w:t>开标</w:t>
            </w:r>
            <w:r>
              <w:rPr>
                <w:rFonts w:hint="eastAsia" w:ascii="宋体" w:hAnsi="宋体" w:eastAsia="宋体" w:cs="宋体"/>
                <w:color w:val="000000"/>
                <w:kern w:val="2"/>
                <w:sz w:val="24"/>
                <w:szCs w:val="24"/>
                <w:shd w:val="clear" w:color="auto" w:fill="auto"/>
                <w:lang w:eastAsia="zh-CN" w:bidi="ar"/>
              </w:rPr>
              <w:t>时间：</w:t>
            </w:r>
            <w:r>
              <w:rPr>
                <w:rFonts w:hint="eastAsia" w:ascii="宋体" w:hAnsi="宋体" w:eastAsia="宋体" w:cs="宋体"/>
                <w:color w:val="000000"/>
                <w:kern w:val="2"/>
                <w:sz w:val="24"/>
                <w:szCs w:val="24"/>
                <w:shd w:val="clear" w:color="auto" w:fill="auto"/>
                <w:lang w:val="en-US" w:eastAsia="zh-CN" w:bidi="ar"/>
              </w:rPr>
              <w:t>202</w:t>
            </w:r>
            <w:r>
              <w:rPr>
                <w:rFonts w:hint="eastAsia" w:ascii="宋体" w:hAnsi="宋体" w:cs="宋体"/>
                <w:color w:val="000000"/>
                <w:kern w:val="2"/>
                <w:sz w:val="24"/>
                <w:szCs w:val="24"/>
                <w:shd w:val="clear" w:color="auto" w:fill="auto"/>
                <w:lang w:val="en-US" w:eastAsia="zh-CN" w:bidi="ar"/>
              </w:rPr>
              <w:t>2</w:t>
            </w:r>
            <w:r>
              <w:rPr>
                <w:rFonts w:hint="eastAsia" w:ascii="宋体" w:hAnsi="宋体" w:eastAsia="宋体" w:cs="宋体"/>
                <w:color w:val="000000"/>
                <w:kern w:val="2"/>
                <w:sz w:val="24"/>
                <w:szCs w:val="24"/>
                <w:shd w:val="clear" w:color="auto" w:fill="auto"/>
                <w:lang w:val="en-US" w:eastAsia="zh-CN" w:bidi="ar"/>
              </w:rPr>
              <w:t>年4月</w:t>
            </w:r>
            <w:r>
              <w:rPr>
                <w:rFonts w:hint="eastAsia" w:ascii="宋体" w:hAnsi="宋体" w:cs="宋体"/>
                <w:color w:val="000000"/>
                <w:kern w:val="2"/>
                <w:sz w:val="24"/>
                <w:szCs w:val="24"/>
                <w:shd w:val="clear" w:color="auto" w:fill="auto"/>
                <w:lang w:val="en-US" w:eastAsia="zh-CN" w:bidi="ar"/>
              </w:rPr>
              <w:t>14</w:t>
            </w:r>
            <w:r>
              <w:rPr>
                <w:rFonts w:hint="eastAsia" w:ascii="宋体" w:hAnsi="宋体" w:eastAsia="宋体" w:cs="宋体"/>
                <w:color w:val="000000"/>
                <w:kern w:val="2"/>
                <w:sz w:val="24"/>
                <w:szCs w:val="24"/>
                <w:shd w:val="clear" w:color="auto" w:fill="auto"/>
                <w:lang w:val="en-US" w:eastAsia="zh-CN" w:bidi="ar"/>
              </w:rPr>
              <w:t>日上午9：00</w:t>
            </w:r>
            <w:r>
              <w:rPr>
                <w:rFonts w:hint="eastAsia" w:ascii="宋体" w:hAnsi="宋体" w:cs="宋体"/>
                <w:color w:val="000000"/>
                <w:kern w:val="2"/>
                <w:sz w:val="24"/>
                <w:szCs w:val="24"/>
                <w:shd w:val="clear" w:color="auto" w:fill="auto"/>
                <w:lang w:val="en-US" w:eastAsia="zh-CN" w:bidi="ar"/>
              </w:rPr>
              <w:t>（</w:t>
            </w:r>
            <w:r>
              <w:rPr>
                <w:rFonts w:hint="eastAsia" w:ascii="宋体" w:hAnsi="宋体" w:eastAsia="宋体" w:cs="宋体"/>
                <w:color w:val="000000"/>
                <w:kern w:val="2"/>
                <w:sz w:val="24"/>
                <w:szCs w:val="24"/>
                <w:shd w:val="clear" w:color="auto" w:fill="auto"/>
                <w:lang w:val="en-US" w:eastAsia="zh-CN" w:bidi="ar"/>
              </w:rPr>
              <w:t>北京时间</w:t>
            </w:r>
            <w:r>
              <w:rPr>
                <w:rFonts w:hint="eastAsia" w:ascii="宋体" w:hAnsi="宋体" w:cs="宋体"/>
                <w:color w:val="000000"/>
                <w:kern w:val="2"/>
                <w:sz w:val="24"/>
                <w:szCs w:val="24"/>
                <w:shd w:val="clear" w:color="auto" w:fill="auto"/>
                <w:lang w:val="en-US" w:eastAsia="zh-CN" w:bidi="ar"/>
              </w:rPr>
              <w:t>）</w:t>
            </w:r>
            <w:r>
              <w:rPr>
                <w:rFonts w:hint="eastAsia" w:ascii="宋体" w:hAnsi="宋体" w:eastAsia="宋体" w:cs="宋体"/>
                <w:color w:val="000000"/>
                <w:kern w:val="2"/>
                <w:sz w:val="24"/>
                <w:szCs w:val="24"/>
                <w:shd w:val="clear" w:color="auto" w:fill="auto"/>
                <w:lang w:eastAsia="zh-CN" w:bidi="ar"/>
              </w:rPr>
              <w:t>　　　　　　　　　</w:t>
            </w:r>
          </w:p>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val="en-US" w:eastAsia="zh-CN" w:bidi="ar"/>
              </w:rPr>
              <w:t>开标</w:t>
            </w:r>
            <w:r>
              <w:rPr>
                <w:rFonts w:hint="eastAsia" w:ascii="宋体" w:hAnsi="宋体" w:eastAsia="宋体" w:cs="宋体"/>
                <w:color w:val="000000"/>
                <w:kern w:val="2"/>
                <w:sz w:val="24"/>
                <w:szCs w:val="24"/>
                <w:shd w:val="clear" w:color="auto" w:fill="auto"/>
                <w:lang w:eastAsia="zh-CN" w:bidi="ar"/>
              </w:rPr>
              <w:t>地点：中世e招电子交易平台(银川)（银川市金风区新昌西路金钻名座20层）</w:t>
            </w:r>
          </w:p>
          <w:p>
            <w:pPr>
              <w:spacing w:line="560" w:lineRule="exac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val="en-US" w:eastAsia="zh-CN" w:bidi="ar"/>
              </w:rPr>
              <w:t>开标</w:t>
            </w:r>
            <w:r>
              <w:rPr>
                <w:rFonts w:hint="eastAsia" w:ascii="宋体" w:hAnsi="宋体" w:eastAsia="宋体" w:cs="宋体"/>
                <w:color w:val="000000"/>
                <w:kern w:val="2"/>
                <w:sz w:val="24"/>
                <w:szCs w:val="24"/>
                <w:shd w:val="clear" w:color="auto" w:fill="auto"/>
                <w:lang w:eastAsia="zh-CN" w:bidi="ar"/>
              </w:rPr>
              <w:t>方式：远程开标（</w:t>
            </w:r>
            <w:r>
              <w:rPr>
                <w:rFonts w:hint="eastAsia" w:ascii="宋体" w:hAnsi="宋体" w:eastAsia="宋体" w:cs="宋体"/>
                <w:color w:val="000000"/>
                <w:kern w:val="2"/>
                <w:sz w:val="24"/>
                <w:szCs w:val="24"/>
                <w:shd w:val="clear" w:color="auto" w:fill="auto"/>
                <w:lang w:val="en-US" w:eastAsia="zh-CN" w:bidi="ar"/>
              </w:rPr>
              <w:t>解密</w:t>
            </w:r>
            <w:r>
              <w:rPr>
                <w:rFonts w:hint="eastAsia" w:ascii="宋体" w:hAnsi="宋体" w:eastAsia="宋体" w:cs="宋体"/>
                <w:color w:val="000000"/>
                <w:kern w:val="2"/>
                <w:sz w:val="24"/>
                <w:szCs w:val="24"/>
                <w:shd w:val="clear" w:color="auto" w:fill="auto"/>
                <w:lang w:eastAsia="zh-CN" w:bidi="ar"/>
              </w:rPr>
              <w:t>）</w:t>
            </w:r>
          </w:p>
          <w:p>
            <w:pPr>
              <w:spacing w:line="560" w:lineRule="exact"/>
              <w:rPr>
                <w:rFonts w:hint="eastAsia" w:ascii="宋体" w:hAnsi="宋体" w:eastAsia="宋体" w:cs="宋体"/>
                <w:color w:val="auto"/>
                <w:sz w:val="24"/>
                <w:szCs w:val="24"/>
              </w:rPr>
            </w:pPr>
            <w:r>
              <w:rPr>
                <w:rFonts w:hint="eastAsia" w:ascii="宋体" w:hAnsi="宋体" w:eastAsia="宋体" w:cs="宋体"/>
                <w:color w:val="000000"/>
                <w:kern w:val="2"/>
                <w:sz w:val="24"/>
                <w:szCs w:val="24"/>
                <w:shd w:val="clear" w:color="auto" w:fill="auto"/>
                <w:lang w:eastAsia="zh-CN" w:bidi="ar"/>
              </w:rPr>
              <w:t>解密时间（含签章及确认）：202</w:t>
            </w:r>
            <w:r>
              <w:rPr>
                <w:rFonts w:hint="eastAsia" w:ascii="宋体" w:hAnsi="宋体" w:cs="宋体"/>
                <w:color w:val="000000"/>
                <w:kern w:val="2"/>
                <w:sz w:val="24"/>
                <w:szCs w:val="24"/>
                <w:shd w:val="clear" w:color="auto" w:fill="auto"/>
                <w:lang w:val="en-US" w:eastAsia="zh-CN" w:bidi="ar"/>
              </w:rPr>
              <w:t>2</w:t>
            </w:r>
            <w:r>
              <w:rPr>
                <w:rFonts w:hint="eastAsia" w:ascii="宋体" w:hAnsi="宋体" w:eastAsia="宋体" w:cs="宋体"/>
                <w:color w:val="000000"/>
                <w:kern w:val="2"/>
                <w:sz w:val="24"/>
                <w:szCs w:val="24"/>
                <w:shd w:val="clear" w:color="auto" w:fill="auto"/>
                <w:lang w:eastAsia="zh-CN" w:bidi="ar"/>
              </w:rPr>
              <w:t>年</w:t>
            </w:r>
            <w:r>
              <w:rPr>
                <w:rFonts w:hint="eastAsia" w:ascii="宋体" w:hAnsi="宋体" w:eastAsia="宋体" w:cs="宋体"/>
                <w:color w:val="000000"/>
                <w:kern w:val="2"/>
                <w:sz w:val="24"/>
                <w:szCs w:val="24"/>
                <w:shd w:val="clear" w:color="auto" w:fill="auto"/>
                <w:lang w:val="en-US" w:eastAsia="zh-CN" w:bidi="ar"/>
              </w:rPr>
              <w:t>4</w:t>
            </w:r>
            <w:r>
              <w:rPr>
                <w:rFonts w:hint="eastAsia" w:ascii="宋体" w:hAnsi="宋体" w:eastAsia="宋体" w:cs="宋体"/>
                <w:color w:val="000000"/>
                <w:kern w:val="2"/>
                <w:sz w:val="24"/>
                <w:szCs w:val="24"/>
                <w:shd w:val="clear" w:color="auto" w:fill="auto"/>
                <w:lang w:eastAsia="zh-CN" w:bidi="ar"/>
              </w:rPr>
              <w:t>月</w:t>
            </w:r>
            <w:r>
              <w:rPr>
                <w:rFonts w:hint="eastAsia" w:ascii="宋体" w:hAnsi="宋体" w:cs="宋体"/>
                <w:color w:val="000000"/>
                <w:kern w:val="2"/>
                <w:sz w:val="24"/>
                <w:szCs w:val="24"/>
                <w:shd w:val="clear" w:color="auto" w:fill="auto"/>
                <w:lang w:val="en-US" w:eastAsia="zh-CN" w:bidi="ar"/>
              </w:rPr>
              <w:t>14</w:t>
            </w:r>
            <w:r>
              <w:rPr>
                <w:rFonts w:hint="eastAsia" w:ascii="宋体" w:hAnsi="宋体" w:eastAsia="宋体" w:cs="宋体"/>
                <w:color w:val="000000"/>
                <w:kern w:val="2"/>
                <w:sz w:val="24"/>
                <w:szCs w:val="24"/>
                <w:shd w:val="clear" w:color="auto" w:fill="auto"/>
                <w:lang w:eastAsia="zh-CN" w:bidi="ar"/>
              </w:rPr>
              <w:t>日9:</w:t>
            </w:r>
            <w:r>
              <w:rPr>
                <w:rFonts w:hint="eastAsia" w:ascii="宋体" w:hAnsi="宋体" w:eastAsia="宋体" w:cs="宋体"/>
                <w:color w:val="000000"/>
                <w:kern w:val="2"/>
                <w:sz w:val="24"/>
                <w:szCs w:val="24"/>
                <w:shd w:val="clear" w:color="auto" w:fill="auto"/>
                <w:lang w:val="en-US" w:eastAsia="zh-CN" w:bidi="ar"/>
              </w:rPr>
              <w:t>0</w:t>
            </w:r>
            <w:r>
              <w:rPr>
                <w:rFonts w:hint="eastAsia" w:ascii="宋体" w:hAnsi="宋体" w:eastAsia="宋体" w:cs="宋体"/>
                <w:color w:val="000000"/>
                <w:kern w:val="2"/>
                <w:sz w:val="24"/>
                <w:szCs w:val="24"/>
                <w:shd w:val="clear" w:color="auto" w:fill="auto"/>
                <w:lang w:eastAsia="zh-CN" w:bidi="ar"/>
              </w:rPr>
              <w:t>0时至</w:t>
            </w:r>
            <w:r>
              <w:rPr>
                <w:rFonts w:hint="eastAsia" w:ascii="宋体" w:hAnsi="宋体" w:eastAsia="宋体" w:cs="宋体"/>
                <w:color w:val="000000"/>
                <w:kern w:val="2"/>
                <w:sz w:val="24"/>
                <w:szCs w:val="24"/>
                <w:shd w:val="clear" w:color="auto" w:fill="auto"/>
                <w:lang w:val="en-US" w:eastAsia="zh-CN" w:bidi="ar"/>
              </w:rPr>
              <w:t>09</w:t>
            </w:r>
            <w:r>
              <w:rPr>
                <w:rFonts w:hint="eastAsia" w:ascii="宋体" w:hAnsi="宋体" w:eastAsia="宋体" w:cs="宋体"/>
                <w:color w:val="000000"/>
                <w:kern w:val="2"/>
                <w:sz w:val="24"/>
                <w:szCs w:val="24"/>
                <w:shd w:val="clear" w:color="auto" w:fill="auto"/>
                <w:lang w:eastAsia="zh-CN" w:bidi="ar"/>
              </w:rPr>
              <w:t>:</w:t>
            </w:r>
            <w:r>
              <w:rPr>
                <w:rFonts w:hint="eastAsia" w:ascii="宋体" w:hAnsi="宋体" w:eastAsia="宋体" w:cs="宋体"/>
                <w:color w:val="000000"/>
                <w:kern w:val="2"/>
                <w:sz w:val="24"/>
                <w:szCs w:val="24"/>
                <w:shd w:val="clear" w:color="auto" w:fill="auto"/>
                <w:lang w:val="en-US" w:eastAsia="zh-CN" w:bidi="ar"/>
              </w:rPr>
              <w:t>3</w:t>
            </w:r>
            <w:r>
              <w:rPr>
                <w:rFonts w:hint="eastAsia" w:ascii="宋体" w:hAnsi="宋体" w:eastAsia="宋体" w:cs="宋体"/>
                <w:color w:val="000000"/>
                <w:kern w:val="2"/>
                <w:sz w:val="24"/>
                <w:szCs w:val="24"/>
                <w:shd w:val="clear" w:color="auto" w:fill="auto"/>
                <w:lang w:eastAsia="zh-CN" w:bidi="ar"/>
              </w:rPr>
              <w:t>0时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信用查询时间:递交投标截止时间后两个小时，由招标代理工作人员上网查询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核心产品：</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u w:val="single"/>
                <w:lang w:val="en-US" w:eastAsia="zh-CN"/>
                <w14:textFill>
                  <w14:solidFill>
                    <w14:schemeClr w14:val="tx1"/>
                  </w14:solidFill>
                </w14:textFill>
              </w:rPr>
              <w:t>便携式拉曼光谱检测仪</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i/>
                <w:color w:val="auto"/>
                <w:sz w:val="24"/>
                <w:szCs w:val="24"/>
              </w:rPr>
            </w:pPr>
            <w:r>
              <w:rPr>
                <w:rFonts w:hint="eastAsia" w:ascii="宋体" w:hAnsi="宋体" w:eastAsia="宋体" w:cs="宋体"/>
                <w:color w:val="auto"/>
                <w:sz w:val="24"/>
                <w:szCs w:val="24"/>
              </w:rPr>
              <w:t>评标方法：适用综合评分法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7490" w:type="dxa"/>
            <w:vAlign w:val="center"/>
          </w:tcPr>
          <w:p>
            <w:pPr>
              <w:pageBreakBefore w:val="0"/>
              <w:tabs>
                <w:tab w:val="center" w:pos="4414"/>
              </w:tabs>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推荐中标候选人的数量：</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3</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采购人是否委托评标委员会直接确定中标供应商：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是</w:t>
            </w:r>
            <w:r>
              <w:rPr>
                <w:rFonts w:hint="eastAsia" w:ascii="宋体" w:hAnsi="宋体" w:eastAsia="宋体" w:cs="宋体"/>
                <w:color w:val="auto"/>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7490" w:type="dxa"/>
            <w:vAlign w:val="center"/>
          </w:tcPr>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是否提交履约保证金：</w:t>
            </w:r>
            <w:r>
              <w:rPr>
                <w:rFonts w:hint="eastAsia" w:ascii="宋体" w:hAnsi="宋体" w:eastAsia="宋体" w:cs="宋体"/>
                <w:color w:val="auto"/>
                <w:sz w:val="24"/>
                <w:szCs w:val="24"/>
                <w:u w:val="single"/>
                <w:lang w:val="en-US" w:eastAsia="zh-CN"/>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是否收取招标代理费：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是</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是否由中标供应商缴纳招标代理费：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是</w:t>
            </w:r>
            <w:r>
              <w:rPr>
                <w:rFonts w:hint="eastAsia" w:ascii="宋体" w:hAnsi="宋体" w:eastAsia="宋体" w:cs="宋体"/>
                <w:color w:val="auto"/>
                <w:sz w:val="24"/>
                <w:szCs w:val="24"/>
                <w:u w:val="single"/>
                <w:lang w:val="en-US" w:eastAsia="zh-CN"/>
              </w:rPr>
              <w:t xml:space="preserve"> </w:t>
            </w:r>
          </w:p>
          <w:p>
            <w:pPr>
              <w:pageBreakBefore w:val="0"/>
              <w:widowControl/>
              <w:kinsoku/>
              <w:wordWrap/>
              <w:overflowPunct/>
              <w:topLinePunct w:val="0"/>
              <w:bidi w:val="0"/>
              <w:spacing w:line="5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招标代理费：</w:t>
            </w:r>
            <w:r>
              <w:rPr>
                <w:rFonts w:hint="eastAsia" w:ascii="宋体" w:hAnsi="宋体" w:eastAsia="宋体" w:cs="宋体"/>
                <w:color w:val="000000" w:themeColor="text1"/>
                <w:sz w:val="24"/>
                <w:szCs w:val="24"/>
                <w:lang w:eastAsia="zh-CN"/>
                <w14:textFill>
                  <w14:solidFill>
                    <w14:schemeClr w14:val="tx1"/>
                  </w14:solidFill>
                </w14:textFill>
              </w:rPr>
              <w:t>招标代理服务费收取标准</w:t>
            </w:r>
            <w:r>
              <w:rPr>
                <w:rFonts w:hint="eastAsia" w:ascii="宋体" w:hAnsi="宋体" w:eastAsia="宋体" w:cs="宋体"/>
                <w:color w:val="000000" w:themeColor="text1"/>
                <w:sz w:val="24"/>
                <w:szCs w:val="24"/>
                <w:lang w:val="en-US" w:eastAsia="zh-CN"/>
                <w14:textFill>
                  <w14:solidFill>
                    <w14:schemeClr w14:val="tx1"/>
                  </w14:solidFill>
                </w14:textFill>
              </w:rPr>
              <w:t>参考</w:t>
            </w:r>
            <w:r>
              <w:rPr>
                <w:rFonts w:hint="eastAsia" w:ascii="宋体" w:hAnsi="宋体" w:eastAsia="宋体" w:cs="宋体"/>
                <w:color w:val="000000" w:themeColor="text1"/>
                <w:sz w:val="24"/>
                <w:szCs w:val="24"/>
                <w:lang w:eastAsia="zh-CN"/>
                <w14:textFill>
                  <w14:solidFill>
                    <w14:schemeClr w14:val="tx1"/>
                  </w14:solidFill>
                </w14:textFill>
              </w:rPr>
              <w:t>国家计委颁布的《招标代理服务收费管理暂行办法》（计价格[2002]1980号）</w:t>
            </w:r>
            <w:r>
              <w:rPr>
                <w:rFonts w:hint="eastAsia" w:ascii="宋体" w:hAnsi="宋体" w:eastAsia="宋体" w:cs="宋体"/>
                <w:color w:val="000000" w:themeColor="text1"/>
                <w:sz w:val="24"/>
                <w:szCs w:val="24"/>
                <w:lang w:val="en-US" w:eastAsia="zh-CN"/>
                <w14:textFill>
                  <w14:solidFill>
                    <w14:schemeClr w14:val="tx1"/>
                  </w14:solidFill>
                </w14:textFill>
              </w:rPr>
              <w:t>的文件规定下浮20%</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收取形式：转账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收取时间：中标后三个工作日内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7490" w:type="dxa"/>
            <w:vAlign w:val="center"/>
          </w:tcPr>
          <w:p>
            <w:pPr>
              <w:pageBreakBefore w:val="0"/>
              <w:kinsoku/>
              <w:wordWrap/>
              <w:overflowPunct/>
              <w:topLinePunct w:val="0"/>
              <w:bidi w:val="0"/>
              <w:spacing w:line="56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本项目是否属于政府采购合同线上信用融资管理规定办理融资业务的范围：</w:t>
            </w:r>
            <w:r>
              <w:rPr>
                <w:rFonts w:hint="eastAsia" w:ascii="宋体" w:hAnsi="宋体" w:eastAsia="宋体" w:cs="宋体"/>
                <w:color w:val="auto"/>
                <w:sz w:val="24"/>
                <w:szCs w:val="24"/>
                <w:highlight w:val="none"/>
                <w:u w:val="single"/>
                <w:lang w:val="en-US" w:eastAsia="zh-CN"/>
              </w:rPr>
              <w:t xml:space="preserve">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w:t>
            </w:r>
          </w:p>
        </w:tc>
        <w:tc>
          <w:tcPr>
            <w:tcW w:w="7490" w:type="dxa"/>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针对同一采购程序环节的质疑次数及形式：</w:t>
            </w:r>
          </w:p>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sym w:font="Wingdings 2" w:char="0052"/>
            </w:r>
            <w:r>
              <w:rPr>
                <w:rFonts w:hint="eastAsia" w:ascii="宋体" w:hAnsi="宋体" w:eastAsia="宋体" w:cs="宋体"/>
                <w:color w:val="auto"/>
                <w:sz w:val="24"/>
                <w:szCs w:val="24"/>
              </w:rPr>
              <w:t>一次性提出</w:t>
            </w:r>
          </w:p>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□多次提出</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质疑供应商应在法定质疑期（</w:t>
            </w:r>
            <w:r>
              <w:rPr>
                <w:rFonts w:hint="eastAsia" w:ascii="宋体" w:hAnsi="宋体" w:eastAsia="宋体" w:cs="宋体"/>
                <w:color w:val="auto"/>
                <w:sz w:val="24"/>
                <w:szCs w:val="24"/>
                <w:lang w:val="en-US" w:eastAsia="zh-CN"/>
              </w:rPr>
              <w:t>2022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日下午18：30前，过期不予接收）内通过“宁夏回族自治区政府采购网”“政府采购在线质疑投诉系统”提出质疑。</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未按规定时间上传的, 不再另行回复任何问题，并不予接收任何以书面或电子形式提出的《询问函》或《质疑函》。采购人、代理机构对投标单位提出的询问或质疑以电子形式进行回复。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其他政府采购政策：（1)《政府采购促进中小企业发展管理办法》（财库〔2020〕46 号）、</w:t>
            </w:r>
            <w:r>
              <w:rPr>
                <w:rStyle w:val="22"/>
                <w:rFonts w:hint="eastAsia" w:ascii="宋体" w:hAnsi="宋体" w:eastAsia="宋体" w:cs="宋体"/>
                <w:b w:val="0"/>
                <w:bCs/>
                <w:color w:val="auto"/>
                <w:sz w:val="24"/>
                <w:szCs w:val="24"/>
                <w:shd w:val="clear" w:color="auto" w:fill="FFFFFF"/>
              </w:rPr>
              <w:t>《宁夏回族自治区政府采购促进中小企业发展管理办法实施细则》（宁财规发〔2021〕2号）；</w:t>
            </w:r>
            <w:r>
              <w:rPr>
                <w:rFonts w:hint="eastAsia" w:ascii="宋体" w:hAnsi="宋体" w:eastAsia="宋体" w:cs="宋体"/>
                <w:color w:val="auto"/>
                <w:sz w:val="24"/>
                <w:szCs w:val="24"/>
              </w:rPr>
              <w:t>（2)《财政部、司法部关于政府采购支持监狱企业发展有关问题的通知》（财库 〔2014〕68 号）；（3)</w:t>
            </w:r>
            <w:r>
              <w:rPr>
                <w:rStyle w:val="22"/>
                <w:rFonts w:hint="eastAsia" w:ascii="宋体" w:hAnsi="宋体" w:eastAsia="宋体" w:cs="宋体"/>
                <w:b w:val="0"/>
                <w:bCs/>
                <w:color w:val="auto"/>
                <w:sz w:val="24"/>
                <w:szCs w:val="24"/>
                <w:shd w:val="clear" w:color="auto" w:fill="FFFFFF"/>
              </w:rPr>
              <w:t>《财政部 民政部 中国残疾人联合会关于促进残疾人就业政府采购政策的通知》</w:t>
            </w:r>
            <w:r>
              <w:rPr>
                <w:rFonts w:hint="eastAsia" w:ascii="宋体" w:hAnsi="宋体" w:eastAsia="宋体" w:cs="宋体"/>
                <w:color w:val="auto"/>
                <w:sz w:val="24"/>
                <w:szCs w:val="24"/>
              </w:rPr>
              <w:t>（财库〔2017〕141 号）、《自治区财政厅残疾人联合会关于政府采购支持残疾人就业有关问题的通知》（宁财（采）发〔2020〕545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评标委员会的组建：</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由采购人代表</w:t>
            </w:r>
            <w:r>
              <w:rPr>
                <w:rFonts w:hint="eastAsia" w:ascii="宋体" w:hAnsi="宋体" w:eastAsia="宋体" w:cs="宋体"/>
                <w:color w:val="auto"/>
                <w:sz w:val="24"/>
                <w:szCs w:val="24"/>
                <w:u w:val="single"/>
                <w:lang w:val="en-US" w:eastAsia="zh-CN"/>
              </w:rPr>
              <w:t xml:space="preserve"> 1 </w:t>
            </w:r>
            <w:r>
              <w:rPr>
                <w:rFonts w:hint="eastAsia" w:ascii="宋体" w:hAnsi="宋体" w:eastAsia="宋体" w:cs="宋体"/>
                <w:color w:val="auto"/>
                <w:sz w:val="24"/>
                <w:szCs w:val="24"/>
              </w:rPr>
              <w:t>人及专家库内随机抽取评审专家</w:t>
            </w:r>
            <w:r>
              <w:rPr>
                <w:rFonts w:hint="eastAsia" w:ascii="宋体" w:hAnsi="宋体" w:eastAsia="宋体" w:cs="宋体"/>
                <w:color w:val="auto"/>
                <w:sz w:val="24"/>
                <w:szCs w:val="24"/>
                <w:u w:val="single"/>
                <w:lang w:val="en-US" w:eastAsia="zh-CN"/>
              </w:rPr>
              <w:t xml:space="preserve"> 4 </w:t>
            </w:r>
            <w:r>
              <w:rPr>
                <w:rFonts w:hint="eastAsia" w:ascii="宋体" w:hAnsi="宋体" w:eastAsia="宋体" w:cs="宋体"/>
                <w:color w:val="auto"/>
                <w:sz w:val="24"/>
                <w:szCs w:val="24"/>
              </w:rPr>
              <w:t>人组成</w:t>
            </w:r>
            <w:r>
              <w:rPr>
                <w:rFonts w:hint="eastAsia" w:ascii="宋体" w:hAnsi="宋体" w:eastAsia="宋体" w:cs="宋体"/>
                <w:color w:val="auto"/>
                <w:sz w:val="24"/>
                <w:szCs w:val="24"/>
                <w:u w:val="single"/>
                <w:lang w:val="en-US" w:eastAsia="zh-CN"/>
              </w:rPr>
              <w:t xml:space="preserve"> 5 </w:t>
            </w:r>
            <w:r>
              <w:rPr>
                <w:rFonts w:hint="eastAsia" w:ascii="宋体" w:hAnsi="宋体" w:eastAsia="宋体" w:cs="宋体"/>
                <w:color w:val="auto"/>
                <w:sz w:val="24"/>
                <w:szCs w:val="24"/>
              </w:rPr>
              <w:t>人评标委员会。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jc w:val="center"/>
        </w:trPr>
        <w:tc>
          <w:tcPr>
            <w:tcW w:w="0" w:type="auto"/>
            <w:gridSpan w:val="2"/>
            <w:tcBorders>
              <w:top w:val="single" w:color="auto" w:sz="12" w:space="0"/>
              <w:left w:val="single" w:color="auto" w:sz="12" w:space="0"/>
              <w:bottom w:val="single" w:color="auto" w:sz="12" w:space="0"/>
              <w:right w:val="single" w:color="auto" w:sz="12"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878" w:type="dxa"/>
            <w:vAlign w:val="center"/>
          </w:tcPr>
          <w:p>
            <w:pPr>
              <w:widowControl/>
              <w:spacing w:line="560" w:lineRule="exact"/>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w:t>
            </w:r>
          </w:p>
        </w:tc>
        <w:tc>
          <w:tcPr>
            <w:tcW w:w="7490" w:type="dxa"/>
            <w:vAlign w:val="center"/>
          </w:tcPr>
          <w:p>
            <w:pPr>
              <w:widowControl/>
              <w:spacing w:line="560" w:lineRule="exact"/>
              <w:jc w:val="left"/>
              <w:rPr>
                <w:rFonts w:hint="eastAsia" w:ascii="宋体" w:hAnsi="宋体" w:eastAsia="宋体" w:cs="宋体"/>
                <w:color w:val="auto"/>
                <w:sz w:val="24"/>
                <w:szCs w:val="24"/>
              </w:rPr>
            </w:pPr>
            <w:r>
              <w:rPr>
                <w:rFonts w:hint="eastAsia" w:ascii="宋体" w:hAnsi="宋体" w:eastAsia="宋体" w:cs="宋体"/>
                <w:color w:val="000000"/>
                <w:sz w:val="24"/>
                <w:szCs w:val="24"/>
              </w:rPr>
              <w:t>根据本项目特点，投标人应提交的其他资格证明文件：无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878" w:type="dxa"/>
            <w:vAlign w:val="center"/>
          </w:tcPr>
          <w:p>
            <w:pPr>
              <w:pageBreakBefore w:val="0"/>
              <w:tabs>
                <w:tab w:val="left" w:pos="505"/>
              </w:tabs>
              <w:kinsoku/>
              <w:wordWrap/>
              <w:overflowPunct/>
              <w:topLinePunct w:val="0"/>
              <w:bidi w:val="0"/>
              <w:spacing w:line="5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交货期：</w:t>
            </w:r>
            <w:r>
              <w:rPr>
                <w:rStyle w:val="22"/>
                <w:rFonts w:hint="eastAsia" w:ascii="宋体" w:hAnsi="宋体" w:eastAsia="宋体" w:cs="宋体"/>
                <w:b w:val="0"/>
                <w:bCs/>
                <w:color w:val="000000" w:themeColor="text1"/>
                <w:sz w:val="24"/>
                <w:szCs w:val="24"/>
                <w:lang w:val="en-US" w:eastAsia="zh-CN"/>
                <w14:textFill>
                  <w14:solidFill>
                    <w14:schemeClr w14:val="tx1"/>
                  </w14:solidFill>
                </w14:textFill>
              </w:rPr>
              <w:t>合同签订后一个月</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交货地点：</w:t>
            </w:r>
            <w:r>
              <w:rPr>
                <w:rFonts w:hint="eastAsia" w:ascii="宋体" w:hAnsi="宋体" w:eastAsia="宋体" w:cs="宋体"/>
                <w:color w:val="auto"/>
                <w:sz w:val="24"/>
                <w:szCs w:val="24"/>
                <w:lang w:val="en-US" w:eastAsia="zh-CN"/>
              </w:rPr>
              <w:t>合同约定</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000000"/>
                <w:kern w:val="2"/>
                <w:sz w:val="24"/>
                <w:szCs w:val="24"/>
                <w:shd w:val="clear" w:color="auto" w:fill="auto"/>
                <w:lang w:val="en-US" w:eastAsia="zh-CN" w:bidi="ar"/>
              </w:rPr>
              <w:t>质保期：全光谱食品安全快速检测仪、便携式拉曼光谱检测仪、肉类快速鉴别仪、食品药品胶体分析仪、全自动食品安全检测仪质保三年，本项目所涉及其他货物质保一年。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490" w:type="dxa"/>
            <w:vAlign w:val="center"/>
          </w:tcPr>
          <w:p>
            <w:pPr>
              <w:pageBreakBefore w:val="0"/>
              <w:kinsoku/>
              <w:wordWrap/>
              <w:overflowPunct/>
              <w:topLinePunct w:val="0"/>
              <w:bidi w:val="0"/>
              <w:spacing w:line="560" w:lineRule="exact"/>
              <w:textAlignment w:val="auto"/>
              <w:rPr>
                <w:rFonts w:hint="default"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付款方式：本项目所涉及货物到达交货地点并安装调试完毕后支付70%货款，运行三个月后如不出现质量问题付清剩余30%货款。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87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中小企业划分标准所属行业：</w:t>
            </w:r>
            <w:r>
              <w:rPr>
                <w:rFonts w:hint="eastAsia" w:ascii="宋体" w:hAnsi="宋体" w:eastAsia="宋体" w:cs="宋体"/>
                <w:color w:val="000000" w:themeColor="text1"/>
                <w:sz w:val="24"/>
                <w:szCs w:val="24"/>
                <w:lang w:val="en-US" w:eastAsia="zh-CN"/>
                <w14:textFill>
                  <w14:solidFill>
                    <w14:schemeClr w14:val="tx1"/>
                  </w14:solidFill>
                </w14:textFill>
              </w:rPr>
              <w:t>零售业</w:t>
            </w:r>
            <w:r>
              <w:rPr>
                <w:rFonts w:hint="eastAsia" w:ascii="宋体" w:hAnsi="宋体" w:eastAsia="宋体" w:cs="宋体"/>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878"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7490" w:type="dxa"/>
            <w:vAlign w:val="center"/>
          </w:tcPr>
          <w:p>
            <w:pPr>
              <w:pageBreakBefore w:val="0"/>
              <w:kinsoku/>
              <w:wordWrap/>
              <w:overflowPunct/>
              <w:topLinePunct w:val="0"/>
              <w:bidi w:val="0"/>
              <w:spacing w:line="560" w:lineRule="exact"/>
              <w:textAlignment w:val="auto"/>
              <w:rPr>
                <w:rFonts w:hint="eastAsia" w:ascii="宋体" w:hAnsi="宋体" w:eastAsia="宋体" w:cs="宋体"/>
                <w:b w:val="0"/>
                <w:bCs w:val="0"/>
                <w:color w:val="auto"/>
                <w:sz w:val="24"/>
                <w:szCs w:val="24"/>
              </w:rPr>
            </w:pPr>
            <w:r>
              <w:rPr>
                <w:rFonts w:hint="eastAsia" w:ascii="宋体" w:hAnsi="宋体" w:eastAsia="宋体" w:cs="宋体"/>
                <w:color w:val="auto"/>
                <w:sz w:val="24"/>
                <w:szCs w:val="24"/>
              </w:rPr>
              <w:t>是否面向中小企业采购预算预留：</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u w:val="single"/>
                <w:lang w:val="en-US" w:eastAsia="zh-CN"/>
              </w:rPr>
              <w:t xml:space="preserve">是 </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878"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7490" w:type="dxa"/>
            <w:vAlign w:val="center"/>
          </w:tcPr>
          <w:p>
            <w:pPr>
              <w:spacing w:line="560" w:lineRule="exact"/>
              <w:ind w:firstLine="480" w:firstLineChars="200"/>
              <w:jc w:val="lef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1.本项目必须网上</w:t>
            </w:r>
            <w:r>
              <w:rPr>
                <w:rFonts w:hint="eastAsia" w:ascii="宋体" w:hAnsi="宋体" w:eastAsia="宋体" w:cs="宋体"/>
                <w:color w:val="000000"/>
                <w:kern w:val="2"/>
                <w:sz w:val="24"/>
                <w:szCs w:val="24"/>
                <w:shd w:val="clear" w:color="auto" w:fill="auto"/>
                <w:lang w:val="en-US" w:eastAsia="zh-CN" w:bidi="ar"/>
              </w:rPr>
              <w:t>投标</w:t>
            </w:r>
            <w:r>
              <w:rPr>
                <w:rFonts w:hint="eastAsia" w:ascii="宋体" w:hAnsi="宋体" w:eastAsia="宋体" w:cs="宋体"/>
                <w:color w:val="000000"/>
                <w:kern w:val="2"/>
                <w:sz w:val="24"/>
                <w:szCs w:val="24"/>
                <w:shd w:val="clear" w:color="auto" w:fill="auto"/>
                <w:lang w:eastAsia="zh-CN" w:bidi="ar"/>
              </w:rPr>
              <w:t>，参与本项目投标</w:t>
            </w:r>
            <w:r>
              <w:rPr>
                <w:rFonts w:hint="eastAsia" w:ascii="宋体" w:hAnsi="宋体" w:eastAsia="宋体" w:cs="宋体"/>
                <w:color w:val="000000"/>
                <w:kern w:val="2"/>
                <w:sz w:val="24"/>
                <w:szCs w:val="24"/>
                <w:shd w:val="clear" w:color="auto" w:fill="auto"/>
                <w:lang w:val="en-US" w:eastAsia="zh-CN" w:bidi="ar"/>
              </w:rPr>
              <w:t>人</w:t>
            </w:r>
            <w:r>
              <w:rPr>
                <w:rFonts w:hint="eastAsia" w:ascii="宋体" w:hAnsi="宋体" w:eastAsia="宋体" w:cs="宋体"/>
                <w:color w:val="000000"/>
                <w:kern w:val="2"/>
                <w:sz w:val="24"/>
                <w:szCs w:val="24"/>
                <w:shd w:val="clear" w:color="auto" w:fill="auto"/>
                <w:lang w:eastAsia="zh-CN" w:bidi="ar"/>
              </w:rPr>
              <w:t>必须获得电子交易平台安全证书（CA锁）及电子签章，且安全证书（CA锁）在有效期内。CA锁代办及业务咨询地点：中世e招电子交易平台，联系电话：0951-8303983。</w:t>
            </w:r>
          </w:p>
          <w:p>
            <w:pPr>
              <w:spacing w:line="560" w:lineRule="exact"/>
              <w:ind w:firstLine="480" w:firstLineChars="200"/>
              <w:jc w:val="lef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2.电子标书制作及递交等有关操作详见中世e招网站右侧系统操作指南栏目</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政府采购系统操作手册，网址：http://nxzbtb.com.cn、投标人服务QQ群：373236413。</w:t>
            </w:r>
          </w:p>
          <w:p>
            <w:pPr>
              <w:spacing w:line="560" w:lineRule="exact"/>
              <w:ind w:firstLine="480" w:firstLineChars="200"/>
              <w:jc w:val="lef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3.交易平台环境要求：（1）操作系统：Windows 7 （2）浏览器：Internet Explorer 11、10 （3）办公软件：Microsoft Office 2007 （4）PDF软件推荐：交易平台自带PDF软件（路径：C:\Windows\winaip）。非以上环境可能出现错误影响其投标，登录交易平台时如提示更新插件则必须更新，否则影响其电子投标。</w:t>
            </w:r>
          </w:p>
          <w:p>
            <w:pPr>
              <w:spacing w:line="560" w:lineRule="exact"/>
              <w:ind w:firstLine="480" w:firstLineChars="200"/>
              <w:jc w:val="lef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4.</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如有问题请在投标人服务QQ群中反馈并获得技术支持。如在临近开标的48小时内发现电子投标机器环境有问题，导致技术支持无法在投标截止前解决其问题而影响电子投标的，</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须自行承担相应责任。</w:t>
            </w:r>
          </w:p>
          <w:p>
            <w:pPr>
              <w:spacing w:line="560" w:lineRule="exact"/>
              <w:ind w:firstLine="480" w:firstLineChars="200"/>
              <w:jc w:val="lef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5.</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投标文件中的相关扫描件应保证清晰度，无法辨认的评审时受到影响的，由</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承担相应责任。</w:t>
            </w:r>
          </w:p>
          <w:p>
            <w:pPr>
              <w:spacing w:line="560" w:lineRule="exact"/>
              <w:ind w:firstLine="480" w:firstLineChars="200"/>
              <w:jc w:val="lef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6.</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应充分考虑到网上投标会发生的故障和风险。对发生的任何故障和风险造成</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投标内容不一致或利益受损或投标失败的，采购人及采购代理机构不承担任何责任。</w:t>
            </w:r>
          </w:p>
          <w:p>
            <w:pPr>
              <w:spacing w:line="560" w:lineRule="exact"/>
              <w:ind w:firstLine="480" w:firstLineChars="200"/>
              <w:jc w:val="left"/>
              <w:rPr>
                <w:rFonts w:hint="eastAsia" w:ascii="宋体" w:hAnsi="宋体" w:eastAsia="宋体" w:cs="宋体"/>
                <w:color w:val="000000"/>
                <w:kern w:val="2"/>
                <w:sz w:val="24"/>
                <w:szCs w:val="24"/>
                <w:shd w:val="clear" w:color="auto" w:fill="auto"/>
                <w:lang w:eastAsia="zh-CN" w:bidi="ar"/>
              </w:rPr>
            </w:pPr>
            <w:r>
              <w:rPr>
                <w:rFonts w:hint="eastAsia" w:ascii="宋体" w:hAnsi="宋体" w:eastAsia="宋体" w:cs="宋体"/>
                <w:color w:val="000000"/>
                <w:kern w:val="2"/>
                <w:sz w:val="24"/>
                <w:szCs w:val="24"/>
                <w:shd w:val="clear" w:color="auto" w:fill="auto"/>
                <w:lang w:eastAsia="zh-CN" w:bidi="ar"/>
              </w:rPr>
              <w:t>7.</w:t>
            </w:r>
            <w:r>
              <w:rPr>
                <w:rFonts w:hint="eastAsia" w:ascii="宋体" w:hAnsi="宋体" w:eastAsia="宋体" w:cs="宋体"/>
                <w:color w:val="000000"/>
                <w:kern w:val="2"/>
                <w:sz w:val="24"/>
                <w:szCs w:val="24"/>
                <w:shd w:val="clear" w:color="auto" w:fill="auto"/>
                <w:lang w:val="en-US" w:eastAsia="zh-CN" w:bidi="ar"/>
              </w:rPr>
              <w:t>投标人</w:t>
            </w:r>
            <w:r>
              <w:rPr>
                <w:rFonts w:hint="eastAsia" w:ascii="宋体" w:hAnsi="宋体" w:eastAsia="宋体" w:cs="宋体"/>
                <w:color w:val="000000"/>
                <w:kern w:val="2"/>
                <w:sz w:val="24"/>
                <w:szCs w:val="24"/>
                <w:shd w:val="clear" w:color="auto" w:fill="auto"/>
                <w:lang w:eastAsia="zh-CN" w:bidi="ar"/>
              </w:rPr>
              <w:t>须按开标时间进行远程解密（操作系统：Windows 7、10）</w:t>
            </w:r>
            <w:r>
              <w:rPr>
                <w:rFonts w:hint="eastAsia" w:ascii="宋体" w:hAnsi="宋体" w:cs="宋体"/>
                <w:color w:val="000000"/>
                <w:kern w:val="2"/>
                <w:sz w:val="24"/>
                <w:szCs w:val="24"/>
                <w:shd w:val="clear" w:color="auto" w:fill="auto"/>
                <w:lang w:eastAsia="zh-CN" w:bidi="ar"/>
              </w:rPr>
              <w:t>。</w:t>
            </w:r>
          </w:p>
          <w:p>
            <w:pPr>
              <w:spacing w:line="560" w:lineRule="exact"/>
              <w:jc w:val="left"/>
              <w:rPr>
                <w:rFonts w:hint="eastAsia" w:ascii="宋体" w:hAnsi="宋体" w:eastAsia="宋体" w:cs="宋体"/>
                <w:b/>
                <w:bCs/>
                <w:color w:val="000000"/>
                <w:kern w:val="2"/>
                <w:sz w:val="24"/>
                <w:szCs w:val="24"/>
                <w:shd w:val="clear" w:color="auto" w:fill="auto"/>
                <w:lang w:eastAsia="zh-CN" w:bidi="ar"/>
              </w:rPr>
            </w:pPr>
            <w:r>
              <w:rPr>
                <w:rFonts w:hint="eastAsia" w:ascii="宋体" w:hAnsi="宋体" w:eastAsia="宋体" w:cs="宋体"/>
                <w:b/>
                <w:bCs/>
                <w:color w:val="000000"/>
                <w:kern w:val="2"/>
                <w:sz w:val="24"/>
                <w:szCs w:val="24"/>
                <w:shd w:val="clear" w:color="auto" w:fill="auto"/>
                <w:lang w:eastAsia="zh-CN" w:bidi="ar"/>
              </w:rPr>
              <w:t>注：其他注意事项</w:t>
            </w:r>
          </w:p>
          <w:p>
            <w:pPr>
              <w:spacing w:line="560" w:lineRule="exact"/>
              <w:ind w:firstLine="480" w:firstLineChars="200"/>
              <w:jc w:val="left"/>
              <w:rPr>
                <w:rFonts w:hint="eastAsia" w:ascii="宋体" w:hAnsi="宋体" w:eastAsia="宋体" w:cs="宋体"/>
                <w:b/>
                <w:bCs/>
                <w:color w:val="000000"/>
                <w:kern w:val="2"/>
                <w:sz w:val="24"/>
                <w:szCs w:val="24"/>
                <w:shd w:val="clear" w:color="auto" w:fill="auto"/>
                <w:lang w:eastAsia="zh-CN" w:bidi="ar"/>
              </w:rPr>
            </w:pPr>
            <w:r>
              <w:rPr>
                <w:rFonts w:hint="eastAsia" w:ascii="宋体" w:hAnsi="宋体" w:eastAsia="宋体" w:cs="宋体"/>
                <w:b/>
                <w:bCs/>
                <w:color w:val="000000"/>
                <w:kern w:val="2"/>
                <w:sz w:val="24"/>
                <w:szCs w:val="24"/>
                <w:shd w:val="clear" w:color="auto" w:fill="auto"/>
                <w:lang w:eastAsia="zh-CN" w:bidi="ar"/>
              </w:rPr>
              <w:t>1.电子招投标文件均具有法律效力，若投标文件与招标文件要求不一致，其内容影响中标结果时，责任由投标</w:t>
            </w:r>
            <w:r>
              <w:rPr>
                <w:rFonts w:hint="eastAsia" w:ascii="宋体" w:hAnsi="宋体" w:eastAsia="宋体" w:cs="宋体"/>
                <w:b/>
                <w:bCs/>
                <w:color w:val="000000"/>
                <w:kern w:val="2"/>
                <w:sz w:val="24"/>
                <w:szCs w:val="24"/>
                <w:shd w:val="clear" w:color="auto" w:fill="auto"/>
                <w:lang w:val="en-US" w:eastAsia="zh-CN" w:bidi="ar"/>
              </w:rPr>
              <w:t>人</w:t>
            </w:r>
            <w:r>
              <w:rPr>
                <w:rFonts w:hint="eastAsia" w:ascii="宋体" w:hAnsi="宋体" w:eastAsia="宋体" w:cs="宋体"/>
                <w:b/>
                <w:bCs/>
                <w:color w:val="000000"/>
                <w:kern w:val="2"/>
                <w:sz w:val="24"/>
                <w:szCs w:val="24"/>
                <w:shd w:val="clear" w:color="auto" w:fill="auto"/>
                <w:lang w:eastAsia="zh-CN" w:bidi="ar"/>
              </w:rPr>
              <w:t>自行承担；</w:t>
            </w:r>
          </w:p>
          <w:p>
            <w:pPr>
              <w:spacing w:line="560" w:lineRule="exact"/>
              <w:ind w:firstLine="480" w:firstLineChars="200"/>
              <w:jc w:val="left"/>
              <w:rPr>
                <w:rFonts w:hint="eastAsia" w:ascii="宋体" w:hAnsi="宋体" w:eastAsia="宋体" w:cs="宋体"/>
                <w:b/>
                <w:bCs/>
                <w:color w:val="000000"/>
                <w:kern w:val="2"/>
                <w:sz w:val="24"/>
                <w:szCs w:val="24"/>
                <w:shd w:val="clear" w:color="auto" w:fill="auto"/>
                <w:lang w:eastAsia="zh-CN" w:bidi="ar"/>
              </w:rPr>
            </w:pPr>
            <w:r>
              <w:rPr>
                <w:rFonts w:hint="eastAsia" w:ascii="宋体" w:hAnsi="宋体" w:eastAsia="宋体" w:cs="宋体"/>
                <w:b/>
                <w:bCs/>
                <w:color w:val="000000"/>
                <w:kern w:val="2"/>
                <w:sz w:val="24"/>
                <w:szCs w:val="24"/>
                <w:shd w:val="clear" w:color="auto" w:fill="auto"/>
                <w:lang w:eastAsia="zh-CN" w:bidi="ar"/>
              </w:rPr>
              <w:t>2.投标</w:t>
            </w:r>
            <w:r>
              <w:rPr>
                <w:rFonts w:hint="eastAsia" w:ascii="宋体" w:hAnsi="宋体" w:eastAsia="宋体" w:cs="宋体"/>
                <w:b/>
                <w:bCs/>
                <w:color w:val="000000"/>
                <w:kern w:val="2"/>
                <w:sz w:val="24"/>
                <w:szCs w:val="24"/>
                <w:shd w:val="clear" w:color="auto" w:fill="auto"/>
                <w:lang w:val="en-US" w:eastAsia="zh-CN" w:bidi="ar"/>
              </w:rPr>
              <w:t>人</w:t>
            </w:r>
            <w:r>
              <w:rPr>
                <w:rFonts w:hint="eastAsia" w:ascii="宋体" w:hAnsi="宋体" w:eastAsia="宋体" w:cs="宋体"/>
                <w:b/>
                <w:bCs/>
                <w:color w:val="000000"/>
                <w:kern w:val="2"/>
                <w:sz w:val="24"/>
                <w:szCs w:val="24"/>
                <w:shd w:val="clear" w:color="auto" w:fill="auto"/>
                <w:lang w:eastAsia="zh-CN" w:bidi="ar"/>
              </w:rPr>
              <w:t>因自身原因导致不能正常解密的，责任由投标</w:t>
            </w:r>
            <w:r>
              <w:rPr>
                <w:rFonts w:hint="eastAsia" w:ascii="宋体" w:hAnsi="宋体" w:eastAsia="宋体" w:cs="宋体"/>
                <w:b/>
                <w:bCs/>
                <w:color w:val="000000"/>
                <w:kern w:val="2"/>
                <w:sz w:val="24"/>
                <w:szCs w:val="24"/>
                <w:shd w:val="clear" w:color="auto" w:fill="auto"/>
                <w:lang w:val="en-US" w:eastAsia="zh-CN" w:bidi="ar"/>
              </w:rPr>
              <w:t>人</w:t>
            </w:r>
            <w:r>
              <w:rPr>
                <w:rFonts w:hint="eastAsia" w:ascii="宋体" w:hAnsi="宋体" w:eastAsia="宋体" w:cs="宋体"/>
                <w:b/>
                <w:bCs/>
                <w:color w:val="000000"/>
                <w:kern w:val="2"/>
                <w:sz w:val="24"/>
                <w:szCs w:val="24"/>
                <w:shd w:val="clear" w:color="auto" w:fill="auto"/>
                <w:lang w:eastAsia="zh-CN" w:bidi="ar"/>
              </w:rPr>
              <w:t>自行承担；</w:t>
            </w:r>
          </w:p>
          <w:p>
            <w:pPr>
              <w:spacing w:line="560" w:lineRule="exact"/>
              <w:ind w:firstLine="480" w:firstLineChars="200"/>
              <w:jc w:val="left"/>
              <w:rPr>
                <w:rFonts w:hint="eastAsia" w:ascii="宋体" w:hAnsi="宋体" w:eastAsia="宋体" w:cs="宋体"/>
                <w:b/>
                <w:bCs/>
                <w:color w:val="000000"/>
                <w:kern w:val="2"/>
                <w:sz w:val="24"/>
                <w:szCs w:val="24"/>
                <w:shd w:val="clear" w:color="auto" w:fill="auto"/>
                <w:lang w:eastAsia="zh-CN" w:bidi="ar"/>
              </w:rPr>
            </w:pPr>
            <w:r>
              <w:rPr>
                <w:rFonts w:hint="eastAsia" w:ascii="宋体" w:hAnsi="宋体" w:eastAsia="宋体" w:cs="宋体"/>
                <w:b/>
                <w:bCs/>
                <w:color w:val="000000"/>
                <w:kern w:val="2"/>
                <w:sz w:val="24"/>
                <w:szCs w:val="24"/>
                <w:shd w:val="clear" w:color="auto" w:fill="auto"/>
                <w:lang w:eastAsia="zh-CN" w:bidi="ar"/>
              </w:rPr>
              <w:t>3.投标人必须在招标文件规定的时间内完成解密，一切因投标人网络与电源不稳定、未按要求配置软硬件、解密锁发生故障、用错解密锁、未按时签到、CA锁保管不当、硬件老化、电器性能不稳定、软硬件未及时更新等自身原因导致未在要求时限内完成解密的，视为撤销其投标文件。</w:t>
            </w:r>
          </w:p>
          <w:p>
            <w:pPr>
              <w:spacing w:line="560" w:lineRule="exact"/>
              <w:ind w:firstLine="480" w:firstLineChars="200"/>
              <w:jc w:val="left"/>
              <w:rPr>
                <w:rFonts w:hint="eastAsia" w:ascii="宋体" w:hAnsi="宋体" w:eastAsia="宋体" w:cs="宋体"/>
                <w:b/>
                <w:bCs/>
                <w:color w:val="000000"/>
                <w:kern w:val="2"/>
                <w:sz w:val="24"/>
                <w:szCs w:val="24"/>
                <w:shd w:val="clear" w:color="auto" w:fill="auto"/>
                <w:lang w:eastAsia="zh-CN" w:bidi="ar"/>
              </w:rPr>
            </w:pPr>
            <w:r>
              <w:rPr>
                <w:rFonts w:hint="eastAsia" w:ascii="宋体" w:hAnsi="宋体" w:eastAsia="宋体" w:cs="宋体"/>
                <w:b/>
                <w:bCs/>
                <w:color w:val="000000"/>
                <w:kern w:val="2"/>
                <w:sz w:val="24"/>
                <w:szCs w:val="24"/>
                <w:shd w:val="clear" w:color="auto" w:fill="auto"/>
                <w:lang w:eastAsia="zh-CN" w:bidi="ar"/>
              </w:rPr>
              <w:t>4.各投标人在解密完成后，需在当前界面再次确认文件状态，确保所有已投标段文件状态为已解密，方可进行下一步操作，如有未解密成功，需再次点击解密按钮进行解密。</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bCs/>
                <w:color w:val="000000"/>
                <w:kern w:val="2"/>
                <w:sz w:val="24"/>
                <w:szCs w:val="24"/>
                <w:shd w:val="clear" w:color="auto" w:fill="auto"/>
                <w:lang w:eastAsia="zh-CN" w:bidi="ar"/>
              </w:rPr>
              <w:t>5.为保证开评标环节系统环境稳定，</w:t>
            </w:r>
            <w:r>
              <w:rPr>
                <w:rFonts w:hint="eastAsia" w:ascii="宋体" w:hAnsi="宋体" w:eastAsia="宋体" w:cs="宋体"/>
                <w:b/>
                <w:bCs/>
                <w:color w:val="000000"/>
                <w:kern w:val="2"/>
                <w:sz w:val="24"/>
                <w:szCs w:val="24"/>
                <w:shd w:val="clear" w:color="auto" w:fill="auto"/>
                <w:lang w:val="en-US" w:eastAsia="zh-CN" w:bidi="ar"/>
              </w:rPr>
              <w:t>投标人</w:t>
            </w:r>
            <w:r>
              <w:rPr>
                <w:rFonts w:hint="eastAsia" w:ascii="宋体" w:hAnsi="宋体" w:eastAsia="宋体" w:cs="宋体"/>
                <w:b/>
                <w:bCs/>
                <w:color w:val="000000"/>
                <w:kern w:val="2"/>
                <w:sz w:val="24"/>
                <w:szCs w:val="24"/>
                <w:shd w:val="clear" w:color="auto" w:fill="auto"/>
                <w:lang w:eastAsia="zh-CN" w:bidi="ar"/>
              </w:rPr>
              <w:t>开标当天解密所用电脑须为之前上传</w:t>
            </w:r>
            <w:r>
              <w:rPr>
                <w:rFonts w:hint="eastAsia" w:ascii="宋体" w:hAnsi="宋体" w:eastAsia="宋体" w:cs="宋体"/>
                <w:b/>
                <w:bCs/>
                <w:color w:val="000000"/>
                <w:kern w:val="2"/>
                <w:sz w:val="24"/>
                <w:szCs w:val="24"/>
                <w:shd w:val="clear" w:color="auto" w:fill="auto"/>
                <w:lang w:val="en-US" w:eastAsia="zh-CN" w:bidi="ar"/>
              </w:rPr>
              <w:t>投标</w:t>
            </w:r>
            <w:r>
              <w:rPr>
                <w:rFonts w:hint="eastAsia" w:ascii="宋体" w:hAnsi="宋体" w:eastAsia="宋体" w:cs="宋体"/>
                <w:b/>
                <w:bCs/>
                <w:color w:val="000000"/>
                <w:kern w:val="2"/>
                <w:sz w:val="24"/>
                <w:szCs w:val="24"/>
                <w:shd w:val="clear" w:color="auto" w:fill="auto"/>
                <w:lang w:eastAsia="zh-CN" w:bidi="ar"/>
              </w:rPr>
              <w:t>文件的电脑。</w:t>
            </w:r>
          </w:p>
        </w:tc>
      </w:tr>
    </w:tbl>
    <w:p>
      <w:pPr>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ageBreakBefore w:val="0"/>
        <w:kinsoku/>
        <w:wordWrap/>
        <w:overflowPunct/>
        <w:topLinePunct w:val="0"/>
        <w:bidi w:val="0"/>
        <w:spacing w:line="560" w:lineRule="exact"/>
        <w:jc w:val="center"/>
        <w:textAlignment w:val="auto"/>
        <w:rPr>
          <w:rFonts w:hint="eastAsia" w:ascii="宋体" w:hAnsi="宋体" w:eastAsia="宋体" w:cs="宋体"/>
          <w:color w:val="auto"/>
          <w:sz w:val="36"/>
          <w:szCs w:val="36"/>
        </w:rPr>
      </w:pPr>
      <w:r>
        <w:rPr>
          <w:rFonts w:hint="eastAsia" w:ascii="宋体" w:hAnsi="宋体" w:eastAsia="宋体" w:cs="宋体"/>
          <w:b/>
          <w:bCs/>
          <w:color w:val="auto"/>
          <w:sz w:val="36"/>
          <w:szCs w:val="36"/>
        </w:rPr>
        <w:t>第三章 供应商须知</w:t>
      </w:r>
      <w:bookmarkStart w:id="0" w:name="_Toc520356143"/>
      <w:bookmarkStart w:id="1" w:name="_Toc515647757"/>
      <w:bookmarkStart w:id="2" w:name="_Toc216582805"/>
      <w:bookmarkStart w:id="3" w:name="_Toc21215"/>
      <w:bookmarkStart w:id="4" w:name="_Toc2582263"/>
      <w:bookmarkStart w:id="5" w:name="_Toc21015"/>
      <w:bookmarkStart w:id="6" w:name="_Toc532473449"/>
    </w:p>
    <w:bookmarkEnd w:id="0"/>
    <w:bookmarkEnd w:id="1"/>
    <w:bookmarkEnd w:id="2"/>
    <w:p>
      <w:pPr>
        <w:pStyle w:val="4"/>
        <w:pageBreakBefore w:val="0"/>
        <w:kinsoku/>
        <w:wordWrap/>
        <w:overflowPunct/>
        <w:topLinePunct w:val="0"/>
        <w:bidi w:val="0"/>
        <w:spacing w:before="0" w:after="0" w:line="560" w:lineRule="exact"/>
        <w:jc w:val="center"/>
        <w:textAlignment w:val="auto"/>
        <w:rPr>
          <w:rFonts w:hint="eastAsia" w:ascii="楷体_GB2312" w:hAnsi="楷体_GB2312" w:eastAsia="楷体_GB2312" w:cs="楷体_GB2312"/>
          <w:b/>
          <w:bCs/>
          <w:color w:val="auto"/>
          <w:sz w:val="32"/>
          <w:szCs w:val="32"/>
        </w:rPr>
      </w:pPr>
    </w:p>
    <w:p>
      <w:pPr>
        <w:pStyle w:val="4"/>
        <w:pageBreakBefore w:val="0"/>
        <w:kinsoku/>
        <w:wordWrap/>
        <w:overflowPunct/>
        <w:topLinePunct w:val="0"/>
        <w:bidi w:val="0"/>
        <w:spacing w:before="0" w:after="0" w:line="560" w:lineRule="exact"/>
        <w:jc w:val="both"/>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（一）总则</w:t>
      </w:r>
      <w:bookmarkEnd w:id="3"/>
      <w:bookmarkEnd w:id="4"/>
      <w:bookmarkEnd w:id="5"/>
      <w:bookmarkEnd w:id="6"/>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7" w:name="_Toc520356144"/>
      <w:bookmarkStart w:id="8" w:name="_Toc515647758"/>
      <w:bookmarkStart w:id="9" w:name="_Toc32623"/>
      <w:bookmarkStart w:id="10" w:name="_Toc2582264"/>
      <w:bookmarkStart w:id="11" w:name="_Toc532473450"/>
      <w:bookmarkStart w:id="12" w:name="_Toc32189"/>
      <w:r>
        <w:rPr>
          <w:rFonts w:hint="eastAsia" w:ascii="宋体" w:hAnsi="宋体" w:eastAsia="宋体" w:cs="宋体"/>
          <w:color w:val="auto"/>
          <w:sz w:val="24"/>
          <w:szCs w:val="24"/>
          <w:u w:val="none"/>
        </w:rPr>
        <w:t>1.采购人、采购代理机构及</w:t>
      </w:r>
      <w:bookmarkEnd w:id="7"/>
      <w:r>
        <w:rPr>
          <w:rFonts w:hint="eastAsia" w:ascii="宋体" w:hAnsi="宋体" w:eastAsia="宋体" w:cs="宋体"/>
          <w:color w:val="auto"/>
          <w:sz w:val="24"/>
          <w:szCs w:val="24"/>
          <w:u w:val="none"/>
        </w:rPr>
        <w:t>投标人</w:t>
      </w:r>
      <w:bookmarkEnd w:id="8"/>
      <w:bookmarkEnd w:id="9"/>
      <w:bookmarkEnd w:id="10"/>
      <w:bookmarkEnd w:id="11"/>
      <w:bookmarkEnd w:id="12"/>
    </w:p>
    <w:p>
      <w:pPr>
        <w:pageBreakBefore w:val="0"/>
        <w:tabs>
          <w:tab w:val="left" w:pos="0"/>
        </w:tabs>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 采购人：是指依法进行政府采购的国家机关、事业单位、团体组织。</w:t>
      </w:r>
    </w:p>
    <w:p>
      <w:pPr>
        <w:pageBreakBefore w:val="0"/>
        <w:tabs>
          <w:tab w:val="left" w:pos="142"/>
        </w:tabs>
        <w:kinsoku/>
        <w:wordWrap/>
        <w:overflowPunct/>
        <w:topLinePunct w:val="0"/>
        <w:bidi w:val="0"/>
        <w:spacing w:line="560" w:lineRule="exact"/>
        <w:ind w:left="826" w:hanging="708" w:hangingChars="2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 采购代理机构：是指集中采购机构或从事采购代理业务的社会中介机构。</w:t>
      </w:r>
    </w:p>
    <w:p>
      <w:pPr>
        <w:pageBreakBefore w:val="0"/>
        <w:tabs>
          <w:tab w:val="left" w:pos="142"/>
        </w:tabs>
        <w:kinsoku/>
        <w:wordWrap/>
        <w:overflowPunct/>
        <w:topLinePunct w:val="0"/>
        <w:bidi w:val="0"/>
        <w:spacing w:line="560" w:lineRule="exact"/>
        <w:ind w:left="826" w:hanging="708" w:hangingChars="2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 投标人：是指响应招标、参加投标竞争的法人、非法人组织或者自然人。</w:t>
      </w:r>
    </w:p>
    <w:p>
      <w:pPr>
        <w:pageBreakBefore w:val="0"/>
        <w:tabs>
          <w:tab w:val="left" w:pos="142"/>
        </w:tabs>
        <w:kinsoku/>
        <w:wordWrap/>
        <w:overflowPunct/>
        <w:topLinePunct w:val="0"/>
        <w:bidi w:val="0"/>
        <w:spacing w:line="560" w:lineRule="exact"/>
        <w:ind w:left="826" w:hanging="708" w:hangingChars="2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潜在投标人：以招标文件规定的方式获取本项目招标件的法人、非法人组织或</w:t>
      </w:r>
    </w:p>
    <w:p>
      <w:pPr>
        <w:pageBreakBefore w:val="0"/>
        <w:tabs>
          <w:tab w:val="left" w:pos="142"/>
        </w:tabs>
        <w:kinsoku/>
        <w:wordWrap/>
        <w:overflowPunct/>
        <w:topLinePunct w:val="0"/>
        <w:bidi w:val="0"/>
        <w:spacing w:line="560" w:lineRule="exact"/>
        <w:ind w:left="826" w:hanging="708" w:hangingChars="2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者自然人。</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 投标人及其投标货物须满足以下条件：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1.4.1 具备《中华人民共和国政府采购法》第二十二条关于供应条件的规定。</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1.4.2 以招标文件规定的方式获得了本项目的招标文件。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1.4.3 符合本项目合格投标人的其他资格要求</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1.4.4 若本项目允许采购进口产品，投标人应保证所投产品可履</w:t>
      </w:r>
      <w:r>
        <w:rPr>
          <w:rFonts w:hint="eastAsia" w:ascii="宋体" w:hAnsi="宋体" w:eastAsia="宋体" w:cs="宋体"/>
          <w:color w:val="auto"/>
          <w:sz w:val="24"/>
          <w:szCs w:val="24"/>
          <w:lang w:eastAsia="zh-CN"/>
        </w:rPr>
        <w:t>行</w:t>
      </w:r>
      <w:r>
        <w:rPr>
          <w:rFonts w:hint="eastAsia" w:ascii="宋体" w:hAnsi="宋体" w:eastAsia="宋体" w:cs="宋体"/>
          <w:color w:val="auto"/>
          <w:sz w:val="24"/>
          <w:szCs w:val="24"/>
        </w:rPr>
        <w:t>合法报通关</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手续进入中国关境内。若本项目不允许采购进口产品，如投标人所投产品为进</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口产品，其投标将被认定为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1.4.5 若本项目专门面向中小企业采购的，如投标人所投产品为非中小企业制造，其投标将被认定为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  如本项目允许联合体投标，对联合体规定如下：</w:t>
      </w:r>
    </w:p>
    <w:p>
      <w:pPr>
        <w:pageBreakBefore w:val="0"/>
        <w:kinsoku/>
        <w:wordWrap/>
        <w:overflowPunct/>
        <w:topLinePunct w:val="0"/>
        <w:bidi w:val="0"/>
        <w:spacing w:line="560" w:lineRule="exact"/>
        <w:ind w:left="1050" w:hanging="900" w:hangingChars="375"/>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1.5.1 两个及以上供应商可以组成一个投标联合体，以一个投标</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rPr>
        <w:t>的身份投</w:t>
      </w:r>
    </w:p>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1.5.2 联合体各方均应符合本须知1.4.1的规定。</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1.5.3 采购人根据采购项目对投标人的特殊要求，联合体中至少应当有一方符</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合相关规定。</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1.5.4 联合体各方应签订共同投标协议，明确约定联合体各方承担的工作和相</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应的责任，并将共同投标协议作为投标文件的内容提交。</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1.5.5 大中型企业、其他自然人、法人或者非法人组织与小型、微型企业组成</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联合体共同参加投标，共同投标协议中应写明小型、微型企业的协议合同金额</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占到共同投标协议投标总金额的比例。</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1.5.6 以联合体形式参加政府采购活动的，联合体各方不得再单独参加或者与</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其他供应商另外组成联合体参加本项目同一合同项下的投标，否则相关投标将</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被认定为</w:t>
      </w:r>
      <w:r>
        <w:rPr>
          <w:rFonts w:hint="eastAsia" w:ascii="宋体" w:hAnsi="宋体" w:eastAsia="宋体" w:cs="宋体"/>
          <w:b/>
          <w:color w:val="auto"/>
          <w:sz w:val="24"/>
          <w:szCs w:val="24"/>
        </w:rPr>
        <w:t>投标无效。</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 单位负责人为同一人或者存在直接控股、管理关系的不同供应商参与本项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目同一合同项下的投标的，其相关投标将被认定为</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 为本项目提供过整体设计、规范编制或者项目管理、监理、检测等服务的</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供应商，不得再参加本项目上述服务以外的其他采购活动。否则其投标将被认</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bCs/>
          <w:color w:val="auto"/>
          <w:sz w:val="24"/>
          <w:szCs w:val="24"/>
        </w:rPr>
        <w:t>在政府采购活动中，采购人员及相关人员与供应商有下列利害关系之一的，应当回避：</w:t>
      </w:r>
    </w:p>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1.8.1 参加采购活动前3年内与供应商存在劳动关系。</w:t>
      </w:r>
    </w:p>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1.8.2 参加采购活动前3年内担任供应商的董事、监事。</w:t>
      </w:r>
    </w:p>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1.8.3 参加采购活动前3年内是供应商的控股股东或者实际控制人。</w:t>
      </w:r>
    </w:p>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1.8.4 与供应商的法定代表人或者负责人有夫妻、直系血亲、三代以内旁系血亲或者近姻亲关系。</w:t>
      </w:r>
    </w:p>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1.8.5 与供应商有其他可能影响政府采购活动公平、公正进行的关系。</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1.8.6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3" w:name="_Toc515647759"/>
      <w:bookmarkStart w:id="14" w:name="_Toc12139"/>
      <w:bookmarkStart w:id="15" w:name="_Toc2582265"/>
      <w:bookmarkStart w:id="16" w:name="_Toc5286"/>
      <w:bookmarkStart w:id="17" w:name="_Toc532473451"/>
      <w:r>
        <w:rPr>
          <w:rFonts w:hint="eastAsia" w:ascii="宋体" w:hAnsi="宋体" w:eastAsia="宋体" w:cs="宋体"/>
          <w:color w:val="auto"/>
          <w:sz w:val="24"/>
          <w:szCs w:val="24"/>
          <w:u w:val="none"/>
        </w:rPr>
        <w:t>2.资金来源</w:t>
      </w:r>
      <w:bookmarkEnd w:id="13"/>
      <w:bookmarkEnd w:id="14"/>
      <w:bookmarkEnd w:id="15"/>
      <w:bookmarkEnd w:id="16"/>
      <w:bookmarkEnd w:id="17"/>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 本项目的采购人已获得足以支付本次招标后所签订的合同项下的资金。</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 投标人报价超过招标文件规定的预算金额或者最高限价的，其投标将被认</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8" w:name="_Toc20526"/>
      <w:bookmarkStart w:id="19" w:name="_Toc2582266"/>
      <w:bookmarkStart w:id="20" w:name="_Toc15936"/>
      <w:bookmarkStart w:id="21" w:name="_Toc515647760"/>
      <w:bookmarkStart w:id="22" w:name="_Toc532473452"/>
      <w:bookmarkStart w:id="23" w:name="_Toc520356145"/>
      <w:r>
        <w:rPr>
          <w:rFonts w:hint="eastAsia" w:ascii="宋体" w:hAnsi="宋体" w:eastAsia="宋体" w:cs="宋体"/>
          <w:color w:val="auto"/>
          <w:sz w:val="24"/>
          <w:szCs w:val="24"/>
          <w:u w:val="none"/>
        </w:rPr>
        <w:t>3.投标费用</w:t>
      </w:r>
      <w:bookmarkEnd w:id="18"/>
      <w:bookmarkEnd w:id="19"/>
      <w:bookmarkEnd w:id="20"/>
      <w:bookmarkEnd w:id="21"/>
      <w:bookmarkEnd w:id="22"/>
      <w:bookmarkEnd w:id="23"/>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不论投标结果如何，投标人应承担所有与投标有关的费用。</w:t>
      </w:r>
    </w:p>
    <w:p>
      <w:pPr>
        <w:pageBreakBefore w:val="0"/>
        <w:kinsoku/>
        <w:wordWrap/>
        <w:overflowPunct/>
        <w:topLinePunct w:val="0"/>
        <w:bidi w:val="0"/>
        <w:spacing w:line="560" w:lineRule="exact"/>
        <w:textAlignment w:val="auto"/>
        <w:rPr>
          <w:rFonts w:hint="eastAsia" w:ascii="宋体" w:hAnsi="宋体" w:eastAsia="宋体" w:cs="宋体"/>
          <w:b/>
          <w:bCs/>
          <w:color w:val="auto"/>
          <w:sz w:val="32"/>
          <w:szCs w:val="32"/>
        </w:rPr>
      </w:pPr>
      <w:bookmarkStart w:id="24" w:name="_Toc4365"/>
      <w:bookmarkStart w:id="25" w:name="_Toc21566"/>
      <w:bookmarkStart w:id="26" w:name="_Toc216582806"/>
      <w:bookmarkStart w:id="27" w:name="_Toc532473454"/>
      <w:bookmarkStart w:id="28" w:name="_Toc2582268"/>
      <w:bookmarkStart w:id="29" w:name="_Toc520356146"/>
      <w:bookmarkStart w:id="30" w:name="_Toc515647762"/>
    </w:p>
    <w:p>
      <w:pPr>
        <w:pageBreakBefore w:val="0"/>
        <w:kinsoku/>
        <w:wordWrap/>
        <w:overflowPunct/>
        <w:topLinePunct w:val="0"/>
        <w:bidi w:val="0"/>
        <w:spacing w:line="560" w:lineRule="exac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（二）招标文件</w:t>
      </w:r>
      <w:bookmarkEnd w:id="24"/>
      <w:bookmarkEnd w:id="25"/>
      <w:bookmarkEnd w:id="26"/>
      <w:bookmarkEnd w:id="27"/>
      <w:bookmarkEnd w:id="28"/>
      <w:bookmarkEnd w:id="29"/>
      <w:bookmarkEnd w:id="30"/>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31" w:name="_Toc532473455"/>
      <w:bookmarkStart w:id="32" w:name="_Toc14084"/>
      <w:bookmarkStart w:id="33" w:name="_Toc25743"/>
      <w:bookmarkStart w:id="34" w:name="_Toc2582269"/>
      <w:bookmarkStart w:id="35" w:name="_Toc515647763"/>
      <w:bookmarkStart w:id="36" w:name="_Toc520356147"/>
      <w:r>
        <w:rPr>
          <w:rFonts w:hint="eastAsia" w:ascii="宋体" w:hAnsi="宋体" w:eastAsia="宋体" w:cs="宋体"/>
          <w:color w:val="auto"/>
          <w:sz w:val="24"/>
          <w:szCs w:val="24"/>
          <w:u w:val="none"/>
        </w:rPr>
        <w:t>4.招标文件构成</w:t>
      </w:r>
      <w:bookmarkEnd w:id="31"/>
      <w:bookmarkEnd w:id="32"/>
      <w:bookmarkEnd w:id="33"/>
      <w:bookmarkEnd w:id="34"/>
      <w:bookmarkEnd w:id="35"/>
      <w:bookmarkEnd w:id="36"/>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   投标邀请</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   供应商须知前附表</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   供应商须知</w:t>
      </w:r>
    </w:p>
    <w:p>
      <w:pPr>
        <w:pStyle w:val="4"/>
        <w:pageBreakBefore w:val="0"/>
        <w:kinsoku/>
        <w:wordWrap/>
        <w:overflowPunct/>
        <w:topLinePunct w:val="0"/>
        <w:bidi w:val="0"/>
        <w:spacing w:before="0" w:after="0" w:line="5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4.4   项目说明和采购需求</w:t>
      </w: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4.5   评标方法和标准</w:t>
      </w: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4.6   政府采购合同范本</w:t>
      </w: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4.7   投标文件格式</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37" w:name="_Toc520356148"/>
      <w:bookmarkStart w:id="38" w:name="_Toc515904805"/>
      <w:bookmarkStart w:id="39" w:name="_Toc532473456"/>
      <w:bookmarkStart w:id="40" w:name="_Toc26044"/>
      <w:bookmarkStart w:id="41" w:name="_Toc2582270"/>
      <w:bookmarkStart w:id="42" w:name="_Toc9232"/>
      <w:r>
        <w:rPr>
          <w:rFonts w:hint="eastAsia" w:ascii="宋体" w:hAnsi="宋体" w:eastAsia="宋体" w:cs="宋体"/>
          <w:color w:val="auto"/>
          <w:sz w:val="24"/>
          <w:szCs w:val="24"/>
          <w:u w:val="none"/>
        </w:rPr>
        <w:t>5.招标文件的澄清</w:t>
      </w:r>
      <w:bookmarkEnd w:id="37"/>
      <w:bookmarkEnd w:id="38"/>
      <w:r>
        <w:rPr>
          <w:rFonts w:hint="eastAsia" w:ascii="宋体" w:hAnsi="宋体" w:eastAsia="宋体" w:cs="宋体"/>
          <w:color w:val="auto"/>
          <w:sz w:val="24"/>
          <w:szCs w:val="24"/>
          <w:u w:val="none"/>
        </w:rPr>
        <w:t>与修改</w:t>
      </w:r>
      <w:bookmarkEnd w:id="39"/>
      <w:bookmarkEnd w:id="40"/>
      <w:bookmarkEnd w:id="41"/>
      <w:bookmarkEnd w:id="42"/>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  采购人、采购代理机构可以对已发出的招标文件等进行必要的澄清或者</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修改，但不得改变采购标的和资格条件。澄清或者修改应当在原公告发布媒体</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上发布澄清公告。澄清或者修改的内容为招标文件的组成部分。</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  招标文件中有不一致的，有澄清的部分以最终的澄清更正内容为准；未澄清的，以供应商须知前附表为准；供应商须知前附表不涉及的内容，以编排在后的最后描述为准。</w:t>
      </w:r>
    </w:p>
    <w:p>
      <w:pPr>
        <w:pStyle w:val="9"/>
        <w:rPr>
          <w:rFonts w:hint="eastAsia"/>
        </w:rPr>
      </w:pPr>
      <w:r>
        <w:rPr>
          <w:rFonts w:hint="eastAsia" w:ascii="宋体" w:hAnsi="宋体" w:eastAsia="宋体" w:cs="宋体"/>
          <w:b w:val="0"/>
          <w:color w:val="auto"/>
          <w:kern w:val="2"/>
          <w:sz w:val="24"/>
          <w:szCs w:val="24"/>
          <w:u w:val="none"/>
        </w:rPr>
        <w:t>5.3  投标人应及时关注本项目原公告发布媒体上发布的澄清公告或修改内容</w:t>
      </w:r>
    </w:p>
    <w:p>
      <w:pPr>
        <w:pStyle w:val="6"/>
        <w:pageBreakBefore w:val="0"/>
        <w:tabs>
          <w:tab w:val="left" w:pos="900"/>
        </w:tabs>
        <w:kinsoku/>
        <w:wordWrap/>
        <w:overflowPunct/>
        <w:topLinePunct w:val="0"/>
        <w:bidi w:val="0"/>
        <w:spacing w:before="0" w:after="0" w:line="560" w:lineRule="exact"/>
        <w:textAlignment w:val="auto"/>
        <w:rPr>
          <w:rFonts w:hint="eastAsia" w:ascii="宋体" w:hAnsi="宋体" w:eastAsia="宋体" w:cs="宋体"/>
          <w:bCs/>
          <w:color w:val="auto"/>
          <w:sz w:val="24"/>
          <w:szCs w:val="24"/>
          <w:u w:val="none"/>
        </w:rPr>
      </w:pPr>
      <w:r>
        <w:rPr>
          <w:rFonts w:hint="eastAsia" w:ascii="宋体" w:hAnsi="宋体" w:eastAsia="宋体" w:cs="宋体"/>
          <w:b w:val="0"/>
          <w:color w:val="auto"/>
          <w:kern w:val="2"/>
          <w:sz w:val="24"/>
          <w:szCs w:val="24"/>
          <w:u w:val="none"/>
        </w:rPr>
        <w:t>自行下载，采购人、采购代理机构不再另行通知。</w:t>
      </w:r>
      <w:r>
        <w:rPr>
          <w:rFonts w:hint="eastAsia" w:ascii="宋体" w:hAnsi="宋体" w:eastAsia="宋体" w:cs="宋体"/>
          <w:bCs/>
          <w:color w:val="auto"/>
          <w:sz w:val="24"/>
          <w:szCs w:val="24"/>
          <w:u w:val="none"/>
        </w:rPr>
        <w:t>如因自身原因未及时关注招标公告或变更(澄清、补充等)公告从而导致投标失败，其后果自行承担。</w:t>
      </w:r>
      <w:bookmarkStart w:id="43" w:name="_Toc2582271"/>
      <w:bookmarkStart w:id="44" w:name="_Toc25635"/>
      <w:bookmarkStart w:id="45" w:name="_Toc532473457"/>
      <w:bookmarkStart w:id="46" w:name="_Toc14569"/>
    </w:p>
    <w:p>
      <w:pPr>
        <w:pStyle w:val="6"/>
        <w:pageBreakBefore w:val="0"/>
        <w:tabs>
          <w:tab w:val="left" w:pos="900"/>
        </w:tabs>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6.投标截止时间的顺延</w:t>
      </w:r>
      <w:bookmarkEnd w:id="43"/>
      <w:bookmarkEnd w:id="44"/>
      <w:bookmarkEnd w:id="45"/>
      <w:bookmarkEnd w:id="46"/>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 为使投标人有足够的时间对招标文件的澄清或者修改部分进行研究而准</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备投标或因其他原因，采购人将依法决定是否顺延投标止时间。顺延变更公告</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应当在原公告发布媒体上发布。</w:t>
      </w:r>
    </w:p>
    <w:p>
      <w:pPr>
        <w:pStyle w:val="4"/>
        <w:pageBreakBefore w:val="0"/>
        <w:kinsoku/>
        <w:wordWrap/>
        <w:overflowPunct/>
        <w:topLinePunct w:val="0"/>
        <w:bidi w:val="0"/>
        <w:spacing w:before="0" w:after="0" w:line="560" w:lineRule="exact"/>
        <w:ind w:left="840" w:hanging="720" w:hangingChars="3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6.2 投标人应及时关注本项目原公告发布媒体上发布的变更公告采购人、采购</w:t>
      </w:r>
    </w:p>
    <w:p>
      <w:pPr>
        <w:pStyle w:val="4"/>
        <w:pageBreakBefore w:val="0"/>
        <w:kinsoku/>
        <w:wordWrap/>
        <w:overflowPunct/>
        <w:topLinePunct w:val="0"/>
        <w:bidi w:val="0"/>
        <w:spacing w:before="0" w:after="0" w:line="560" w:lineRule="exact"/>
        <w:ind w:left="840" w:hanging="720" w:hangingChars="3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代理机构不再另行通知。</w:t>
      </w:r>
    </w:p>
    <w:p>
      <w:pPr>
        <w:pStyle w:val="5"/>
        <w:pageBreakBefore w:val="0"/>
        <w:kinsoku/>
        <w:wordWrap/>
        <w:overflowPunct/>
        <w:topLinePunct w:val="0"/>
        <w:bidi w:val="0"/>
        <w:spacing w:line="560" w:lineRule="exact"/>
        <w:ind w:firstLine="0"/>
        <w:textAlignment w:val="auto"/>
        <w:rPr>
          <w:rFonts w:hint="eastAsia" w:ascii="宋体" w:hAnsi="宋体" w:eastAsia="宋体" w:cs="宋体"/>
          <w:b/>
          <w:bCs/>
          <w:color w:val="auto"/>
          <w:sz w:val="24"/>
          <w:szCs w:val="24"/>
        </w:rPr>
      </w:pPr>
      <w:r>
        <w:rPr>
          <w:rFonts w:hint="eastAsia" w:ascii="宋体" w:hAnsi="宋体" w:eastAsia="宋体" w:cs="宋体"/>
          <w:b/>
          <w:bCs/>
          <w:color w:val="auto"/>
          <w:kern w:val="2"/>
          <w:sz w:val="24"/>
          <w:szCs w:val="24"/>
        </w:rPr>
        <w:t>7.其他投标事项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7.1 投标人应认真阅读招标文件所有的事项、格式、条款和技术</w:t>
      </w:r>
      <w:r>
        <w:rPr>
          <w:rFonts w:hint="eastAsia" w:ascii="宋体" w:hAnsi="宋体" w:eastAsia="宋体" w:cs="宋体"/>
          <w:color w:val="auto"/>
          <w:sz w:val="24"/>
          <w:szCs w:val="24"/>
          <w:lang w:val="en-US" w:eastAsia="zh-CN"/>
        </w:rPr>
        <w:t>范围</w:t>
      </w:r>
      <w:r>
        <w:rPr>
          <w:rFonts w:hint="eastAsia" w:ascii="宋体" w:hAnsi="宋体" w:eastAsia="宋体" w:cs="宋体"/>
          <w:color w:val="auto"/>
          <w:sz w:val="24"/>
          <w:szCs w:val="24"/>
        </w:rPr>
        <w:t>等。如投</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标人没有按照招标文件要求提交全部资料，或者投标文</w:t>
      </w:r>
      <w:r>
        <w:rPr>
          <w:rFonts w:hint="eastAsia" w:ascii="宋体" w:hAnsi="宋体" w:eastAsia="宋体" w:cs="宋体"/>
          <w:color w:val="auto"/>
          <w:sz w:val="24"/>
          <w:szCs w:val="24"/>
          <w:lang w:val="en-US" w:eastAsia="zh-CN"/>
        </w:rPr>
        <w:t>件</w:t>
      </w:r>
      <w:r>
        <w:rPr>
          <w:rFonts w:hint="eastAsia" w:ascii="宋体" w:hAnsi="宋体" w:eastAsia="宋体" w:cs="宋体"/>
          <w:color w:val="auto"/>
          <w:sz w:val="24"/>
          <w:szCs w:val="24"/>
        </w:rPr>
        <w:t>没有对招标文件的实</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质性要求做出响应，其投标将被认定为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7.2 原则上采购人、采购代理机构不要求投标人提供样品。除仅凭书面方式不</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能准确描述采购需求，或者需要对样品进行主观判断以确认是否满足采购需求</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等特殊情况除外。如需提供样品，对样品相关要求见供应商须知前附表</w:t>
      </w:r>
      <w:r>
        <w:rPr>
          <w:rFonts w:hint="eastAsia" w:ascii="宋体" w:hAnsi="宋体" w:eastAsia="宋体" w:cs="宋体"/>
          <w:color w:val="auto"/>
          <w:sz w:val="24"/>
          <w:szCs w:val="24"/>
          <w:lang w:eastAsia="zh-CN"/>
        </w:rPr>
        <w:t>。</w:t>
      </w:r>
    </w:p>
    <w:p>
      <w:pPr>
        <w:pStyle w:val="9"/>
        <w:rPr>
          <w:rFonts w:hint="eastAsia"/>
          <w:lang w:eastAsia="zh-CN"/>
        </w:rPr>
      </w:pPr>
    </w:p>
    <w:p>
      <w:pPr>
        <w:pStyle w:val="4"/>
        <w:pageBreakBefore w:val="0"/>
        <w:tabs>
          <w:tab w:val="left" w:pos="900"/>
        </w:tabs>
        <w:kinsoku/>
        <w:wordWrap/>
        <w:overflowPunct/>
        <w:topLinePunct w:val="0"/>
        <w:bidi w:val="0"/>
        <w:spacing w:before="0" w:after="0" w:line="560" w:lineRule="exact"/>
        <w:jc w:val="both"/>
        <w:textAlignment w:val="auto"/>
        <w:rPr>
          <w:rFonts w:hint="eastAsia" w:ascii="宋体" w:hAnsi="宋体" w:eastAsia="宋体" w:cs="宋体"/>
          <w:color w:val="auto"/>
          <w:sz w:val="32"/>
          <w:szCs w:val="32"/>
        </w:rPr>
      </w:pPr>
      <w:bookmarkStart w:id="47" w:name="_Toc516367020"/>
      <w:bookmarkStart w:id="48" w:name="_Toc520356150"/>
      <w:bookmarkStart w:id="49" w:name="_Toc2582272"/>
      <w:bookmarkStart w:id="50" w:name="_Toc216582807"/>
      <w:bookmarkStart w:id="51" w:name="_Toc532473458"/>
      <w:bookmarkStart w:id="52" w:name="_Toc7636"/>
      <w:bookmarkStart w:id="53" w:name="_Toc30808"/>
      <w:bookmarkStart w:id="54" w:name="_Toc515647766"/>
      <w:r>
        <w:rPr>
          <w:rFonts w:hint="eastAsia" w:ascii="宋体" w:hAnsi="宋体" w:eastAsia="宋体" w:cs="宋体"/>
          <w:color w:val="auto"/>
          <w:sz w:val="32"/>
          <w:szCs w:val="32"/>
        </w:rPr>
        <w:t>（三）投标文件</w:t>
      </w:r>
      <w:bookmarkEnd w:id="47"/>
      <w:r>
        <w:rPr>
          <w:rFonts w:hint="eastAsia" w:ascii="宋体" w:hAnsi="宋体" w:eastAsia="宋体" w:cs="宋体"/>
          <w:color w:val="auto"/>
          <w:sz w:val="32"/>
          <w:szCs w:val="32"/>
        </w:rPr>
        <w:t>的编制</w:t>
      </w:r>
      <w:bookmarkEnd w:id="48"/>
      <w:bookmarkEnd w:id="49"/>
      <w:bookmarkEnd w:id="50"/>
      <w:bookmarkEnd w:id="51"/>
      <w:bookmarkEnd w:id="52"/>
      <w:bookmarkEnd w:id="53"/>
      <w:bookmarkEnd w:id="54"/>
    </w:p>
    <w:p>
      <w:pPr>
        <w:pStyle w:val="6"/>
        <w:pageBreakBefore w:val="0"/>
        <w:tabs>
          <w:tab w:val="left" w:pos="900"/>
        </w:tabs>
        <w:kinsoku/>
        <w:wordWrap/>
        <w:overflowPunct/>
        <w:topLinePunct w:val="0"/>
        <w:bidi w:val="0"/>
        <w:spacing w:before="0" w:after="0" w:line="560" w:lineRule="exact"/>
        <w:textAlignment w:val="auto"/>
        <w:rPr>
          <w:rFonts w:hint="eastAsia" w:ascii="宋体" w:hAnsi="宋体" w:eastAsia="宋体" w:cs="宋体"/>
          <w:color w:val="auto"/>
          <w:sz w:val="24"/>
          <w:szCs w:val="24"/>
        </w:rPr>
      </w:pPr>
      <w:bookmarkStart w:id="55" w:name="_Toc515647767"/>
      <w:bookmarkStart w:id="56" w:name="_Toc516367021"/>
      <w:bookmarkStart w:id="57" w:name="_Toc3553"/>
      <w:bookmarkStart w:id="58" w:name="_Toc7786"/>
      <w:bookmarkStart w:id="59" w:name="_Toc2582273"/>
      <w:bookmarkStart w:id="60" w:name="_Toc532473459"/>
      <w:bookmarkStart w:id="61" w:name="_Toc520356151"/>
      <w:r>
        <w:rPr>
          <w:rFonts w:hint="eastAsia" w:ascii="宋体" w:hAnsi="宋体" w:eastAsia="宋体" w:cs="宋体"/>
          <w:color w:val="auto"/>
          <w:sz w:val="24"/>
          <w:szCs w:val="24"/>
          <w:u w:val="none"/>
        </w:rPr>
        <w:t>8.投标</w:t>
      </w:r>
      <w:bookmarkEnd w:id="55"/>
      <w:bookmarkEnd w:id="56"/>
      <w:bookmarkEnd w:id="57"/>
      <w:bookmarkEnd w:id="58"/>
      <w:bookmarkEnd w:id="59"/>
      <w:bookmarkEnd w:id="60"/>
      <w:bookmarkEnd w:id="61"/>
      <w:r>
        <w:rPr>
          <w:rFonts w:hint="eastAsia" w:ascii="宋体" w:hAnsi="宋体" w:eastAsia="宋体" w:cs="宋体"/>
          <w:color w:val="auto"/>
          <w:sz w:val="24"/>
          <w:szCs w:val="24"/>
          <w:u w:val="none"/>
        </w:rPr>
        <w:t>范围及文字、计量单位要求</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8.1  投标人应当对招标文件中所列的所有内容进行投标，如仅响应部分内容，其投标将被认定为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8.2  无论招标文件中是否要求，投标人所投货物及伴随的服务和工程均应符合国家强制性标准。</w:t>
      </w:r>
    </w:p>
    <w:p>
      <w:pPr>
        <w:pStyle w:val="4"/>
        <w:pageBreakBefore w:val="0"/>
        <w:kinsoku/>
        <w:wordWrap/>
        <w:overflowPunct/>
        <w:topLinePunct w:val="0"/>
        <w:bidi w:val="0"/>
        <w:spacing w:before="0" w:after="0" w:line="5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8.3  投标文件应使用规范汉字书写(专有名词须加注中文解释)，并采用通用的图形符号，不得出现与常规书写格式不符的内容。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除招标文件中有特殊要求外，投标文件中所使用的计量单位，应采用中</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华人民共和国法定计量单位。</w:t>
      </w:r>
    </w:p>
    <w:p>
      <w:pPr>
        <w:pStyle w:val="6"/>
        <w:pageBreakBefore w:val="0"/>
        <w:tabs>
          <w:tab w:val="left" w:pos="900"/>
        </w:tabs>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62" w:name="_Toc516367022"/>
      <w:bookmarkStart w:id="63" w:name="_Ref467306676"/>
      <w:bookmarkStart w:id="64" w:name="_Ref467306195"/>
      <w:bookmarkStart w:id="65" w:name="_Toc2582274"/>
      <w:bookmarkStart w:id="66" w:name="_Toc10364"/>
      <w:bookmarkStart w:id="67" w:name="_Toc532473460"/>
      <w:bookmarkStart w:id="68" w:name="_Toc520356152"/>
      <w:bookmarkStart w:id="69" w:name="_Toc515647768"/>
      <w:bookmarkStart w:id="70" w:name="_Toc28307"/>
      <w:r>
        <w:rPr>
          <w:rFonts w:hint="eastAsia" w:ascii="宋体" w:hAnsi="宋体" w:eastAsia="宋体" w:cs="宋体"/>
          <w:color w:val="auto"/>
          <w:sz w:val="24"/>
          <w:szCs w:val="24"/>
          <w:u w:val="none"/>
        </w:rPr>
        <w:t>9.投标文件</w:t>
      </w:r>
      <w:bookmarkEnd w:id="62"/>
      <w:bookmarkEnd w:id="63"/>
      <w:bookmarkEnd w:id="64"/>
      <w:r>
        <w:rPr>
          <w:rFonts w:hint="eastAsia" w:ascii="宋体" w:hAnsi="宋体" w:eastAsia="宋体" w:cs="宋体"/>
          <w:color w:val="auto"/>
          <w:sz w:val="24"/>
          <w:szCs w:val="24"/>
          <w:u w:val="none"/>
        </w:rPr>
        <w:t>的组成</w:t>
      </w:r>
      <w:bookmarkEnd w:id="65"/>
      <w:bookmarkEnd w:id="66"/>
      <w:bookmarkEnd w:id="67"/>
      <w:bookmarkEnd w:id="68"/>
      <w:bookmarkEnd w:id="69"/>
      <w:bookmarkEnd w:id="70"/>
    </w:p>
    <w:p>
      <w:pPr>
        <w:pageBreakBefore w:val="0"/>
        <w:tabs>
          <w:tab w:val="left" w:pos="900"/>
          <w:tab w:val="left" w:pos="5580"/>
        </w:tabs>
        <w:kinsoku/>
        <w:wordWrap/>
        <w:overflowPunct/>
        <w:topLinePunct w:val="0"/>
        <w:bidi w:val="0"/>
        <w:spacing w:line="560" w:lineRule="exact"/>
        <w:ind w:firstLine="240" w:firstLineChars="100"/>
        <w:textAlignment w:val="auto"/>
        <w:rPr>
          <w:rFonts w:hint="eastAsia" w:ascii="宋体" w:hAnsi="宋体" w:eastAsia="宋体" w:cs="宋体"/>
          <w:color w:val="auto"/>
          <w:sz w:val="24"/>
          <w:szCs w:val="24"/>
        </w:rPr>
      </w:pPr>
      <w:bookmarkStart w:id="71" w:name="_Ref467052588"/>
      <w:r>
        <w:rPr>
          <w:rFonts w:hint="eastAsia" w:ascii="宋体" w:hAnsi="宋体" w:eastAsia="宋体" w:cs="宋体"/>
          <w:color w:val="auto"/>
          <w:sz w:val="24"/>
          <w:szCs w:val="24"/>
        </w:rPr>
        <w:t xml:space="preserve">  投标人应完整地按照招标文件提供的投标文件格式及要求编写投标文件，对其投标文件的真实性与准确性负责，投标人中标后，其投标文件将作为合同的组成部分。</w:t>
      </w:r>
    </w:p>
    <w:bookmarkEnd w:id="71"/>
    <w:p>
      <w:pPr>
        <w:pStyle w:val="6"/>
        <w:pageBreakBefore w:val="0"/>
        <w:tabs>
          <w:tab w:val="left" w:pos="900"/>
        </w:tabs>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72" w:name="_Toc520356153"/>
      <w:bookmarkStart w:id="73" w:name="_Toc516367023"/>
      <w:bookmarkStart w:id="74" w:name="_Toc2582275"/>
      <w:bookmarkStart w:id="75" w:name="_Toc532473461"/>
      <w:bookmarkStart w:id="76" w:name="_Toc10379"/>
      <w:bookmarkStart w:id="77" w:name="_Toc515647769"/>
      <w:bookmarkStart w:id="78" w:name="_Toc4601"/>
      <w:r>
        <w:rPr>
          <w:rFonts w:hint="eastAsia" w:ascii="宋体" w:hAnsi="宋体" w:eastAsia="宋体" w:cs="宋体"/>
          <w:color w:val="auto"/>
          <w:sz w:val="24"/>
          <w:szCs w:val="24"/>
          <w:u w:val="none"/>
        </w:rPr>
        <w:t>10.证明投标标的的合格性和符合招标文件规定的技术文件</w:t>
      </w:r>
      <w:bookmarkEnd w:id="72"/>
      <w:bookmarkEnd w:id="73"/>
      <w:bookmarkEnd w:id="74"/>
      <w:bookmarkEnd w:id="75"/>
      <w:bookmarkEnd w:id="76"/>
      <w:bookmarkEnd w:id="77"/>
      <w:bookmarkEnd w:id="78"/>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 投标人应提交证明文件，证明其投标标的符合招标文件规定。该证明文</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件是投标文件的技术文件。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lang w:val="en-US" w:eastAsia="zh-CN"/>
        </w:rPr>
      </w:pPr>
      <w:bookmarkStart w:id="79" w:name="_Ref467306244"/>
      <w:r>
        <w:rPr>
          <w:rFonts w:hint="eastAsia" w:ascii="宋体" w:hAnsi="宋体" w:eastAsia="宋体" w:cs="宋体"/>
          <w:color w:val="auto"/>
          <w:sz w:val="24"/>
          <w:szCs w:val="24"/>
        </w:rPr>
        <w:t>10.2 上款所述的证明文件，可以是文字资料、图纸和数据</w:t>
      </w:r>
      <w:bookmarkEnd w:id="79"/>
      <w:r>
        <w:rPr>
          <w:rFonts w:hint="eastAsia" w:ascii="宋体" w:hAnsi="宋体" w:eastAsia="宋体" w:cs="宋体"/>
          <w:color w:val="auto"/>
          <w:sz w:val="24"/>
          <w:szCs w:val="24"/>
          <w:lang w:eastAsia="zh-CN"/>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10.2.1 货物主要技术指标和性能的详细说明及实现的功能或者目标；</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10.2.2</w:t>
      </w:r>
      <w:r>
        <w:rPr>
          <w:rFonts w:hint="eastAsia" w:ascii="宋体" w:hAnsi="宋体" w:eastAsia="宋体" w:cs="宋体"/>
          <w:color w:val="auto"/>
          <w:sz w:val="24"/>
          <w:szCs w:val="24"/>
        </w:rPr>
        <w:tab/>
      </w:r>
      <w:r>
        <w:rPr>
          <w:rFonts w:hint="eastAsia" w:ascii="宋体" w:hAnsi="宋体" w:eastAsia="宋体" w:cs="宋体"/>
          <w:color w:val="auto"/>
          <w:sz w:val="24"/>
          <w:szCs w:val="24"/>
        </w:rPr>
        <w:t>货物从买方开始使用至招标文件规定的保质期内正常、连续地使用所</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必须的备件和专用工具清单，包括备件和专用工具的货源及现行价格；</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10.2.3</w:t>
      </w:r>
      <w:r>
        <w:rPr>
          <w:rFonts w:hint="eastAsia" w:ascii="宋体" w:hAnsi="宋体" w:eastAsia="宋体" w:cs="宋体"/>
          <w:color w:val="auto"/>
          <w:sz w:val="24"/>
          <w:szCs w:val="24"/>
        </w:rPr>
        <w:tab/>
      </w:r>
      <w:r>
        <w:rPr>
          <w:rFonts w:hint="eastAsia" w:ascii="宋体" w:hAnsi="宋体" w:eastAsia="宋体" w:cs="宋体"/>
          <w:color w:val="auto"/>
          <w:sz w:val="24"/>
          <w:szCs w:val="24"/>
        </w:rPr>
        <w:t>对照招标文件技术规格，逐条说明所提供货物及伴随的工程和服务已</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对招标文件的技术规格做出了实质性的响应，或申明与技术规格条文的偏差和</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例外。</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10.3投标人应注意采购人在技术规格中指出的工艺、材料和设备的参照品牌型</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号仅起说明作用，并没有任何倾向性或限制性。采购人、采购代理机构承诺不</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以上述参照品牌型号作为评标时判定其投标是否有效的标准。任何品牌的供应</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商均可依法参加本项目的采购活动。</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10.4 本条所指证明文件不包括对招标文件相关部分的文字、图标的复制。</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80" w:name="_Toc23231"/>
      <w:bookmarkStart w:id="81" w:name="_Toc2248"/>
      <w:bookmarkStart w:id="82" w:name="_Toc515647770"/>
      <w:bookmarkStart w:id="83" w:name="_Toc2582276"/>
      <w:bookmarkStart w:id="84" w:name="_Toc520356155"/>
      <w:bookmarkStart w:id="85" w:name="_Toc532473462"/>
      <w:r>
        <w:rPr>
          <w:rFonts w:hint="eastAsia" w:ascii="宋体" w:hAnsi="宋体" w:eastAsia="宋体" w:cs="宋体"/>
          <w:color w:val="auto"/>
          <w:sz w:val="24"/>
          <w:szCs w:val="24"/>
          <w:u w:val="none"/>
        </w:rPr>
        <w:t>11.投标报价</w:t>
      </w:r>
      <w:bookmarkEnd w:id="80"/>
      <w:bookmarkEnd w:id="81"/>
      <w:bookmarkEnd w:id="82"/>
      <w:bookmarkEnd w:id="83"/>
      <w:bookmarkEnd w:id="84"/>
      <w:bookmarkEnd w:id="85"/>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11.1投标人的报价应当包括满足本次招标全部采购需求所应提供的货物，以及</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伴随的服务和工程。所有投标均应以人民币报价。</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11.2投标人应在价格明细表上标明投标货物及相关服务的单价（如适用）和总</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价，并由法定代表人或其授权代表签署。</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11.3价格明细表上的价格应包括：投标货物（包括备品备件、专用工具等）的</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价格（包括已在中国国内的进口货物完税后的仓库交货价、展室交货价或货架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交货价），投标货物运输（含保险）、安装（如有）、调试、检验、技术服务、</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培训和招标文件要求提供的所有伴随服务、工程等费用；</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11.4投标人所报的价格明细在合同履行过程中是固定不变的，不得以任何理由</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予以变更。任何包含价格调整要求的投标，其投标将被认定为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11.5采购人不接受具有附加条件的报价或多个方案的报价。</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86" w:name="_Toc11514"/>
      <w:bookmarkStart w:id="87" w:name="_Toc532473463"/>
      <w:bookmarkStart w:id="88" w:name="_Toc2582277"/>
      <w:bookmarkStart w:id="89" w:name="_Toc17788"/>
      <w:bookmarkStart w:id="90" w:name="_Toc515647771"/>
      <w:bookmarkStart w:id="91" w:name="_Toc520356156"/>
      <w:bookmarkStart w:id="92" w:name="_Ref467306513"/>
      <w:r>
        <w:rPr>
          <w:rFonts w:hint="eastAsia" w:ascii="宋体" w:hAnsi="宋体" w:eastAsia="宋体" w:cs="宋体"/>
          <w:color w:val="auto"/>
          <w:sz w:val="24"/>
          <w:szCs w:val="24"/>
          <w:u w:val="none"/>
        </w:rPr>
        <w:t>12.投标保证金</w:t>
      </w:r>
      <w:bookmarkEnd w:id="86"/>
      <w:bookmarkEnd w:id="87"/>
      <w:bookmarkEnd w:id="88"/>
      <w:bookmarkEnd w:id="89"/>
      <w:bookmarkEnd w:id="90"/>
      <w:bookmarkEnd w:id="91"/>
      <w:bookmarkEnd w:id="92"/>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bookmarkStart w:id="93" w:name="_Ref467306302"/>
      <w:r>
        <w:rPr>
          <w:rFonts w:hint="eastAsia" w:ascii="宋体" w:hAnsi="宋体" w:eastAsia="宋体" w:cs="宋体"/>
          <w:color w:val="auto"/>
          <w:sz w:val="24"/>
          <w:szCs w:val="24"/>
        </w:rPr>
        <w:t>12.1保证金是投标文件的组成部分。本项目要求投标人提交投标保证金的，应当在招标文件中明确保证金的数额及缴纳形式。</w:t>
      </w:r>
    </w:p>
    <w:p>
      <w:pPr>
        <w:pStyle w:val="4"/>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12.2 投标人未在规定时间内缴纳保证金或保证金数额不足以及未按招标文件规定交纳保证金的，其投标将被认定</w:t>
      </w:r>
      <w:r>
        <w:rPr>
          <w:rFonts w:hint="eastAsia" w:ascii="宋体" w:hAnsi="宋体" w:eastAsia="宋体" w:cs="宋体"/>
          <w:color w:val="auto"/>
          <w:sz w:val="24"/>
          <w:szCs w:val="24"/>
        </w:rPr>
        <w:t>为投标无效。</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12.3 采购人或者采购代理机构应当自中标通知书发出之日起5个工作日内退还未中标人的投标保证金；自采购合同签订之日起5个工作日内退还中标人的投标保证金。</w:t>
      </w:r>
    </w:p>
    <w:bookmarkEnd w:id="93"/>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94" w:name="_Toc515647772"/>
      <w:bookmarkStart w:id="95" w:name="_Toc23590"/>
      <w:bookmarkStart w:id="96" w:name="_Toc32569"/>
      <w:bookmarkStart w:id="97" w:name="_Toc2582278"/>
      <w:bookmarkStart w:id="98" w:name="_Toc532473464"/>
      <w:bookmarkStart w:id="99" w:name="_Toc520356157"/>
      <w:r>
        <w:rPr>
          <w:rFonts w:hint="eastAsia" w:ascii="宋体" w:hAnsi="宋体" w:eastAsia="宋体" w:cs="宋体"/>
          <w:color w:val="auto"/>
          <w:sz w:val="24"/>
          <w:szCs w:val="24"/>
          <w:u w:val="none"/>
        </w:rPr>
        <w:t>13.投标有效期</w:t>
      </w:r>
      <w:bookmarkEnd w:id="94"/>
      <w:bookmarkEnd w:id="95"/>
      <w:bookmarkEnd w:id="96"/>
      <w:bookmarkEnd w:id="97"/>
      <w:bookmarkEnd w:id="98"/>
      <w:bookmarkEnd w:id="99"/>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13.1 投标应在</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中规定时间内保持有效。投标有效期不满足</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要求的投标，其投标将被认定为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13.2因特殊原因，采购人或采购代理机构可在原投标有效期截止之前，要求投</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标人延长投标文件的有效期。接受该要求的投标人将不会被要求和允许修正其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投标。投标人也可以拒绝延长投标有效期的要求，且不承担任何责任。</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00" w:name="_Toc17074"/>
      <w:bookmarkStart w:id="101" w:name="_Toc493"/>
      <w:bookmarkStart w:id="102" w:name="_Toc520356158"/>
      <w:bookmarkStart w:id="103" w:name="_Toc532473465"/>
      <w:bookmarkStart w:id="104" w:name="_Toc515647773"/>
      <w:bookmarkStart w:id="105" w:name="_Toc2582279"/>
      <w:r>
        <w:rPr>
          <w:rFonts w:hint="eastAsia" w:ascii="宋体" w:hAnsi="宋体" w:eastAsia="宋体" w:cs="宋体"/>
          <w:color w:val="auto"/>
          <w:sz w:val="24"/>
          <w:szCs w:val="24"/>
          <w:u w:val="none"/>
        </w:rPr>
        <w:t>14.投标文件的</w:t>
      </w:r>
      <w:bookmarkEnd w:id="100"/>
      <w:bookmarkEnd w:id="101"/>
      <w:bookmarkEnd w:id="102"/>
      <w:bookmarkEnd w:id="103"/>
      <w:bookmarkEnd w:id="104"/>
      <w:r>
        <w:rPr>
          <w:rFonts w:hint="eastAsia" w:ascii="宋体" w:hAnsi="宋体" w:eastAsia="宋体" w:cs="宋体"/>
          <w:color w:val="auto"/>
          <w:sz w:val="24"/>
          <w:szCs w:val="24"/>
          <w:u w:val="none"/>
        </w:rPr>
        <w:t>制作</w:t>
      </w:r>
      <w:bookmarkEnd w:id="105"/>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14.1投标人应按</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中的规定，准备和递交投标文件。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14.2投标文件需由投标人的法定代表人或经其正式委托代理人按招标文件规</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定在投标文件上签字并加盖鲜章。委托代理人须持有书面的“法定代表人授权</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委托书”，并将其附在投标文件中。未按招标文件要求签署和盖章的投标文件，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Cs w:val="28"/>
        </w:rPr>
      </w:pPr>
      <w:r>
        <w:rPr>
          <w:rFonts w:hint="eastAsia" w:ascii="宋体" w:hAnsi="宋体" w:eastAsia="宋体" w:cs="宋体"/>
          <w:color w:val="auto"/>
          <w:sz w:val="24"/>
          <w:szCs w:val="24"/>
        </w:rPr>
        <w:t>其投标将被认定为</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left="1200" w:hanging="1200" w:hangingChars="375"/>
        <w:textAlignment w:val="auto"/>
        <w:rPr>
          <w:rFonts w:hint="eastAsia" w:ascii="宋体" w:hAnsi="宋体" w:eastAsia="宋体" w:cs="宋体"/>
          <w:color w:val="auto"/>
          <w:sz w:val="32"/>
          <w:szCs w:val="32"/>
        </w:rPr>
      </w:pPr>
    </w:p>
    <w:p>
      <w:pPr>
        <w:pageBreakBefore w:val="0"/>
        <w:kinsoku/>
        <w:wordWrap/>
        <w:overflowPunct/>
        <w:topLinePunct w:val="0"/>
        <w:bidi w:val="0"/>
        <w:spacing w:line="560" w:lineRule="exact"/>
        <w:jc w:val="both"/>
        <w:textAlignment w:val="auto"/>
        <w:rPr>
          <w:rFonts w:hint="eastAsia" w:ascii="宋体" w:hAnsi="宋体" w:eastAsia="宋体" w:cs="宋体"/>
          <w:b/>
          <w:bCs/>
          <w:color w:val="auto"/>
          <w:sz w:val="32"/>
          <w:szCs w:val="32"/>
        </w:rPr>
      </w:pPr>
      <w:bookmarkStart w:id="106" w:name="_Toc11179"/>
      <w:bookmarkStart w:id="107" w:name="_Toc16865"/>
      <w:bookmarkStart w:id="108" w:name="_Toc515647774"/>
      <w:bookmarkStart w:id="109" w:name="_Toc520356159"/>
      <w:bookmarkStart w:id="110" w:name="_Toc532473466"/>
      <w:bookmarkStart w:id="111" w:name="_Toc216582808"/>
      <w:bookmarkStart w:id="112" w:name="_Toc2582280"/>
      <w:r>
        <w:rPr>
          <w:rFonts w:hint="eastAsia" w:ascii="宋体" w:hAnsi="宋体" w:eastAsia="宋体" w:cs="宋体"/>
          <w:b/>
          <w:bCs/>
          <w:color w:val="auto"/>
          <w:sz w:val="32"/>
          <w:szCs w:val="32"/>
        </w:rPr>
        <w:t>（四）投标文件的递交</w:t>
      </w:r>
      <w:bookmarkEnd w:id="106"/>
      <w:bookmarkEnd w:id="107"/>
      <w:bookmarkEnd w:id="108"/>
      <w:bookmarkEnd w:id="109"/>
      <w:bookmarkEnd w:id="110"/>
      <w:bookmarkEnd w:id="111"/>
      <w:bookmarkEnd w:id="112"/>
    </w:p>
    <w:p>
      <w:pPr>
        <w:pStyle w:val="6"/>
        <w:spacing w:before="0" w:after="0" w:line="560" w:lineRule="exact"/>
        <w:rPr>
          <w:rFonts w:hint="eastAsia" w:ascii="宋体" w:hAnsi="宋体" w:eastAsia="宋体" w:cs="宋体"/>
          <w:color w:val="auto"/>
          <w:sz w:val="24"/>
          <w:szCs w:val="24"/>
          <w:u w:val="none"/>
        </w:rPr>
      </w:pPr>
      <w:bookmarkStart w:id="113" w:name="_Toc21645"/>
      <w:bookmarkStart w:id="114" w:name="_Toc2582281"/>
      <w:bookmarkStart w:id="115" w:name="_Toc520356160"/>
      <w:bookmarkStart w:id="116" w:name="_Toc32337"/>
      <w:bookmarkStart w:id="117" w:name="_Toc515647775"/>
      <w:bookmarkStart w:id="118" w:name="_Toc532473467"/>
      <w:bookmarkStart w:id="119" w:name="_Toc532473468"/>
      <w:bookmarkStart w:id="120" w:name="_Toc9840"/>
      <w:bookmarkStart w:id="121" w:name="_Toc520356161"/>
      <w:bookmarkStart w:id="122" w:name="_Toc2582282"/>
      <w:bookmarkStart w:id="123" w:name="_Toc515647776"/>
      <w:bookmarkStart w:id="124" w:name="_Toc12751"/>
      <w:r>
        <w:rPr>
          <w:rFonts w:hint="eastAsia" w:ascii="宋体" w:hAnsi="宋体" w:eastAsia="宋体" w:cs="宋体"/>
          <w:color w:val="auto"/>
          <w:sz w:val="24"/>
          <w:szCs w:val="24"/>
          <w:u w:val="none"/>
        </w:rPr>
        <w:t>15.投标文件的密封和标记</w:t>
      </w:r>
      <w:bookmarkEnd w:id="113"/>
      <w:bookmarkEnd w:id="114"/>
      <w:bookmarkEnd w:id="115"/>
      <w:bookmarkEnd w:id="116"/>
      <w:bookmarkEnd w:id="117"/>
      <w:bookmarkEnd w:id="118"/>
    </w:p>
    <w:p>
      <w:pPr>
        <w:spacing w:line="560" w:lineRule="exact"/>
        <w:ind w:left="1050" w:hanging="900" w:hangingChars="375"/>
        <w:rPr>
          <w:rFonts w:hint="eastAsia" w:ascii="宋体" w:hAnsi="宋体" w:eastAsia="宋体" w:cs="宋体"/>
          <w:color w:val="auto"/>
          <w:sz w:val="24"/>
          <w:szCs w:val="24"/>
        </w:rPr>
      </w:pPr>
      <w:r>
        <w:rPr>
          <w:rFonts w:hint="eastAsia" w:ascii="宋体" w:hAnsi="宋体" w:eastAsia="宋体" w:cs="宋体"/>
          <w:color w:val="auto"/>
          <w:sz w:val="24"/>
          <w:szCs w:val="24"/>
        </w:rPr>
        <w:t>15.1 投标文件的制作应按照招标文件的要求进行制作并递交。投标文件应当</w:t>
      </w:r>
    </w:p>
    <w:p>
      <w:pPr>
        <w:spacing w:line="560" w:lineRule="exact"/>
        <w:ind w:left="1050" w:hanging="900" w:hangingChars="375"/>
        <w:rPr>
          <w:rFonts w:hint="eastAsia" w:ascii="宋体" w:hAnsi="宋体" w:eastAsia="宋体" w:cs="宋体"/>
          <w:color w:val="auto"/>
          <w:sz w:val="24"/>
          <w:szCs w:val="24"/>
        </w:rPr>
      </w:pPr>
      <w:r>
        <w:rPr>
          <w:rFonts w:hint="eastAsia" w:ascii="宋体" w:hAnsi="宋体" w:eastAsia="宋体" w:cs="宋体"/>
          <w:color w:val="auto"/>
          <w:sz w:val="24"/>
          <w:szCs w:val="24"/>
        </w:rPr>
        <w:t>用不能被他人知悉或更换投标文件内容的方式密封。</w:t>
      </w:r>
    </w:p>
    <w:p>
      <w:pPr>
        <w:spacing w:line="560" w:lineRule="exact"/>
        <w:ind w:left="1050" w:hanging="900" w:hangingChars="37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en-US" w:eastAsia="zh-CN"/>
        </w:rPr>
        <w:t>纸质投标文件密封和递交要求：（注明招标公告中指明的项目名称、项</w:t>
      </w:r>
    </w:p>
    <w:p>
      <w:pPr>
        <w:spacing w:line="560" w:lineRule="exact"/>
        <w:ind w:left="1050" w:hanging="900" w:hangingChars="37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目编号、标段名称及标段号（如有）、投标人名称和“在（开标时间）之前不</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得启封”的字样。</w:t>
      </w:r>
      <w:r>
        <w:rPr>
          <w:rFonts w:hint="eastAsia" w:ascii="宋体" w:hAnsi="宋体" w:eastAsia="宋体" w:cs="宋体"/>
          <w:color w:val="auto"/>
          <w:sz w:val="24"/>
          <w:szCs w:val="24"/>
          <w:u w:val="none"/>
          <w:lang w:val="en-US" w:eastAsia="zh-CN"/>
        </w:rPr>
        <w:t>）</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15.3电子投标文件密封和递交要求：</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15.3.1如须递交纸质投标文件，纸质投标文件须以网上递交的加盖了电子印章</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的数据文件和PDF投标文件为准，根据投标人须知前附表第15项要求打印并</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补盖实物印章，采用胶订方式牢固装订成册，不可活页装订，用于纸质存档。</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如纸质投标文件与电子版投标文件不一致时，以电子版为主。</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15.3.2加盖了电子印章的电子投标文件和数据文件须在电子交易平台的标书</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递交界面进行提交，提交前系统会自动在本地进行加密和数字签名，加密和数</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字签名后的文件除了会上传到系统中之外还会同步保存到本地计算机。</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15.3.3投标人应在</w:t>
      </w:r>
      <w:r>
        <w:rPr>
          <w:rFonts w:hint="eastAsia" w:ascii="宋体" w:hAnsi="宋体" w:eastAsia="宋体" w:cs="宋体"/>
          <w:color w:val="auto"/>
          <w:sz w:val="24"/>
          <w:szCs w:val="24"/>
          <w:u w:val="single"/>
          <w:lang w:val="en-US" w:eastAsia="zh-CN"/>
        </w:rPr>
        <w:t>投标须知前附表</w:t>
      </w:r>
      <w:r>
        <w:rPr>
          <w:rFonts w:hint="eastAsia" w:ascii="宋体" w:hAnsi="宋体" w:eastAsia="宋体" w:cs="宋体"/>
          <w:color w:val="auto"/>
          <w:sz w:val="24"/>
          <w:szCs w:val="24"/>
          <w:u w:val="none"/>
          <w:lang w:val="en-US" w:eastAsia="zh-CN"/>
        </w:rPr>
        <w:t>规定的时间前在网上递交投标文件和数据</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文件。投标人应充分评估集中投标带来的网络影响，尽量避开投标高峰时间，</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错峰进行电子投标，投标是否成功以交易平台的具体显示为准，系统以收到供</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应商发出的递交指令的时间作为其投标时间，如该时间超过投标截止时间，其</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投标将会被判定为无效。</w:t>
      </w:r>
    </w:p>
    <w:p>
      <w:pPr>
        <w:spacing w:line="560" w:lineRule="exact"/>
        <w:ind w:left="1050" w:right="-280" w:rightChars="-10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15.3.4投标人须牢记投标加密密码，该密码将用于开标时解密其电子投标文</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件，如忘记密码或输入错误密码超过10次，其递交的电子投标文件将无法解</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密，导致无法提取数据和供他人阅读文件，致使其投标失败。</w:t>
      </w:r>
    </w:p>
    <w:p>
      <w:pPr>
        <w:spacing w:line="560" w:lineRule="exact"/>
        <w:ind w:left="1050" w:right="-280" w:rightChars="-10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15.3.5除</w:t>
      </w:r>
      <w:r>
        <w:rPr>
          <w:rFonts w:hint="eastAsia" w:ascii="宋体" w:hAnsi="宋体" w:eastAsia="宋体" w:cs="宋体"/>
          <w:color w:val="auto"/>
          <w:sz w:val="24"/>
          <w:szCs w:val="24"/>
          <w:u w:val="single"/>
          <w:lang w:val="en-US" w:eastAsia="zh-CN"/>
        </w:rPr>
        <w:t>投标须知前附表</w:t>
      </w:r>
      <w:r>
        <w:rPr>
          <w:rFonts w:hint="eastAsia" w:ascii="宋体" w:hAnsi="宋体" w:eastAsia="宋体" w:cs="宋体"/>
          <w:color w:val="auto"/>
          <w:sz w:val="24"/>
          <w:szCs w:val="24"/>
          <w:u w:val="none"/>
          <w:lang w:val="en-US" w:eastAsia="zh-CN"/>
        </w:rPr>
        <w:t>另有规定外，采购人或采购代理机构拒绝接收纸质投</w:t>
      </w:r>
    </w:p>
    <w:p>
      <w:pPr>
        <w:spacing w:line="560" w:lineRule="exact"/>
        <w:ind w:left="105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标文件。</w:t>
      </w:r>
    </w:p>
    <w:p>
      <w:pPr>
        <w:spacing w:line="560" w:lineRule="exact"/>
        <w:ind w:left="1050" w:right="0" w:rightChars="0" w:hanging="900" w:hangingChars="37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15.3.6除</w:t>
      </w:r>
      <w:r>
        <w:rPr>
          <w:rFonts w:hint="eastAsia" w:ascii="宋体" w:hAnsi="宋体" w:eastAsia="宋体" w:cs="宋体"/>
          <w:color w:val="auto"/>
          <w:sz w:val="24"/>
          <w:szCs w:val="24"/>
          <w:u w:val="single"/>
          <w:lang w:val="en-US" w:eastAsia="zh-CN"/>
        </w:rPr>
        <w:t>投标须知前附表</w:t>
      </w:r>
      <w:r>
        <w:rPr>
          <w:rFonts w:hint="eastAsia" w:ascii="宋体" w:hAnsi="宋体" w:eastAsia="宋体" w:cs="宋体"/>
          <w:color w:val="auto"/>
          <w:sz w:val="24"/>
          <w:szCs w:val="24"/>
          <w:u w:val="none"/>
          <w:lang w:val="en-US" w:eastAsia="zh-CN"/>
        </w:rPr>
        <w:t>另有规定外，投标人所递交的电子投标文件不予退</w:t>
      </w:r>
    </w:p>
    <w:p>
      <w:pPr>
        <w:spacing w:line="560" w:lineRule="exact"/>
        <w:ind w:left="1050" w:right="0" w:rightChars="0" w:hanging="900" w:hangingChars="375"/>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还。</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16.投标截止</w:t>
      </w:r>
      <w:bookmarkEnd w:id="119"/>
      <w:bookmarkEnd w:id="120"/>
      <w:bookmarkEnd w:id="121"/>
      <w:bookmarkEnd w:id="122"/>
      <w:bookmarkEnd w:id="123"/>
      <w:bookmarkEnd w:id="124"/>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16.1投标人应在</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中规定的截止时间前，将投标文件递交到招</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标公告中规定的地点。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16.2采购人和采购代理机构将拒绝接收在投标截止时间后送达投标文件。</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25" w:name="_Toc24275"/>
      <w:bookmarkStart w:id="126" w:name="_Toc520356162"/>
      <w:bookmarkStart w:id="127" w:name="_Toc532473469"/>
      <w:bookmarkStart w:id="128" w:name="_Toc18537"/>
      <w:bookmarkStart w:id="129" w:name="_Toc515647777"/>
      <w:bookmarkStart w:id="130" w:name="_Toc2582283"/>
      <w:r>
        <w:rPr>
          <w:rFonts w:hint="eastAsia" w:ascii="宋体" w:hAnsi="宋体" w:eastAsia="宋体" w:cs="宋体"/>
          <w:color w:val="auto"/>
          <w:sz w:val="24"/>
          <w:szCs w:val="24"/>
          <w:u w:val="none"/>
        </w:rPr>
        <w:t>17.投标文件的接收、修改与撤回</w:t>
      </w:r>
      <w:bookmarkEnd w:id="125"/>
      <w:bookmarkEnd w:id="126"/>
      <w:bookmarkEnd w:id="127"/>
      <w:bookmarkEnd w:id="128"/>
      <w:bookmarkEnd w:id="129"/>
      <w:bookmarkEnd w:id="130"/>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17.1采购人和采购代理机构将按招标文件规定的时间和地点接收投标文件。</w:t>
      </w:r>
    </w:p>
    <w:p>
      <w:pPr>
        <w:pageBreakBefore w:val="0"/>
        <w:kinsoku/>
        <w:wordWrap/>
        <w:overflowPunct/>
        <w:topLinePunct w:val="0"/>
        <w:bidi w:val="0"/>
        <w:spacing w:line="560" w:lineRule="exact"/>
        <w:ind w:left="980" w:hanging="840" w:hanging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17.2递交投标文件以后，如果投标人要进行修改，须在投标截止时间前提出申</w:t>
      </w:r>
    </w:p>
    <w:p>
      <w:pPr>
        <w:pageBreakBefore w:val="0"/>
        <w:kinsoku/>
        <w:wordWrap/>
        <w:overflowPunct/>
        <w:topLinePunct w:val="0"/>
        <w:bidi w:val="0"/>
        <w:spacing w:line="560" w:lineRule="exact"/>
        <w:ind w:left="980" w:hanging="840" w:hanging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请，投标人对投标文件的修改申请应按本须知规定编制、签署、密封。采购人</w:t>
      </w:r>
    </w:p>
    <w:p>
      <w:pPr>
        <w:pageBreakBefore w:val="0"/>
        <w:kinsoku/>
        <w:wordWrap/>
        <w:overflowPunct/>
        <w:topLinePunct w:val="0"/>
        <w:bidi w:val="0"/>
        <w:spacing w:line="560" w:lineRule="exact"/>
        <w:ind w:left="980" w:hanging="840" w:hanging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和采购代理机构将予以接收，并视为投标文件的组成部分。</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递交投标文件以后，如果投标人要进行撤回的，须在投标截止时间前提出申请，采购人和采购代理机构将予以接受。</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17.3在投标截止时间之后，投标人不得对其投标文件做任何修改。</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17.4除投标人不足3家未开标外，采购人和采购代理机构对所接收投标文件概</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不退回。</w:t>
      </w:r>
      <w:bookmarkStart w:id="131" w:name="_Toc532473470"/>
      <w:bookmarkStart w:id="132" w:name="_Toc520356163"/>
      <w:bookmarkStart w:id="133" w:name="_Toc12436"/>
      <w:bookmarkStart w:id="134" w:name="_Toc216582809"/>
      <w:bookmarkStart w:id="135" w:name="_Toc2582284"/>
      <w:bookmarkStart w:id="136" w:name="_Toc515647778"/>
      <w:bookmarkStart w:id="137" w:name="_Toc28398"/>
    </w:p>
    <w:p>
      <w:pPr>
        <w:pStyle w:val="9"/>
        <w:rPr>
          <w:rFonts w:hint="eastAsia"/>
        </w:rPr>
      </w:pPr>
    </w:p>
    <w:p>
      <w:pPr>
        <w:pageBreakBefore w:val="0"/>
        <w:numPr>
          <w:ilvl w:val="0"/>
          <w:numId w:val="1"/>
        </w:numPr>
        <w:kinsoku/>
        <w:wordWrap/>
        <w:overflowPunct/>
        <w:topLinePunct w:val="0"/>
        <w:bidi w:val="0"/>
        <w:spacing w:line="560" w:lineRule="exact"/>
        <w:jc w:val="both"/>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开标及评标</w:t>
      </w:r>
      <w:bookmarkEnd w:id="131"/>
      <w:bookmarkEnd w:id="132"/>
      <w:bookmarkEnd w:id="133"/>
      <w:bookmarkEnd w:id="134"/>
      <w:bookmarkEnd w:id="135"/>
      <w:bookmarkEnd w:id="136"/>
      <w:bookmarkEnd w:id="137"/>
      <w:bookmarkStart w:id="138" w:name="_Toc520356164"/>
      <w:bookmarkStart w:id="139" w:name="_Toc532473471"/>
      <w:bookmarkStart w:id="140" w:name="_Toc2582285"/>
      <w:bookmarkStart w:id="141" w:name="_Toc515647779"/>
      <w:bookmarkStart w:id="142" w:name="_Toc25345"/>
      <w:bookmarkStart w:id="143" w:name="_Toc7186"/>
    </w:p>
    <w:p>
      <w:pPr>
        <w:pageBreakBefore w:val="0"/>
        <w:numPr>
          <w:ilvl w:val="0"/>
          <w:numId w:val="0"/>
        </w:numPr>
        <w:kinsoku/>
        <w:wordWrap/>
        <w:overflowPunct/>
        <w:topLinePunct w:val="0"/>
        <w:bidi w:val="0"/>
        <w:spacing w:line="560" w:lineRule="exact"/>
        <w:jc w:val="both"/>
        <w:textAlignment w:val="auto"/>
        <w:rPr>
          <w:rFonts w:hint="eastAsia" w:ascii="宋体" w:hAnsi="宋体" w:eastAsia="宋体" w:cs="宋体"/>
          <w:b/>
          <w:color w:val="auto"/>
          <w:kern w:val="0"/>
          <w:sz w:val="24"/>
          <w:szCs w:val="24"/>
          <w:u w:val="none"/>
          <w:lang w:val="en-US" w:eastAsia="zh-CN" w:bidi="ar-SA"/>
        </w:rPr>
      </w:pPr>
      <w:r>
        <w:rPr>
          <w:rFonts w:hint="eastAsia" w:ascii="宋体" w:hAnsi="宋体" w:eastAsia="宋体" w:cs="宋体"/>
          <w:b/>
          <w:color w:val="auto"/>
          <w:kern w:val="0"/>
          <w:sz w:val="24"/>
          <w:szCs w:val="24"/>
          <w:u w:val="none"/>
          <w:lang w:val="en-US" w:eastAsia="zh-CN" w:bidi="ar-SA"/>
        </w:rPr>
        <w:t>18.开标</w:t>
      </w:r>
      <w:bookmarkEnd w:id="138"/>
      <w:bookmarkEnd w:id="139"/>
      <w:bookmarkEnd w:id="140"/>
      <w:bookmarkEnd w:id="141"/>
      <w:bookmarkEnd w:id="142"/>
      <w:bookmarkEnd w:id="143"/>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18.1 采购人和采购代理机构将按供应商须知前附表中规定的开标时间和地点</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组织开标，并邀请所有投标人代表参加。投标人不足3家的，不予开标。评标</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委员会成员不得参加开标活动。</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18.2 开标时，采购人或者采购代理机构公布投标人名单，介绍参加开标的人</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员，宣布工作人员，宣读投标人在开标一览表中所填写的全部内容。未宣读的</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投标价格、价格折扣等实质内容，评标时不予承认。</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18.3 采购人或采购代理机构将对开标过程进行记录</w:t>
      </w:r>
      <w:bookmarkStart w:id="144" w:name="_Toc520356165"/>
      <w:r>
        <w:rPr>
          <w:rFonts w:hint="eastAsia" w:ascii="宋体" w:hAnsi="宋体" w:eastAsia="宋体" w:cs="宋体"/>
          <w:color w:val="auto"/>
          <w:sz w:val="24"/>
          <w:szCs w:val="24"/>
        </w:rPr>
        <w:t>，由参加开标的各投标人</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代表和相关工作人员签字确认，并存档备查。投标人未派代表参加开标的，视</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同投标人认可开标结果。</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18.4 投标人代表对开标过程和开标记录有疑义，以及认为开标现场采购人、</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采购代理机构相关工作人员有需要回避的情形的，应当场提出询问或者回避申</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请。</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b w:val="0"/>
          <w:bCs w:val="0"/>
          <w:color w:val="auto"/>
          <w:sz w:val="24"/>
          <w:szCs w:val="24"/>
          <w:highlight w:val="yellow"/>
        </w:rPr>
      </w:pPr>
      <w:r>
        <w:rPr>
          <w:rFonts w:hint="eastAsia" w:ascii="宋体" w:hAnsi="宋体" w:eastAsia="宋体" w:cs="宋体"/>
          <w:color w:val="auto"/>
          <w:sz w:val="24"/>
          <w:szCs w:val="24"/>
        </w:rPr>
        <w:t>18.5 其他开标要求：无</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45" w:name="_Toc21372"/>
      <w:bookmarkStart w:id="146" w:name="_Toc532473472"/>
      <w:bookmarkStart w:id="147" w:name="_Toc515647780"/>
      <w:bookmarkStart w:id="148" w:name="_Toc19296"/>
      <w:bookmarkStart w:id="149" w:name="_Toc2582286"/>
      <w:r>
        <w:rPr>
          <w:rFonts w:hint="eastAsia" w:ascii="宋体" w:hAnsi="宋体" w:eastAsia="宋体" w:cs="宋体"/>
          <w:color w:val="auto"/>
          <w:sz w:val="24"/>
          <w:szCs w:val="24"/>
          <w:u w:val="none"/>
        </w:rPr>
        <w:t>19.</w:t>
      </w:r>
      <w:bookmarkEnd w:id="144"/>
      <w:r>
        <w:rPr>
          <w:rFonts w:hint="eastAsia" w:ascii="宋体" w:hAnsi="宋体" w:eastAsia="宋体" w:cs="宋体"/>
          <w:color w:val="auto"/>
          <w:sz w:val="24"/>
          <w:szCs w:val="24"/>
          <w:u w:val="none"/>
        </w:rPr>
        <w:t>资格审查及组建评标委员会</w:t>
      </w:r>
      <w:bookmarkEnd w:id="145"/>
      <w:bookmarkEnd w:id="146"/>
      <w:bookmarkEnd w:id="147"/>
      <w:bookmarkEnd w:id="148"/>
      <w:bookmarkEnd w:id="149"/>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19.1 采购人或采购代理机构依据法律法规和招标文件中规定的内容，对投标</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人及其投标货物的资格进行审查，未通过资格审查的投标人不进入评标。合格</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投标人不足三家的，不得评标。</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19.2 采购人或采购代理机构将按</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中规定的时间查询投标人</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的信用记录。</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19.2.1投标人在中国政府采购网（www.ccgp.gov.cn）被列入政府采购严重违</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法失信行为记录名单，或在“信用中国”网站（www.creditchina.gov.cn）被</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列入失信被执行人、重大税收违法案件当事人名单，以及存在《中华人民共和</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国政府采购法实施条例》第十九条规定的行政处罚记录，投标将被认定为</w:t>
      </w:r>
      <w:r>
        <w:rPr>
          <w:rFonts w:hint="eastAsia" w:ascii="宋体" w:hAnsi="宋体" w:eastAsia="宋体" w:cs="宋体"/>
          <w:b/>
          <w:bCs/>
          <w:color w:val="auto"/>
          <w:sz w:val="24"/>
          <w:szCs w:val="24"/>
        </w:rPr>
        <w:t>投标</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以联合体形式参加投标的，联合体任何成员存在以上不良信用记录的，联合体投标将被认定为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Style w:val="5"/>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19.2.2 采购人或采购代理机构经办人将查询网页存档备查。投标人不良信用</w:t>
      </w:r>
    </w:p>
    <w:p>
      <w:pPr>
        <w:pStyle w:val="5"/>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记录以采购人或采购代理机构查询结果为准。投标人自行提供的与网站信息不</w:t>
      </w:r>
    </w:p>
    <w:p>
      <w:pPr>
        <w:pStyle w:val="5"/>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一致的其他证明材料亦不作为资格审查依据。</w:t>
      </w:r>
    </w:p>
    <w:p>
      <w:pPr>
        <w:pStyle w:val="5"/>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在本招标文件规定的查询时间之外，网站信息发生的任何变更均不作为资格审查依据。</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19.3 按照《中华人民共和国政府采购法》、《中华人民共和国政府采购法实</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施条例》及本项目本级和上级财政部门的有关规定依法组建的评标委员会，负</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责评标工作。</w:t>
      </w:r>
      <w:bookmarkStart w:id="150" w:name="_Toc520356166"/>
    </w:p>
    <w:p>
      <w:pPr>
        <w:pStyle w:val="4"/>
        <w:pageBreakBefore w:val="0"/>
        <w:kinsoku/>
        <w:wordWrap/>
        <w:overflowPunct/>
        <w:topLinePunct w:val="0"/>
        <w:bidi w:val="0"/>
        <w:spacing w:before="0" w:after="0" w:line="5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19.3.1 评标委员会由采购人代表和评审专家组成，成员人数应当为5人以上单数，其中评审专家不得少于成员总数的三分之二。</w:t>
      </w: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rPr>
        <w:t>19.3.2 评标委员会成员名称在评标结果公告前应当保密。</w:t>
      </w:r>
    </w:p>
    <w:p>
      <w:pPr>
        <w:pStyle w:val="6"/>
        <w:pageBreakBefore w:val="0"/>
        <w:kinsoku/>
        <w:wordWrap/>
        <w:overflowPunct/>
        <w:topLinePunct w:val="0"/>
        <w:bidi w:val="0"/>
        <w:spacing w:before="0" w:after="0" w:line="560" w:lineRule="exact"/>
        <w:textAlignment w:val="auto"/>
        <w:rPr>
          <w:rFonts w:hint="eastAsia" w:ascii="宋体" w:hAnsi="宋体" w:eastAsia="宋体" w:cs="宋体"/>
          <w:b w:val="0"/>
          <w:bCs/>
          <w:color w:val="auto"/>
          <w:sz w:val="24"/>
          <w:szCs w:val="24"/>
          <w:bdr w:val="single" w:color="auto" w:sz="4" w:space="0"/>
        </w:rPr>
      </w:pPr>
      <w:bookmarkStart w:id="151" w:name="_Toc515647781"/>
      <w:bookmarkStart w:id="152" w:name="_Toc19949"/>
      <w:bookmarkStart w:id="153" w:name="_Toc2582287"/>
      <w:bookmarkStart w:id="154" w:name="_Toc532473473"/>
      <w:bookmarkStart w:id="155" w:name="_Toc28479"/>
      <w:r>
        <w:rPr>
          <w:rFonts w:hint="eastAsia" w:ascii="宋体" w:hAnsi="宋体" w:eastAsia="宋体" w:cs="宋体"/>
          <w:color w:val="auto"/>
          <w:sz w:val="24"/>
          <w:szCs w:val="24"/>
          <w:u w:val="none"/>
        </w:rPr>
        <w:t>20.投标文件</w:t>
      </w:r>
      <w:bookmarkEnd w:id="150"/>
      <w:r>
        <w:rPr>
          <w:rFonts w:hint="eastAsia" w:ascii="宋体" w:hAnsi="宋体" w:eastAsia="宋体" w:cs="宋体"/>
          <w:color w:val="auto"/>
          <w:sz w:val="24"/>
          <w:szCs w:val="24"/>
          <w:u w:val="none"/>
        </w:rPr>
        <w:t>符合性审查与澄清</w:t>
      </w:r>
      <w:bookmarkEnd w:id="151"/>
      <w:bookmarkEnd w:id="152"/>
      <w:bookmarkEnd w:id="153"/>
      <w:bookmarkEnd w:id="154"/>
      <w:bookmarkEnd w:id="155"/>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20.1 </w:t>
      </w:r>
      <w:bookmarkStart w:id="156" w:name="_Hlt522424701"/>
      <w:bookmarkEnd w:id="156"/>
      <w:bookmarkStart w:id="157" w:name="_Toc520356167"/>
      <w:r>
        <w:rPr>
          <w:rFonts w:hint="eastAsia" w:ascii="宋体" w:hAnsi="宋体" w:eastAsia="宋体" w:cs="宋体"/>
          <w:color w:val="auto"/>
          <w:sz w:val="24"/>
          <w:szCs w:val="24"/>
        </w:rPr>
        <w:t>符合性审查是指依据招标文件的规定，从商务和技术角度对投标文件的</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有效性和完整性进行审查，以确定是否对招标文件的实质性要求做出响应。</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20.2投标文件的澄清</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20.2.1 在评标期间，评标委员会要求投标人对其投标文件中含义不明确、对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同类问题表述不一致或者有明显文字和计算错误的内容，以及评标委员会认为</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投标人的报价明显低于其他通过符合性审查投标人的报价，有可能影响履约的</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情况作必要的澄清、说明或补正。</w:t>
      </w:r>
    </w:p>
    <w:p>
      <w:pPr>
        <w:pageBreakBefore w:val="0"/>
        <w:kinsoku/>
        <w:wordWrap/>
        <w:overflowPunct/>
        <w:topLinePunct w:val="0"/>
        <w:bidi w:val="0"/>
        <w:spacing w:line="560" w:lineRule="exact"/>
        <w:ind w:left="896" w:leftChars="170" w:hanging="420" w:hanging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投标人的澄清、说明或补正应在评标委员会规定的时间内进行，并不得超</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出投标文件范围或者改变投标文件的实质性内容。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20.2.2 投标人的澄清、说明或补正将作为投标文件的一部分。</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20.3 投标文件报价出现前后不一致的，按照下列规定修正：</w:t>
      </w:r>
    </w:p>
    <w:p>
      <w:pPr>
        <w:pageBreakBefore w:val="0"/>
        <w:kinsoku/>
        <w:wordWrap/>
        <w:overflowPunct/>
        <w:topLinePunct w:val="0"/>
        <w:bidi w:val="0"/>
        <w:spacing w:line="560" w:lineRule="exact"/>
        <w:ind w:left="884" w:leftChars="99" w:hanging="607" w:hangingChars="25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（1）投标文件中开标一览表（报价表）内容与投标文件中相应内容不一致</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的，以开标一览表（报价表）为准；</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（2）大写金额和小写金额不一致的，以大写金额为准；</w:t>
      </w:r>
    </w:p>
    <w:p>
      <w:pPr>
        <w:pageBreakBefore w:val="0"/>
        <w:kinsoku/>
        <w:wordWrap/>
        <w:overflowPunct/>
        <w:topLinePunct w:val="0"/>
        <w:bidi w:val="0"/>
        <w:spacing w:line="56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（3）单价金额小数点或者百分比有明显错位的，以开标一览表的总价为准，</w:t>
      </w:r>
    </w:p>
    <w:p>
      <w:pPr>
        <w:pageBreakBefore w:val="0"/>
        <w:kinsoku/>
        <w:wordWrap/>
        <w:overflowPunct/>
        <w:topLinePunct w:val="0"/>
        <w:bidi w:val="0"/>
        <w:spacing w:line="560" w:lineRule="exact"/>
        <w:ind w:left="991" w:hanging="849" w:hangingChars="3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并修改单价；</w:t>
      </w:r>
    </w:p>
    <w:p>
      <w:pPr>
        <w:pageBreakBefore w:val="0"/>
        <w:numPr>
          <w:ilvl w:val="0"/>
          <w:numId w:val="2"/>
        </w:numPr>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总价金额与按单价汇总金额不一致的，以单价金额计算结果为准。</w:t>
      </w:r>
    </w:p>
    <w:p>
      <w:pPr>
        <w:pageBreakBefore w:val="0"/>
        <w:kinsoku/>
        <w:wordWrap/>
        <w:overflowPunct/>
        <w:topLinePunct w:val="0"/>
        <w:bidi w:val="0"/>
        <w:spacing w:line="560" w:lineRule="exact"/>
        <w:ind w:left="840" w:leftChars="170" w:hanging="364" w:hangingChars="15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同时出现两种以上不一致的，按照前款规定的顺序修正。</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20.4 如本项目只有一种产品，不同投标人所投产品为同一品牌的，按如下方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式处理：</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20.4.1 如本项目使用最低评标价法，提供相同品牌产品的不同投标人以其中</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通过资格审查、符合性审查且报价最低的参加评标；报价相同的，由采购人或</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者采购人委托评标委员会按照招标文件中评标办法规定的方式确定一个参加</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评标的投标人；未规定的采取随机抽取方式确定，其他投标将被认定为</w:t>
      </w:r>
      <w:r>
        <w:rPr>
          <w:rFonts w:hint="eastAsia" w:ascii="宋体" w:hAnsi="宋体" w:eastAsia="宋体" w:cs="宋体"/>
          <w:b/>
          <w:bCs/>
          <w:color w:val="auto"/>
          <w:sz w:val="24"/>
          <w:szCs w:val="24"/>
        </w:rPr>
        <w:t>投标无</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20.4.2  如本项目使用综合评分法，提供相同品牌产品且通过资格审查、符合</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性审查的不同投标人，按一家投标人计算，评审后得分最高的同品牌投标人获</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得中标供应商推荐资格；评审得分相同的，由采购人或者采购人委托评标委员</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会按照招标文件中评标办法规定的方式确定一个投标人获得中标供应商推荐</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资格；未规定的采取随机抽取方式确定，其他同品牌投标人不作为中标候选人。</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20.5 如本项目包含多种产品的，采购人或采购代理机构应当在</w:t>
      </w:r>
      <w:r>
        <w:rPr>
          <w:rFonts w:hint="eastAsia" w:ascii="宋体" w:hAnsi="宋体" w:eastAsia="宋体" w:cs="宋体"/>
          <w:color w:val="auto"/>
          <w:sz w:val="24"/>
          <w:szCs w:val="24"/>
          <w:u w:val="single"/>
        </w:rPr>
        <w:t>供应商须知前</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附表</w:t>
      </w:r>
      <w:r>
        <w:rPr>
          <w:rFonts w:hint="eastAsia" w:ascii="宋体" w:hAnsi="宋体" w:eastAsia="宋体" w:cs="宋体"/>
          <w:color w:val="auto"/>
          <w:sz w:val="24"/>
          <w:szCs w:val="24"/>
        </w:rPr>
        <w:t>中载明核心产品，若投标人提供的核心产品的品牌相同，相关投标人将被</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认定为属于提供相同品牌产品，按第20.4条规定处理。</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20.6 投标人所投产品如被列入财政部与国家主管部门颁发的节能产品或环境</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标志产品品目清单或无线局域网产品清单，应提供处于有效期之内认证证书等</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相关证明，在评标时予以优先采购。</w:t>
      </w:r>
    </w:p>
    <w:p>
      <w:pPr>
        <w:pageBreakBefore w:val="0"/>
        <w:kinsoku/>
        <w:wordWrap/>
        <w:overflowPunct/>
        <w:topLinePunct w:val="0"/>
        <w:bidi w:val="0"/>
        <w:spacing w:line="560" w:lineRule="exact"/>
        <w:ind w:left="896" w:leftChars="170" w:hanging="420" w:hanging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如采购人所采购产品为政府强制采购的产品，投标人所投产品应属于品目</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清单的强制采购部分。投标人应提供有效期内的认证证书，否则其投标将被认</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定为</w:t>
      </w:r>
      <w:r>
        <w:rPr>
          <w:rFonts w:hint="eastAsia" w:ascii="宋体" w:hAnsi="宋体" w:eastAsia="宋体" w:cs="宋体"/>
          <w:b/>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如采购人所采购产品属于信息安全产品的，投标人所投产品应为经国家认证的信息安全产品，并提供由中国信息安全认证中心按国家标准认证颁发的有效认证证书，否则其投标将被认定为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58" w:name="_Toc515647783"/>
      <w:bookmarkStart w:id="159" w:name="_Toc2582289"/>
      <w:bookmarkStart w:id="160" w:name="_Toc6092"/>
      <w:bookmarkStart w:id="161" w:name="_Toc4950"/>
      <w:bookmarkStart w:id="162" w:name="_Toc532473475"/>
      <w:r>
        <w:rPr>
          <w:rFonts w:hint="eastAsia" w:ascii="宋体" w:hAnsi="宋体" w:eastAsia="宋体" w:cs="宋体"/>
          <w:color w:val="auto"/>
          <w:sz w:val="24"/>
          <w:szCs w:val="24"/>
          <w:u w:val="none"/>
        </w:rPr>
        <w:t>21.投标</w:t>
      </w:r>
      <w:bookmarkEnd w:id="158"/>
      <w:r>
        <w:rPr>
          <w:rFonts w:hint="eastAsia" w:ascii="宋体" w:hAnsi="宋体" w:eastAsia="宋体" w:cs="宋体"/>
          <w:color w:val="auto"/>
          <w:sz w:val="24"/>
          <w:szCs w:val="24"/>
          <w:u w:val="none"/>
        </w:rPr>
        <w:t>无效</w:t>
      </w:r>
      <w:bookmarkEnd w:id="159"/>
      <w:bookmarkEnd w:id="160"/>
      <w:bookmarkEnd w:id="161"/>
      <w:bookmarkEnd w:id="162"/>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 如发现下列情况之一的，其投标将被认定为</w:t>
      </w:r>
      <w:r>
        <w:rPr>
          <w:rFonts w:hint="eastAsia" w:ascii="宋体" w:hAnsi="宋体" w:eastAsia="宋体" w:cs="宋体"/>
          <w:b/>
          <w:bCs/>
          <w:color w:val="auto"/>
          <w:sz w:val="24"/>
          <w:szCs w:val="24"/>
        </w:rPr>
        <w:t>投标无效</w:t>
      </w:r>
      <w:r>
        <w:rPr>
          <w:rFonts w:hint="eastAsia" w:ascii="宋体" w:hAnsi="宋体" w:eastAsia="宋体" w:cs="宋体"/>
          <w:color w:val="auto"/>
          <w:sz w:val="24"/>
          <w:szCs w:val="24"/>
        </w:rPr>
        <w:t>：</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21.1.1未按照招标文件规定要求签署、盖章的；</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21.1.2未满足招标文件中的实质性要求；</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21.1.3属于串通投标，或者依法被视为串通投标；</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21.1.4评标委员会认为投标人的报价明显低于其他通过符合性审查投标人的报价，有可能影响履约的，且投标人未按照规定证明其报价合理性的；</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21.1.5投标文件含有采购人不能接受的附加条件的；</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21.1.6属于招标文件规定的其他</w:t>
      </w:r>
      <w:r>
        <w:rPr>
          <w:rFonts w:hint="eastAsia" w:ascii="宋体" w:hAnsi="宋体" w:eastAsia="宋体" w:cs="宋体"/>
          <w:bCs/>
          <w:color w:val="auto"/>
          <w:sz w:val="24"/>
          <w:szCs w:val="24"/>
        </w:rPr>
        <w:t>投标无效</w:t>
      </w:r>
      <w:r>
        <w:rPr>
          <w:rFonts w:hint="eastAsia" w:ascii="宋体" w:hAnsi="宋体" w:eastAsia="宋体" w:cs="宋体"/>
          <w:color w:val="auto"/>
          <w:sz w:val="24"/>
          <w:szCs w:val="24"/>
        </w:rPr>
        <w:t>情形；</w:t>
      </w:r>
    </w:p>
    <w:p>
      <w:pPr>
        <w:pageBreakBefore w:val="0"/>
        <w:tabs>
          <w:tab w:val="left" w:pos="0"/>
        </w:tabs>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21.1.7不符合政府采购法律法规和招标文件中规定的其他实质性要求的。</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63" w:name="_Toc2582290"/>
      <w:bookmarkStart w:id="164" w:name="_Toc532473476"/>
      <w:bookmarkStart w:id="165" w:name="_Toc13652"/>
      <w:bookmarkStart w:id="166" w:name="_Toc22941"/>
      <w:bookmarkStart w:id="167" w:name="_Toc515647784"/>
      <w:r>
        <w:rPr>
          <w:rFonts w:hint="eastAsia" w:ascii="宋体" w:hAnsi="宋体" w:eastAsia="宋体" w:cs="宋体"/>
          <w:color w:val="auto"/>
          <w:sz w:val="24"/>
          <w:szCs w:val="24"/>
          <w:u w:val="none"/>
        </w:rPr>
        <w:t>22.</w:t>
      </w:r>
      <w:bookmarkEnd w:id="157"/>
      <w:r>
        <w:rPr>
          <w:rFonts w:hint="eastAsia" w:ascii="宋体" w:hAnsi="宋体" w:eastAsia="宋体" w:cs="宋体"/>
          <w:color w:val="auto"/>
          <w:sz w:val="24"/>
          <w:szCs w:val="24"/>
          <w:u w:val="none"/>
        </w:rPr>
        <w:t>比较与评价</w:t>
      </w:r>
      <w:bookmarkEnd w:id="163"/>
      <w:bookmarkEnd w:id="164"/>
      <w:bookmarkEnd w:id="165"/>
      <w:bookmarkEnd w:id="166"/>
      <w:bookmarkEnd w:id="167"/>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22.1经符合性审查合格的投标文件，评标委员会将根据招标文件确定的评标方</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法和标准，对其技术部分和商务部分作进一步的比较和评价。</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22.2 评标严格按照招标文件的要求和条件进行。根据实际情况，在</w:t>
      </w:r>
      <w:r>
        <w:rPr>
          <w:rFonts w:hint="eastAsia" w:ascii="宋体" w:hAnsi="宋体" w:eastAsia="宋体" w:cs="宋体"/>
          <w:color w:val="auto"/>
          <w:sz w:val="24"/>
          <w:szCs w:val="24"/>
          <w:u w:val="single"/>
        </w:rPr>
        <w:t>供应商须</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知前附表</w:t>
      </w:r>
      <w:r>
        <w:rPr>
          <w:rFonts w:hint="eastAsia" w:ascii="宋体" w:hAnsi="宋体" w:eastAsia="宋体" w:cs="宋体"/>
          <w:color w:val="auto"/>
          <w:sz w:val="24"/>
          <w:szCs w:val="24"/>
        </w:rPr>
        <w:t>中规定采用下列一种评标方法：</w:t>
      </w:r>
    </w:p>
    <w:p>
      <w:pPr>
        <w:pStyle w:val="11"/>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22.2.1 最低评标价法，是指投标文件满足招标文件全部要求，且投标报价最低的投标人为中标候选人的评标方法。</w:t>
      </w:r>
    </w:p>
    <w:p>
      <w:pPr>
        <w:pStyle w:val="11"/>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22.2.2 综合评分法，是指投标文件满足招标文件全部要求，且按照评审因素的量化指标评审得分最高的投标人为中标候选人的评标方法。</w:t>
      </w:r>
    </w:p>
    <w:p>
      <w:pPr>
        <w:spacing w:line="560" w:lineRule="exact"/>
        <w:ind w:left="1050" w:hanging="900" w:hangingChars="375"/>
        <w:rPr>
          <w:rStyle w:val="21"/>
          <w:rFonts w:hint="eastAsia" w:ascii="宋体" w:hAnsi="宋体" w:eastAsia="宋体" w:cs="宋体"/>
          <w:b w:val="0"/>
          <w:bCs/>
          <w:color w:val="auto"/>
          <w:sz w:val="24"/>
          <w:szCs w:val="24"/>
          <w:shd w:val="clear" w:color="auto" w:fill="FFFFFF"/>
        </w:rPr>
      </w:pPr>
      <w:r>
        <w:rPr>
          <w:rFonts w:hint="eastAsia" w:ascii="宋体" w:hAnsi="宋体" w:eastAsia="宋体" w:cs="宋体"/>
          <w:color w:val="auto"/>
          <w:sz w:val="24"/>
          <w:szCs w:val="24"/>
        </w:rPr>
        <w:t>22.3 根据《政府采购促进中小企业发展管理办法》（财库[2020]46号）、</w:t>
      </w:r>
      <w:r>
        <w:rPr>
          <w:rStyle w:val="21"/>
          <w:rFonts w:hint="eastAsia" w:ascii="宋体" w:hAnsi="宋体" w:eastAsia="宋体" w:cs="宋体"/>
          <w:b w:val="0"/>
          <w:bCs/>
          <w:color w:val="auto"/>
          <w:sz w:val="24"/>
          <w:szCs w:val="24"/>
          <w:shd w:val="clear" w:color="auto" w:fill="FFFFFF"/>
        </w:rPr>
        <w:t>《宁</w:t>
      </w:r>
    </w:p>
    <w:p>
      <w:pPr>
        <w:spacing w:line="560" w:lineRule="exact"/>
        <w:ind w:left="1050" w:hanging="900" w:hangingChars="375"/>
        <w:rPr>
          <w:rStyle w:val="21"/>
          <w:rFonts w:hint="eastAsia" w:ascii="宋体" w:hAnsi="宋体" w:eastAsia="宋体" w:cs="宋体"/>
          <w:b w:val="0"/>
          <w:bCs/>
          <w:color w:val="auto"/>
          <w:sz w:val="24"/>
          <w:szCs w:val="24"/>
          <w:shd w:val="clear" w:color="auto" w:fill="FFFFFF"/>
        </w:rPr>
      </w:pPr>
      <w:r>
        <w:rPr>
          <w:rStyle w:val="21"/>
          <w:rFonts w:hint="eastAsia" w:ascii="宋体" w:hAnsi="宋体" w:eastAsia="宋体" w:cs="宋体"/>
          <w:b w:val="0"/>
          <w:bCs/>
          <w:color w:val="auto"/>
          <w:sz w:val="24"/>
          <w:szCs w:val="24"/>
          <w:shd w:val="clear" w:color="auto" w:fill="FFFFFF"/>
        </w:rPr>
        <w:t>夏回族自治区政府采购促进中小企业发展管理办法实施细则》（宁财规发</w:t>
      </w:r>
    </w:p>
    <w:p>
      <w:pPr>
        <w:spacing w:line="560" w:lineRule="exact"/>
        <w:ind w:left="1050" w:hanging="900" w:hangingChars="375"/>
        <w:rPr>
          <w:rFonts w:hint="eastAsia" w:ascii="宋体" w:hAnsi="宋体" w:eastAsia="宋体" w:cs="宋体"/>
          <w:color w:val="auto"/>
          <w:sz w:val="24"/>
          <w:szCs w:val="24"/>
        </w:rPr>
      </w:pPr>
      <w:r>
        <w:rPr>
          <w:rStyle w:val="21"/>
          <w:rFonts w:hint="eastAsia" w:ascii="宋体" w:hAnsi="宋体" w:eastAsia="宋体" w:cs="宋体"/>
          <w:b w:val="0"/>
          <w:bCs/>
          <w:color w:val="auto"/>
          <w:sz w:val="24"/>
          <w:szCs w:val="24"/>
          <w:shd w:val="clear" w:color="auto" w:fill="FFFFFF"/>
        </w:rPr>
        <w:t>〔2021〕2号）；</w:t>
      </w:r>
      <w:r>
        <w:rPr>
          <w:rFonts w:hint="eastAsia" w:ascii="宋体" w:hAnsi="宋体" w:eastAsia="宋体" w:cs="宋体"/>
          <w:color w:val="auto"/>
          <w:sz w:val="24"/>
          <w:szCs w:val="24"/>
        </w:rPr>
        <w:t>《财政部、司法部关于政府采购支持监狱企业发展有关问题</w:t>
      </w:r>
    </w:p>
    <w:p>
      <w:pPr>
        <w:spacing w:line="560" w:lineRule="exact"/>
        <w:ind w:left="1050" w:hanging="900" w:hangingChars="375"/>
        <w:rPr>
          <w:rStyle w:val="21"/>
          <w:rFonts w:hint="eastAsia" w:ascii="宋体" w:hAnsi="宋体" w:eastAsia="宋体" w:cs="宋体"/>
          <w:b w:val="0"/>
          <w:bCs w:val="0"/>
          <w:color w:val="auto"/>
          <w:sz w:val="24"/>
          <w:szCs w:val="24"/>
          <w:shd w:val="clear" w:color="auto" w:fill="FFFFFF"/>
        </w:rPr>
      </w:pPr>
      <w:r>
        <w:rPr>
          <w:rFonts w:hint="eastAsia" w:ascii="宋体" w:hAnsi="宋体" w:eastAsia="宋体" w:cs="宋体"/>
          <w:color w:val="auto"/>
          <w:sz w:val="24"/>
          <w:szCs w:val="24"/>
        </w:rPr>
        <w:t>的通知》（财库〔2014〕68号）；《</w:t>
      </w:r>
      <w:r>
        <w:rPr>
          <w:rStyle w:val="21"/>
          <w:rFonts w:hint="eastAsia" w:ascii="宋体" w:hAnsi="宋体" w:eastAsia="宋体" w:cs="宋体"/>
          <w:b w:val="0"/>
          <w:bCs w:val="0"/>
          <w:color w:val="auto"/>
          <w:sz w:val="24"/>
          <w:szCs w:val="24"/>
          <w:shd w:val="clear" w:color="auto" w:fill="FFFFFF"/>
        </w:rPr>
        <w:t>财政部 民政部 中国残疾人联合会关于促</w:t>
      </w:r>
    </w:p>
    <w:p>
      <w:pPr>
        <w:spacing w:line="560" w:lineRule="exact"/>
        <w:ind w:left="1050" w:hanging="900" w:hangingChars="375"/>
        <w:rPr>
          <w:rFonts w:hint="eastAsia" w:ascii="宋体" w:hAnsi="宋体" w:eastAsia="宋体" w:cs="宋体"/>
          <w:color w:val="auto"/>
          <w:sz w:val="24"/>
          <w:szCs w:val="24"/>
        </w:rPr>
      </w:pPr>
      <w:r>
        <w:rPr>
          <w:rStyle w:val="21"/>
          <w:rFonts w:hint="eastAsia" w:ascii="宋体" w:hAnsi="宋体" w:eastAsia="宋体" w:cs="宋体"/>
          <w:b w:val="0"/>
          <w:bCs w:val="0"/>
          <w:color w:val="auto"/>
          <w:sz w:val="24"/>
          <w:szCs w:val="24"/>
          <w:shd w:val="clear" w:color="auto" w:fill="FFFFFF"/>
        </w:rPr>
        <w:t>进残疾人就业政府采购政策的通知</w:t>
      </w:r>
      <w:r>
        <w:rPr>
          <w:rFonts w:hint="eastAsia" w:ascii="宋体" w:hAnsi="宋体" w:eastAsia="宋体" w:cs="宋体"/>
          <w:color w:val="auto"/>
          <w:sz w:val="24"/>
          <w:szCs w:val="24"/>
        </w:rPr>
        <w:t>》（</w:t>
      </w:r>
      <w:r>
        <w:rPr>
          <w:rFonts w:hint="eastAsia" w:ascii="宋体" w:hAnsi="宋体" w:eastAsia="宋体" w:cs="宋体"/>
          <w:bCs w:val="0"/>
          <w:color w:val="auto"/>
          <w:sz w:val="24"/>
          <w:szCs w:val="24"/>
        </w:rPr>
        <w:t>财库</w:t>
      </w:r>
      <w:r>
        <w:rPr>
          <w:rFonts w:hint="eastAsia" w:ascii="宋体" w:hAnsi="宋体" w:eastAsia="宋体" w:cs="宋体"/>
          <w:bCs/>
          <w:color w:val="auto"/>
          <w:sz w:val="24"/>
          <w:szCs w:val="24"/>
        </w:rPr>
        <w:t>〔2017〕141号</w:t>
      </w:r>
      <w:r>
        <w:rPr>
          <w:rFonts w:hint="eastAsia" w:ascii="宋体" w:hAnsi="宋体" w:eastAsia="宋体" w:cs="宋体"/>
          <w:color w:val="auto"/>
          <w:sz w:val="24"/>
          <w:szCs w:val="24"/>
        </w:rPr>
        <w:t>）、《自治区财政</w:t>
      </w:r>
    </w:p>
    <w:p>
      <w:pPr>
        <w:spacing w:line="560" w:lineRule="exact"/>
        <w:ind w:left="1050" w:hanging="900" w:hangingChars="375"/>
        <w:rPr>
          <w:rFonts w:hint="eastAsia" w:ascii="宋体" w:hAnsi="宋体" w:eastAsia="宋体" w:cs="宋体"/>
          <w:color w:val="auto"/>
          <w:sz w:val="24"/>
          <w:szCs w:val="24"/>
        </w:rPr>
      </w:pPr>
      <w:r>
        <w:rPr>
          <w:rFonts w:hint="eastAsia" w:ascii="宋体" w:hAnsi="宋体" w:eastAsia="宋体" w:cs="宋体"/>
          <w:color w:val="auto"/>
          <w:sz w:val="24"/>
          <w:szCs w:val="24"/>
        </w:rPr>
        <w:t>厅残疾人联合会关于政府采购支持残疾人就业有关问题的通知》（宁财（采）</w:t>
      </w:r>
    </w:p>
    <w:p>
      <w:pPr>
        <w:spacing w:line="560" w:lineRule="exact"/>
        <w:ind w:left="1050" w:hanging="900" w:hangingChars="375"/>
        <w:rPr>
          <w:rFonts w:hint="eastAsia" w:ascii="宋体" w:hAnsi="宋体" w:eastAsia="宋体" w:cs="宋体"/>
          <w:color w:val="auto"/>
          <w:sz w:val="24"/>
          <w:szCs w:val="24"/>
        </w:rPr>
      </w:pPr>
      <w:r>
        <w:rPr>
          <w:rFonts w:hint="eastAsia" w:ascii="宋体" w:hAnsi="宋体" w:eastAsia="宋体" w:cs="宋体"/>
          <w:color w:val="auto"/>
          <w:sz w:val="24"/>
          <w:szCs w:val="24"/>
        </w:rPr>
        <w:t>发〔2020〕545号）的规定，对满足价格扣除条件且在投标文件中提交了《中</w:t>
      </w:r>
    </w:p>
    <w:p>
      <w:pPr>
        <w:spacing w:line="560" w:lineRule="exact"/>
        <w:ind w:left="1050" w:hanging="900" w:hangingChars="375"/>
        <w:rPr>
          <w:rFonts w:hint="eastAsia" w:ascii="宋体" w:hAnsi="宋体" w:eastAsia="宋体" w:cs="宋体"/>
          <w:color w:val="auto"/>
          <w:sz w:val="24"/>
          <w:szCs w:val="24"/>
        </w:rPr>
      </w:pPr>
      <w:r>
        <w:rPr>
          <w:rFonts w:hint="eastAsia" w:ascii="宋体" w:hAnsi="宋体" w:eastAsia="宋体" w:cs="宋体"/>
          <w:color w:val="auto"/>
          <w:sz w:val="24"/>
          <w:szCs w:val="24"/>
        </w:rPr>
        <w:t>小企业声明函》、《残疾人福利性单位声明函》相关属于监狱企业的证明文件</w:t>
      </w:r>
    </w:p>
    <w:p>
      <w:pPr>
        <w:spacing w:line="560" w:lineRule="exact"/>
        <w:ind w:left="1050" w:hanging="900" w:hangingChars="375"/>
        <w:rPr>
          <w:rFonts w:hint="eastAsia" w:ascii="宋体" w:hAnsi="宋体" w:eastAsia="宋体" w:cs="宋体"/>
          <w:color w:val="auto"/>
          <w:sz w:val="24"/>
          <w:szCs w:val="24"/>
        </w:rPr>
      </w:pPr>
      <w:r>
        <w:rPr>
          <w:rFonts w:hint="eastAsia" w:ascii="宋体" w:hAnsi="宋体" w:eastAsia="宋体" w:cs="宋体"/>
          <w:color w:val="auto"/>
          <w:sz w:val="24"/>
          <w:szCs w:val="24"/>
        </w:rPr>
        <w:t>的投标人，按照相关价格扣除规定和</w:t>
      </w:r>
      <w:r>
        <w:rPr>
          <w:rFonts w:hint="eastAsia" w:ascii="宋体" w:hAnsi="宋体" w:eastAsia="宋体" w:cs="宋体"/>
          <w:color w:val="auto"/>
          <w:sz w:val="24"/>
          <w:szCs w:val="24"/>
          <w:u w:val="single"/>
          <w:lang w:eastAsia="zh-CN"/>
        </w:rPr>
        <w:t>投标人</w:t>
      </w:r>
      <w:r>
        <w:rPr>
          <w:rFonts w:hint="eastAsia" w:ascii="宋体" w:hAnsi="宋体" w:eastAsia="宋体" w:cs="宋体"/>
          <w:color w:val="auto"/>
          <w:sz w:val="24"/>
          <w:szCs w:val="24"/>
          <w:u w:val="single"/>
        </w:rPr>
        <w:t>须知前附表</w:t>
      </w:r>
      <w:r>
        <w:rPr>
          <w:rFonts w:hint="eastAsia" w:ascii="宋体" w:hAnsi="宋体" w:eastAsia="宋体" w:cs="宋体"/>
          <w:color w:val="auto"/>
          <w:sz w:val="24"/>
          <w:szCs w:val="24"/>
        </w:rPr>
        <w:t>要求执行。</w:t>
      </w:r>
    </w:p>
    <w:p>
      <w:pPr>
        <w:pStyle w:val="11"/>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22.4  落实其他政府采购政策条款，具体详见</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68" w:name="_Toc520356168"/>
      <w:bookmarkStart w:id="169" w:name="_Toc20227"/>
      <w:bookmarkStart w:id="170" w:name="_Toc532473477"/>
      <w:bookmarkStart w:id="171" w:name="_Toc2582291"/>
      <w:bookmarkStart w:id="172" w:name="_Toc515647785"/>
      <w:bookmarkStart w:id="173" w:name="_Toc9378"/>
      <w:r>
        <w:rPr>
          <w:rFonts w:hint="eastAsia" w:ascii="宋体" w:hAnsi="宋体" w:eastAsia="宋体" w:cs="宋体"/>
          <w:color w:val="auto"/>
          <w:sz w:val="24"/>
          <w:szCs w:val="24"/>
          <w:u w:val="none"/>
        </w:rPr>
        <w:t>2</w:t>
      </w:r>
      <w:bookmarkEnd w:id="168"/>
      <w:r>
        <w:rPr>
          <w:rFonts w:hint="eastAsia" w:ascii="宋体" w:hAnsi="宋体" w:eastAsia="宋体" w:cs="宋体"/>
          <w:color w:val="auto"/>
          <w:sz w:val="24"/>
          <w:szCs w:val="24"/>
          <w:u w:val="none"/>
        </w:rPr>
        <w:t>3.废标</w:t>
      </w:r>
      <w:bookmarkEnd w:id="169"/>
      <w:bookmarkEnd w:id="170"/>
      <w:bookmarkEnd w:id="171"/>
      <w:bookmarkEnd w:id="172"/>
      <w:bookmarkEnd w:id="173"/>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23.1 出现下列情形之一，将导致项目废标： </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23.1.1 符合专业条件的供应商或者对招标文件做实质性响应的供应商不足三</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23.1.2 出现影响采购公正的违法、违规行为的；</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23.1.3 投标人的报价均超过了采购预算</w:t>
      </w:r>
      <w:r>
        <w:rPr>
          <w:rFonts w:hint="eastAsia" w:ascii="宋体" w:hAnsi="宋体" w:eastAsia="宋体" w:cs="宋体"/>
          <w:color w:val="auto"/>
          <w:sz w:val="24"/>
          <w:szCs w:val="24"/>
          <w:lang w:val="en-US" w:eastAsia="zh-CN"/>
        </w:rPr>
        <w:t>或最高限价</w:t>
      </w:r>
      <w:r>
        <w:rPr>
          <w:rFonts w:hint="eastAsia" w:ascii="宋体" w:hAnsi="宋体" w:eastAsia="宋体" w:cs="宋体"/>
          <w:color w:val="auto"/>
          <w:sz w:val="24"/>
          <w:szCs w:val="24"/>
        </w:rPr>
        <w:t>，采购人不能支付的；</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23.1.4 因重大变故，采购任务取消的。   </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74" w:name="_Toc515647786"/>
      <w:bookmarkStart w:id="175" w:name="_Toc24972"/>
      <w:bookmarkStart w:id="176" w:name="_Toc31289"/>
      <w:bookmarkStart w:id="177" w:name="_Toc2582292"/>
      <w:bookmarkStart w:id="178" w:name="_Toc532473478"/>
      <w:bookmarkStart w:id="179" w:name="_Toc520356169"/>
      <w:r>
        <w:rPr>
          <w:rFonts w:hint="eastAsia" w:ascii="宋体" w:hAnsi="宋体" w:eastAsia="宋体" w:cs="宋体"/>
          <w:color w:val="auto"/>
          <w:sz w:val="24"/>
          <w:szCs w:val="24"/>
          <w:u w:val="none"/>
        </w:rPr>
        <w:t>24.保密</w:t>
      </w:r>
      <w:bookmarkEnd w:id="174"/>
      <w:bookmarkEnd w:id="175"/>
      <w:bookmarkEnd w:id="176"/>
      <w:r>
        <w:rPr>
          <w:rFonts w:hint="eastAsia" w:ascii="宋体" w:hAnsi="宋体" w:eastAsia="宋体" w:cs="宋体"/>
          <w:color w:val="auto"/>
          <w:sz w:val="24"/>
          <w:szCs w:val="24"/>
          <w:u w:val="none"/>
        </w:rPr>
        <w:t>要求</w:t>
      </w:r>
      <w:bookmarkEnd w:id="177"/>
      <w:bookmarkEnd w:id="178"/>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24.1 评标将在严格保密的情况下进行。</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24.2 有关人员应当遵守评标工作纪律，不得泄露评标文件评标情况和评标中</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获悉的国家秘密、商业秘密。</w:t>
      </w:r>
    </w:p>
    <w:bookmarkEnd w:id="179"/>
    <w:p>
      <w:pPr>
        <w:pageBreakBefore w:val="0"/>
        <w:kinsoku/>
        <w:wordWrap/>
        <w:overflowPunct/>
        <w:topLinePunct w:val="0"/>
        <w:bidi w:val="0"/>
        <w:spacing w:line="560" w:lineRule="exact"/>
        <w:textAlignment w:val="auto"/>
        <w:rPr>
          <w:rFonts w:hint="eastAsia" w:ascii="宋体" w:hAnsi="宋体" w:eastAsia="宋体" w:cs="宋体"/>
          <w:b/>
          <w:bCs/>
          <w:color w:val="auto"/>
          <w:sz w:val="32"/>
          <w:szCs w:val="32"/>
        </w:rPr>
      </w:pPr>
      <w:bookmarkStart w:id="180" w:name="_Toc12143"/>
      <w:bookmarkStart w:id="181" w:name="_Toc515647787"/>
      <w:bookmarkStart w:id="182" w:name="_Toc532473479"/>
      <w:bookmarkStart w:id="183" w:name="_Toc216582810"/>
      <w:bookmarkStart w:id="184" w:name="_Toc2582293"/>
      <w:bookmarkStart w:id="185" w:name="_Toc23904"/>
      <w:r>
        <w:rPr>
          <w:rFonts w:hint="eastAsia" w:ascii="宋体" w:hAnsi="宋体" w:eastAsia="宋体" w:cs="宋体"/>
          <w:b/>
          <w:bCs/>
          <w:color w:val="auto"/>
          <w:sz w:val="32"/>
          <w:szCs w:val="32"/>
        </w:rPr>
        <w:t>（六）确定中标</w:t>
      </w:r>
      <w:bookmarkEnd w:id="180"/>
      <w:bookmarkEnd w:id="181"/>
      <w:bookmarkEnd w:id="182"/>
      <w:bookmarkEnd w:id="183"/>
      <w:bookmarkEnd w:id="184"/>
      <w:bookmarkEnd w:id="185"/>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86" w:name="_Toc2582294"/>
      <w:bookmarkStart w:id="187" w:name="_Toc515647788"/>
      <w:bookmarkStart w:id="188" w:name="_Toc532473480"/>
      <w:bookmarkStart w:id="189" w:name="_Ref467307010"/>
      <w:bookmarkStart w:id="190" w:name="_Toc520356170"/>
      <w:bookmarkStart w:id="191" w:name="_Toc23762"/>
      <w:bookmarkStart w:id="192" w:name="_Toc23617"/>
      <w:r>
        <w:rPr>
          <w:rFonts w:hint="eastAsia" w:ascii="宋体" w:hAnsi="宋体" w:eastAsia="宋体" w:cs="宋体"/>
          <w:color w:val="auto"/>
          <w:sz w:val="24"/>
          <w:szCs w:val="24"/>
          <w:u w:val="none"/>
        </w:rPr>
        <w:t>25.中标候选人的确定原则及标准</w:t>
      </w:r>
      <w:bookmarkEnd w:id="186"/>
      <w:bookmarkEnd w:id="187"/>
      <w:bookmarkEnd w:id="188"/>
      <w:bookmarkEnd w:id="189"/>
      <w:bookmarkEnd w:id="190"/>
      <w:bookmarkEnd w:id="191"/>
      <w:bookmarkEnd w:id="192"/>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25.1 除评标委员会受采购人委托直接确定中标供应商的情形外，对实质上响</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应招标文件的投标人按下列方法进行排序，确定中标候选人：</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u w:val="single"/>
        </w:rPr>
      </w:pPr>
      <w:bookmarkStart w:id="193" w:name="_Toc520356171"/>
      <w:bookmarkStart w:id="194" w:name="_Toc515647789"/>
      <w:r>
        <w:rPr>
          <w:rFonts w:hint="eastAsia" w:ascii="宋体" w:hAnsi="宋体" w:eastAsia="宋体" w:cs="宋体"/>
          <w:color w:val="auto"/>
          <w:sz w:val="24"/>
          <w:szCs w:val="24"/>
        </w:rPr>
        <w:t>25.1.1 采用最低评标价法的，除了算术修正和落实政府采购政策需进行的价格扣除外，不对投标人的投标价格进行任何调整。评标结果按修正和扣除后的投标报价由低到高顺序排列。得分与投标报价均相同的处理方式：</w:t>
      </w:r>
      <w:r>
        <w:rPr>
          <w:rFonts w:hint="eastAsia" w:ascii="宋体" w:hAnsi="宋体" w:eastAsia="宋体" w:cs="宋体"/>
          <w:color w:val="auto"/>
          <w:sz w:val="24"/>
          <w:szCs w:val="24"/>
          <w:u w:val="single"/>
        </w:rPr>
        <w:t>由采购人或采购人委托评标委员会随机抽取</w:t>
      </w:r>
      <w:r>
        <w:rPr>
          <w:rFonts w:hint="eastAsia" w:ascii="宋体" w:hAnsi="宋体" w:eastAsia="宋体" w:cs="宋体"/>
          <w:color w:val="auto"/>
          <w:sz w:val="24"/>
          <w:szCs w:val="24"/>
        </w:rPr>
        <w:t>。</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25.1.2 采用综合评分法的，评标结果按评审后得分由高到低顺序排列。得分相同的，按修正和扣除后的投标报价由低到高顺序排列。得分与投标报价均相同的处理方式：</w:t>
      </w:r>
      <w:r>
        <w:rPr>
          <w:rFonts w:hint="eastAsia" w:ascii="宋体" w:hAnsi="宋体" w:eastAsia="宋体" w:cs="宋体"/>
          <w:color w:val="auto"/>
          <w:sz w:val="24"/>
          <w:szCs w:val="24"/>
          <w:u w:val="single"/>
        </w:rPr>
        <w:t>由采购人或采购人委托评标委员会随机抽取</w:t>
      </w:r>
      <w:r>
        <w:rPr>
          <w:rFonts w:hint="eastAsia" w:ascii="宋体" w:hAnsi="宋体" w:eastAsia="宋体" w:cs="宋体"/>
          <w:color w:val="auto"/>
          <w:sz w:val="24"/>
          <w:szCs w:val="24"/>
        </w:rPr>
        <w:t>。</w:t>
      </w:r>
      <w:bookmarkStart w:id="195" w:name="_Toc532473481"/>
      <w:bookmarkStart w:id="196" w:name="_Toc2582295"/>
      <w:bookmarkStart w:id="197" w:name="_Toc23951"/>
      <w:bookmarkStart w:id="198" w:name="_Toc9653"/>
    </w:p>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2</w:t>
      </w:r>
      <w:bookmarkEnd w:id="193"/>
      <w:r>
        <w:rPr>
          <w:rFonts w:hint="eastAsia" w:ascii="宋体" w:hAnsi="宋体" w:eastAsia="宋体" w:cs="宋体"/>
          <w:b/>
          <w:bCs/>
          <w:color w:val="auto"/>
          <w:sz w:val="24"/>
          <w:szCs w:val="24"/>
          <w:u w:val="none"/>
        </w:rPr>
        <w:t>6.确定中标候选人和</w:t>
      </w:r>
      <w:bookmarkEnd w:id="194"/>
      <w:bookmarkEnd w:id="195"/>
      <w:bookmarkEnd w:id="196"/>
      <w:bookmarkEnd w:id="197"/>
      <w:bookmarkEnd w:id="198"/>
      <w:r>
        <w:rPr>
          <w:rFonts w:hint="eastAsia" w:ascii="宋体" w:hAnsi="宋体" w:eastAsia="宋体" w:cs="宋体"/>
          <w:b/>
          <w:bCs/>
          <w:color w:val="auto"/>
          <w:sz w:val="24"/>
          <w:szCs w:val="24"/>
          <w:u w:val="none"/>
        </w:rPr>
        <w:t>中标供应商</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26.1 评标委员会将根据评标标准，按</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中规定数量推荐中标</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候选人。</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26.2 按</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中规定，由评标委员会直接确定中标供应商。</w:t>
      </w:r>
    </w:p>
    <w:p>
      <w:pPr>
        <w:pStyle w:val="6"/>
        <w:pageBreakBefore w:val="0"/>
        <w:tabs>
          <w:tab w:val="left" w:pos="900"/>
        </w:tabs>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199" w:name="_Toc2582296"/>
      <w:bookmarkStart w:id="200" w:name="_Toc520356174"/>
      <w:bookmarkStart w:id="201" w:name="_Toc515647791"/>
      <w:bookmarkStart w:id="202" w:name="_Toc532473483"/>
      <w:bookmarkStart w:id="203" w:name="_Toc31099"/>
      <w:bookmarkStart w:id="204" w:name="_Toc30170"/>
      <w:r>
        <w:rPr>
          <w:rFonts w:hint="eastAsia" w:ascii="宋体" w:hAnsi="宋体" w:eastAsia="宋体" w:cs="宋体"/>
          <w:color w:val="auto"/>
          <w:sz w:val="24"/>
          <w:szCs w:val="24"/>
          <w:u w:val="none"/>
        </w:rPr>
        <w:t>27.发出中标通知书</w:t>
      </w:r>
      <w:bookmarkEnd w:id="199"/>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在投标有效期内，中标供应商确定后，采购人或者采购代理机构发布中标公告。在公告中标结果的同时，向中标供应商发出中标通知书，中标通知书是合同的组成部分。</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rPr>
      </w:pPr>
      <w:bookmarkStart w:id="205" w:name="_Toc2582297"/>
      <w:r>
        <w:rPr>
          <w:rFonts w:hint="eastAsia" w:ascii="宋体" w:hAnsi="宋体" w:eastAsia="宋体" w:cs="宋体"/>
          <w:color w:val="auto"/>
          <w:sz w:val="24"/>
          <w:szCs w:val="24"/>
          <w:u w:val="none"/>
        </w:rPr>
        <w:t>28. 告知招标结果</w:t>
      </w:r>
      <w:bookmarkEnd w:id="205"/>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在公告中标结果的同时，告知未通过资格审查投标人未通过的原因；采用综合评分法评审的，还将告知未中标供应商本人的评审得分和排序。</w:t>
      </w:r>
      <w:bookmarkEnd w:id="200"/>
      <w:bookmarkEnd w:id="201"/>
      <w:bookmarkEnd w:id="202"/>
      <w:bookmarkEnd w:id="203"/>
      <w:bookmarkEnd w:id="204"/>
      <w:bookmarkStart w:id="206" w:name="_Ref467306377"/>
      <w:bookmarkStart w:id="207" w:name="_Ref467306978"/>
      <w:bookmarkStart w:id="208" w:name="_Toc532473484"/>
      <w:bookmarkStart w:id="209" w:name="_Ref467307204"/>
      <w:bookmarkStart w:id="210" w:name="_Toc790"/>
      <w:bookmarkStart w:id="211" w:name="_Toc7779"/>
      <w:bookmarkStart w:id="212" w:name="_Ref467307062"/>
      <w:bookmarkStart w:id="213" w:name="_Toc520356175"/>
      <w:bookmarkStart w:id="214" w:name="_Toc515647792"/>
      <w:bookmarkStart w:id="215" w:name="_Toc2582298"/>
    </w:p>
    <w:p>
      <w:pPr>
        <w:pStyle w:val="9"/>
        <w:rPr>
          <w:rFonts w:hint="eastAsia"/>
        </w:rPr>
      </w:pPr>
    </w:p>
    <w:p>
      <w:pPr>
        <w:pageBreakBefore w:val="0"/>
        <w:kinsoku/>
        <w:wordWrap/>
        <w:overflowPunct/>
        <w:topLinePunct w:val="0"/>
        <w:bidi w:val="0"/>
        <w:spacing w:line="560" w:lineRule="exact"/>
        <w:textAlignment w:val="auto"/>
        <w:rPr>
          <w:rFonts w:hint="eastAsia" w:ascii="宋体" w:hAnsi="宋体" w:eastAsia="宋体" w:cs="宋体"/>
          <w:b/>
          <w:bCs/>
          <w:color w:val="auto"/>
          <w:sz w:val="32"/>
          <w:szCs w:val="32"/>
        </w:rPr>
      </w:pPr>
    </w:p>
    <w:p>
      <w:pPr>
        <w:pageBreakBefore w:val="0"/>
        <w:kinsoku/>
        <w:wordWrap/>
        <w:overflowPunct/>
        <w:topLinePunct w:val="0"/>
        <w:bidi w:val="0"/>
        <w:spacing w:line="560" w:lineRule="exact"/>
        <w:textAlignment w:val="auto"/>
        <w:rPr>
          <w:rFonts w:hint="eastAsia" w:ascii="宋体" w:hAnsi="宋体" w:eastAsia="宋体" w:cs="宋体"/>
          <w:b/>
          <w:bCs/>
          <w:color w:val="auto"/>
          <w:sz w:val="32"/>
          <w:szCs w:val="32"/>
        </w:rPr>
      </w:pPr>
    </w:p>
    <w:p>
      <w:pPr>
        <w:pageBreakBefore w:val="0"/>
        <w:kinsoku/>
        <w:wordWrap/>
        <w:overflowPunct/>
        <w:topLinePunct w:val="0"/>
        <w:bidi w:val="0"/>
        <w:spacing w:line="560" w:lineRule="exac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（七）合同及履约验收</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29.签订合同</w:t>
      </w:r>
      <w:bookmarkEnd w:id="206"/>
      <w:bookmarkEnd w:id="207"/>
      <w:bookmarkEnd w:id="208"/>
      <w:bookmarkEnd w:id="209"/>
      <w:bookmarkEnd w:id="210"/>
      <w:bookmarkEnd w:id="211"/>
      <w:bookmarkEnd w:id="212"/>
      <w:bookmarkEnd w:id="213"/>
      <w:bookmarkEnd w:id="214"/>
      <w:bookmarkEnd w:id="215"/>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29.1采购人与中标供应商应当在中标通知书发出之日起三十日内，签订政府采</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购合同。</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29.2</w:t>
      </w:r>
      <w:bookmarkStart w:id="216" w:name="_Toc520356176"/>
      <w:bookmarkStart w:id="217" w:name="_Ref467307090"/>
      <w:bookmarkStart w:id="218" w:name="_Ref467306425"/>
      <w:r>
        <w:rPr>
          <w:rFonts w:hint="eastAsia" w:ascii="宋体" w:hAnsi="宋体" w:eastAsia="宋体" w:cs="宋体"/>
          <w:color w:val="auto"/>
          <w:sz w:val="24"/>
          <w:szCs w:val="24"/>
        </w:rPr>
        <w:t>招标文件、中标供应商的投标文件及其澄清文件等，均为签订合同的依据。</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所签订的合同不得对招标文件确定的事项和中标人投标文件作实质性修改。采</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购人不得向中标人提出任何不合理的要求作为签订合同的条件。</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29.3 如中标供应商拒绝与采购人签订合同的，中标供应商须按投标函内容向</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采购人和采购代理机构支付赔偿；采购人可以按照评标报告推荐的中标候选人</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排序，确定下一中标候选人为中标供应商，也可以重新开展采购活动。</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29.4 当出现法律法规规定的中标无效或中标结果无效情形时，</w:t>
      </w:r>
      <w:bookmarkStart w:id="219" w:name="_Hlk73948372"/>
      <w:r>
        <w:rPr>
          <w:rFonts w:hint="eastAsia" w:ascii="宋体" w:hAnsi="宋体" w:eastAsia="宋体" w:cs="宋体"/>
          <w:color w:val="auto"/>
          <w:sz w:val="24"/>
          <w:szCs w:val="24"/>
        </w:rPr>
        <w:t>且合格的供应</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商数量符合规定，</w:t>
      </w:r>
      <w:bookmarkEnd w:id="219"/>
      <w:r>
        <w:rPr>
          <w:rFonts w:hint="eastAsia" w:ascii="宋体" w:hAnsi="宋体" w:eastAsia="宋体" w:cs="宋体"/>
          <w:color w:val="auto"/>
          <w:sz w:val="24"/>
          <w:szCs w:val="24"/>
        </w:rPr>
        <w:t>采购人可与排名下一位的中标候选人另行签订合同，或依法</w:t>
      </w:r>
    </w:p>
    <w:p>
      <w:pPr>
        <w:pageBreakBefore w:val="0"/>
        <w:kinsoku/>
        <w:wordWrap/>
        <w:overflowPunct/>
        <w:topLinePunct w:val="0"/>
        <w:bidi w:val="0"/>
        <w:spacing w:line="560" w:lineRule="exact"/>
        <w:ind w:left="1050" w:hanging="900" w:hangingChars="3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重新开展采购活动。</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220" w:name="_Toc2582299"/>
      <w:bookmarkStart w:id="221" w:name="_Toc14080"/>
      <w:bookmarkStart w:id="222" w:name="_Toc532473485"/>
      <w:bookmarkStart w:id="223" w:name="_Toc515647793"/>
      <w:bookmarkStart w:id="224" w:name="_Toc22555"/>
      <w:r>
        <w:rPr>
          <w:rFonts w:hint="eastAsia" w:ascii="宋体" w:hAnsi="宋体" w:eastAsia="宋体" w:cs="宋体"/>
          <w:color w:val="auto"/>
          <w:sz w:val="24"/>
          <w:szCs w:val="24"/>
          <w:u w:val="none"/>
        </w:rPr>
        <w:t>30.履约保证金</w:t>
      </w:r>
      <w:bookmarkEnd w:id="216"/>
      <w:bookmarkEnd w:id="217"/>
      <w:bookmarkEnd w:id="218"/>
      <w:bookmarkEnd w:id="220"/>
      <w:bookmarkEnd w:id="221"/>
      <w:bookmarkEnd w:id="222"/>
      <w:bookmarkEnd w:id="223"/>
      <w:bookmarkEnd w:id="224"/>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如果需要履约保证金，中标供应商应按照</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规定向采购人提交履约保证金。</w:t>
      </w:r>
    </w:p>
    <w:p>
      <w:pPr>
        <w:pStyle w:val="4"/>
        <w:pageBreakBefore w:val="0"/>
        <w:numPr>
          <w:ilvl w:val="255"/>
          <w:numId w:val="0"/>
        </w:numPr>
        <w:kinsoku/>
        <w:wordWrap/>
        <w:overflowPunct/>
        <w:topLinePunct w:val="0"/>
        <w:bidi w:val="0"/>
        <w:spacing w:before="0" w:after="0"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31.履约验收</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bookmarkStart w:id="225" w:name="_Toc2583659"/>
      <w:bookmarkStart w:id="226" w:name="_Toc3090"/>
      <w:bookmarkStart w:id="227" w:name="_Toc2582300"/>
      <w:bookmarkStart w:id="228" w:name="_Toc29408"/>
      <w:bookmarkStart w:id="229" w:name="_Toc532473486"/>
      <w:bookmarkStart w:id="230" w:name="_Toc515647794"/>
      <w:r>
        <w:rPr>
          <w:rFonts w:hint="eastAsia" w:ascii="宋体" w:hAnsi="宋体" w:eastAsia="宋体" w:cs="宋体"/>
          <w:color w:val="auto"/>
          <w:sz w:val="24"/>
          <w:szCs w:val="24"/>
        </w:rPr>
        <w:t xml:space="preserve">31.1项目验收。采购项目按照合同约定时间和方式进行交付，采购人必须按照招标文件、投标文件、各项承诺、合同要件、技术方案、配置型号等内容组织验收小组进行项目验收工作。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31.2签订验收报告。项目验收结束后，验收小组成员签订验收报告。</w:t>
      </w:r>
    </w:p>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32.招标代理费</w:t>
      </w:r>
      <w:bookmarkEnd w:id="225"/>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本项目是否由中标供应商向采购代理机构支付招标代理费及招标代理费标准，按照</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规定执行。</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bookmarkStart w:id="231" w:name="_Toc518923099"/>
      <w:bookmarkStart w:id="232" w:name="_Toc2583660"/>
      <w:r>
        <w:rPr>
          <w:rFonts w:hint="eastAsia" w:ascii="宋体" w:hAnsi="宋体" w:eastAsia="宋体" w:cs="宋体"/>
          <w:color w:val="auto"/>
          <w:sz w:val="24"/>
          <w:szCs w:val="24"/>
          <w:u w:val="none"/>
        </w:rPr>
        <w:t>33.政府采购</w:t>
      </w:r>
      <w:bookmarkEnd w:id="231"/>
      <w:bookmarkEnd w:id="232"/>
      <w:r>
        <w:rPr>
          <w:rFonts w:hint="eastAsia" w:ascii="宋体" w:hAnsi="宋体" w:eastAsia="宋体" w:cs="宋体"/>
          <w:color w:val="auto"/>
          <w:sz w:val="24"/>
          <w:szCs w:val="24"/>
          <w:u w:val="none"/>
        </w:rPr>
        <w:t>合同线上信用融资</w:t>
      </w:r>
    </w:p>
    <w:p>
      <w:pPr>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中标的投标人为中小微企业的，可以在取得中标通知书后，通过“政府采购合同线上信用融资系统”，向相关金融机构、担保机构申请政府采购融资服务。</w:t>
      </w:r>
    </w:p>
    <w:p>
      <w:pPr>
        <w:pStyle w:val="6"/>
        <w:pageBreakBefore w:val="0"/>
        <w:widowControl w:val="0"/>
        <w:kinsoku/>
        <w:wordWrap/>
        <w:overflowPunct/>
        <w:topLinePunct w:val="0"/>
        <w:bidi w:val="0"/>
        <w:snapToGrid/>
        <w:spacing w:before="0" w:after="0" w:line="520" w:lineRule="exact"/>
        <w:jc w:val="center"/>
        <w:textAlignment w:val="auto"/>
        <w:rPr>
          <w:rFonts w:hint="eastAsia" w:ascii="宋体" w:hAnsi="宋体" w:eastAsia="宋体" w:cs="宋体"/>
          <w:color w:val="auto"/>
          <w:sz w:val="32"/>
          <w:szCs w:val="32"/>
          <w:u w:val="none"/>
        </w:rPr>
      </w:pPr>
      <w:bookmarkStart w:id="233" w:name="_Toc518923102"/>
      <w:bookmarkStart w:id="234" w:name="_Toc2583663"/>
    </w:p>
    <w:p>
      <w:pPr>
        <w:pStyle w:val="6"/>
        <w:pageBreakBefore w:val="0"/>
        <w:widowControl w:val="0"/>
        <w:kinsoku/>
        <w:wordWrap/>
        <w:overflowPunct/>
        <w:topLinePunct w:val="0"/>
        <w:bidi w:val="0"/>
        <w:snapToGrid/>
        <w:spacing w:before="0" w:after="0" w:line="520" w:lineRule="exact"/>
        <w:jc w:val="both"/>
        <w:textAlignment w:val="auto"/>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（八）质疑和投诉</w:t>
      </w:r>
    </w:p>
    <w:p>
      <w:pPr>
        <w:pStyle w:val="6"/>
        <w:pageBreakBefore w:val="0"/>
        <w:kinsoku/>
        <w:wordWrap/>
        <w:overflowPunct/>
        <w:topLinePunct w:val="0"/>
        <w:bidi w:val="0"/>
        <w:spacing w:before="0" w:after="0" w:line="560" w:lineRule="exac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34.质疑</w:t>
      </w:r>
      <w:bookmarkEnd w:id="233"/>
      <w:bookmarkEnd w:id="234"/>
    </w:p>
    <w:p>
      <w:pPr>
        <w:pageBreakBefore w:val="0"/>
        <w:kinsoku/>
        <w:wordWrap/>
        <w:overflowPunct/>
        <w:topLinePunct w:val="0"/>
        <w:bidi w:val="0"/>
        <w:spacing w:line="560" w:lineRule="exact"/>
        <w:textAlignment w:val="auto"/>
        <w:rPr>
          <w:rFonts w:hint="eastAsia" w:ascii="宋体" w:hAnsi="宋体" w:eastAsia="宋体" w:cs="宋体"/>
          <w:b w:val="0"/>
          <w:bCs w:val="0"/>
          <w:color w:val="auto"/>
          <w:sz w:val="24"/>
          <w:szCs w:val="24"/>
        </w:rPr>
      </w:pPr>
      <w:r>
        <w:rPr>
          <w:rFonts w:hint="eastAsia" w:ascii="宋体" w:hAnsi="宋体" w:eastAsia="宋体" w:cs="宋体"/>
          <w:color w:val="auto"/>
          <w:sz w:val="24"/>
          <w:szCs w:val="24"/>
        </w:rPr>
        <w:t>34.1 投标人认为采购文件、采购过程和中标结果使自己的权益受到损害的，可以根据《中华人民共和国政府采购法》、《中华人民共和国政府采购法实施条例》和《政府采购质疑和投诉办法》的有关规定，在知道或者应知其权益受到损害之日起7个工作日内，依法向采购人或其委托的采购代理机构提出质疑。</w:t>
      </w:r>
      <w:r>
        <w:rPr>
          <w:rFonts w:hint="eastAsia" w:ascii="宋体" w:hAnsi="宋体" w:eastAsia="宋体" w:cs="宋体"/>
          <w:b w:val="0"/>
          <w:bCs w:val="0"/>
          <w:color w:val="auto"/>
          <w:sz w:val="24"/>
          <w:szCs w:val="24"/>
        </w:rPr>
        <w:t>34.2 提出质疑的供应商应当是参加所本项目采购活动的供应商。依法获取可质疑采购文件的潜在供应商也可以依法提出质疑。</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34.3 质疑供应商应在法定质疑期内通过“宁夏回族自治区政府采购网”“政府采购在线质疑投诉系统”提出质疑针对同一采购程序环节的质疑次数应符合</w:t>
      </w:r>
      <w:r>
        <w:rPr>
          <w:rFonts w:hint="eastAsia" w:ascii="宋体" w:hAnsi="宋体" w:eastAsia="宋体" w:cs="宋体"/>
          <w:color w:val="auto"/>
          <w:sz w:val="24"/>
          <w:szCs w:val="24"/>
          <w:u w:val="single"/>
        </w:rPr>
        <w:t>供应商须知前附表</w:t>
      </w:r>
      <w:r>
        <w:rPr>
          <w:rFonts w:hint="eastAsia" w:ascii="宋体" w:hAnsi="宋体" w:eastAsia="宋体" w:cs="宋体"/>
          <w:color w:val="auto"/>
          <w:sz w:val="24"/>
          <w:szCs w:val="24"/>
        </w:rPr>
        <w:t>的规定。超出法定质疑期提交的质疑将被拒绝。</w:t>
      </w:r>
    </w:p>
    <w:p>
      <w:pPr>
        <w:pageBreakBefore w:val="0"/>
        <w:kinsoku/>
        <w:wordWrap/>
        <w:overflowPunct/>
        <w:topLinePunct w:val="0"/>
        <w:bidi w:val="0"/>
        <w:spacing w:line="56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34.4 采购人、采购代理机构不得拒收质疑供应商在法定质疑期内发出的质疑函，应当在收到质疑函7个工作日内作出答复，并通知质疑供应商和相关供应商。</w:t>
      </w:r>
    </w:p>
    <w:bookmarkEnd w:id="226"/>
    <w:bookmarkEnd w:id="227"/>
    <w:bookmarkEnd w:id="228"/>
    <w:bookmarkEnd w:id="229"/>
    <w:bookmarkEnd w:id="230"/>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35.投诉</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35.1 质疑供应商对采购人、采购代理机构的答复不满意，或者采购人、采购代理机构未在规定时间内作出答复的，可以在答复期满后15个工作日内向同级财政部门提起投诉。</w:t>
      </w:r>
    </w:p>
    <w:p>
      <w:pPr>
        <w:pageBreakBefore w:val="0"/>
        <w:kinsoku/>
        <w:wordWrap/>
        <w:overflowPunct/>
        <w:topLinePunct w:val="0"/>
        <w:bidi w:val="0"/>
        <w:spacing w:line="560" w:lineRule="exact"/>
        <w:textAlignment w:val="auto"/>
        <w:rPr>
          <w:rFonts w:hint="eastAsia" w:ascii="宋体" w:hAnsi="宋体" w:eastAsia="宋体" w:cs="宋体"/>
          <w:color w:val="auto"/>
          <w:szCs w:val="28"/>
          <w:highlight w:val="none"/>
        </w:rPr>
      </w:pPr>
      <w:r>
        <w:rPr>
          <w:rFonts w:hint="eastAsia" w:ascii="宋体" w:hAnsi="宋体" w:eastAsia="宋体" w:cs="宋体"/>
          <w:color w:val="auto"/>
          <w:sz w:val="24"/>
          <w:szCs w:val="24"/>
          <w:highlight w:val="none"/>
        </w:rPr>
        <w:t>35.2 投诉供应商应在法定投诉期内通过“宁夏回族自治区政府采购网”“政府采购在线质疑投诉系统”提出投诉。</w:t>
      </w:r>
    </w:p>
    <w:p>
      <w:pPr>
        <w:pageBreakBefore w:val="0"/>
        <w:widowControl/>
        <w:kinsoku/>
        <w:wordWrap/>
        <w:overflowPunct/>
        <w:topLinePunct w:val="0"/>
        <w:bidi w:val="0"/>
        <w:spacing w:line="560" w:lineRule="exact"/>
        <w:jc w:val="left"/>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p>
    <w:p>
      <w:pPr>
        <w:pageBreakBefore w:val="0"/>
        <w:numPr>
          <w:ilvl w:val="0"/>
          <w:numId w:val="3"/>
        </w:numPr>
        <w:kinsoku/>
        <w:wordWrap/>
        <w:overflowPunct/>
        <w:topLinePunct w:val="0"/>
        <w:bidi w:val="0"/>
        <w:spacing w:line="560" w:lineRule="exact"/>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项目说明和采购需求</w:t>
      </w:r>
    </w:p>
    <w:p>
      <w:pPr>
        <w:pStyle w:val="9"/>
        <w:numPr>
          <w:ilvl w:val="0"/>
          <w:numId w:val="0"/>
        </w:numPr>
        <w:rPr>
          <w:rFonts w:hint="eastAsia"/>
        </w:rPr>
      </w:pPr>
    </w:p>
    <w:tbl>
      <w:tblPr>
        <w:tblStyle w:val="20"/>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258"/>
        <w:gridCol w:w="4443"/>
        <w:gridCol w:w="792"/>
        <w:gridCol w:w="74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序号</w:t>
            </w:r>
          </w:p>
        </w:tc>
        <w:tc>
          <w:tcPr>
            <w:tcW w:w="125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设备名称</w:t>
            </w:r>
          </w:p>
        </w:tc>
        <w:tc>
          <w:tcPr>
            <w:tcW w:w="4443"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参数</w:t>
            </w:r>
          </w:p>
        </w:tc>
        <w:tc>
          <w:tcPr>
            <w:tcW w:w="792"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数量</w:t>
            </w:r>
          </w:p>
        </w:tc>
        <w:tc>
          <w:tcPr>
            <w:tcW w:w="74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单位</w:t>
            </w:r>
          </w:p>
        </w:tc>
        <w:tc>
          <w:tcPr>
            <w:tcW w:w="777"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000000"/>
                <w:kern w:val="0"/>
                <w:sz w:val="24"/>
                <w:szCs w:val="24"/>
                <w:lang w:val="en-US" w:eastAsia="zh-CN" w:bidi="ar"/>
              </w:rPr>
              <w:t>1</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全光谱食</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品安全快</w:t>
            </w:r>
          </w:p>
          <w:p>
            <w:pPr>
              <w:keepNext w:val="0"/>
              <w:keepLines w:val="0"/>
              <w:widowControl/>
              <w:suppressLineNumbers w:val="0"/>
              <w:jc w:val="center"/>
              <w:rPr>
                <w:rFonts w:hint="eastAsia" w:ascii="宋体" w:hAnsi="宋体" w:eastAsia="宋体" w:cs="宋体"/>
                <w:color w:val="auto"/>
                <w:sz w:val="24"/>
                <w:szCs w:val="24"/>
                <w:vertAlign w:val="baseline"/>
              </w:rPr>
            </w:pPr>
            <w:r>
              <w:rPr>
                <w:rFonts w:hint="eastAsia" w:ascii="宋体" w:hAnsi="宋体" w:eastAsia="宋体" w:cs="宋体"/>
                <w:color w:val="000000"/>
                <w:kern w:val="0"/>
                <w:sz w:val="24"/>
                <w:szCs w:val="24"/>
                <w:lang w:val="en-US" w:eastAsia="zh-CN" w:bidi="ar"/>
              </w:rPr>
              <w:t>速检测仪</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 技术要求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 适用范围：实验室快速检测各类食品中常见的违法添加物，如：卫生部公布的 1-6 批食品中可能违法添加的非食用物质和易滥用的食品添加剂，甲醛、二氧化硫、亚硝酸盐、吊白块、农药残留等，内置公安食药侦综合警务信息系统。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 显示器：≥7 寸彩色触摸显示屏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 波长驱动：自动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4) ★波长范围：320-1100nm</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 ★波长示值误差：±1.0nm</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 ★波长重复性：≤0.5nm</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 光谱带宽：≤</w:t>
            </w:r>
            <w:r>
              <w:rPr>
                <w:rFonts w:hint="eastAsia" w:ascii="宋体" w:hAnsi="宋体" w:eastAsia="宋体" w:cs="宋体"/>
                <w:color w:val="000000" w:themeColor="text1"/>
                <w:kern w:val="0"/>
                <w:sz w:val="24"/>
                <w:szCs w:val="24"/>
                <w:lang w:val="en-US" w:eastAsia="zh-CN" w:bidi="ar"/>
                <w14:textFill>
                  <w14:solidFill>
                    <w14:schemeClr w14:val="tx1"/>
                  </w14:solidFill>
                </w14:textFill>
              </w:rPr>
              <w:t>1.7nm</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8) ★透射比示值误差：±0.2%</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9) ★透射比重复性：≤0.1%</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10) 透射比范围：0-200%T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11) 吸光度范围：-0.4-4A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12) 浓度显示范围： 0-99999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13) ★杂散光：≤0.05%</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14) 稳定性：±0.001A/h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15) 基线平直度：±0.002A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16) 噪声：≤0.0005A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17) 输出接口：USB、RS-232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18) 扫描功能：高中低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19) 动力学：具备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20) 高性能低杂散光光栅，C-T 式单色器的结构，钨灯，光电转换器，确保了仪器具有低杂散光、高分辨率、高光度线性。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21) 中/英文彩色触摸显示屏，电脑与主机完美融合为一体，使用流畅、方便，一气呵成，清晰直观的显示被测样品的相关数据和图谱。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22) 自动设置波长，并具有先进的自动修正波长误差功能，使波长准确度更高。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 仪器配有能</w:t>
            </w:r>
            <w:r>
              <w:rPr>
                <w:rFonts w:hint="eastAsia" w:ascii="宋体" w:hAnsi="宋体" w:eastAsia="宋体" w:cs="宋体"/>
                <w:color w:val="000000"/>
                <w:kern w:val="0"/>
                <w:sz w:val="24"/>
                <w:szCs w:val="24"/>
                <w:highlight w:val="none"/>
                <w:lang w:val="en-US" w:eastAsia="zh-CN" w:bidi="ar"/>
              </w:rPr>
              <w:t>在 Windows 操作</w:t>
            </w:r>
            <w:r>
              <w:rPr>
                <w:rFonts w:hint="eastAsia" w:ascii="宋体" w:hAnsi="宋体" w:eastAsia="宋体" w:cs="宋体"/>
                <w:color w:val="000000"/>
                <w:kern w:val="0"/>
                <w:sz w:val="24"/>
                <w:szCs w:val="24"/>
                <w:lang w:val="en-US" w:eastAsia="zh-CN" w:bidi="ar"/>
              </w:rPr>
              <w:t xml:space="preserve">系统上运行的应用软件，使仪器具有光度、定量、标准曲线等功能，并可海量储存相关数据和图谱曲线。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 检测项目：农药残留、非食用物质、易滥用的食品添加剂、非食用色素等，具体项目包括但不限于：农药残留、甲醛、亚硝酸盐、二氧化硫、吊白块、甲醇、双氧水、罗丹明B、溴酸钾、蛋白质、过氧化苯甲酰、硼砂等50余种项目。</w:t>
            </w:r>
          </w:p>
        </w:tc>
        <w:tc>
          <w:tcPr>
            <w:tcW w:w="79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套</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便携式拉</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曼光谱检</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测仪</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1)检测能力：非食用化学物质、食品添加剂、农药残留、兽药残留、保健食品中非法添加等指标。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2)★双光源中心波长：λ1=785.5±0.5nm，λ2=784.5±0.5nm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3)★光源功率：0~500 mW 连续可调</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4)★光源线宽：≤0.06nm</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5)★光谱范围：180cm-1-2800 cm-1</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6)★全波段最大分辨率：（3-5）cm-1</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7)★信噪比：≥850：1</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8)纳米增强试剂稳定性≥ 12个月。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9)支持 WIFI，USB，以太网等常用数据接口。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 内部电源：</w:t>
            </w:r>
            <w:r>
              <w:rPr>
                <w:rFonts w:hint="eastAsia" w:ascii="宋体" w:hAnsi="宋体" w:eastAsia="宋体" w:cs="宋体"/>
                <w:color w:val="000000" w:themeColor="text1"/>
                <w:kern w:val="0"/>
                <w:sz w:val="24"/>
                <w:szCs w:val="24"/>
                <w:lang w:val="en-US" w:eastAsia="zh-CN" w:bidi="ar"/>
                <w14:textFill>
                  <w14:solidFill>
                    <w14:schemeClr w14:val="tx1"/>
                  </w14:solidFill>
                </w14:textFill>
              </w:rPr>
              <w:t>8.4V ≤6800mAH</w:t>
            </w:r>
            <w:r>
              <w:rPr>
                <w:rFonts w:hint="eastAsia" w:ascii="宋体" w:hAnsi="宋体" w:eastAsia="宋体" w:cs="宋体"/>
                <w:color w:val="000000"/>
                <w:kern w:val="0"/>
                <w:sz w:val="24"/>
                <w:szCs w:val="24"/>
                <w:lang w:val="en-US" w:eastAsia="zh-CN" w:bidi="ar"/>
              </w:rPr>
              <w:t xml:space="preserve"> 超大容量笔记本专用锂电池，一次充电可连续工作不少于6小时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11) 检测探头：物镜可拆卸、可更换设计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12) 检测样品形态：常量固态、粉末、薄膜、液态；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13) 通过纳米增强试剂可达到 PPB 级别的检测。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 检测项目：内置药物、农药等拉曼光谱数据库大于 3000 种，提供超过100种常见食品违禁添加品标准谱图，部分成熟检测项目(可进行半定量检测)。</w:t>
            </w:r>
          </w:p>
        </w:tc>
        <w:tc>
          <w:tcPr>
            <w:tcW w:w="79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肉类快速</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鉴别仪</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1)检测项目：快速半定量鉴定猪、牛、羊、鸡、鸭、驴等动物源成分。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2)最低检出限：0.01%~0.05%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3)★检测时间：40~60 min 内完成检测（包括样品前处理）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4)★在侧向层析试纸上，通过免疫识别原理对扩增产物进行量化分析，进一步保证检测的特异性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5)★结果判读：检测结果目视判读。 </w:t>
            </w:r>
          </w:p>
          <w:p>
            <w:pPr>
              <w:keepNext w:val="0"/>
              <w:keepLines w:val="0"/>
              <w:widowControl/>
              <w:suppressLineNumbers w:val="0"/>
              <w:ind w:firstLine="240" w:firstLine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核酸分子扩增模块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1)热盖可随时开通和关闭，兼容可控性更高。</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2)2x8 模块（八联排兼容模块），满足更多实验需求。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)★样品容量：16*0.2mL-16*0.5mL</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4)温度控制范围：4~99.9℃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5)时间调节范围：1s~60min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auto"/>
                <w:kern w:val="0"/>
                <w:sz w:val="24"/>
                <w:szCs w:val="24"/>
                <w:lang w:val="en-US" w:eastAsia="zh-CN" w:bidi="ar"/>
              </w:rPr>
              <w:t>6)温度显示分辨率：≤0.1℃</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7)温控准确性：±0.2℃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8)温度均一性：±0.2℃ </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9)最大升温速度：≥5℃/s </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10)最大降温速度：≥4℃/s </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11)存储程序数：≥16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12)循环数范围：1~99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13)热盖温度：30~105℃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14)控制界面：触摸屏/旋钮调节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15)供电电源：DC12V，10A，可车载使用 </w:t>
            </w:r>
          </w:p>
          <w:p>
            <w:pPr>
              <w:keepNext w:val="0"/>
              <w:keepLines w:val="0"/>
              <w:widowControl/>
              <w:suppressLineNumbers w:val="0"/>
              <w:ind w:firstLine="240" w:firstLine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孵育模块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1)工作温度：室温 ±5~110℃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2)温度设置范围：30~100℃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3)温度均一性：±0.5 ℃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4)温度准确性：±0.3℃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5)适配耗材：锥形底离心管 </w:t>
            </w:r>
          </w:p>
          <w:p>
            <w:pPr>
              <w:keepNext w:val="0"/>
              <w:keepLines w:val="0"/>
              <w:widowControl/>
              <w:suppressLineNumbers w:val="0"/>
              <w:ind w:firstLine="240" w:firstLine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离心模块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1)转速：3000~10000 rpm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相对离心力：approx.≥7000g</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3)样品处理量：8x2.0/1.5/0.5/0.2 mL 离心管（配 0.5mL 和 0.2mL 离心管套）</w:t>
            </w:r>
            <w:r>
              <w:rPr>
                <w:rFonts w:hint="eastAsia" w:ascii="宋体" w:hAnsi="宋体" w:eastAsia="宋体" w:cs="宋体"/>
                <w:color w:val="000000" w:themeColor="text1"/>
                <w:kern w:val="0"/>
                <w:sz w:val="24"/>
                <w:szCs w:val="24"/>
                <w:lang w:val="en-US" w:eastAsia="zh-CN" w:bidi="ar"/>
                <w14:textFill>
                  <w14:solidFill>
                    <w14:schemeClr w14:val="tx1"/>
                  </w14:solidFill>
                </w14:textFill>
              </w:rPr>
              <w:t>2x8x0.2mL PCR 离心排管</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4)定时范围：1s ~ 9999 min 或连续 </w:t>
            </w:r>
          </w:p>
          <w:p>
            <w:pPr>
              <w:keepNext w:val="0"/>
              <w:keepLines w:val="0"/>
              <w:widowControl/>
              <w:suppressLineNumbers w:val="0"/>
              <w:ind w:firstLine="240" w:firstLine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涡旋模块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1)振荡方式：圆周振荡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混匀直径：≥5.5mm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auto"/>
                <w:kern w:val="0"/>
                <w:sz w:val="24"/>
                <w:szCs w:val="24"/>
                <w:lang w:val="en-US" w:eastAsia="zh-CN" w:bidi="ar"/>
              </w:rPr>
              <w:t xml:space="preserve">转速：≥5600rpm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称量模块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1)称重范围：≥50g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auto"/>
                <w:kern w:val="0"/>
                <w:sz w:val="24"/>
                <w:szCs w:val="24"/>
                <w:lang w:val="en-US" w:eastAsia="zh-CN" w:bidi="ar"/>
              </w:rPr>
              <w:t>精度：≤0.001g</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3)便携箱：移液器3把、吸头盒1个、多功能离心管架2个、计时器1个以及其他必要工具与上述功能模块需装在一个便携箱中，方便外出携带。</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食品药品 </w:t>
            </w:r>
          </w:p>
          <w:p>
            <w:pPr>
              <w:keepNext w:val="0"/>
              <w:keepLines w:val="0"/>
              <w:widowControl/>
              <w:suppressLineNumbers w:val="0"/>
              <w:jc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胶体分析 </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highlight w:val="none"/>
                <w:lang w:val="en-US" w:eastAsia="zh-CN" w:bidi="ar"/>
              </w:rPr>
              <w:t>仪</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1)检测能力：检测食品中常见的兽药残留、生物毒素、违禁添加等指标；</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auto"/>
                <w:kern w:val="0"/>
                <w:sz w:val="24"/>
                <w:szCs w:val="24"/>
                <w:lang w:val="en-US" w:eastAsia="zh-CN" w:bidi="ar"/>
              </w:rPr>
              <w:t>2)检测通道：≥10 通道，同时检测 ≥10个样品，支持三联卡；</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3)采用二维码扫描技术可自动识别检测卡种类及分析模式，无需手动输入；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4)检测结果，检测图片长期保存，供溯源使用；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 检测方式：扫描式；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6) 检测卡正面向上自动识别检测，避免样本液对设备污染；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 灵敏度高，捕捉样本的细微变化，除去不同眼部的本底干扰，拓宽检测范围；</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 ★重复性（n=10）：≤1%</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 ★准确性：≤0.7%</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 ★稳定性：T/C≤1%;T≤0.5%</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11) 主机：1 台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12) 仪器电源线 ：1 条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13) 键盘：1 个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 鼠标：1 个</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highlight w:val="none"/>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全自动食 </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品安全检 </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测仪</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 无需手动加样、加试剂，全过程自动检测、自动清洗，出现故障自动报警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 试剂盘：试剂杯≥80 个，可添加单试剂、双试剂、三试剂、四试剂、五试剂，可实时监控试剂剩余量，试剂量不足自动提醒，提升检测工作效率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 检测样本：≥40个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 检测通道≥44个，仪器自动识别定位检测通道，自动屏蔽问题检测通道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 自带实时状态，可实时监控样本、试剂、反应状态，方便实时知晓检测进程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6) 反应盘具有控温加热功能，能满足试剂完全反应的适宜温度，避免环境温度对检测结果干扰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 进样系统为分为一支加样/试剂针、一支搅拌针、4 支清洗针，自动清洗，防止试剂、样本交叉污染。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 加样/试剂针：程序控制，采用真空吸样，准确性为±1μL，自动液面探测，防止空吸，保证微量分析准确性，具有防撞安全保护功能，确保使用可靠性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9) 测量范围：0.001~3.800Abs；吸光度的稳定性：吸光度的变化≤ 0.01；吸光度的重复性：≤1.5%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10)★波长示值误差≤0.2nm、重复性≤0.1nm、样品携带污染率≤ 0.1%、加样误差≤0.5%、加样重复性≤0.2%</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000000"/>
                <w:kern w:val="0"/>
                <w:sz w:val="24"/>
                <w:szCs w:val="24"/>
                <w:lang w:val="en-US" w:eastAsia="zh-CN" w:bidi="ar"/>
              </w:rPr>
              <w:t>11)</w:t>
            </w:r>
            <w:r>
              <w:rPr>
                <w:rFonts w:hint="eastAsia" w:ascii="宋体" w:hAnsi="宋体" w:eastAsia="宋体" w:cs="宋体"/>
                <w:color w:val="auto"/>
                <w:kern w:val="0"/>
                <w:sz w:val="24"/>
                <w:szCs w:val="24"/>
                <w:lang w:val="en-US" w:eastAsia="zh-CN" w:bidi="ar"/>
              </w:rPr>
              <w:t>★农药残留检测试剂盒对几种常用农药的最低检测限满足：（1）甲胺磷≤ 2.0mg/kg；（2）马拉硫磷 ≤4.0mg/kg；（3）辛硫磷 ≤0.3mg/kg；（4）对硫磷≤ 1.0mg/kg；（5）甲基异柳磷 ≤5.0mg/kg；（6）灭多威 ≤0.1mg/kg；（7）敌百虫≤ 0.2mg/kg；（8）呋喃丹 ≤0.05mg/kg；（9）丁硫克百威≤0.05mg/kg；（10）氧化乐果≤ 0.8mg/kg；（11）敌敌畏≤ 0.1mg/kg；（12）乐果≤ 3.0mg/kg。</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 温度准确度与波动度: 温度值波动度</w:t>
            </w:r>
            <w:r>
              <w:rPr>
                <w:rFonts w:hint="eastAsia" w:ascii="宋体" w:hAnsi="宋体" w:eastAsia="宋体" w:cs="宋体"/>
                <w:color w:val="000000"/>
                <w:kern w:val="0"/>
                <w:sz w:val="24"/>
                <w:szCs w:val="24"/>
                <w:highlight w:val="none"/>
                <w:lang w:val="en-US" w:eastAsia="zh-CN" w:bidi="ar"/>
              </w:rPr>
              <w:t>不大于±0.1℃</w:t>
            </w:r>
            <w:r>
              <w:rPr>
                <w:rFonts w:hint="eastAsia" w:ascii="宋体" w:hAnsi="宋体" w:eastAsia="宋体" w:cs="宋体"/>
                <w:color w:val="000000"/>
                <w:kern w:val="0"/>
                <w:sz w:val="24"/>
                <w:szCs w:val="24"/>
                <w:lang w:val="en-US" w:eastAsia="zh-CN" w:bidi="ar"/>
              </w:rPr>
              <w:t xml:space="preserve">(设定值37℃)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 高效快速：10 分钟即可全自动检测一批样品，并可选择打印中文报告</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14) 标准配备 340、 405、 450、 505 、546、 578 、630、 700nm 八个波长，最多可扩展100个易滥用添加剂及非法添加物检测项目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 光源：低功耗卤素灯，光纤导光</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16) 不少于4个可拆卸反应扇形盘，每个扇形盘不少于11个比色杯，方便拆卸维护保养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17) 可根据样本情况进行个性化登记，可对多个样本进行单一或多项目检测。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18) 测试结果可自动判断合格与否，根据国家标准自动显示判断依据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19) 试剂盘具有不间断 2-8℃制冷功能，可满足试剂冷藏保存要求，可根据需求选择开启，环保经济。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20) 仪器操作软件自带中文输入，可进行样本信息录入，样品信息包含：样品编号、样品名称、样品来源、检测人员、检测单位、检测日期等信息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21) 可检测有机磷和氨基甲酸酯类农药残留，吊白块、硼砂、甲醛等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违法添加物；过氧化氢、二氧化硫、日落黄、柠檬黄、亚硝酸盐等易滥用食品添加剂等 30 多个检测项目，配备常用</w:t>
            </w:r>
            <w:r>
              <w:rPr>
                <w:rFonts w:hint="eastAsia" w:ascii="宋体" w:hAnsi="宋体" w:eastAsia="宋体" w:cs="宋体"/>
                <w:color w:val="000000" w:themeColor="text1"/>
                <w:kern w:val="0"/>
                <w:sz w:val="24"/>
                <w:szCs w:val="24"/>
                <w:lang w:val="en-US" w:eastAsia="zh-CN" w:bidi="ar"/>
                <w14:textFill>
                  <w14:solidFill>
                    <w14:schemeClr w14:val="tx1"/>
                  </w14:solidFill>
                </w14:textFill>
              </w:rPr>
              <w:t>不少于10个</w:t>
            </w:r>
            <w:r>
              <w:rPr>
                <w:rFonts w:hint="eastAsia" w:ascii="宋体" w:hAnsi="宋体" w:eastAsia="宋体" w:cs="宋体"/>
                <w:color w:val="000000"/>
                <w:kern w:val="0"/>
                <w:sz w:val="24"/>
                <w:szCs w:val="24"/>
                <w:lang w:val="en-US" w:eastAsia="zh-CN" w:bidi="ar"/>
              </w:rPr>
              <w:t>检测项目试剂各一盒，每盒使用量不少于200次</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食品药品 </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现场采样 </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箱</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用于食品和药品样品的采集及中转储存，包括常用采样工具；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附件如下：恒温冷藏箱工具收纳盒、食药采样袋、广口采样瓶、封口膜、剪刀、小刀、一次性塑料采样勺、一次性塑料镊子乳胶手套、标签纸、记号笔</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个</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w:t>
            </w:r>
          </w:p>
        </w:tc>
        <w:tc>
          <w:tcPr>
            <w:tcW w:w="125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研磨仪</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用于粉碎样品；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1.转速: </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kern w:val="0"/>
                <w:sz w:val="24"/>
                <w:szCs w:val="24"/>
                <w:lang w:val="en-US" w:eastAsia="zh-CN" w:bidi="ar"/>
              </w:rPr>
              <w:t xml:space="preserve">25000 转/分钟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2.额定电压：220V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3.额定频率：50HZ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4.额定功率：200W</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w:t>
            </w:r>
          </w:p>
        </w:tc>
        <w:tc>
          <w:tcPr>
            <w:tcW w:w="125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离心机</w:t>
            </w:r>
          </w:p>
        </w:tc>
        <w:tc>
          <w:tcPr>
            <w:tcW w:w="4443" w:type="dxa"/>
            <w:vAlign w:val="center"/>
          </w:tcPr>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1.微处理器控制系统，速度控制的精确性，分离效果更好;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2.LCD 显示屏，可实时显示运行参数;转速和离心力可切换显示;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3.直流无刷电机;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4.瞬时离心功能，扩展了商品的应用;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5.离心结束后自动开盖，节省时间</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同时防止样品过热;</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6.开机自检，显示累计运行时间和上次运行参数;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7.最高转速 ≥4500rmp;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8.最大转子能力 ，降速时间两档可调。</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9 </w:t>
            </w:r>
          </w:p>
        </w:tc>
        <w:tc>
          <w:tcPr>
            <w:tcW w:w="125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浓缩仪</w:t>
            </w:r>
          </w:p>
        </w:tc>
        <w:tc>
          <w:tcPr>
            <w:tcW w:w="4443" w:type="dxa"/>
            <w:vAlign w:val="center"/>
          </w:tcPr>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产品技术指标：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1、加热孔：不少于12 孔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2、体积（长宽高）：260*190*240mm±5mm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3、孔深：≥40mm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4、气源：氮气（空气）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5、直径：≥16mm </w:t>
            </w:r>
          </w:p>
          <w:p>
            <w:pPr>
              <w:keepNext w:val="0"/>
              <w:keepLines w:val="0"/>
              <w:widowControl/>
              <w:suppressLineNumbers w:val="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6、温度误差：≤±0.3℃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7、流量：0－36L／min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8、安全性：对有机溶剂本质安全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9、最大功率：250W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10、加热范围：室温－100℃</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w:t>
            </w:r>
          </w:p>
        </w:tc>
        <w:tc>
          <w:tcPr>
            <w:tcW w:w="1258"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水浴锅</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产品技术指标：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、容积：≥4.9L </w:t>
            </w:r>
          </w:p>
          <w:p>
            <w:pPr>
              <w:keepNext w:val="0"/>
              <w:keepLines w:val="0"/>
              <w:widowControl/>
              <w:suppressLineNumbers w:val="0"/>
              <w:jc w:val="left"/>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2、内胆尺寸：347×201×155mm±5mm</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3、外胆尺寸：455×201×183mm±5mm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4、功率：≥500W</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w:t>
            </w:r>
          </w:p>
        </w:tc>
        <w:tc>
          <w:tcPr>
            <w:tcW w:w="1258" w:type="dxa"/>
            <w:vAlign w:val="center"/>
          </w:tcPr>
          <w:p>
            <w:pPr>
              <w:keepNext w:val="0"/>
              <w:keepLines w:val="0"/>
              <w:widowControl/>
              <w:suppressLineNumbers w:val="0"/>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涡旋混合</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器</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用于样品混合匀和、萃取。技术参数 (速度可调) </w:t>
            </w:r>
            <w:r>
              <w:rPr>
                <w:rFonts w:hint="eastAsia" w:ascii="宋体" w:hAnsi="宋体" w:eastAsia="宋体" w:cs="宋体"/>
                <w:color w:val="000000" w:themeColor="text1"/>
                <w:kern w:val="0"/>
                <w:sz w:val="24"/>
                <w:szCs w:val="24"/>
                <w:lang w:val="en-US" w:eastAsia="zh-CN" w:bidi="ar"/>
                <w14:textFill>
                  <w14:solidFill>
                    <w14:schemeClr w14:val="tx1"/>
                  </w14:solidFill>
                </w14:textFill>
              </w:rPr>
              <w:t>MX-S</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.电压 110-120V/220~230V，50/60Hz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2.功率 ≥60W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3.振荡方式 圆周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4.周转直径 ≥4mm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5.电机类型 罩极电机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6.电机输入功</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率 ≥58W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7.电机输出功率 ≥10W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8.转速范围 0~2500rpm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9.转速显示刻度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10.运行方式点动/连续运转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11.尺寸(长x宽x高)</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127x130x160mm±5mm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12.重量</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3.5kg±0.1kg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13.允许环境温度 5~40℃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14.允许相对湿度 不低于</w:t>
            </w:r>
            <w:r>
              <w:rPr>
                <w:rFonts w:hint="eastAsia" w:ascii="宋体" w:hAnsi="宋体" w:eastAsia="宋体" w:cs="宋体"/>
                <w:color w:val="000000" w:themeColor="text1"/>
                <w:kern w:val="0"/>
                <w:sz w:val="24"/>
                <w:szCs w:val="24"/>
                <w:lang w:val="en-US" w:eastAsia="zh-CN" w:bidi="ar"/>
                <w14:textFill>
                  <w14:solidFill>
                    <w14:schemeClr w14:val="tx1"/>
                  </w14:solidFill>
                </w14:textFill>
              </w:rPr>
              <w:t>80%</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15.外壳防护等级</w:t>
            </w:r>
            <w:r>
              <w:rPr>
                <w:rFonts w:hint="eastAsia" w:ascii="宋体" w:hAnsi="宋体" w:eastAsia="宋体" w:cs="宋体"/>
                <w:color w:val="FF0000"/>
                <w:kern w:val="0"/>
                <w:sz w:val="24"/>
                <w:szCs w:val="24"/>
                <w:lang w:val="en-US" w:eastAsia="zh-CN" w:bidi="ar"/>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IP21</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电子天平</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1.最大承重（g):500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2.电源类型：充电器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3.屏幕尺寸</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：≥42*14mm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4.可读性（g):≤0.01</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鼓风干燥机</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1.适用范围：实验室商用工业烘箱</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2.温度范围：10℃-22℃ </w:t>
            </w:r>
          </w:p>
          <w:p>
            <w:pPr>
              <w:keepNext w:val="0"/>
              <w:keepLines w:val="0"/>
              <w:widowControl/>
              <w:suppressLineNumbers w:val="0"/>
              <w:jc w:val="left"/>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3.尺寸：55*45*55mm±5mm</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4.控温方式：温控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5.温度波动度：20℃±1℃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6.温度均匀度：5℃±1℃</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冷藏柜</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1.产品净重：≤100kg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2.冷藏容积：</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kern w:val="0"/>
                <w:sz w:val="24"/>
                <w:szCs w:val="24"/>
                <w:lang w:val="en-US" w:eastAsia="zh-CN" w:bidi="ar"/>
              </w:rPr>
              <w:t xml:space="preserve">880L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3.电压：220V </w:t>
            </w: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4.产品尺寸：1210*700*1950mm</w:t>
            </w:r>
            <w:r>
              <w:rPr>
                <w:rFonts w:hint="eastAsia" w:ascii="宋体" w:hAnsi="宋体" w:eastAsia="宋体" w:cs="宋体"/>
                <w:color w:val="000000" w:themeColor="text1"/>
                <w:kern w:val="0"/>
                <w:sz w:val="24"/>
                <w:szCs w:val="24"/>
                <w:lang w:val="en-US" w:eastAsia="zh-CN" w:bidi="ar"/>
                <w14:textFill>
                  <w14:solidFill>
                    <w14:schemeClr w14:val="tx1"/>
                  </w14:solidFill>
                </w14:textFill>
              </w:rPr>
              <w:t>±5mm</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5.温区：单温区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6.开门方式：侧开门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7.放置方式：立式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8.能效等级：三级能效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9.控温方式：机械控温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10.变频/定频：定频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11.制冷方式：直冷</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冷冻柜</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1.类型：冰柜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2.容量：301-350L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3.电压：220V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4.产品尺寸：1221*654*815mm</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±5mm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5.温区：单温区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6.开门方式：推拉门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7.放置方式：卧式</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8.能效等级：一级能效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9.控温方式：机械控温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10.变频/定频：定频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11.制冷方式：直冷</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16</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实验室专</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用超纯水</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机</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1.进水水源：市政自来水，水温：5℃&lt;T&lt;45℃，水压：0.1-0.5MPa，TDS＜350ppm ，当TDS＞350ppm 或地下水时，建议配置MPS膜保护器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2.制水量：</w:t>
            </w:r>
            <w:r>
              <w:rPr>
                <w:rFonts w:hint="eastAsia" w:ascii="宋体" w:hAnsi="宋体" w:eastAsia="宋体" w:cs="宋体"/>
                <w:color w:val="000000" w:themeColor="text1"/>
                <w:kern w:val="0"/>
                <w:sz w:val="24"/>
                <w:szCs w:val="24"/>
                <w:lang w:val="en-US" w:eastAsia="zh-CN" w:bidi="ar"/>
                <w14:textFill>
                  <w14:solidFill>
                    <w14:schemeClr w14:val="tx1"/>
                  </w14:solidFill>
                </w14:textFill>
              </w:rPr>
              <w:t>不少于</w:t>
            </w:r>
            <w:r>
              <w:rPr>
                <w:rFonts w:hint="eastAsia" w:ascii="宋体" w:hAnsi="宋体" w:eastAsia="宋体" w:cs="宋体"/>
                <w:color w:val="000000"/>
                <w:kern w:val="0"/>
                <w:sz w:val="24"/>
                <w:szCs w:val="24"/>
                <w:lang w:val="en-US" w:eastAsia="zh-CN" w:bidi="ar"/>
              </w:rPr>
              <w:t xml:space="preserve">10L/H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3.瞬间取水量：1.5-2.5L/min（水箱满时）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4.出水水质：电导率≤0.1us/cm@25℃，脱盐率≥99%，水质优于国家实验室用水标准 GB/T6682-2008 二级水标准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5.电源：220V/50Hz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6.功率：30W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7.噪音：≤45（dB）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8.主机尺寸：</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长×宽×高(410mm×350mm×470mm±5mm)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9.重量：≤30kg</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17</w:t>
            </w:r>
          </w:p>
        </w:tc>
        <w:tc>
          <w:tcPr>
            <w:tcW w:w="1258" w:type="dxa"/>
            <w:vAlign w:val="center"/>
          </w:tcPr>
          <w:p>
            <w:pPr>
              <w:keepNext w:val="0"/>
              <w:keepLines w:val="0"/>
              <w:widowControl/>
              <w:suppressLineNumbers w:val="0"/>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实验台、</w:t>
            </w:r>
          </w:p>
          <w:p>
            <w:pPr>
              <w:keepNext w:val="0"/>
              <w:keepLines w:val="0"/>
              <w:widowControl/>
              <w:suppressLineNumbers w:val="0"/>
              <w:jc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试剂架及</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附件</w:t>
            </w:r>
          </w:p>
        </w:tc>
        <w:tc>
          <w:tcPr>
            <w:tcW w:w="4443" w:type="dxa"/>
            <w:vAlign w:val="center"/>
          </w:tcPr>
          <w:p>
            <w:pPr>
              <w:keepNext w:val="0"/>
              <w:keepLines w:val="0"/>
              <w:widowControl/>
              <w:numPr>
                <w:ilvl w:val="0"/>
                <w:numId w:val="4"/>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台面部分：</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12.7mm 双膜实芯理化板,边缘用12.7mm理化板双层加厚至26mm,结构坚固致密,能抗强冲击、耐强酸碱、抗化学试剂、抗菌、抗冲击好、不导电、易清洁、更具有良好的承重性能。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2、箱体部分：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1)门板、抽屉板采用 E0 级 18mm 厚优质刨花板，以1mm 厚PVC封边条封边,强度高,表面光整、黏结牢固可靠。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2）基板：采用E0级 18mm 厚优质刨花板(PVC 封边),以1mm厚 PVC 封边条封边，后板可灵活拆卸,利于隐藏水电管道的维护修复。 </w:t>
            </w:r>
          </w:p>
          <w:p>
            <w:pPr>
              <w:keepNext w:val="0"/>
              <w:keepLines w:val="0"/>
              <w:widowControl/>
              <w:suppressLineNumbers w:val="0"/>
              <w:jc w:val="left"/>
              <w:rPr>
                <w:rFonts w:hint="eastAsia" w:ascii="宋体" w:hAnsi="宋体" w:eastAsia="宋体" w:cs="宋体"/>
                <w:color w:val="FF0000"/>
                <w:kern w:val="0"/>
                <w:sz w:val="24"/>
                <w:szCs w:val="24"/>
                <w:lang w:val="en-US" w:eastAsia="zh-CN" w:bidi="ar"/>
              </w:rPr>
            </w:pPr>
            <w:r>
              <w:rPr>
                <w:rFonts w:hint="eastAsia" w:ascii="宋体" w:hAnsi="宋体" w:eastAsia="宋体" w:cs="宋体"/>
                <w:color w:val="000000"/>
                <w:kern w:val="0"/>
                <w:sz w:val="24"/>
                <w:szCs w:val="24"/>
                <w:lang w:val="en-US" w:eastAsia="zh-CN" w:bidi="ar"/>
              </w:rPr>
              <w:t>3)铰链:采用</w:t>
            </w:r>
            <w:r>
              <w:rPr>
                <w:rFonts w:hint="eastAsia" w:ascii="宋体" w:hAnsi="宋体" w:eastAsia="宋体" w:cs="宋体"/>
                <w:color w:val="000000" w:themeColor="text1"/>
                <w:kern w:val="0"/>
                <w:sz w:val="24"/>
                <w:szCs w:val="24"/>
                <w:lang w:val="en-US" w:eastAsia="zh-CN" w:bidi="ar"/>
                <w14:textFill>
                  <w14:solidFill>
                    <w14:schemeClr w14:val="tx1"/>
                  </w14:solidFill>
                </w14:textFill>
              </w:rPr>
              <w:t>二段式缓冲金属弹簧铰链。</w:t>
            </w:r>
            <w:r>
              <w:rPr>
                <w:rFonts w:hint="eastAsia" w:ascii="宋体" w:hAnsi="宋体" w:eastAsia="宋体" w:cs="宋体"/>
                <w:color w:val="FF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4)滑轨：</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采用三节静音滑轨，可承重≥35公斤。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5）拉手：采用明装拉手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3、钢管部分：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使整体框架结构更为合理，其承重性能及整个台体的稳定性特别强。钢管采用 60*40*1.5mm方钢，主体钢材表面粉沫喷涂处理，具有耐腐蚀、防火、防潮等功能。通风柜</w:t>
            </w:r>
            <w:r>
              <w:rPr>
                <w:rFonts w:hint="eastAsia" w:ascii="宋体" w:hAnsi="宋体" w:eastAsia="宋体" w:cs="宋体"/>
                <w:color w:val="000000" w:themeColor="text1"/>
                <w:kern w:val="0"/>
                <w:sz w:val="24"/>
                <w:szCs w:val="24"/>
                <w:lang w:val="en-US" w:eastAsia="zh-CN" w:bidi="ar"/>
                <w14:textFill>
                  <w14:solidFill>
                    <w14:schemeClr w14:val="tx1"/>
                  </w14:solidFill>
                </w14:textFill>
              </w:rPr>
              <w:t>（全钢结构）</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4、尺寸规格</w:t>
            </w:r>
            <w:r>
              <w:rPr>
                <w:rFonts w:hint="eastAsia" w:ascii="宋体" w:hAnsi="宋体" w:eastAsia="宋体" w:cs="宋体"/>
                <w:color w:val="000000" w:themeColor="text1"/>
                <w:kern w:val="0"/>
                <w:sz w:val="24"/>
                <w:szCs w:val="24"/>
                <w:lang w:val="en-US" w:eastAsia="zh-CN" w:bidi="ar"/>
                <w14:textFill>
                  <w14:solidFill>
                    <w14:schemeClr w14:val="tx1"/>
                  </w14:solidFill>
                </w14:textFill>
              </w:rPr>
              <w:t>：8500*750*800mm±5mm</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米</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18</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防护套装</w:t>
            </w:r>
          </w:p>
        </w:tc>
        <w:tc>
          <w:tcPr>
            <w:tcW w:w="4443"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防护口罩、防腐手套、防毒面具、防护眼镜、轻便防化服、工作服</w:t>
            </w:r>
          </w:p>
        </w:tc>
        <w:tc>
          <w:tcPr>
            <w:tcW w:w="792"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747" w:type="dxa"/>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套</w:t>
            </w:r>
          </w:p>
        </w:tc>
        <w:tc>
          <w:tcPr>
            <w:tcW w:w="77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19</w:t>
            </w:r>
          </w:p>
        </w:tc>
        <w:tc>
          <w:tcPr>
            <w:tcW w:w="12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人员培训</w:t>
            </w:r>
          </w:p>
        </w:tc>
        <w:tc>
          <w:tcPr>
            <w:tcW w:w="4443"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负责检材和样品的提取制作和检验，仪器设备的培训，仪器参数定期校对和更新。</w:t>
            </w:r>
          </w:p>
        </w:tc>
        <w:tc>
          <w:tcPr>
            <w:tcW w:w="792"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tc>
        <w:tc>
          <w:tcPr>
            <w:tcW w:w="747"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tc>
        <w:tc>
          <w:tcPr>
            <w:tcW w:w="777" w:type="dxa"/>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tc>
      </w:tr>
    </w:tbl>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36"/>
          <w:szCs w:val="36"/>
        </w:rPr>
      </w:pPr>
    </w:p>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36"/>
          <w:szCs w:val="36"/>
        </w:rPr>
      </w:pPr>
    </w:p>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36"/>
          <w:szCs w:val="36"/>
        </w:rPr>
      </w:pPr>
    </w:p>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第五章 评标方法和标准</w:t>
      </w:r>
    </w:p>
    <w:p>
      <w:pPr>
        <w:pStyle w:val="9"/>
        <w:pageBreakBefore w:val="0"/>
        <w:tabs>
          <w:tab w:val="clear" w:pos="567"/>
        </w:tabs>
        <w:kinsoku/>
        <w:wordWrap/>
        <w:overflowPunct/>
        <w:topLinePunct w:val="0"/>
        <w:bidi w:val="0"/>
        <w:spacing w:before="0" w:line="560" w:lineRule="exact"/>
        <w:ind w:firstLine="720" w:firstLineChars="225"/>
        <w:textAlignment w:val="auto"/>
        <w:rPr>
          <w:rFonts w:hint="eastAsia" w:ascii="宋体" w:hAnsi="宋体" w:eastAsia="宋体" w:cs="宋体"/>
          <w:color w:val="auto"/>
          <w:sz w:val="32"/>
          <w:szCs w:val="32"/>
        </w:rPr>
      </w:pPr>
    </w:p>
    <w:p>
      <w:pPr>
        <w:pStyle w:val="9"/>
        <w:pageBreakBefore w:val="0"/>
        <w:tabs>
          <w:tab w:val="clear" w:pos="567"/>
        </w:tabs>
        <w:kinsoku/>
        <w:wordWrap/>
        <w:overflowPunct/>
        <w:topLinePunct w:val="0"/>
        <w:bidi w:val="0"/>
        <w:spacing w:before="0" w:line="560" w:lineRule="exact"/>
        <w:ind w:firstLine="540" w:firstLineChars="225"/>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评标委员会将按照本项目招标文件进行评标工作，采购人或者采购代理机构负责评标的组织工作。工作程序如下：</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一、评标准备工作，由采购人或者采购代理机构负责</w:t>
      </w:r>
    </w:p>
    <w:p>
      <w:pPr>
        <w:pStyle w:val="9"/>
        <w:pageBreakBefore w:val="0"/>
        <w:tabs>
          <w:tab w:val="clear" w:pos="567"/>
        </w:tabs>
        <w:kinsoku/>
        <w:wordWrap/>
        <w:overflowPunct/>
        <w:topLinePunct w:val="0"/>
        <w:bidi w:val="0"/>
        <w:spacing w:before="0" w:line="560" w:lineRule="exact"/>
        <w:ind w:left="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1.核对评审专家身份和采购人代表授权函；</w:t>
      </w:r>
    </w:p>
    <w:p>
      <w:pPr>
        <w:pStyle w:val="9"/>
        <w:pageBreakBefore w:val="0"/>
        <w:tabs>
          <w:tab w:val="clear" w:pos="567"/>
        </w:tabs>
        <w:kinsoku/>
        <w:wordWrap/>
        <w:overflowPunct/>
        <w:topLinePunct w:val="0"/>
        <w:bidi w:val="0"/>
        <w:spacing w:before="0" w:line="560" w:lineRule="exact"/>
        <w:ind w:left="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2.宣布评标纪律，集中保管通讯工具；</w:t>
      </w:r>
    </w:p>
    <w:p>
      <w:pPr>
        <w:pStyle w:val="9"/>
        <w:pageBreakBefore w:val="0"/>
        <w:tabs>
          <w:tab w:val="clear" w:pos="567"/>
        </w:tabs>
        <w:kinsoku/>
        <w:wordWrap/>
        <w:overflowPunct/>
        <w:topLinePunct w:val="0"/>
        <w:bidi w:val="0"/>
        <w:spacing w:before="0" w:line="560" w:lineRule="exact"/>
        <w:ind w:left="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3.公布投标人名单，告知评审专家应当回避的情形；</w:t>
      </w:r>
    </w:p>
    <w:p>
      <w:pPr>
        <w:pStyle w:val="9"/>
        <w:pageBreakBefore w:val="0"/>
        <w:tabs>
          <w:tab w:val="clear" w:pos="567"/>
        </w:tabs>
        <w:kinsoku/>
        <w:wordWrap/>
        <w:overflowPunct/>
        <w:topLinePunct w:val="0"/>
        <w:bidi w:val="0"/>
        <w:spacing w:before="0" w:line="560" w:lineRule="exact"/>
        <w:ind w:left="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4.组织评标委员会推选评标组长，采购人代表不得担任组长；</w:t>
      </w:r>
    </w:p>
    <w:p>
      <w:pPr>
        <w:pStyle w:val="9"/>
        <w:pageBreakBefore w:val="0"/>
        <w:tabs>
          <w:tab w:val="clear" w:pos="567"/>
        </w:tabs>
        <w:kinsoku/>
        <w:wordWrap/>
        <w:overflowPunct/>
        <w:topLinePunct w:val="0"/>
        <w:bidi w:val="0"/>
        <w:spacing w:before="0" w:line="560" w:lineRule="exact"/>
        <w:ind w:left="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5.根据评标委员会的要求介绍政府采购相关政策法律、招标文件。</w:t>
      </w:r>
    </w:p>
    <w:p>
      <w:pPr>
        <w:pStyle w:val="9"/>
        <w:pageBreakBefore w:val="0"/>
        <w:tabs>
          <w:tab w:val="clear" w:pos="567"/>
        </w:tabs>
        <w:kinsoku/>
        <w:wordWrap/>
        <w:overflowPunct/>
        <w:topLinePunct w:val="0"/>
        <w:bidi w:val="0"/>
        <w:spacing w:before="0" w:line="560" w:lineRule="exact"/>
        <w:ind w:left="63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二、符合性审查工作</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评标委员会开展符合性审查。符合性审查是指依据招标文件的规定，从商务和技术角度对投标文件的有效性和完整性进行审查，以确定是否对招标文件的实质性要求做出响应。</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1.要求投标人对投标文件有关事项作出澄清或者说明（如有）；</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2.依照招标文件规定的评标程序、方法和标准进行独立评审；</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本项目评标方法为最低评标价法，评标委员会在审查投标文件满足招标文件全部实质性要求后，按投标报价从低到高顺序确定中标候选人。除了算术修正和落实政府采购政策需进行的价格扣除外，不得对投标人的投标价格进行任何调整。</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如本项目评标方法为综合评分法，评标委员会对满足招标文件全部实质性要求的投标文件，按照招标文件规定的评审因素的量化指标进行评审打分，以评审得分从高到低顺序确定中标候选人。</w:t>
      </w:r>
    </w:p>
    <w:p>
      <w:pPr>
        <w:pStyle w:val="9"/>
        <w:pageBreakBefore w:val="0"/>
        <w:tabs>
          <w:tab w:val="clear" w:pos="567"/>
        </w:tabs>
        <w:kinsoku/>
        <w:wordWrap/>
        <w:overflowPunct/>
        <w:topLinePunct w:val="0"/>
        <w:bidi w:val="0"/>
        <w:spacing w:before="0" w:line="560" w:lineRule="exact"/>
        <w:ind w:firstLine="540" w:firstLineChars="22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每位成员独立对每个有效投标人的投标文件进行评价、打分；然后汇总每个投标人的得分，计算得分平均值，以平均值由高到低进行排序，按排序顺序推荐中标候选人。分值计算保留小数点后两位，第三位四舍五入。</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三、采购人或者采购代理机构核对评标结果</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四、确定中标候选人名单，或者根据采购人委托直接确定中标供应商</w:t>
      </w:r>
    </w:p>
    <w:p>
      <w:pPr>
        <w:pStyle w:val="9"/>
        <w:pageBreakBefore w:val="0"/>
        <w:tabs>
          <w:tab w:val="clear" w:pos="567"/>
        </w:tabs>
        <w:kinsoku/>
        <w:wordWrap/>
        <w:overflowPunct/>
        <w:topLinePunct w:val="0"/>
        <w:bidi w:val="0"/>
        <w:spacing w:before="0" w:line="560" w:lineRule="exact"/>
        <w:ind w:firstLine="540" w:firstLineChars="225"/>
        <w:textAlignment w:val="auto"/>
        <w:rPr>
          <w:rFonts w:hint="eastAsia" w:ascii="宋体" w:hAnsi="宋体" w:eastAsia="宋体" w:cs="宋体"/>
          <w:b/>
          <w:bCs/>
          <w:color w:val="auto"/>
          <w:sz w:val="24"/>
          <w:szCs w:val="24"/>
        </w:rPr>
      </w:pPr>
      <w:r>
        <w:rPr>
          <w:rFonts w:hint="eastAsia" w:ascii="宋体" w:hAnsi="宋体" w:eastAsia="宋体" w:cs="宋体"/>
          <w:b w:val="0"/>
          <w:bCs w:val="0"/>
          <w:color w:val="auto"/>
          <w:sz w:val="24"/>
          <w:szCs w:val="24"/>
        </w:rPr>
        <w:t>五、评审标准中应考虑下列因素</w:t>
      </w:r>
    </w:p>
    <w:p>
      <w:pPr>
        <w:pStyle w:val="9"/>
        <w:pageBreakBefore w:val="0"/>
        <w:tabs>
          <w:tab w:val="left" w:pos="6267"/>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1.政府采购政策要求</w:t>
      </w:r>
      <w:r>
        <w:rPr>
          <w:rFonts w:hint="eastAsia" w:ascii="宋体" w:hAnsi="宋体" w:eastAsia="宋体" w:cs="宋体"/>
          <w:b/>
          <w:bCs/>
          <w:color w:val="auto"/>
          <w:sz w:val="24"/>
          <w:szCs w:val="24"/>
          <w:lang w:eastAsia="zh-CN"/>
        </w:rPr>
        <w:tab/>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（1）中小企业：属于专门面向中小企业采购的标段或项目，不再执行价格评审优惠扶持政策。不属于专门面向中小企业采购的标段或项目，根据《政府采购促进中小企业发展管理办法》（财库〔2020〕46 号）、《宁夏回族自治区政府采购促进中小企业发展管理办法实施细则》（宁财规发〔2021〕2号）的规定，对满足价格扣除条件且在投标文件中提交了《中小企业声明函》的投标人，其投标报价扣除</w:t>
      </w:r>
      <w:r>
        <w:rPr>
          <w:rFonts w:hint="eastAsia" w:ascii="宋体" w:hAnsi="宋体" w:eastAsia="宋体" w:cs="宋体"/>
          <w:b/>
          <w:bCs/>
          <w:color w:val="auto"/>
          <w:sz w:val="24"/>
          <w:szCs w:val="24"/>
          <w:u w:val="single"/>
        </w:rPr>
        <w:t xml:space="preserve"> 8% </w:t>
      </w:r>
      <w:r>
        <w:rPr>
          <w:rFonts w:hint="eastAsia" w:ascii="宋体" w:hAnsi="宋体" w:eastAsia="宋体" w:cs="宋体"/>
          <w:color w:val="auto"/>
          <w:sz w:val="24"/>
          <w:szCs w:val="24"/>
        </w:rPr>
        <w:t>后参与评审。</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（2）残疾人福利性企业：不属于专门面向中小企业采购的项目，根据《财政部 民政部 中国残疾人联合会关于促进残疾人就业政府采购政策的通知》（财库〔2017〕141号）、《自治区财政厅残疾人联合会关于政府采购支持残疾人就业有关问题的通知》（宁财（采）发〔2020〕545 号）的规定，对提供《残疾人福利性单位声明函》的残疾人福利性单位或残疾人辅助性就业机构，对其投标总价扣除</w:t>
      </w:r>
      <w:r>
        <w:rPr>
          <w:rFonts w:hint="eastAsia" w:ascii="宋体" w:hAnsi="宋体" w:eastAsia="宋体" w:cs="宋体"/>
          <w:b/>
          <w:bCs/>
          <w:color w:val="auto"/>
          <w:sz w:val="24"/>
          <w:szCs w:val="24"/>
          <w:u w:val="single"/>
        </w:rPr>
        <w:t xml:space="preserve"> 10% </w:t>
      </w:r>
      <w:r>
        <w:rPr>
          <w:rFonts w:hint="eastAsia" w:ascii="宋体" w:hAnsi="宋体" w:eastAsia="宋体" w:cs="宋体"/>
          <w:color w:val="auto"/>
          <w:sz w:val="24"/>
          <w:szCs w:val="24"/>
        </w:rPr>
        <w:t>后参与评审。</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残疾人福利性单位或残疾人辅助性就业机构与大中型企业和其他自然人、法人或者其他组织组成联合体共同参加非专门面向中小企业的政府采购活动,残疾人福利性单位或残疾人辅助性就业机构协议合同金额占到联合体协议合同总金额30%以上的,给予联合体</w:t>
      </w:r>
      <w:r>
        <w:rPr>
          <w:rFonts w:hint="eastAsia" w:ascii="宋体" w:hAnsi="宋体" w:eastAsia="宋体" w:cs="宋体"/>
          <w:color w:val="auto"/>
          <w:sz w:val="24"/>
          <w:szCs w:val="24"/>
          <w:u w:val="single"/>
        </w:rPr>
        <w:t>3%</w:t>
      </w:r>
      <w:r>
        <w:rPr>
          <w:rFonts w:hint="eastAsia" w:ascii="宋体" w:hAnsi="宋体" w:eastAsia="宋体" w:cs="宋体"/>
          <w:color w:val="auto"/>
          <w:sz w:val="24"/>
          <w:szCs w:val="24"/>
        </w:rPr>
        <w:t>的价格扣除。残疾人福利性单位或残疾人辅助性就业机构按照上述规定的政策获取政府采购合同后,不得分包或转包给大型、中型企业。</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（3）监狱企业：根据《财政部 司法部关于政府采购支持监狱企业发展有关问题的通知》（财库〔2014〕68号）的规定，由省级以上监狱管理局、戒毒管理局（含新疆生产建设兵团）出具的属于监狱企业的证明文件的投标人，其投标报价扣除</w:t>
      </w:r>
      <w:r>
        <w:rPr>
          <w:rFonts w:hint="eastAsia" w:ascii="宋体" w:hAnsi="宋体" w:eastAsia="宋体" w:cs="宋体"/>
          <w:b/>
          <w:bCs/>
          <w:color w:val="auto"/>
          <w:sz w:val="24"/>
          <w:szCs w:val="24"/>
          <w:u w:val="single"/>
        </w:rPr>
        <w:t xml:space="preserve"> 8% </w:t>
      </w:r>
      <w:r>
        <w:rPr>
          <w:rFonts w:hint="eastAsia" w:ascii="宋体" w:hAnsi="宋体" w:eastAsia="宋体" w:cs="宋体"/>
          <w:color w:val="auto"/>
          <w:sz w:val="24"/>
          <w:szCs w:val="24"/>
        </w:rPr>
        <w:t>后参与评审。</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（4）联合体中小微企业协议合同金额占到联合体协议合同总金额30%以上的：可给予联合体</w:t>
      </w:r>
      <w:r>
        <w:rPr>
          <w:rFonts w:hint="eastAsia" w:ascii="宋体" w:hAnsi="宋体" w:eastAsia="宋体" w:cs="宋体"/>
          <w:color w:val="auto"/>
          <w:sz w:val="24"/>
          <w:szCs w:val="24"/>
          <w:u w:val="single"/>
        </w:rPr>
        <w:t>3%</w:t>
      </w:r>
      <w:r>
        <w:rPr>
          <w:rFonts w:hint="eastAsia" w:ascii="宋体" w:hAnsi="宋体" w:eastAsia="宋体" w:cs="宋体"/>
          <w:color w:val="auto"/>
          <w:sz w:val="24"/>
          <w:szCs w:val="24"/>
        </w:rPr>
        <w:t>的价格扣除。联合体各方均为小型、微型企业和监狱企业的，联合体视同为小型、微型企业和监狱企业。</w:t>
      </w:r>
    </w:p>
    <w:p>
      <w:pPr>
        <w:pageBreakBefore w:val="0"/>
        <w:widowControl/>
        <w:kinsoku/>
        <w:wordWrap/>
        <w:overflowPunct/>
        <w:topLinePunct w:val="0"/>
        <w:bidi w:val="0"/>
        <w:spacing w:line="560" w:lineRule="exact"/>
        <w:ind w:firstLine="480"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对于同时属于小微企业、监狱企业、残疾人福利性单位的，不重复进行投标报价扣除（按较高比例扣除）。</w:t>
      </w:r>
    </w:p>
    <w:p>
      <w:pPr>
        <w:pageBreakBefore w:val="0"/>
        <w:widowControl/>
        <w:kinsoku/>
        <w:wordWrap/>
        <w:overflowPunct/>
        <w:topLinePunct w:val="0"/>
        <w:bidi w:val="0"/>
        <w:spacing w:line="560" w:lineRule="exact"/>
        <w:ind w:firstLine="480" w:firstLineChars="200"/>
        <w:jc w:val="left"/>
        <w:textAlignment w:val="auto"/>
        <w:rPr>
          <w:rFonts w:hint="default" w:eastAsia="宋体"/>
          <w:color w:val="auto"/>
          <w:lang w:val="en-US" w:eastAsia="zh-CN"/>
        </w:rPr>
      </w:pPr>
      <w:r>
        <w:rPr>
          <w:rFonts w:hint="eastAsia" w:ascii="宋体" w:hAnsi="宋体" w:eastAsia="宋体" w:cs="宋体"/>
          <w:b/>
          <w:bCs/>
          <w:color w:val="auto"/>
          <w:sz w:val="24"/>
          <w:szCs w:val="24"/>
          <w:lang w:val="en-US" w:eastAsia="zh-CN"/>
        </w:rPr>
        <w:t>对于本项目提供了</w:t>
      </w:r>
      <w:r>
        <w:rPr>
          <w:rFonts w:hint="eastAsia" w:ascii="宋体" w:hAnsi="宋体" w:eastAsia="宋体" w:cs="宋体"/>
          <w:b/>
          <w:bCs/>
          <w:color w:val="auto"/>
          <w:sz w:val="24"/>
          <w:szCs w:val="24"/>
        </w:rPr>
        <w:t>残疾人福利性企业</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监狱企业</w:t>
      </w:r>
      <w:r>
        <w:rPr>
          <w:rFonts w:hint="eastAsia" w:ascii="宋体" w:hAnsi="宋体" w:eastAsia="宋体" w:cs="宋体"/>
          <w:b/>
          <w:bCs/>
          <w:color w:val="auto"/>
          <w:sz w:val="24"/>
          <w:szCs w:val="24"/>
          <w:lang w:val="en-US" w:eastAsia="zh-CN"/>
        </w:rPr>
        <w:t>证明材料的供应商，不在进行价格优惠。</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（5）其他政府采购政策要求：采购人采购产品属于节能产品、环境标志产品的，依据品目清单和国家 确定的认证机构出具的，处于有效期之内的节能产品，环境标志产品认证证书，对获得证书的产品实施政府优先采购或强制采购。品目清单以财政部生态环境部发布《财库〔2019〕18 号》、财政部发展改 革委发布《财库〔2019〕19 号》为准。节能、环保产品的界定以《国家节能产品认证证书》、《中国环境标志产品认证证书》和政府部门公布的品目清单网页截屏为准。</w:t>
      </w:r>
    </w:p>
    <w:p>
      <w:pPr>
        <w:pStyle w:val="9"/>
        <w:pageBreakBefore w:val="0"/>
        <w:tabs>
          <w:tab w:val="clear" w:pos="567"/>
        </w:tabs>
        <w:kinsoku/>
        <w:wordWrap/>
        <w:overflowPunct/>
        <w:topLinePunct w:val="0"/>
        <w:bidi w:val="0"/>
        <w:spacing w:before="0" w:line="560" w:lineRule="exact"/>
        <w:ind w:firstLine="48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如采购人所采购产品为政府强制采购的节能产品，投标人所投产品的品牌及型号必须提供证明文件，否则其投标将作为无效投标被拒绝。</w:t>
      </w:r>
    </w:p>
    <w:p>
      <w:pPr>
        <w:pageBreakBefore w:val="0"/>
        <w:kinsoku/>
        <w:wordWrap/>
        <w:overflowPunct/>
        <w:topLinePunct w:val="0"/>
        <w:bidi w:val="0"/>
        <w:spacing w:line="560" w:lineRule="exact"/>
        <w:textAlignment w:val="auto"/>
        <w:rPr>
          <w:rFonts w:hint="eastAsia" w:ascii="宋体" w:hAnsi="宋体" w:eastAsia="宋体" w:cs="宋体"/>
          <w:b/>
          <w:color w:val="auto"/>
          <w:sz w:val="32"/>
          <w:szCs w:val="32"/>
        </w:rPr>
        <w:sectPr>
          <w:footerReference r:id="rId7" w:type="default"/>
          <w:pgSz w:w="11906" w:h="16838"/>
          <w:pgMar w:top="1440" w:right="1800" w:bottom="1440" w:left="1800" w:header="851" w:footer="992" w:gutter="0"/>
          <w:pgNumType w:fmt="decimal"/>
          <w:cols w:space="720" w:num="1"/>
          <w:rtlGutter w:val="0"/>
          <w:docGrid w:type="linesAndChars" w:linePitch="312" w:charSpace="0"/>
        </w:sectPr>
      </w:pPr>
      <w:r>
        <w:rPr>
          <w:rFonts w:hint="eastAsia" w:ascii="宋体" w:hAnsi="宋体" w:eastAsia="宋体" w:cs="宋体"/>
          <w:b/>
          <w:color w:val="auto"/>
          <w:sz w:val="32"/>
          <w:szCs w:val="32"/>
        </w:rPr>
        <w:br w:type="page"/>
      </w:r>
    </w:p>
    <w:p>
      <w:pPr>
        <w:pStyle w:val="9"/>
        <w:pageBreakBefore w:val="0"/>
        <w:tabs>
          <w:tab w:val="clear" w:pos="567"/>
        </w:tabs>
        <w:kinsoku/>
        <w:wordWrap/>
        <w:overflowPunct/>
        <w:topLinePunct w:val="0"/>
        <w:bidi w:val="0"/>
        <w:spacing w:before="0" w:line="56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六、资格审查表</w:t>
      </w:r>
    </w:p>
    <w:tbl>
      <w:tblPr>
        <w:tblStyle w:val="19"/>
        <w:tblpPr w:leftFromText="180" w:rightFromText="180" w:vertAnchor="text" w:horzAnchor="margin" w:tblpX="135" w:tblpY="164"/>
        <w:tblW w:w="49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699"/>
        <w:gridCol w:w="2151"/>
        <w:gridCol w:w="931"/>
        <w:gridCol w:w="1478"/>
        <w:gridCol w:w="1748"/>
        <w:gridCol w:w="1641"/>
        <w:gridCol w:w="207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82" w:type="pct"/>
            <w:vMerge w:val="restart"/>
            <w:vAlign w:val="center"/>
          </w:tcPr>
          <w:p>
            <w:pPr>
              <w:pageBreakBefore w:val="0"/>
              <w:widowControl/>
              <w:kinsoku/>
              <w:wordWrap/>
              <w:overflowPunct/>
              <w:topLinePunct w:val="0"/>
              <w:bidi w:val="0"/>
              <w:spacing w:line="560" w:lineRule="exact"/>
              <w:jc w:val="center"/>
              <w:textAlignment w:val="auto"/>
              <w:rPr>
                <w:rFonts w:hint="eastAsia" w:ascii="宋体" w:hAnsi="宋体" w:eastAsia="宋体" w:cs="宋体"/>
                <w:color w:val="auto"/>
                <w:kern w:val="0"/>
                <w:sz w:val="24"/>
              </w:rPr>
            </w:pPr>
            <w:r>
              <w:rPr>
                <w:rFonts w:hint="eastAsia" w:ascii="宋体" w:hAnsi="宋体" w:eastAsia="宋体" w:cs="宋体"/>
                <w:b/>
                <w:bCs/>
                <w:color w:val="auto"/>
                <w:kern w:val="0"/>
                <w:sz w:val="24"/>
              </w:rPr>
              <w:t>投标人名称</w:t>
            </w:r>
          </w:p>
        </w:tc>
        <w:tc>
          <w:tcPr>
            <w:tcW w:w="614" w:type="pct"/>
            <w:vAlign w:val="center"/>
          </w:tcPr>
          <w:p>
            <w:pPr>
              <w:pageBreakBefore w:val="0"/>
              <w:widowControl/>
              <w:kinsoku/>
              <w:wordWrap/>
              <w:overflowPunct/>
              <w:topLinePunct w:val="0"/>
              <w:bidi w:val="0"/>
              <w:spacing w:line="560" w:lineRule="exact"/>
              <w:jc w:val="center"/>
              <w:textAlignment w:val="auto"/>
              <w:rPr>
                <w:rFonts w:hint="eastAsia" w:ascii="宋体" w:hAnsi="宋体" w:eastAsia="宋体" w:cs="宋体"/>
                <w:color w:val="auto"/>
                <w:kern w:val="0"/>
                <w:sz w:val="24"/>
              </w:rPr>
            </w:pPr>
            <w:r>
              <w:rPr>
                <w:rFonts w:hint="eastAsia" w:ascii="宋体" w:hAnsi="宋体" w:eastAsia="宋体" w:cs="宋体"/>
                <w:b/>
                <w:bCs/>
                <w:color w:val="auto"/>
                <w:kern w:val="0"/>
                <w:sz w:val="24"/>
              </w:rPr>
              <w:t>审查项目</w:t>
            </w:r>
          </w:p>
        </w:tc>
        <w:tc>
          <w:tcPr>
            <w:tcW w:w="4102" w:type="pct"/>
            <w:gridSpan w:val="7"/>
            <w:vAlign w:val="center"/>
          </w:tcPr>
          <w:p>
            <w:pPr>
              <w:pageBreakBefore w:val="0"/>
              <w:widowControl/>
              <w:kinsoku/>
              <w:wordWrap/>
              <w:overflowPunct/>
              <w:topLinePunct w:val="0"/>
              <w:bidi w:val="0"/>
              <w:spacing w:line="560" w:lineRule="exact"/>
              <w:jc w:val="center"/>
              <w:textAlignment w:val="auto"/>
              <w:rPr>
                <w:rFonts w:hint="eastAsia" w:ascii="宋体" w:hAnsi="宋体" w:eastAsia="宋体"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282" w:type="pct"/>
            <w:vMerge w:val="continue"/>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614"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rPr>
            </w:pPr>
            <w:r>
              <w:rPr>
                <w:rFonts w:hint="eastAsia" w:ascii="宋体" w:hAnsi="宋体" w:eastAsia="宋体" w:cs="宋体"/>
                <w:kern w:val="0"/>
                <w:sz w:val="24"/>
                <w:lang w:eastAsia="zh-CN"/>
              </w:rPr>
              <w:t>投标人</w:t>
            </w:r>
            <w:r>
              <w:rPr>
                <w:rFonts w:hint="eastAsia" w:ascii="宋体" w:hAnsi="宋体" w:eastAsia="宋体" w:cs="宋体"/>
                <w:kern w:val="0"/>
                <w:sz w:val="24"/>
              </w:rPr>
              <w:t>营业执照、组织机构代码证、税务登记证书（三证合一只需提供营业执照）</w:t>
            </w:r>
          </w:p>
        </w:tc>
        <w:tc>
          <w:tcPr>
            <w:tcW w:w="777"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法定代表人授权书及被授权人身份证复印件（法定代表人直接响应可不提供，但须提供法定代表人身份证明）</w:t>
            </w:r>
          </w:p>
        </w:tc>
        <w:tc>
          <w:tcPr>
            <w:tcW w:w="336"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rPr>
            </w:pPr>
            <w:r>
              <w:rPr>
                <w:rFonts w:hint="eastAsia" w:ascii="宋体" w:hAnsi="宋体" w:eastAsia="宋体" w:cs="宋体"/>
                <w:kern w:val="0"/>
                <w:sz w:val="24"/>
                <w:lang w:val="en-US" w:eastAsia="zh-CN"/>
              </w:rPr>
              <w:t>信用查询</w:t>
            </w:r>
          </w:p>
        </w:tc>
        <w:tc>
          <w:tcPr>
            <w:tcW w:w="534"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具有良好的商业信誉和健全的财务会计制度承诺书</w:t>
            </w:r>
          </w:p>
        </w:tc>
        <w:tc>
          <w:tcPr>
            <w:tcW w:w="632"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依法缴纳税收和社会保障资金承诺书</w:t>
            </w:r>
          </w:p>
        </w:tc>
        <w:tc>
          <w:tcPr>
            <w:tcW w:w="593"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参加政府采购活动前三年内，在经营活动中没有重大违法记录承诺书</w:t>
            </w:r>
          </w:p>
        </w:tc>
        <w:tc>
          <w:tcPr>
            <w:tcW w:w="749" w:type="pc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iCs/>
                <w:color w:val="auto"/>
                <w:kern w:val="0"/>
                <w:sz w:val="24"/>
              </w:rPr>
            </w:pPr>
            <w:r>
              <w:rPr>
                <w:rFonts w:hint="eastAsia" w:ascii="宋体" w:hAnsi="宋体" w:eastAsia="宋体" w:cs="宋体"/>
                <w:kern w:val="0"/>
                <w:sz w:val="24"/>
              </w:rPr>
              <w:t>本项目专门面向中小企业采购，拒绝大型企业投标，投标人须提供《中小企业声明函》</w:t>
            </w:r>
          </w:p>
        </w:tc>
        <w:tc>
          <w:tcPr>
            <w:tcW w:w="478" w:type="pct"/>
            <w:vAlign w:val="center"/>
          </w:tcPr>
          <w:p>
            <w:pPr>
              <w:pageBreakBefore w:val="0"/>
              <w:widowControl/>
              <w:kinsoku/>
              <w:wordWrap/>
              <w:overflowPunct/>
              <w:topLinePunct w:val="0"/>
              <w:bidi w:val="0"/>
              <w:spacing w:line="560" w:lineRule="exact"/>
              <w:jc w:val="center"/>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结论（“通过”/“不通过”）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82"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614"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777"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336"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534"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632"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593"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749"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478"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282"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614"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777"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336"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534"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632"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593"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749"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478"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82"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614"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777"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336"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534"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632"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593"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c>
          <w:tcPr>
            <w:tcW w:w="749"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478" w:type="pct"/>
            <w:vAlign w:val="center"/>
          </w:tcPr>
          <w:p>
            <w:pPr>
              <w:pageBreakBefore w:val="0"/>
              <w:widowControl/>
              <w:kinsoku/>
              <w:wordWrap/>
              <w:overflowPunct/>
              <w:topLinePunct w:val="0"/>
              <w:bidi w:val="0"/>
              <w:spacing w:line="560" w:lineRule="exact"/>
              <w:jc w:val="left"/>
              <w:textAlignment w:val="auto"/>
              <w:rPr>
                <w:rFonts w:hint="eastAsia" w:ascii="宋体" w:hAnsi="宋体" w:eastAsia="宋体" w:cs="宋体"/>
                <w:color w:val="auto"/>
                <w:kern w:val="0"/>
                <w:sz w:val="24"/>
              </w:rPr>
            </w:pPr>
          </w:p>
        </w:tc>
      </w:tr>
    </w:tbl>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注：1.本表由采购人或招标代理机构核对并如实填写。</w:t>
      </w:r>
    </w:p>
    <w:p>
      <w:pPr>
        <w:pageBreakBefore w:val="0"/>
        <w:kinsoku/>
        <w:wordWrap/>
        <w:overflowPunct/>
        <w:topLinePunct w:val="0"/>
        <w:bidi w:val="0"/>
        <w:spacing w:line="560" w:lineRule="exact"/>
        <w:ind w:firstLine="482"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2.审查项目有一项不满足则结论为不</w:t>
      </w:r>
      <w:r>
        <w:rPr>
          <w:rFonts w:hint="eastAsia" w:ascii="宋体" w:hAnsi="宋体" w:eastAsia="宋体" w:cs="宋体"/>
          <w:b/>
          <w:bCs/>
          <w:color w:val="auto"/>
          <w:sz w:val="24"/>
          <w:szCs w:val="24"/>
          <w:lang w:val="en-US" w:eastAsia="zh-CN"/>
        </w:rPr>
        <w:t>通过</w:t>
      </w:r>
    </w:p>
    <w:p>
      <w:pPr>
        <w:pageBreakBefore w:val="0"/>
        <w:kinsoku/>
        <w:wordWrap/>
        <w:overflowPunct/>
        <w:topLinePunct w:val="0"/>
        <w:bidi w:val="0"/>
        <w:spacing w:line="560" w:lineRule="exact"/>
        <w:textAlignment w:val="auto"/>
        <w:rPr>
          <w:rFonts w:hint="eastAsia" w:ascii="宋体" w:hAnsi="宋体" w:eastAsia="宋体" w:cs="宋体"/>
          <w:color w:val="auto"/>
        </w:rPr>
      </w:pPr>
      <w:r>
        <w:rPr>
          <w:rFonts w:hint="eastAsia" w:ascii="宋体" w:hAnsi="宋体" w:eastAsia="宋体" w:cs="宋体"/>
          <w:color w:val="auto"/>
        </w:rPr>
        <w:br w:type="page"/>
      </w:r>
    </w:p>
    <w:p>
      <w:pPr>
        <w:pStyle w:val="9"/>
        <w:pageBreakBefore w:val="0"/>
        <w:tabs>
          <w:tab w:val="clear" w:pos="567"/>
        </w:tabs>
        <w:kinsoku/>
        <w:wordWrap/>
        <w:overflowPunct/>
        <w:topLinePunct w:val="0"/>
        <w:bidi w:val="0"/>
        <w:spacing w:before="0" w:line="56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七、符合性审查表</w:t>
      </w:r>
    </w:p>
    <w:tbl>
      <w:tblPr>
        <w:tblStyle w:val="19"/>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40"/>
        <w:gridCol w:w="3113"/>
        <w:gridCol w:w="4595"/>
        <w:gridCol w:w="1989"/>
        <w:gridCol w:w="1656"/>
        <w:gridCol w:w="1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37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113"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审查项目</w:t>
            </w:r>
          </w:p>
        </w:tc>
        <w:tc>
          <w:tcPr>
            <w:tcW w:w="164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审查内容 </w:t>
            </w:r>
          </w:p>
        </w:tc>
        <w:tc>
          <w:tcPr>
            <w:tcW w:w="71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投标单位1</w:t>
            </w:r>
          </w:p>
        </w:tc>
        <w:tc>
          <w:tcPr>
            <w:tcW w:w="59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lang w:val="en-US" w:eastAsia="zh-CN"/>
              </w:rPr>
              <w:t>投标单位2</w:t>
            </w:r>
          </w:p>
        </w:tc>
        <w:tc>
          <w:tcPr>
            <w:tcW w:w="56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lang w:val="en-US" w:eastAsia="zh-CN"/>
              </w:rPr>
              <w:t>投标单位3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37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p>
        </w:tc>
        <w:tc>
          <w:tcPr>
            <w:tcW w:w="1113"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投标书的盖章、签署</w:t>
            </w:r>
          </w:p>
        </w:tc>
        <w:tc>
          <w:tcPr>
            <w:tcW w:w="164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按招标文件投标书格式要求签字、盖章</w:t>
            </w:r>
          </w:p>
        </w:tc>
        <w:tc>
          <w:tcPr>
            <w:tcW w:w="71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9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6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p>
        </w:tc>
        <w:tc>
          <w:tcPr>
            <w:tcW w:w="1113"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投标报价的完整性及有效性</w:t>
            </w:r>
          </w:p>
        </w:tc>
        <w:tc>
          <w:tcPr>
            <w:tcW w:w="164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针对招标文件内容进行全面响应，未存在漏报、错报或多个报价的情形</w:t>
            </w:r>
          </w:p>
        </w:tc>
        <w:tc>
          <w:tcPr>
            <w:tcW w:w="71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9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6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37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p>
        </w:tc>
        <w:tc>
          <w:tcPr>
            <w:tcW w:w="1113"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164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响应招标文件要求</w:t>
            </w:r>
          </w:p>
        </w:tc>
        <w:tc>
          <w:tcPr>
            <w:tcW w:w="71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9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6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37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p>
        </w:tc>
        <w:tc>
          <w:tcPr>
            <w:tcW w:w="1113"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保证金</w:t>
            </w:r>
          </w:p>
        </w:tc>
        <w:tc>
          <w:tcPr>
            <w:tcW w:w="164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响应招标文件要求</w:t>
            </w:r>
          </w:p>
        </w:tc>
        <w:tc>
          <w:tcPr>
            <w:tcW w:w="71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9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6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3128" w:type="pct"/>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结论（“合格”/“不合格”）</w:t>
            </w:r>
          </w:p>
        </w:tc>
        <w:tc>
          <w:tcPr>
            <w:tcW w:w="71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92"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c>
          <w:tcPr>
            <w:tcW w:w="56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tc>
      </w:tr>
    </w:tbl>
    <w:p>
      <w:pPr>
        <w:pStyle w:val="9"/>
        <w:pageBreakBefore w:val="0"/>
        <w:tabs>
          <w:tab w:val="clear" w:pos="567"/>
        </w:tabs>
        <w:kinsoku/>
        <w:wordWrap/>
        <w:overflowPunct/>
        <w:topLinePunct w:val="0"/>
        <w:bidi w:val="0"/>
        <w:spacing w:before="0" w:line="560" w:lineRule="exact"/>
        <w:ind w:left="-241" w:leftChars="-86" w:firstLine="280" w:firstLineChars="100"/>
        <w:textAlignment w:val="auto"/>
        <w:rPr>
          <w:rFonts w:hint="eastAsia" w:ascii="宋体" w:hAnsi="宋体" w:eastAsia="宋体" w:cs="宋体"/>
          <w:color w:val="auto"/>
          <w:sz w:val="28"/>
          <w:szCs w:val="28"/>
        </w:rPr>
      </w:pPr>
    </w:p>
    <w:p>
      <w:pPr>
        <w:pStyle w:val="9"/>
        <w:pageBreakBefore w:val="0"/>
        <w:tabs>
          <w:tab w:val="clear" w:pos="567"/>
        </w:tabs>
        <w:kinsoku/>
        <w:wordWrap/>
        <w:overflowPunct/>
        <w:topLinePunct w:val="0"/>
        <w:bidi w:val="0"/>
        <w:spacing w:before="0" w:line="560" w:lineRule="exact"/>
        <w:ind w:left="-241" w:leftChars="-86" w:firstLine="280" w:firstLineChars="1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评标委员会成员签字：</w:t>
      </w:r>
    </w:p>
    <w:p>
      <w:pPr>
        <w:pageBreakBefore w:val="0"/>
        <w:kinsoku/>
        <w:wordWrap/>
        <w:overflowPunct/>
        <w:topLinePunct w:val="0"/>
        <w:bidi w:val="0"/>
        <w:spacing w:line="560" w:lineRule="exact"/>
        <w:textAlignment w:val="auto"/>
        <w:rPr>
          <w:rFonts w:hint="eastAsia" w:ascii="宋体" w:hAnsi="宋体" w:eastAsia="宋体" w:cs="宋体"/>
          <w:color w:val="auto"/>
        </w:rPr>
        <w:sectPr>
          <w:pgSz w:w="16838" w:h="11906" w:orient="landscape"/>
          <w:pgMar w:top="1797" w:right="1474" w:bottom="1797" w:left="1587" w:header="851" w:footer="992" w:gutter="0"/>
          <w:pgNumType w:fmt="decimal"/>
          <w:cols w:space="720" w:num="1"/>
          <w:rtlGutter w:val="0"/>
          <w:docGrid w:linePitch="312" w:charSpace="0"/>
        </w:sectPr>
      </w:pPr>
      <w:r>
        <w:rPr>
          <w:rFonts w:hint="eastAsia" w:ascii="宋体" w:hAnsi="宋体" w:eastAsia="宋体" w:cs="宋体"/>
          <w:color w:val="auto"/>
        </w:rPr>
        <w:br w:type="page"/>
      </w:r>
    </w:p>
    <w:p>
      <w:pPr>
        <w:pageBreakBefore w:val="0"/>
        <w:widowControl/>
        <w:kinsoku/>
        <w:wordWrap/>
        <w:overflowPunct/>
        <w:topLinePunct w:val="0"/>
        <w:bidi w:val="0"/>
        <w:spacing w:line="560" w:lineRule="exact"/>
        <w:ind w:firstLine="560" w:firstLineChars="200"/>
        <w:textAlignment w:val="auto"/>
        <w:rPr>
          <w:rFonts w:hint="eastAsia" w:ascii="宋体" w:hAnsi="宋体" w:eastAsia="宋体" w:cs="宋体"/>
          <w:b/>
          <w:color w:val="auto"/>
          <w:szCs w:val="28"/>
        </w:rPr>
      </w:pPr>
      <w:r>
        <w:rPr>
          <w:rFonts w:hint="eastAsia" w:ascii="宋体" w:hAnsi="宋体" w:eastAsia="宋体" w:cs="宋体"/>
          <w:b w:val="0"/>
          <w:bCs/>
          <w:color w:val="auto"/>
          <w:szCs w:val="28"/>
        </w:rPr>
        <w:t>八、评审因素和指标</w:t>
      </w:r>
      <w:r>
        <w:rPr>
          <w:rFonts w:hint="eastAsia" w:ascii="宋体" w:hAnsi="宋体" w:eastAsia="宋体" w:cs="宋体"/>
          <w:b/>
          <w:color w:val="auto"/>
          <w:szCs w:val="28"/>
        </w:rPr>
        <w:t xml:space="preserve">  </w:t>
      </w:r>
      <w:r>
        <w:rPr>
          <w:rFonts w:hint="eastAsia" w:ascii="宋体" w:hAnsi="宋体" w:eastAsia="宋体" w:cs="宋体"/>
          <w:b/>
          <w:color w:val="auto"/>
          <w:sz w:val="28"/>
          <w:szCs w:val="28"/>
        </w:rPr>
        <w:t>（可根据实际情况修改）</w:t>
      </w:r>
    </w:p>
    <w:tbl>
      <w:tblPr>
        <w:tblStyle w:val="19"/>
        <w:tblW w:w="95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1465"/>
        <w:gridCol w:w="1029"/>
        <w:gridCol w:w="6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465"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评审项目</w:t>
            </w:r>
          </w:p>
        </w:tc>
        <w:tc>
          <w:tcPr>
            <w:tcW w:w="1029"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标准分</w:t>
            </w:r>
          </w:p>
        </w:tc>
        <w:tc>
          <w:tcPr>
            <w:tcW w:w="6323"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0" w:hRule="atLeast"/>
          <w:jc w:val="center"/>
        </w:trPr>
        <w:tc>
          <w:tcPr>
            <w:tcW w:w="755"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65"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投标报价</w:t>
            </w:r>
          </w:p>
        </w:tc>
        <w:tc>
          <w:tcPr>
            <w:tcW w:w="1029"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highlight w:val="none"/>
                <w:lang w:val="en-US" w:eastAsia="zh-CN"/>
              </w:rPr>
              <w:t>30分</w:t>
            </w:r>
          </w:p>
        </w:tc>
        <w:tc>
          <w:tcPr>
            <w:tcW w:w="6323" w:type="dxa"/>
            <w:noWrap w:val="0"/>
            <w:vAlign w:val="center"/>
          </w:tcPr>
          <w:p>
            <w:pPr>
              <w:pStyle w:val="11"/>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 xml:space="preserve">所有算术修正后的投标报价由低到高进行排序，除投标报价明显低于其他通过符合性审查投标人的又不能证明其报价合理性的被拒绝外。 </w:t>
            </w:r>
          </w:p>
          <w:p>
            <w:pPr>
              <w:pStyle w:val="11"/>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 xml:space="preserve">实际得分为：评标基准价/投标报价×30 </w:t>
            </w:r>
          </w:p>
          <w:p>
            <w:pPr>
              <w:pStyle w:val="11"/>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 xml:space="preserve">评标基准价为有效报价的最低价 </w:t>
            </w:r>
          </w:p>
          <w:p>
            <w:pPr>
              <w:pStyle w:val="11"/>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 xml:space="preserve">经评审，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评标委员会应当将其作为无效投标处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jc w:val="center"/>
        </w:trPr>
        <w:tc>
          <w:tcPr>
            <w:tcW w:w="755"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65"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商务标响</w:t>
            </w:r>
          </w:p>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应情况</w:t>
            </w:r>
          </w:p>
        </w:tc>
        <w:tc>
          <w:tcPr>
            <w:tcW w:w="1029"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5分</w:t>
            </w:r>
          </w:p>
        </w:tc>
        <w:tc>
          <w:tcPr>
            <w:tcW w:w="6323" w:type="dxa"/>
            <w:noWrap w:val="0"/>
            <w:vAlign w:val="center"/>
          </w:tcPr>
          <w:p>
            <w:pPr>
              <w:keepNext w:val="0"/>
              <w:keepLines w:val="0"/>
              <w:pageBreakBefore w:val="0"/>
              <w:widowControl/>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满足招标文件商务条款（交货期、</w:t>
            </w:r>
            <w:r>
              <w:rPr>
                <w:rFonts w:hint="eastAsia" w:ascii="宋体" w:hAnsi="宋体" w:eastAsia="宋体" w:cs="宋体"/>
                <w:color w:val="000000" w:themeColor="text1"/>
                <w:sz w:val="24"/>
                <w:szCs w:val="24"/>
                <w:lang w:val="en-US" w:eastAsia="zh-CN"/>
                <w14:textFill>
                  <w14:solidFill>
                    <w14:schemeClr w14:val="tx1"/>
                  </w14:solidFill>
                </w14:textFill>
              </w:rPr>
              <w:t>质保期</w:t>
            </w:r>
            <w:r>
              <w:rPr>
                <w:rFonts w:hint="eastAsia" w:ascii="宋体" w:hAnsi="宋体" w:eastAsia="宋体" w:cs="宋体"/>
                <w:color w:val="auto"/>
                <w:sz w:val="24"/>
                <w:szCs w:val="24"/>
                <w:lang w:val="en-US" w:eastAsia="zh-CN"/>
              </w:rPr>
              <w:t>等）的得 3分，以此为基础，投标人商务条款优于招标文件规定的相应商务条款的，每有一项加1分，加至满分 5 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755" w:type="dxa"/>
            <w:noWrap w:val="0"/>
            <w:vAlign w:val="center"/>
          </w:tcPr>
          <w:p>
            <w:pPr>
              <w:keepNext w:val="0"/>
              <w:keepLines w:val="0"/>
              <w:pageBreakBefore w:val="0"/>
              <w:kinsoku/>
              <w:wordWrap/>
              <w:overflowPunct/>
              <w:topLinePunct w:val="0"/>
              <w:bidi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465"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技术标响应情况</w:t>
            </w:r>
          </w:p>
        </w:tc>
        <w:tc>
          <w:tcPr>
            <w:tcW w:w="1029"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45分</w:t>
            </w:r>
          </w:p>
        </w:tc>
        <w:tc>
          <w:tcPr>
            <w:tcW w:w="6323" w:type="dxa"/>
            <w:noWrap w:val="0"/>
            <w:vAlign w:val="center"/>
          </w:tcPr>
          <w:p>
            <w:pPr>
              <w:keepNext w:val="0"/>
              <w:keepLines w:val="0"/>
              <w:pageBreakBefore w:val="0"/>
              <w:widowControl/>
              <w:kinsoku/>
              <w:wordWrap/>
              <w:overflowPunct/>
              <w:topLinePunct w:val="0"/>
              <w:bidi w:val="0"/>
              <w:spacing w:line="44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招标文件中带“★”技术指标、参数为重要技术指标、参数，未带“★”号的技术指标、参数为一般技术指标、参数。</w:t>
            </w:r>
          </w:p>
          <w:p>
            <w:pPr>
              <w:keepNext w:val="0"/>
              <w:keepLines w:val="0"/>
              <w:pageBreakBefore w:val="0"/>
              <w:widowControl/>
              <w:kinsoku/>
              <w:wordWrap/>
              <w:overflowPunct/>
              <w:topLinePunct w:val="0"/>
              <w:bidi w:val="0"/>
              <w:spacing w:line="44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完全满足招标文件技术指标及功能要求的得45分，以此为基础：投标文件重要技术指标、参数，每有一项负偏离扣2分，投标文件一般技术指标、参数，每有一项负偏离扣0.5分，扣完为止。</w:t>
            </w:r>
          </w:p>
          <w:p>
            <w:pPr>
              <w:keepNext w:val="0"/>
              <w:keepLines w:val="0"/>
              <w:pageBreakBefore w:val="0"/>
              <w:kinsoku/>
              <w:wordWrap/>
              <w:overflowPunct/>
              <w:topLinePunct w:val="0"/>
              <w:bidi w:val="0"/>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000000" w:themeColor="text1"/>
                <w:sz w:val="24"/>
                <w:szCs w:val="24"/>
                <w14:textFill>
                  <w14:solidFill>
                    <w14:schemeClr w14:val="tx1"/>
                  </w14:solidFill>
                </w14:textFill>
              </w:rPr>
              <w:t>注：以上带★号的技术指标、参数必须提供证明</w:t>
            </w:r>
            <w:r>
              <w:rPr>
                <w:rFonts w:hint="eastAsia" w:ascii="宋体" w:hAnsi="宋体" w:eastAsia="宋体" w:cs="宋体"/>
                <w:b/>
                <w:bCs/>
                <w:color w:val="000000" w:themeColor="text1"/>
                <w:sz w:val="24"/>
                <w:szCs w:val="24"/>
                <w:lang w:val="en-US" w:eastAsia="zh-CN"/>
                <w14:textFill>
                  <w14:solidFill>
                    <w14:schemeClr w14:val="tx1"/>
                  </w14:solidFill>
                </w14:textFill>
              </w:rPr>
              <w:t>材料（包括但不限于产品宣传彩页、</w:t>
            </w:r>
            <w:r>
              <w:rPr>
                <w:rFonts w:hint="eastAsia" w:ascii="宋体" w:hAnsi="宋体" w:eastAsia="宋体" w:cs="宋体"/>
                <w:b/>
                <w:bCs/>
                <w:color w:val="000000" w:themeColor="text1"/>
                <w:sz w:val="24"/>
                <w:szCs w:val="24"/>
                <w14:textFill>
                  <w14:solidFill>
                    <w14:schemeClr w14:val="tx1"/>
                  </w14:solidFill>
                </w14:textFill>
              </w:rPr>
              <w:t>检测报告</w:t>
            </w:r>
            <w:r>
              <w:rPr>
                <w:rFonts w:hint="eastAsia" w:ascii="宋体" w:hAnsi="宋体" w:eastAsia="宋体" w:cs="宋体"/>
                <w:b/>
                <w:bCs/>
                <w:color w:val="000000" w:themeColor="text1"/>
                <w:sz w:val="24"/>
                <w:szCs w:val="24"/>
                <w:lang w:val="en-US" w:eastAsia="zh-CN"/>
                <w14:textFill>
                  <w14:solidFill>
                    <w14:schemeClr w14:val="tx1"/>
                  </w14:solidFill>
                </w14:textFill>
              </w:rPr>
              <w:t>等资料）</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电子投标文件中对应页码提供加盖了</w:t>
            </w:r>
            <w:r>
              <w:rPr>
                <w:rFonts w:hint="eastAsia" w:ascii="宋体" w:hAnsi="宋体" w:eastAsia="宋体" w:cs="宋体"/>
                <w:b/>
                <w:bCs/>
                <w:color w:val="000000" w:themeColor="text1"/>
                <w:sz w:val="24"/>
                <w:szCs w:val="24"/>
                <w:lang w:val="en-US" w:eastAsia="zh-CN"/>
                <w14:textFill>
                  <w14:solidFill>
                    <w14:schemeClr w14:val="tx1"/>
                  </w14:solidFill>
                </w14:textFill>
              </w:rPr>
              <w:t>生产厂家</w:t>
            </w:r>
            <w:r>
              <w:rPr>
                <w:rFonts w:hint="eastAsia" w:ascii="宋体" w:hAnsi="宋体" w:eastAsia="宋体" w:cs="宋体"/>
                <w:b/>
                <w:bCs/>
                <w:color w:val="000000" w:themeColor="text1"/>
                <w:sz w:val="24"/>
                <w:szCs w:val="24"/>
                <w14:textFill>
                  <w14:solidFill>
                    <w14:schemeClr w14:val="tx1"/>
                  </w14:solidFill>
                </w14:textFill>
              </w:rPr>
              <w:t>鲜章的证明材料扫描件</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未按上述要求提供不予得分。投标人须在电子</w:t>
            </w:r>
            <w:r>
              <w:rPr>
                <w:rFonts w:hint="eastAsia" w:ascii="宋体" w:hAnsi="宋体" w:eastAsia="宋体" w:cs="宋体"/>
                <w:b/>
                <w:bCs/>
                <w:color w:val="000000" w:themeColor="text1"/>
                <w:sz w:val="24"/>
                <w:szCs w:val="24"/>
                <w:lang w:val="en-US" w:eastAsia="zh-CN"/>
                <w14:textFill>
                  <w14:solidFill>
                    <w14:schemeClr w14:val="tx1"/>
                  </w14:solidFill>
                </w14:textFill>
              </w:rPr>
              <w:t>投标文件</w:t>
            </w:r>
            <w:r>
              <w:rPr>
                <w:rFonts w:hint="eastAsia" w:ascii="宋体" w:hAnsi="宋体" w:eastAsia="宋体" w:cs="宋体"/>
                <w:b/>
                <w:bCs/>
                <w:color w:val="000000" w:themeColor="text1"/>
                <w:sz w:val="24"/>
                <w:szCs w:val="24"/>
                <w14:textFill>
                  <w14:solidFill>
                    <w14:schemeClr w14:val="tx1"/>
                  </w14:solidFill>
                </w14:textFill>
              </w:rPr>
              <w:t>《采购需求响应表》中偏离情况一栏填写证明材料所在页码。</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中标方需做证明材料原件备查。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55"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1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培训方案</w:t>
            </w:r>
          </w:p>
        </w:tc>
        <w:tc>
          <w:tcPr>
            <w:tcW w:w="10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240" w:firstLineChars="1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5分</w:t>
            </w:r>
          </w:p>
        </w:tc>
        <w:tc>
          <w:tcPr>
            <w:tcW w:w="63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lang w:val="en-US" w:eastAsia="zh-CN"/>
              </w:rPr>
              <w:t>针对本项目制定培训方案（包括但不限于检材和样品的提取制作和检验，仪器设备操作），方案内容详细、具体、安排合理、专业、可行性强，完全满足用户需求的得5分；培训方案完整、具有可操作性基本用户需求3分；培训方案内容不完整、有缺失的得1分；不提供不得分。（满分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5" w:hRule="atLeast"/>
          <w:jc w:val="center"/>
        </w:trPr>
        <w:tc>
          <w:tcPr>
            <w:tcW w:w="755"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1465"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售后服务</w:t>
            </w:r>
          </w:p>
        </w:tc>
        <w:tc>
          <w:tcPr>
            <w:tcW w:w="1029"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分</w:t>
            </w:r>
          </w:p>
        </w:tc>
        <w:tc>
          <w:tcPr>
            <w:tcW w:w="63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供应商需结合项目的实际特点来制定符合本项目的售后服务方案，评委根据各供应商提供的售后服务方案（方案中需明确针对本项目所能提供的相关服务内容，设备故障问题解决方案是否全面具体，支持人员安排合理度、完整的服务体系流程、各类故障应急措施等。）进行综合评审：</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售后服务方案描述全面具体，售后服务体系完善的得4分；售后服务方案基本响应，售后服务体系较完善的得2分；售后服务方案内容简略，售后服务体系不完善的得1分。未提供不得分</w:t>
            </w:r>
            <w:r>
              <w:rPr>
                <w:rFonts w:hint="eastAsia" w:ascii="宋体" w:hAnsi="宋体" w:eastAsia="宋体" w:cs="宋体"/>
                <w:color w:val="auto"/>
                <w:sz w:val="24"/>
                <w:szCs w:val="24"/>
                <w:lang w:val="en-US" w:eastAsia="zh-CN"/>
              </w:rPr>
              <w:t>（满分4分）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售后服务内容详细具体，解决问题方案全面具体的得4分；售后服务内容完整，解决问题方案合理的得2分；售后服务方案内容简略，售后服务体系不完善的得1分。未提供不得分</w:t>
            </w:r>
            <w:r>
              <w:rPr>
                <w:rFonts w:hint="eastAsia" w:ascii="宋体" w:hAnsi="宋体" w:eastAsia="宋体" w:cs="宋体"/>
                <w:color w:val="auto"/>
                <w:sz w:val="24"/>
                <w:szCs w:val="24"/>
                <w:lang w:val="en-US" w:eastAsia="zh-CN"/>
              </w:rPr>
              <w:t>（满分4分）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kern w:val="0"/>
                <w:sz w:val="24"/>
                <w:szCs w:val="24"/>
                <w:lang w:val="en-US" w:eastAsia="zh-CN" w:bidi="ar"/>
              </w:rPr>
              <w:t>应急措施详细、全面，人员安排合理，服务流程详细完整的得4分；应急措施较为得当，人员安排较为合理，服务流程完整的得2分；应急措施内容简略、不合理，人员安排不合理，服务流程有缺失的</w:t>
            </w:r>
            <w:r>
              <w:rPr>
                <w:rFonts w:hint="eastAsia" w:ascii="宋体" w:hAnsi="宋体" w:eastAsia="宋体" w:cs="宋体"/>
                <w:color w:val="000000"/>
                <w:kern w:val="0"/>
                <w:sz w:val="24"/>
                <w:szCs w:val="24"/>
                <w:highlight w:val="none"/>
                <w:lang w:val="en-US" w:eastAsia="zh-CN" w:bidi="ar"/>
              </w:rPr>
              <w:t>得1分。</w:t>
            </w:r>
            <w:r>
              <w:rPr>
                <w:rFonts w:hint="eastAsia" w:ascii="宋体" w:hAnsi="宋体" w:eastAsia="宋体" w:cs="宋体"/>
                <w:color w:val="000000"/>
                <w:kern w:val="0"/>
                <w:sz w:val="24"/>
                <w:szCs w:val="24"/>
                <w:lang w:val="en-US" w:eastAsia="zh-CN" w:bidi="ar"/>
              </w:rPr>
              <w:t>未提供不得分</w:t>
            </w:r>
            <w:r>
              <w:rPr>
                <w:rFonts w:hint="eastAsia" w:ascii="宋体" w:hAnsi="宋体" w:eastAsia="宋体" w:cs="宋体"/>
                <w:color w:val="auto"/>
                <w:sz w:val="24"/>
                <w:szCs w:val="24"/>
                <w:lang w:val="en-US" w:eastAsia="zh-CN"/>
              </w:rPr>
              <w:t>（满分4分）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5" w:hRule="atLeast"/>
          <w:jc w:val="center"/>
        </w:trPr>
        <w:tc>
          <w:tcPr>
            <w:tcW w:w="755"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p>
        </w:tc>
        <w:tc>
          <w:tcPr>
            <w:tcW w:w="1465" w:type="dxa"/>
            <w:noWrap w:val="0"/>
            <w:vAlign w:val="center"/>
          </w:tcPr>
          <w:p>
            <w:pPr>
              <w:keepNext w:val="0"/>
              <w:keepLines w:val="0"/>
              <w:pageBreakBefore w:val="0"/>
              <w:kinsoku/>
              <w:wordWrap/>
              <w:overflowPunct/>
              <w:topLinePunct w:val="0"/>
              <w:bidi w:val="0"/>
              <w:adjustRightInd w:val="0"/>
              <w:snapToGrid w:val="0"/>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相关承诺</w:t>
            </w:r>
          </w:p>
        </w:tc>
        <w:tc>
          <w:tcPr>
            <w:tcW w:w="1029" w:type="dxa"/>
            <w:noWrap w:val="0"/>
            <w:vAlign w:val="center"/>
          </w:tcPr>
          <w:p>
            <w:pPr>
              <w:keepNext w:val="0"/>
              <w:keepLines w:val="0"/>
              <w:pageBreakBefore w:val="0"/>
              <w:widowControl/>
              <w:kinsoku/>
              <w:wordWrap/>
              <w:overflowPunct/>
              <w:topLinePunct w:val="0"/>
              <w:bidi w:val="0"/>
              <w:spacing w:line="44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3分</w:t>
            </w:r>
          </w:p>
        </w:tc>
        <w:tc>
          <w:tcPr>
            <w:tcW w:w="63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1、针对本项目投标人承诺售后服务响应时间小于2小时，8小时内服务到位的得2分，未提供不得分。</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default"/>
                <w:lang w:val="en-US" w:eastAsia="zh-CN"/>
              </w:rPr>
            </w:pPr>
            <w:r>
              <w:rPr>
                <w:rFonts w:hint="eastAsia" w:ascii="宋体" w:hAnsi="宋体" w:eastAsia="宋体" w:cs="宋体"/>
                <w:color w:val="auto"/>
                <w:kern w:val="0"/>
                <w:sz w:val="24"/>
                <w:szCs w:val="24"/>
                <w:lang w:val="en-US" w:eastAsia="zh-CN" w:bidi="ar"/>
              </w:rPr>
              <w:t>2、投标人提供详细的服务机构名称、地址、联系人、联系电话等证明材料的得1分，未提供不得分。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3249" w:type="dxa"/>
            <w:gridSpan w:val="3"/>
            <w:noWrap w:val="0"/>
            <w:vAlign w:val="center"/>
          </w:tcPr>
          <w:p>
            <w:pPr>
              <w:keepNext w:val="0"/>
              <w:keepLines w:val="0"/>
              <w:pageBreakBefore w:val="0"/>
              <w:widowControl/>
              <w:kinsoku/>
              <w:wordWrap/>
              <w:overflowPunct/>
              <w:topLinePunct w:val="0"/>
              <w:bidi w:val="0"/>
              <w:spacing w:line="440" w:lineRule="exact"/>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合计</w:t>
            </w:r>
          </w:p>
        </w:tc>
        <w:tc>
          <w:tcPr>
            <w:tcW w:w="6323" w:type="dxa"/>
            <w:noWrap w:val="0"/>
            <w:vAlign w:val="center"/>
          </w:tcPr>
          <w:p>
            <w:pPr>
              <w:keepNext w:val="0"/>
              <w:keepLines w:val="0"/>
              <w:pageBreakBefore w:val="0"/>
              <w:widowControl/>
              <w:kinsoku/>
              <w:wordWrap/>
              <w:overflowPunct/>
              <w:topLinePunct w:val="0"/>
              <w:bidi w:val="0"/>
              <w:spacing w:line="440" w:lineRule="exact"/>
              <w:ind w:firstLine="480" w:firstLineChars="20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100分</w:t>
            </w:r>
          </w:p>
        </w:tc>
      </w:tr>
    </w:tbl>
    <w:p>
      <w:pPr>
        <w:pageBreakBefore w:val="0"/>
        <w:kinsoku/>
        <w:wordWrap/>
        <w:overflowPunct/>
        <w:topLinePunct w:val="0"/>
        <w:bidi w:val="0"/>
        <w:spacing w:line="560" w:lineRule="exact"/>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pageBreakBefore w:val="0"/>
        <w:kinsoku/>
        <w:wordWrap/>
        <w:overflowPunct/>
        <w:topLinePunct w:val="0"/>
        <w:bidi w:val="0"/>
        <w:spacing w:line="560" w:lineRule="exact"/>
        <w:jc w:val="center"/>
        <w:textAlignment w:val="auto"/>
        <w:rPr>
          <w:rFonts w:hint="eastAsia" w:ascii="宋体" w:hAnsi="宋体" w:eastAsia="宋体" w:cs="宋体"/>
          <w:color w:val="auto"/>
          <w:sz w:val="32"/>
          <w:szCs w:val="32"/>
        </w:rPr>
      </w:pPr>
      <w:r>
        <w:rPr>
          <w:rFonts w:hint="eastAsia" w:ascii="宋体" w:hAnsi="宋体" w:eastAsia="宋体" w:cs="宋体"/>
          <w:b/>
          <w:bCs/>
          <w:color w:val="auto"/>
          <w:sz w:val="36"/>
          <w:szCs w:val="36"/>
        </w:rPr>
        <w:t xml:space="preserve">第六章 </w:t>
      </w:r>
      <w:r>
        <w:rPr>
          <w:rFonts w:hint="eastAsia" w:ascii="宋体" w:hAnsi="宋体" w:eastAsia="宋体" w:cs="宋体"/>
          <w:b w:val="0"/>
          <w:bCs w:val="0"/>
          <w:color w:val="auto"/>
          <w:sz w:val="44"/>
          <w:szCs w:val="44"/>
        </w:rPr>
        <w:t>政府采购合同</w:t>
      </w:r>
      <w:r>
        <w:rPr>
          <w:rFonts w:hint="eastAsia" w:ascii="宋体" w:hAnsi="宋体" w:eastAsia="宋体" w:cs="宋体"/>
          <w:b/>
          <w:bCs/>
          <w:color w:val="auto"/>
          <w:sz w:val="36"/>
          <w:szCs w:val="36"/>
        </w:rPr>
        <w:t>范本</w:t>
      </w:r>
    </w:p>
    <w:p>
      <w:pPr>
        <w:pageBreakBefore w:val="0"/>
        <w:kinsoku/>
        <w:wordWrap/>
        <w:overflowPunct/>
        <w:topLinePunct w:val="0"/>
        <w:bidi w:val="0"/>
        <w:spacing w:line="560" w:lineRule="exact"/>
        <w:jc w:val="center"/>
        <w:textAlignment w:val="auto"/>
        <w:rPr>
          <w:rFonts w:hint="eastAsia" w:ascii="宋体" w:hAnsi="宋体" w:eastAsia="宋体" w:cs="宋体"/>
          <w:b w:val="0"/>
          <w:bCs w:val="0"/>
          <w:color w:val="auto"/>
          <w:szCs w:val="28"/>
        </w:rPr>
      </w:pPr>
      <w:r>
        <w:rPr>
          <w:rFonts w:hint="eastAsia" w:ascii="宋体" w:hAnsi="宋体" w:eastAsia="宋体" w:cs="宋体"/>
          <w:b w:val="0"/>
          <w:bCs w:val="0"/>
          <w:color w:val="auto"/>
          <w:szCs w:val="28"/>
        </w:rPr>
        <w:t>（仅作参考）</w:t>
      </w: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项目名称：                                      </w:t>
      </w: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合同编号：</w:t>
      </w: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招标编号： </w:t>
      </w: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买    方：</w:t>
      </w: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卖    方：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买卖双方通过政府采购招标活动，经评标委员会评审，招标采购部门确认，决定将本项目采购合同授予卖方。为进一步明确双方责任，确保合同内容的顺利履行，买卖双方商定同意按如下条款和要求签订本合同：</w:t>
      </w:r>
    </w:p>
    <w:p>
      <w:pPr>
        <w:pStyle w:val="27"/>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一、标的物</w:t>
      </w:r>
    </w:p>
    <w:p>
      <w:pPr>
        <w:pStyle w:val="27"/>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《标的物明细表》（详见附件）。</w:t>
      </w:r>
    </w:p>
    <w:p>
      <w:pPr>
        <w:pStyle w:val="27"/>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合同金额：¥</w:t>
      </w:r>
      <w:r>
        <w:rPr>
          <w:rFonts w:hint="eastAsia" w:ascii="宋体" w:hAnsi="宋体" w:eastAsia="宋体" w:cs="宋体"/>
          <w:b w:val="0"/>
          <w:bCs/>
          <w:color w:val="auto"/>
          <w:sz w:val="24"/>
          <w:szCs w:val="24"/>
          <w:lang w:val="en-US" w:eastAsia="zh-CN"/>
        </w:rPr>
        <w:t>00000.00</w:t>
      </w:r>
      <w:r>
        <w:rPr>
          <w:rFonts w:hint="eastAsia" w:ascii="宋体" w:hAnsi="宋体" w:eastAsia="宋体" w:cs="宋体"/>
          <w:b w:val="0"/>
          <w:bCs/>
          <w:color w:val="auto"/>
          <w:sz w:val="24"/>
          <w:szCs w:val="24"/>
        </w:rPr>
        <w:t>元（大写：人民币</w:t>
      </w:r>
      <w:r>
        <w:rPr>
          <w:rFonts w:hint="eastAsia" w:ascii="宋体" w:hAnsi="宋体" w:eastAsia="宋体" w:cs="宋体"/>
          <w:b w:val="0"/>
          <w:bCs/>
          <w:color w:val="auto"/>
          <w:sz w:val="24"/>
          <w:szCs w:val="24"/>
          <w:u w:val="single"/>
          <w:lang w:val="en-US" w:eastAsia="zh-CN"/>
        </w:rPr>
        <w:t xml:space="preserve">             元</w:t>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 780000 \* CHINESENUM2 </w:instrTex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t>）</w:t>
      </w:r>
      <w:r>
        <w:rPr>
          <w:rFonts w:hint="eastAsia" w:ascii="宋体" w:hAnsi="宋体" w:eastAsia="宋体" w:cs="宋体"/>
          <w:color w:val="auto"/>
          <w:sz w:val="24"/>
          <w:szCs w:val="24"/>
        </w:rPr>
        <w:t>为货物到达指定地点，安装、调试完成，达到本合同约定要求的全部费用。</w:t>
      </w:r>
    </w:p>
    <w:p>
      <w:pPr>
        <w:pStyle w:val="27"/>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二、质量保证</w:t>
      </w:r>
    </w:p>
    <w:p>
      <w:pPr>
        <w:pageBreakBefore w:val="0"/>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1.卖方提供并交付货物的名称、规格、型号、数量、产地等应与投标文件一致，达到技术规格和参数要求，是未使用过的，全新的合格产品。</w:t>
      </w:r>
    </w:p>
    <w:p>
      <w:pPr>
        <w:pageBreakBefore w:val="0"/>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2.卖方所提供的货物要安全可靠，在正常使用情况下，不对使用者及环境造成危害。如因产品质量或标示不明确造成损失的，由卖方负责，买方保留依法索赔的权力。</w:t>
      </w:r>
    </w:p>
    <w:p>
      <w:pPr>
        <w:pStyle w:val="27"/>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rPr>
        <w:t>3.</w:t>
      </w:r>
      <w:r>
        <w:rPr>
          <w:rFonts w:hint="eastAsia" w:ascii="宋体" w:hAnsi="宋体" w:eastAsia="宋体" w:cs="宋体"/>
          <w:color w:val="auto"/>
          <w:sz w:val="24"/>
          <w:szCs w:val="24"/>
        </w:rPr>
        <w:t>卖方应保证其货物在正确安装、使用和保养的条件下，其使用寿命期达到产品质量要求；并在货物最终验收后的质量保证期内，对因设计、工艺或材料的缺陷而发生的任何问题或故障负责，费用由卖方负担。</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在质量保证期内，卖方在接到买方“产品质量问题书面通知”七个工作日内，免费维修或更换有问题的货物或部件。在规定时限内，产品质量问题仍得不到卖方解决的，买方有权单方采取补救措施，由此产生的一切费用由卖方全部承担。</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三、专利权</w:t>
      </w:r>
    </w:p>
    <w:p>
      <w:pPr>
        <w:pageBreakBefore w:val="0"/>
        <w:kinsoku/>
        <w:wordWrap/>
        <w:overflowPunct/>
        <w:topLinePunct w:val="0"/>
        <w:bidi w:val="0"/>
        <w:spacing w:line="56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卖方应保证提供给买方的货物的各项专利、知识产权等符合我国及国际有关法律要求。凡因上述问题与第三方发生任何纠纷与买方无关。因此而产生的侵权或法律纠纷均由卖方承担。</w:t>
      </w:r>
    </w:p>
    <w:p>
      <w:pPr>
        <w:pStyle w:val="27"/>
        <w:pageBreakBefore w:val="0"/>
        <w:kinsoku/>
        <w:wordWrap/>
        <w:overflowPunct/>
        <w:topLinePunct w:val="0"/>
        <w:bidi w:val="0"/>
        <w:spacing w:line="56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四、包装要求及运输方式</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货物的包装和运输方式由卖方确定，所发生的一切费用由卖方负责。包装必须符合国际标准或行业要求，保证买方收到的货物无任何损伤。否则，因此造成的损失由卖方承担。</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五、交货时限及安装</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本合同签订之日期起</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rPr>
        <w:t>日内</w:t>
      </w:r>
      <w:r>
        <w:rPr>
          <w:rFonts w:hint="eastAsia" w:ascii="宋体" w:hAnsi="宋体" w:eastAsia="宋体" w:cs="宋体"/>
          <w:b/>
          <w:color w:val="auto"/>
          <w:sz w:val="24"/>
          <w:szCs w:val="24"/>
        </w:rPr>
        <w:t>标的物</w:t>
      </w:r>
      <w:r>
        <w:rPr>
          <w:rFonts w:hint="eastAsia" w:ascii="宋体" w:hAnsi="宋体" w:eastAsia="宋体" w:cs="宋体"/>
          <w:color w:val="auto"/>
          <w:sz w:val="24"/>
          <w:szCs w:val="24"/>
        </w:rPr>
        <w:t>交于买方指定地点。</w:t>
      </w:r>
      <w:r>
        <w:rPr>
          <w:rFonts w:hint="eastAsia" w:ascii="宋体" w:hAnsi="宋体" w:eastAsia="宋体" w:cs="宋体"/>
          <w:color w:val="auto"/>
          <w:spacing w:val="10"/>
          <w:sz w:val="24"/>
          <w:szCs w:val="24"/>
        </w:rPr>
        <w:t>买方应于卖方交货前，准备好设备安装场地及必要条件</w:t>
      </w:r>
      <w:r>
        <w:rPr>
          <w:rFonts w:hint="eastAsia" w:ascii="宋体" w:hAnsi="宋体" w:eastAsia="宋体" w:cs="宋体"/>
          <w:color w:val="auto"/>
          <w:sz w:val="24"/>
          <w:szCs w:val="24"/>
        </w:rPr>
        <w:t>（场地、水、电）等</w:t>
      </w:r>
      <w:r>
        <w:rPr>
          <w:rFonts w:hint="eastAsia" w:ascii="宋体" w:hAnsi="宋体" w:eastAsia="宋体" w:cs="宋体"/>
          <w:color w:val="auto"/>
          <w:spacing w:val="10"/>
          <w:sz w:val="24"/>
          <w:szCs w:val="24"/>
        </w:rPr>
        <w:t>，</w:t>
      </w:r>
      <w:r>
        <w:rPr>
          <w:rFonts w:hint="eastAsia" w:ascii="宋体" w:hAnsi="宋体" w:eastAsia="宋体" w:cs="宋体"/>
          <w:color w:val="auto"/>
          <w:sz w:val="24"/>
          <w:szCs w:val="24"/>
        </w:rPr>
        <w:t>在具备安装条件下，于10日内完成货物的安装与调试工作。因买方原因造成卖方无法按合同约定交货或安装的，则卖方免责。</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六、货物验收</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卖方完成货物的安装并达到使用要求后，可向使用单位提出货物验收申请，买方在5个工作日内组织验收，验收合格的出具《验收报告》，验收不合格的限期整改，至合格为止并出具《验收报告》。</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七、付款条件</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FF0000"/>
          <w:sz w:val="24"/>
          <w:szCs w:val="24"/>
          <w:u w:val="single"/>
        </w:rPr>
      </w:pPr>
      <w:r>
        <w:rPr>
          <w:rFonts w:hint="eastAsia" w:ascii="宋体" w:hAnsi="宋体" w:eastAsia="宋体" w:cs="宋体"/>
          <w:b/>
          <w:color w:val="auto"/>
          <w:sz w:val="24"/>
          <w:szCs w:val="24"/>
          <w:lang w:bidi="ar"/>
        </w:rPr>
        <w:t>买方凭货物《中标通知书》《合同》《验收报告》原件及相关资料和货物发票等</w:t>
      </w:r>
      <w:r>
        <w:rPr>
          <w:rFonts w:hint="eastAsia" w:ascii="宋体" w:hAnsi="宋体" w:eastAsia="宋体" w:cs="宋体"/>
          <w:color w:val="auto"/>
          <w:sz w:val="24"/>
          <w:szCs w:val="24"/>
          <w:lang w:bidi="ar"/>
        </w:rPr>
        <w:t>办理付款事宜。买方依据前述资料及卖方汇款凭证向其支付合同金额的   ％，合计¥</w:t>
      </w:r>
      <w:r>
        <w:rPr>
          <w:rFonts w:hint="eastAsia" w:ascii="宋体" w:hAnsi="宋体" w:eastAsia="宋体" w:cs="宋体"/>
          <w:color w:val="auto"/>
          <w:sz w:val="24"/>
          <w:szCs w:val="24"/>
          <w:u w:val="single"/>
          <w:lang w:bidi="ar"/>
        </w:rPr>
        <w:t xml:space="preserve">       </w:t>
      </w:r>
      <w:r>
        <w:rPr>
          <w:rFonts w:hint="eastAsia" w:ascii="宋体" w:hAnsi="宋体" w:eastAsia="宋体" w:cs="宋体"/>
          <w:color w:val="auto"/>
          <w:sz w:val="24"/>
          <w:szCs w:val="24"/>
          <w:lang w:bidi="ar"/>
        </w:rPr>
        <w:t>元；</w:t>
      </w:r>
      <w:r>
        <w:rPr>
          <w:rFonts w:hint="eastAsia" w:ascii="宋体" w:hAnsi="宋体" w:eastAsia="宋体" w:cs="宋体"/>
          <w:color w:val="000000" w:themeColor="text1"/>
          <w:sz w:val="24"/>
          <w:szCs w:val="24"/>
          <w:lang w:bidi="ar"/>
          <w14:textFill>
            <w14:solidFill>
              <w14:schemeClr w14:val="tx1"/>
            </w14:solidFill>
          </w14:textFill>
        </w:rPr>
        <w:t>在货物验收</w:t>
      </w:r>
      <w:r>
        <w:rPr>
          <w:rFonts w:hint="eastAsia" w:ascii="宋体" w:hAnsi="宋体" w:eastAsia="宋体" w:cs="宋体"/>
          <w:color w:val="000000" w:themeColor="text1"/>
          <w:sz w:val="24"/>
          <w:szCs w:val="24"/>
          <w:lang w:val="en-US" w:eastAsia="zh-CN" w:bidi="ar"/>
          <w14:textFill>
            <w14:solidFill>
              <w14:schemeClr w14:val="tx1"/>
            </w14:solidFill>
          </w14:textFill>
        </w:rPr>
        <w:t>合格后支付</w:t>
      </w:r>
      <w:r>
        <w:rPr>
          <w:rFonts w:hint="eastAsia" w:ascii="宋体" w:hAnsi="宋体" w:eastAsia="宋体" w:cs="宋体"/>
          <w:color w:val="000000" w:themeColor="text1"/>
          <w:sz w:val="24"/>
          <w:szCs w:val="24"/>
          <w:lang w:bidi="ar"/>
          <w14:textFill>
            <w14:solidFill>
              <w14:schemeClr w14:val="tx1"/>
            </w14:solidFill>
          </w14:textFill>
        </w:rPr>
        <w:t>¥</w:t>
      </w:r>
      <w:r>
        <w:rPr>
          <w:rFonts w:hint="eastAsia" w:ascii="宋体" w:hAnsi="宋体" w:eastAsia="宋体" w:cs="宋体"/>
          <w:color w:val="000000" w:themeColor="text1"/>
          <w:sz w:val="24"/>
          <w:szCs w:val="24"/>
          <w:u w:val="single"/>
          <w:lang w:bidi="ar"/>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bidi="ar"/>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bidi="ar"/>
          <w14:textFill>
            <w14:solidFill>
              <w14:schemeClr w14:val="tx1"/>
            </w14:solidFill>
          </w14:textFill>
        </w:rPr>
        <w:t>元，使用90天后，如无质量问题，一次性结清尾款</w:t>
      </w:r>
      <w:r>
        <w:rPr>
          <w:rFonts w:hint="eastAsia" w:ascii="宋体" w:hAnsi="宋体" w:eastAsia="宋体" w:cs="宋体"/>
          <w:color w:val="000000" w:themeColor="text1"/>
          <w:sz w:val="24"/>
          <w:szCs w:val="24"/>
          <w:lang w:bidi="ar"/>
          <w14:textFill>
            <w14:solidFill>
              <w14:schemeClr w14:val="tx1"/>
            </w14:solidFill>
          </w14:textFill>
        </w:rPr>
        <w:t xml:space="preserve">。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八、保修及售后服务</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卖方所供货物，从验收合格并交付使用之日起，开始计算质保期，卖方承诺质保期为</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rPr>
        <w:t>个月，凡在质保期内，因货物质量或安装等原因出现的问题，由卖方负责维修，所发生的费用均由卖方承担，如卖方不履行保修义务，由此给买方造成的损失由卖方给于赔偿；超过质保期所发生的问题，卖方负责维修，费用由买方承担，卖方终身提供有偿维修服务。</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九、违约责任</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1.双方均应遵守上述条款，未按上述条款执行的，将被视为违约。</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2.合同生效后任何一方终止合同（不可抗力除外），终止方按货物总金额20％赔偿给被终止方。</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如所交付的货物中有不满足投标文件中所承诺的货物型号、规格、技术要求或不是投标文件中货物的制造商，卖方应按买方要求换货，但时间不超过15天（免税进口设备另行约定），否则从超过之日起，每日按应换货物金额的千分之三收取违约金。在设备正常使用过程中，如因产品质量问题给买方造成损失的，卖方应承担由此给买方造成的全部损失，并按买方要求采取措施直至达到要求。</w:t>
      </w:r>
    </w:p>
    <w:p>
      <w:pPr>
        <w:pageBreakBefore w:val="0"/>
        <w:kinsoku/>
        <w:wordWrap/>
        <w:overflowPunct/>
        <w:topLinePunct w:val="0"/>
        <w:bidi w:val="0"/>
        <w:spacing w:line="560" w:lineRule="exact"/>
        <w:ind w:firstLine="57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4.如买方未在合同约定时间内对标的物进行验收，则按合同应付款的每日千分之三违约金计算给卖方作出赔偿；</w:t>
      </w:r>
      <w:r>
        <w:rPr>
          <w:rFonts w:hint="eastAsia" w:ascii="宋体" w:hAnsi="宋体" w:eastAsia="宋体" w:cs="宋体"/>
          <w:color w:val="000000" w:themeColor="text1"/>
          <w:sz w:val="24"/>
          <w:szCs w:val="24"/>
          <w14:textFill>
            <w14:solidFill>
              <w14:schemeClr w14:val="tx1"/>
            </w14:solidFill>
          </w14:textFill>
        </w:rPr>
        <w:t>如卖方未在合同约定交货</w:t>
      </w:r>
      <w:r>
        <w:rPr>
          <w:rFonts w:hint="eastAsia" w:ascii="宋体" w:hAnsi="宋体" w:eastAsia="宋体" w:cs="宋体"/>
          <w:color w:val="000000" w:themeColor="text1"/>
          <w:sz w:val="24"/>
          <w:szCs w:val="24"/>
          <w:lang w:val="en-US" w:eastAsia="zh-CN"/>
          <w14:textFill>
            <w14:solidFill>
              <w14:schemeClr w14:val="tx1"/>
            </w14:solidFill>
          </w14:textFill>
        </w:rPr>
        <w:t>期延长30天，还未交付货物，由买方解除合同并要求卖方赔偿相关损失</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十、合同仲裁</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在合同履行期间，买卖双方应严格按照公平、公正的原则，维护买卖双方的合法利益。在合同履行期间所发生的一切争端，买卖双方应通过友好协商的办法加以解决。自协商之日开始的30天内仍得不到解决，</w:t>
      </w:r>
      <w:r>
        <w:rPr>
          <w:rFonts w:hint="eastAsia" w:ascii="宋体" w:hAnsi="宋体" w:eastAsia="宋体" w:cs="宋体"/>
          <w:color w:val="000000" w:themeColor="text1"/>
          <w:sz w:val="24"/>
          <w:szCs w:val="24"/>
          <w14:textFill>
            <w14:solidFill>
              <w14:schemeClr w14:val="tx1"/>
            </w14:solidFill>
          </w14:textFill>
        </w:rPr>
        <w:t>双方可将争端提交</w:t>
      </w:r>
      <w:r>
        <w:rPr>
          <w:rFonts w:hint="eastAsia" w:ascii="宋体" w:hAnsi="宋体" w:eastAsia="宋体" w:cs="宋体"/>
          <w:color w:val="000000" w:themeColor="text1"/>
          <w:sz w:val="24"/>
          <w:szCs w:val="24"/>
          <w:lang w:val="en-US" w:eastAsia="zh-CN"/>
          <w14:textFill>
            <w14:solidFill>
              <w14:schemeClr w14:val="tx1"/>
            </w14:solidFill>
          </w14:textFill>
        </w:rPr>
        <w:t>银川仲裁委员会进行仲裁</w:t>
      </w:r>
      <w:r>
        <w:rPr>
          <w:rFonts w:hint="eastAsia" w:ascii="宋体" w:hAnsi="宋体" w:eastAsia="宋体" w:cs="宋体"/>
          <w:color w:val="000000" w:themeColor="text1"/>
          <w:sz w:val="24"/>
          <w:szCs w:val="24"/>
          <w14:textFill>
            <w14:solidFill>
              <w14:schemeClr w14:val="tx1"/>
            </w14:solidFill>
          </w14:textFill>
        </w:rPr>
        <w:t>，仲裁为终局裁决，对双方均有约束力。</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十一、其它事项</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auto"/>
          <w:sz w:val="24"/>
          <w:szCs w:val="24"/>
        </w:rPr>
        <w:t>合同经买卖双方法人或授权代表人签字盖章后即生效。买方的招标文件、卖方的投标文件、承诺书为本合同不可分割部分。</w:t>
      </w:r>
      <w:r>
        <w:rPr>
          <w:rFonts w:hint="eastAsia" w:ascii="宋体" w:hAnsi="宋体" w:eastAsia="宋体" w:cs="宋体"/>
          <w:b/>
          <w:color w:val="auto"/>
          <w:sz w:val="24"/>
          <w:szCs w:val="24"/>
        </w:rPr>
        <w:t>本合同一式6份（买方合同签订部门3份、货物使用单位 、卖方、招标公司各1份）</w:t>
      </w:r>
      <w:r>
        <w:rPr>
          <w:rFonts w:hint="eastAsia" w:ascii="宋体" w:hAnsi="宋体" w:eastAsia="宋体" w:cs="宋体"/>
          <w:color w:val="auto"/>
          <w:sz w:val="24"/>
          <w:szCs w:val="24"/>
        </w:rPr>
        <w:t>，</w:t>
      </w:r>
      <w:r>
        <w:rPr>
          <w:rFonts w:hint="eastAsia" w:ascii="宋体" w:hAnsi="宋体" w:eastAsia="宋体" w:cs="宋体"/>
          <w:color w:val="000000" w:themeColor="text1"/>
          <w:sz w:val="24"/>
          <w:szCs w:val="24"/>
          <w:lang w:val="en-US" w:eastAsia="zh-CN"/>
          <w14:textFill>
            <w14:solidFill>
              <w14:schemeClr w14:val="tx1"/>
            </w14:solidFill>
          </w14:textFill>
        </w:rPr>
        <w:t>附件“标的物明细表”作为合同一部分，与合同其他条款</w:t>
      </w:r>
      <w:r>
        <w:rPr>
          <w:rFonts w:hint="eastAsia" w:ascii="宋体" w:hAnsi="宋体" w:eastAsia="宋体" w:cs="宋体"/>
          <w:color w:val="000000" w:themeColor="text1"/>
          <w:sz w:val="24"/>
          <w:szCs w:val="24"/>
          <w14:textFill>
            <w14:solidFill>
              <w14:schemeClr w14:val="tx1"/>
            </w14:solidFill>
          </w14:textFill>
        </w:rPr>
        <w:t>具有同等法律效力。</w:t>
      </w: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p>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买方（盖章）：                        卖方（盖章）： </w:t>
      </w:r>
    </w:p>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p>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买方授权代表人签字：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卖方法人（代表人）签字：</w:t>
      </w:r>
    </w:p>
    <w:p>
      <w:pPr>
        <w:pageBreakBefore w:val="0"/>
        <w:tabs>
          <w:tab w:val="left" w:pos="5121"/>
        </w:tabs>
        <w:kinsoku/>
        <w:wordWrap/>
        <w:overflowPunct/>
        <w:topLinePunct w:val="0"/>
        <w:bidi w:val="0"/>
        <w:spacing w:line="560" w:lineRule="exact"/>
        <w:jc w:val="left"/>
        <w:textAlignment w:val="auto"/>
        <w:rPr>
          <w:rFonts w:hint="eastAsia" w:ascii="宋体" w:hAnsi="宋体" w:eastAsia="宋体" w:cs="宋体"/>
          <w:b w:val="0"/>
          <w:bCs/>
          <w:color w:val="auto"/>
          <w:sz w:val="24"/>
          <w:szCs w:val="24"/>
        </w:rPr>
      </w:pPr>
    </w:p>
    <w:p>
      <w:pPr>
        <w:pageBreakBefore w:val="0"/>
        <w:tabs>
          <w:tab w:val="left" w:pos="5121"/>
        </w:tabs>
        <w:kinsoku/>
        <w:wordWrap/>
        <w:overflowPunct/>
        <w:topLinePunct w:val="0"/>
        <w:bidi w:val="0"/>
        <w:spacing w:line="560" w:lineRule="exact"/>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买方地址：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地址：                                 </w:t>
      </w:r>
    </w:p>
    <w:p>
      <w:pPr>
        <w:pageBreakBefore w:val="0"/>
        <w:tabs>
          <w:tab w:val="left" w:pos="5121"/>
        </w:tabs>
        <w:kinsoku/>
        <w:wordWrap/>
        <w:overflowPunct/>
        <w:topLinePunct w:val="0"/>
        <w:bidi w:val="0"/>
        <w:spacing w:line="560" w:lineRule="exact"/>
        <w:textAlignment w:val="auto"/>
        <w:rPr>
          <w:rFonts w:hint="eastAsia" w:ascii="宋体" w:hAnsi="宋体" w:eastAsia="宋体" w:cs="宋体"/>
          <w:b w:val="0"/>
          <w:bCs/>
          <w:color w:val="auto"/>
          <w:sz w:val="24"/>
          <w:szCs w:val="24"/>
        </w:rPr>
      </w:pPr>
    </w:p>
    <w:p>
      <w:pPr>
        <w:pageBreakBefore w:val="0"/>
        <w:tabs>
          <w:tab w:val="left" w:pos="5121"/>
        </w:tabs>
        <w:kinsoku/>
        <w:wordWrap/>
        <w:overflowPunct/>
        <w:topLinePunct w:val="0"/>
        <w:bidi w:val="0"/>
        <w:spacing w:line="5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开户行：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开户行： </w:t>
      </w:r>
    </w:p>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p>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账号：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账号： </w:t>
      </w:r>
    </w:p>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p>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信用代码：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电话： </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合同签订日期              </w:t>
      </w:r>
    </w:p>
    <w:p>
      <w:pPr>
        <w:pageBreakBefore w:val="0"/>
        <w:kinsoku/>
        <w:wordWrap/>
        <w:overflowPunct/>
        <w:topLinePunct w:val="0"/>
        <w:bidi w:val="0"/>
        <w:spacing w:line="560" w:lineRule="exact"/>
        <w:jc w:val="center"/>
        <w:textAlignment w:val="auto"/>
        <w:rPr>
          <w:rFonts w:hint="eastAsia" w:ascii="宋体" w:hAnsi="宋体" w:eastAsia="宋体" w:cs="宋体"/>
          <w:b/>
          <w:color w:val="auto"/>
          <w:sz w:val="28"/>
          <w:szCs w:val="28"/>
        </w:rPr>
      </w:pPr>
      <w:r>
        <w:rPr>
          <w:rFonts w:hint="eastAsia" w:ascii="宋体" w:hAnsi="宋体" w:eastAsia="宋体" w:cs="宋体"/>
          <w:color w:val="auto"/>
          <w:sz w:val="24"/>
          <w:szCs w:val="24"/>
        </w:rPr>
        <w:t xml:space="preserve">                年  月   日</w:t>
      </w:r>
    </w:p>
    <w:p>
      <w:pPr>
        <w:pageBreakBefore w:val="0"/>
        <w:kinsoku/>
        <w:wordWrap/>
        <w:overflowPunct/>
        <w:topLinePunct w:val="0"/>
        <w:bidi w:val="0"/>
        <w:spacing w:line="560" w:lineRule="exact"/>
        <w:jc w:val="left"/>
        <w:textAlignment w:val="auto"/>
        <w:rPr>
          <w:rFonts w:hint="eastAsia" w:ascii="宋体" w:hAnsi="宋体" w:eastAsia="宋体" w:cs="宋体"/>
          <w:b w:val="0"/>
          <w:bCs/>
          <w:color w:val="auto"/>
          <w:szCs w:val="28"/>
        </w:rPr>
      </w:pPr>
    </w:p>
    <w:p>
      <w:pPr>
        <w:pageBreakBefore w:val="0"/>
        <w:kinsoku/>
        <w:wordWrap/>
        <w:overflowPunct/>
        <w:topLinePunct w:val="0"/>
        <w:bidi w:val="0"/>
        <w:spacing w:line="560" w:lineRule="exact"/>
        <w:jc w:val="left"/>
        <w:textAlignment w:val="auto"/>
        <w:rPr>
          <w:rFonts w:hint="eastAsia" w:ascii="宋体" w:hAnsi="宋体" w:eastAsia="宋体" w:cs="宋体"/>
          <w:b w:val="0"/>
          <w:bCs/>
          <w:color w:val="auto"/>
          <w:szCs w:val="28"/>
        </w:rPr>
      </w:pPr>
    </w:p>
    <w:p>
      <w:pPr>
        <w:pageBreakBefore w:val="0"/>
        <w:kinsoku/>
        <w:wordWrap/>
        <w:overflowPunct/>
        <w:topLinePunct w:val="0"/>
        <w:bidi w:val="0"/>
        <w:spacing w:line="560" w:lineRule="exact"/>
        <w:jc w:val="left"/>
        <w:textAlignment w:val="auto"/>
        <w:rPr>
          <w:rFonts w:hint="eastAsia" w:ascii="宋体" w:hAnsi="宋体" w:eastAsia="宋体" w:cs="宋体"/>
          <w:b w:val="0"/>
          <w:bCs/>
          <w:color w:val="auto"/>
          <w:szCs w:val="28"/>
        </w:rPr>
      </w:pPr>
    </w:p>
    <w:p>
      <w:pPr>
        <w:pageBreakBefore w:val="0"/>
        <w:kinsoku/>
        <w:wordWrap/>
        <w:overflowPunct/>
        <w:topLinePunct w:val="0"/>
        <w:bidi w:val="0"/>
        <w:spacing w:line="560" w:lineRule="exact"/>
        <w:jc w:val="left"/>
        <w:textAlignment w:val="auto"/>
        <w:rPr>
          <w:rFonts w:hint="eastAsia" w:ascii="宋体" w:hAnsi="宋体" w:eastAsia="宋体" w:cs="宋体"/>
          <w:b w:val="0"/>
          <w:bCs/>
          <w:color w:val="auto"/>
          <w:szCs w:val="28"/>
        </w:rPr>
      </w:pPr>
    </w:p>
    <w:p>
      <w:pPr>
        <w:pageBreakBefore w:val="0"/>
        <w:kinsoku/>
        <w:wordWrap/>
        <w:overflowPunct/>
        <w:topLinePunct w:val="0"/>
        <w:bidi w:val="0"/>
        <w:spacing w:line="560" w:lineRule="exact"/>
        <w:jc w:val="left"/>
        <w:textAlignment w:val="auto"/>
        <w:rPr>
          <w:rFonts w:hint="eastAsia" w:ascii="宋体" w:hAnsi="宋体" w:eastAsia="宋体" w:cs="宋体"/>
          <w:b w:val="0"/>
          <w:bCs/>
          <w:color w:val="auto"/>
          <w:szCs w:val="28"/>
        </w:rPr>
      </w:pPr>
    </w:p>
    <w:p>
      <w:pPr>
        <w:pageBreakBefore w:val="0"/>
        <w:kinsoku/>
        <w:wordWrap/>
        <w:overflowPunct/>
        <w:topLinePunct w:val="0"/>
        <w:bidi w:val="0"/>
        <w:spacing w:line="560" w:lineRule="exact"/>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合同附件</w:t>
      </w:r>
    </w:p>
    <w:p>
      <w:pPr>
        <w:pageBreakBefore w:val="0"/>
        <w:kinsoku/>
        <w:wordWrap/>
        <w:overflowPunct/>
        <w:topLinePunct w:val="0"/>
        <w:bidi w:val="0"/>
        <w:spacing w:line="560" w:lineRule="exact"/>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标的物明细表：</w:t>
      </w:r>
    </w:p>
    <w:tbl>
      <w:tblPr>
        <w:tblStyle w:val="19"/>
        <w:tblW w:w="90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421"/>
        <w:gridCol w:w="1826"/>
        <w:gridCol w:w="1826"/>
        <w:gridCol w:w="887"/>
        <w:gridCol w:w="992"/>
        <w:gridCol w:w="12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1" w:hRule="exact"/>
          <w:jc w:val="center"/>
        </w:trPr>
        <w:tc>
          <w:tcPr>
            <w:tcW w:w="836" w:type="dxa"/>
            <w:tcBorders>
              <w:top w:val="double" w:color="auto" w:sz="4" w:space="0"/>
              <w:bottom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1421" w:type="dxa"/>
            <w:tcBorders>
              <w:top w:val="double" w:color="auto" w:sz="4" w:space="0"/>
              <w:bottom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货物名称</w:t>
            </w:r>
          </w:p>
        </w:tc>
        <w:tc>
          <w:tcPr>
            <w:tcW w:w="1826" w:type="dxa"/>
            <w:tcBorders>
              <w:top w:val="double" w:color="auto" w:sz="4" w:space="0"/>
              <w:bottom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型号规格</w:t>
            </w:r>
          </w:p>
        </w:tc>
        <w:tc>
          <w:tcPr>
            <w:tcW w:w="1826" w:type="dxa"/>
            <w:tcBorders>
              <w:top w:val="double" w:color="auto" w:sz="4" w:space="0"/>
              <w:bottom w:val="single" w:color="auto" w:sz="6"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原产地/制造商</w:t>
            </w:r>
          </w:p>
        </w:tc>
        <w:tc>
          <w:tcPr>
            <w:tcW w:w="887" w:type="dxa"/>
            <w:tcBorders>
              <w:top w:val="double" w:color="auto" w:sz="4" w:space="0"/>
              <w:left w:val="single" w:color="auto" w:sz="4" w:space="0"/>
              <w:bottom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数量</w:t>
            </w:r>
          </w:p>
        </w:tc>
        <w:tc>
          <w:tcPr>
            <w:tcW w:w="992" w:type="dxa"/>
            <w:tcBorders>
              <w:top w:val="double" w:color="auto" w:sz="4" w:space="0"/>
              <w:bottom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单价（元）</w:t>
            </w:r>
          </w:p>
        </w:tc>
        <w:tc>
          <w:tcPr>
            <w:tcW w:w="1215" w:type="dxa"/>
            <w:tcBorders>
              <w:top w:val="double" w:color="auto" w:sz="4" w:space="0"/>
              <w:bottom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总价（元）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1" w:hRule="exact"/>
          <w:jc w:val="center"/>
        </w:trPr>
        <w:tc>
          <w:tcPr>
            <w:tcW w:w="836" w:type="dxa"/>
            <w:tcBorders>
              <w:top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1421" w:type="dxa"/>
            <w:tcBorders>
              <w:top w:val="single" w:color="auto" w:sz="6"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全光谱食品安全快速检测仪</w:t>
            </w:r>
          </w:p>
        </w:tc>
        <w:tc>
          <w:tcPr>
            <w:tcW w:w="1826" w:type="dxa"/>
            <w:tcBorders>
              <w:top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top w:val="single" w:color="auto" w:sz="6" w:space="0"/>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top w:val="single" w:color="auto" w:sz="6" w:space="0"/>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tcBorders>
              <w:top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tcBorders>
              <w:top w:val="single" w:color="auto" w:sz="6"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7"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便携式拉曼光谱检测仪</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9"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p>
        </w:tc>
        <w:tc>
          <w:tcPr>
            <w:tcW w:w="1421"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肉类快速</w:t>
            </w:r>
          </w:p>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鉴别仪</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5"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食品药品胶体分析仪</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全自动食品安全检测仪</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食品药品现场采样箱</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7</w:t>
            </w:r>
          </w:p>
        </w:tc>
        <w:tc>
          <w:tcPr>
            <w:tcW w:w="142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研磨仪</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8</w:t>
            </w:r>
          </w:p>
        </w:tc>
        <w:tc>
          <w:tcPr>
            <w:tcW w:w="142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离心机</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9</w:t>
            </w:r>
          </w:p>
        </w:tc>
        <w:tc>
          <w:tcPr>
            <w:tcW w:w="142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浓缩仪</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10</w:t>
            </w:r>
          </w:p>
        </w:tc>
        <w:tc>
          <w:tcPr>
            <w:tcW w:w="142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水浴锅</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涡旋混合器</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电子天平</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13</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鼓风干燥机</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14</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冷藏柜</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15</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冷冻柜</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16</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实验室专用超纯水机</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17</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实验台、试剂架及附件</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10</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18</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防护套装</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2</w:t>
            </w: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exact"/>
          <w:jc w:val="center"/>
        </w:trPr>
        <w:tc>
          <w:tcPr>
            <w:tcW w:w="836" w:type="dxa"/>
            <w:vAlign w:val="center"/>
          </w:tcPr>
          <w:p>
            <w:pPr>
              <w:pageBreakBefore w:val="0"/>
              <w:kinsoku/>
              <w:wordWrap/>
              <w:overflowPunct/>
              <w:topLinePunct w:val="0"/>
              <w:bidi w:val="0"/>
              <w:spacing w:line="560" w:lineRule="exact"/>
              <w:jc w:val="center"/>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19</w:t>
            </w:r>
          </w:p>
        </w:tc>
        <w:tc>
          <w:tcPr>
            <w:tcW w:w="1421" w:type="dxa"/>
            <w:vAlign w:val="center"/>
          </w:tcPr>
          <w:p>
            <w:pPr>
              <w:keepNext w:val="0"/>
              <w:keepLines w:val="0"/>
              <w:widowControl/>
              <w:suppressLineNumbers w:val="0"/>
              <w:jc w:val="center"/>
              <w:rPr>
                <w:rFonts w:hint="eastAsia" w:ascii="宋体" w:hAnsi="宋体" w:eastAsia="宋体" w:cs="宋体"/>
                <w:b w:val="0"/>
                <w:bCs/>
                <w:color w:val="auto"/>
                <w:sz w:val="24"/>
                <w:szCs w:val="24"/>
              </w:rPr>
            </w:pPr>
            <w:r>
              <w:rPr>
                <w:rFonts w:hint="eastAsia" w:ascii="宋体" w:hAnsi="宋体" w:eastAsia="宋体" w:cs="宋体"/>
                <w:color w:val="000000"/>
                <w:kern w:val="0"/>
                <w:sz w:val="24"/>
                <w:szCs w:val="24"/>
                <w:lang w:val="en-US" w:eastAsia="zh-CN" w:bidi="ar"/>
              </w:rPr>
              <w:t>人员培训</w:t>
            </w:r>
          </w:p>
        </w:tc>
        <w:tc>
          <w:tcPr>
            <w:tcW w:w="1826"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826" w:type="dxa"/>
            <w:tcBorders>
              <w:righ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887" w:type="dxa"/>
            <w:tcBorders>
              <w:left w:val="sing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99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c>
          <w:tcPr>
            <w:tcW w:w="121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6" w:hRule="exact"/>
          <w:jc w:val="center"/>
        </w:trPr>
        <w:tc>
          <w:tcPr>
            <w:tcW w:w="9003" w:type="dxa"/>
            <w:gridSpan w:val="7"/>
          </w:tcPr>
          <w:p>
            <w:pPr>
              <w:pageBreakBefore w:val="0"/>
              <w:kinsoku/>
              <w:wordWrap/>
              <w:overflowPunct/>
              <w:topLinePunct w:val="0"/>
              <w:bidi w:val="0"/>
              <w:spacing w:line="560" w:lineRule="exact"/>
              <w:textAlignment w:val="auto"/>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rPr>
              <w:t>合计金额：（大写</w:t>
            </w:r>
            <w:r>
              <w:rPr>
                <w:rFonts w:hint="eastAsia" w:ascii="宋体" w:hAnsi="宋体" w:eastAsia="宋体" w:cs="宋体"/>
                <w:b/>
                <w:bCs w:val="0"/>
                <w:color w:val="auto"/>
                <w:sz w:val="24"/>
                <w:szCs w:val="24"/>
                <w:lang w:val="en-US" w:eastAsia="zh-CN"/>
              </w:rPr>
              <w:t>:人民币</w:t>
            </w:r>
            <w:r>
              <w:rPr>
                <w:rFonts w:hint="eastAsia" w:ascii="宋体" w:hAnsi="宋体" w:eastAsia="宋体" w:cs="宋体"/>
                <w:b/>
                <w:bCs w:val="0"/>
                <w:color w:val="auto"/>
                <w:sz w:val="24"/>
                <w:szCs w:val="24"/>
              </w:rPr>
              <w:t xml:space="preserve">          元整）   小写：¥          元</w:t>
            </w:r>
          </w:p>
        </w:tc>
      </w:tr>
    </w:tbl>
    <w:p>
      <w:pPr>
        <w:pageBreakBefore w:val="0"/>
        <w:kinsoku/>
        <w:wordWrap/>
        <w:overflowPunct/>
        <w:topLinePunct w:val="0"/>
        <w:bidi w:val="0"/>
        <w:spacing w:line="560" w:lineRule="exact"/>
        <w:jc w:val="center"/>
        <w:textAlignment w:val="auto"/>
        <w:rPr>
          <w:rFonts w:hint="eastAsia" w:ascii="宋体" w:hAnsi="宋体" w:eastAsia="宋体" w:cs="宋体"/>
          <w:color w:val="auto"/>
          <w:sz w:val="32"/>
          <w:szCs w:val="32"/>
        </w:rPr>
      </w:pPr>
      <w:r>
        <w:rPr>
          <w:rFonts w:hint="eastAsia" w:ascii="宋体" w:hAnsi="宋体" w:eastAsia="宋体" w:cs="宋体"/>
          <w:b/>
          <w:bCs/>
          <w:color w:val="auto"/>
          <w:sz w:val="36"/>
          <w:szCs w:val="36"/>
        </w:rPr>
        <w:br w:type="page"/>
      </w:r>
      <w:r>
        <w:rPr>
          <w:rFonts w:hint="eastAsia" w:ascii="宋体" w:hAnsi="宋体" w:eastAsia="宋体" w:cs="宋体"/>
          <w:b/>
          <w:bCs/>
          <w:color w:val="auto"/>
          <w:sz w:val="36"/>
          <w:szCs w:val="36"/>
        </w:rPr>
        <w:t>第七章 投标文件格式</w:t>
      </w:r>
    </w:p>
    <w:p>
      <w:pPr>
        <w:pageBreakBefore w:val="0"/>
        <w:kinsoku/>
        <w:wordWrap/>
        <w:overflowPunct/>
        <w:topLinePunct w:val="0"/>
        <w:bidi w:val="0"/>
        <w:spacing w:line="560" w:lineRule="exact"/>
        <w:jc w:val="center"/>
        <w:textAlignment w:val="auto"/>
        <w:rPr>
          <w:rFonts w:hint="eastAsia" w:ascii="宋体" w:hAnsi="宋体" w:eastAsia="宋体" w:cs="宋体"/>
          <w:b/>
          <w:color w:val="auto"/>
          <w:sz w:val="32"/>
          <w:szCs w:val="32"/>
        </w:rPr>
      </w:pPr>
      <w:r>
        <w:rPr>
          <w:rFonts w:hint="eastAsia" w:ascii="宋体" w:hAnsi="宋体" w:eastAsia="宋体" w:cs="宋体"/>
          <w:bCs/>
          <w:color w:val="auto"/>
          <w:sz w:val="32"/>
          <w:szCs w:val="32"/>
        </w:rPr>
        <w:t>（封  面）</w:t>
      </w:r>
    </w:p>
    <w:p>
      <w:pPr>
        <w:pageBreakBefore w:val="0"/>
        <w:kinsoku/>
        <w:wordWrap/>
        <w:overflowPunct/>
        <w:topLinePunct w:val="0"/>
        <w:bidi w:val="0"/>
        <w:spacing w:line="560" w:lineRule="exact"/>
        <w:textAlignment w:val="auto"/>
        <w:rPr>
          <w:rFonts w:hint="eastAsia" w:ascii="宋体" w:hAnsi="宋体" w:eastAsia="宋体" w:cs="宋体"/>
          <w:bCs/>
          <w:color w:val="auto"/>
          <w:sz w:val="48"/>
          <w:szCs w:val="48"/>
        </w:rPr>
      </w:pPr>
    </w:p>
    <w:p>
      <w:pPr>
        <w:pageBreakBefore w:val="0"/>
        <w:kinsoku/>
        <w:wordWrap/>
        <w:overflowPunct/>
        <w:topLinePunct w:val="0"/>
        <w:bidi w:val="0"/>
        <w:spacing w:line="560" w:lineRule="exact"/>
        <w:textAlignment w:val="auto"/>
        <w:rPr>
          <w:rFonts w:hint="eastAsia" w:ascii="宋体" w:hAnsi="宋体" w:eastAsia="宋体" w:cs="宋体"/>
          <w:bCs/>
          <w:color w:val="auto"/>
          <w:sz w:val="48"/>
          <w:szCs w:val="48"/>
        </w:rPr>
      </w:pPr>
    </w:p>
    <w:p>
      <w:pPr>
        <w:pageBreakBefore w:val="0"/>
        <w:kinsoku/>
        <w:wordWrap/>
        <w:overflowPunct/>
        <w:topLinePunct w:val="0"/>
        <w:bidi w:val="0"/>
        <w:spacing w:before="312" w:beforeLines="100" w:after="312" w:afterLines="100" w:line="560" w:lineRule="exact"/>
        <w:jc w:val="center"/>
        <w:textAlignment w:val="auto"/>
        <w:rPr>
          <w:rFonts w:hint="eastAsia" w:ascii="宋体" w:hAnsi="宋体" w:eastAsia="宋体" w:cs="宋体"/>
          <w:b w:val="0"/>
          <w:bCs/>
          <w:color w:val="auto"/>
          <w:sz w:val="56"/>
          <w:szCs w:val="56"/>
        </w:rPr>
      </w:pPr>
      <w:r>
        <w:rPr>
          <w:rFonts w:hint="eastAsia" w:ascii="宋体" w:hAnsi="宋体" w:eastAsia="宋体" w:cs="宋体"/>
          <w:b w:val="0"/>
          <w:bCs/>
          <w:color w:val="auto"/>
          <w:sz w:val="56"/>
          <w:szCs w:val="56"/>
        </w:rPr>
        <w:t>投 标 文 件</w:t>
      </w:r>
    </w:p>
    <w:p>
      <w:pPr>
        <w:pageBreakBefore w:val="0"/>
        <w:kinsoku/>
        <w:wordWrap/>
        <w:overflowPunct/>
        <w:topLinePunct w:val="0"/>
        <w:bidi w:val="0"/>
        <w:spacing w:line="560" w:lineRule="exac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w:t>
      </w:r>
    </w:p>
    <w:p>
      <w:pPr>
        <w:pageBreakBefore w:val="0"/>
        <w:kinsoku/>
        <w:wordWrap/>
        <w:overflowPunct/>
        <w:topLinePunct w:val="0"/>
        <w:bidi w:val="0"/>
        <w:spacing w:line="560" w:lineRule="exact"/>
        <w:textAlignment w:val="auto"/>
        <w:rPr>
          <w:rFonts w:hint="eastAsia" w:ascii="宋体" w:hAnsi="宋体" w:eastAsia="宋体" w:cs="宋体"/>
          <w:bCs/>
          <w:color w:val="auto"/>
          <w:sz w:val="32"/>
          <w:szCs w:val="32"/>
        </w:rPr>
      </w:pPr>
    </w:p>
    <w:p>
      <w:pPr>
        <w:pStyle w:val="2"/>
        <w:rPr>
          <w:rFonts w:hint="eastAsia" w:ascii="宋体" w:hAnsi="宋体" w:eastAsia="宋体" w:cs="宋体"/>
          <w:bCs/>
          <w:color w:val="auto"/>
          <w:sz w:val="32"/>
          <w:szCs w:val="32"/>
        </w:rPr>
      </w:pPr>
    </w:p>
    <w:p>
      <w:pPr>
        <w:rPr>
          <w:rFonts w:hint="eastAsia" w:ascii="宋体" w:hAnsi="宋体" w:eastAsia="宋体" w:cs="宋体"/>
          <w:bCs/>
          <w:color w:val="auto"/>
          <w:sz w:val="32"/>
          <w:szCs w:val="32"/>
        </w:rPr>
      </w:pPr>
    </w:p>
    <w:p>
      <w:pPr>
        <w:pStyle w:val="2"/>
        <w:rPr>
          <w:rFonts w:hint="eastAsia" w:ascii="宋体" w:hAnsi="宋体" w:eastAsia="宋体" w:cs="宋体"/>
          <w:bCs/>
          <w:color w:val="auto"/>
          <w:sz w:val="32"/>
          <w:szCs w:val="32"/>
        </w:rPr>
      </w:pPr>
    </w:p>
    <w:p>
      <w:pPr>
        <w:rPr>
          <w:rFonts w:hint="eastAsia" w:ascii="宋体" w:hAnsi="宋体" w:eastAsia="宋体" w:cs="宋体"/>
          <w:bCs/>
          <w:color w:val="auto"/>
          <w:sz w:val="32"/>
          <w:szCs w:val="32"/>
        </w:rPr>
      </w:pPr>
    </w:p>
    <w:p>
      <w:pPr>
        <w:pStyle w:val="2"/>
        <w:rPr>
          <w:rFonts w:hint="eastAsia" w:ascii="宋体" w:hAnsi="宋体" w:eastAsia="宋体" w:cs="宋体"/>
          <w:bCs/>
          <w:color w:val="auto"/>
          <w:sz w:val="32"/>
          <w:szCs w:val="32"/>
        </w:rPr>
      </w:pPr>
    </w:p>
    <w:p>
      <w:pPr>
        <w:rPr>
          <w:rFonts w:hint="eastAsia" w:ascii="宋体" w:hAnsi="宋体" w:eastAsia="宋体" w:cs="宋体"/>
          <w:bCs/>
          <w:color w:val="auto"/>
          <w:sz w:val="32"/>
          <w:szCs w:val="32"/>
        </w:rPr>
      </w:pPr>
    </w:p>
    <w:p>
      <w:pPr>
        <w:spacing w:line="560" w:lineRule="exact"/>
        <w:ind w:firstLine="640" w:firstLineChars="200"/>
        <w:rPr>
          <w:rFonts w:hint="eastAsia"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rPr>
        <w:t>项目名称:</w:t>
      </w:r>
    </w:p>
    <w:p>
      <w:pPr>
        <w:spacing w:line="560" w:lineRule="exact"/>
        <w:ind w:firstLine="640" w:firstLineChars="200"/>
        <w:rPr>
          <w:rFonts w:hint="eastAsia"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u w:val="none"/>
          <w:lang w:val="en-US" w:eastAsia="zh-CN"/>
        </w:rPr>
        <w:t>项目编号：</w:t>
      </w:r>
    </w:p>
    <w:p>
      <w:pPr>
        <w:spacing w:line="560" w:lineRule="exact"/>
        <w:ind w:firstLine="640" w:firstLineChars="200"/>
        <w:rPr>
          <w:rFonts w:hint="eastAsia" w:ascii="宋体" w:hAnsi="宋体" w:eastAsia="宋体" w:cs="宋体"/>
          <w:b/>
          <w:bCs w:val="0"/>
          <w:color w:val="auto"/>
          <w:sz w:val="32"/>
          <w:szCs w:val="32"/>
          <w:u w:val="single"/>
          <w:lang w:val="en-US" w:eastAsia="zh-CN"/>
        </w:rPr>
      </w:pPr>
      <w:r>
        <w:rPr>
          <w:rFonts w:hint="eastAsia" w:ascii="宋体" w:hAnsi="宋体" w:eastAsia="宋体" w:cs="宋体"/>
          <w:b/>
          <w:bCs w:val="0"/>
          <w:color w:val="auto"/>
          <w:sz w:val="32"/>
          <w:szCs w:val="32"/>
          <w:u w:val="none"/>
          <w:lang w:val="en-US" w:eastAsia="zh-CN"/>
        </w:rPr>
        <w:t>标段号（如有）：</w:t>
      </w:r>
    </w:p>
    <w:p>
      <w:pPr>
        <w:spacing w:line="560" w:lineRule="exact"/>
        <w:ind w:firstLine="640" w:firstLineChars="200"/>
        <w:jc w:val="left"/>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u w:val="none"/>
          <w:lang w:val="en-US" w:eastAsia="zh-CN"/>
        </w:rPr>
        <w:t>标段名称（如有）：</w:t>
      </w:r>
      <w:r>
        <w:rPr>
          <w:rFonts w:hint="eastAsia" w:ascii="宋体" w:hAnsi="宋体" w:eastAsia="宋体" w:cs="宋体"/>
          <w:b/>
          <w:bCs w:val="0"/>
          <w:color w:val="auto"/>
          <w:sz w:val="32"/>
          <w:szCs w:val="32"/>
        </w:rPr>
        <w:t xml:space="preserve">                                 </w:t>
      </w:r>
    </w:p>
    <w:p>
      <w:pPr>
        <w:spacing w:line="560" w:lineRule="exact"/>
        <w:ind w:firstLine="640" w:firstLineChars="200"/>
        <w:jc w:val="both"/>
        <w:rPr>
          <w:rFonts w:hint="eastAsia" w:ascii="宋体" w:hAnsi="宋体" w:eastAsia="宋体" w:cs="宋体"/>
          <w:b/>
          <w:bCs w:val="0"/>
          <w:color w:val="auto"/>
          <w:sz w:val="32"/>
          <w:szCs w:val="32"/>
          <w:u w:val="single"/>
          <w:lang w:val="en-US" w:eastAsia="zh-CN"/>
        </w:rPr>
      </w:pPr>
      <w:r>
        <w:rPr>
          <w:rFonts w:hint="eastAsia" w:ascii="宋体" w:hAnsi="宋体" w:eastAsia="宋体" w:cs="宋体"/>
          <w:b/>
          <w:bCs w:val="0"/>
          <w:color w:val="auto"/>
          <w:sz w:val="32"/>
          <w:szCs w:val="32"/>
          <w:lang w:val="en-US" w:eastAsia="zh-CN"/>
        </w:rPr>
        <w:t>投标单位</w:t>
      </w:r>
      <w:r>
        <w:rPr>
          <w:rFonts w:hint="eastAsia" w:ascii="宋体" w:hAnsi="宋体" w:eastAsia="宋体" w:cs="宋体"/>
          <w:b/>
          <w:bCs w:val="0"/>
          <w:color w:val="auto"/>
          <w:sz w:val="32"/>
          <w:szCs w:val="32"/>
        </w:rPr>
        <w:t>（盖章）：</w:t>
      </w:r>
    </w:p>
    <w:p>
      <w:pPr>
        <w:spacing w:line="560" w:lineRule="exact"/>
        <w:ind w:firstLine="640" w:firstLineChars="200"/>
        <w:jc w:val="both"/>
        <w:rPr>
          <w:rFonts w:hint="eastAsia" w:ascii="宋体" w:hAnsi="宋体" w:eastAsia="宋体" w:cs="宋体"/>
          <w:b/>
          <w:bCs w:val="0"/>
          <w:color w:val="auto"/>
          <w:sz w:val="32"/>
          <w:szCs w:val="32"/>
          <w:u w:val="none"/>
          <w:lang w:val="en-US" w:eastAsia="zh-CN"/>
        </w:rPr>
      </w:pPr>
    </w:p>
    <w:p>
      <w:pPr>
        <w:spacing w:line="560" w:lineRule="exact"/>
        <w:jc w:val="center"/>
        <w:rPr>
          <w:rFonts w:hint="eastAsia" w:ascii="宋体" w:hAnsi="宋体" w:eastAsia="宋体" w:cs="宋体"/>
          <w:b/>
          <w:bCs w:val="0"/>
          <w:color w:val="auto"/>
          <w:sz w:val="32"/>
          <w:szCs w:val="32"/>
          <w:u w:val="none"/>
        </w:rPr>
      </w:pPr>
      <w:r>
        <w:rPr>
          <w:rFonts w:hint="eastAsia" w:ascii="宋体" w:hAnsi="宋体" w:eastAsia="宋体" w:cs="宋体"/>
          <w:b/>
          <w:bCs w:val="0"/>
          <w:color w:val="auto"/>
          <w:sz w:val="32"/>
          <w:szCs w:val="32"/>
          <w:u w:val="none"/>
          <w:lang w:val="en-US" w:eastAsia="zh-CN"/>
        </w:rPr>
        <w:t>在“（开标时间）”之前不得启封</w:t>
      </w:r>
    </w:p>
    <w:p>
      <w:pPr>
        <w:spacing w:line="560" w:lineRule="exact"/>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u w:val="none"/>
          <w:lang w:val="en-US" w:eastAsia="zh-CN"/>
        </w:rPr>
        <w:t>2021</w:t>
      </w:r>
      <w:r>
        <w:rPr>
          <w:rFonts w:hint="eastAsia" w:ascii="宋体" w:hAnsi="宋体" w:eastAsia="宋体" w:cs="宋体"/>
          <w:b/>
          <w:bCs w:val="0"/>
          <w:color w:val="auto"/>
          <w:sz w:val="32"/>
          <w:szCs w:val="32"/>
        </w:rPr>
        <w:t>年</w:t>
      </w:r>
      <w:r>
        <w:rPr>
          <w:rFonts w:hint="eastAsia" w:ascii="宋体" w:hAnsi="宋体" w:eastAsia="宋体" w:cs="宋体"/>
          <w:b/>
          <w:bCs w:val="0"/>
          <w:color w:val="auto"/>
          <w:sz w:val="32"/>
          <w:szCs w:val="32"/>
          <w:lang w:val="en-US" w:eastAsia="zh-CN"/>
        </w:rPr>
        <w:t xml:space="preserve"> </w:t>
      </w:r>
      <w:r>
        <w:rPr>
          <w:rFonts w:hint="eastAsia" w:ascii="宋体" w:hAnsi="宋体" w:eastAsia="宋体" w:cs="宋体"/>
          <w:b/>
          <w:bCs w:val="0"/>
          <w:color w:val="auto"/>
          <w:sz w:val="32"/>
          <w:szCs w:val="32"/>
        </w:rPr>
        <w:t>月</w:t>
      </w:r>
      <w:r>
        <w:rPr>
          <w:rFonts w:hint="eastAsia" w:ascii="宋体" w:hAnsi="宋体" w:eastAsia="宋体" w:cs="宋体"/>
          <w:b/>
          <w:bCs w:val="0"/>
          <w:color w:val="auto"/>
          <w:sz w:val="32"/>
          <w:szCs w:val="32"/>
          <w:lang w:val="en-US" w:eastAsia="zh-CN"/>
        </w:rPr>
        <w:t xml:space="preserve"> </w:t>
      </w:r>
      <w:r>
        <w:rPr>
          <w:rFonts w:hint="eastAsia" w:ascii="宋体" w:hAnsi="宋体" w:eastAsia="宋体" w:cs="宋体"/>
          <w:b/>
          <w:bCs w:val="0"/>
          <w:color w:val="auto"/>
          <w:sz w:val="32"/>
          <w:szCs w:val="32"/>
        </w:rPr>
        <w:t>日</w:t>
      </w:r>
    </w:p>
    <w:p>
      <w:pPr>
        <w:pStyle w:val="5"/>
        <w:pageBreakBefore w:val="0"/>
        <w:kinsoku/>
        <w:wordWrap/>
        <w:overflowPunct/>
        <w:topLinePunct w:val="0"/>
        <w:bidi w:val="0"/>
        <w:spacing w:line="560" w:lineRule="exact"/>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目  录</w:t>
      </w:r>
    </w:p>
    <w:p>
      <w:pPr>
        <w:pageBreakBefore w:val="0"/>
        <w:kinsoku/>
        <w:wordWrap/>
        <w:overflowPunct/>
        <w:topLinePunct w:val="0"/>
        <w:bidi w:val="0"/>
        <w:spacing w:line="560" w:lineRule="exact"/>
        <w:textAlignment w:val="auto"/>
        <w:rPr>
          <w:rFonts w:hint="eastAsia" w:ascii="宋体" w:hAnsi="宋体" w:eastAsia="宋体" w:cs="宋体"/>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一、投标函……………………………………………………（页数）</w:t>
      </w:r>
    </w:p>
    <w:p>
      <w:pPr>
        <w:pageBreakBefore w:val="0"/>
        <w:kinsoku/>
        <w:wordWrap/>
        <w:overflowPunct/>
        <w:topLinePunct w:val="0"/>
        <w:bidi w:val="0"/>
        <w:spacing w:line="560" w:lineRule="exact"/>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二、开标一览表………………………………………………（页数）</w:t>
      </w:r>
    </w:p>
    <w:p>
      <w:pPr>
        <w:pageBreakBefore w:val="0"/>
        <w:kinsoku/>
        <w:wordWrap/>
        <w:overflowPunct/>
        <w:topLinePunct w:val="0"/>
        <w:bidi w:val="0"/>
        <w:spacing w:line="560" w:lineRule="exact"/>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三、投标价格明细表…………………………………………（页数）</w:t>
      </w:r>
    </w:p>
    <w:p>
      <w:pPr>
        <w:pageBreakBefore w:val="0"/>
        <w:kinsoku/>
        <w:wordWrap/>
        <w:overflowPunct/>
        <w:topLinePunct w:val="0"/>
        <w:bidi w:val="0"/>
        <w:spacing w:line="560" w:lineRule="exact"/>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四、采购需求响应表…………………………………………（页数）</w:t>
      </w:r>
    </w:p>
    <w:p>
      <w:pPr>
        <w:pageBreakBefore w:val="0"/>
        <w:kinsoku/>
        <w:wordWrap/>
        <w:overflowPunct/>
        <w:topLinePunct w:val="0"/>
        <w:bidi w:val="0"/>
        <w:spacing w:line="560" w:lineRule="exact"/>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rPr>
        <w:t>五、</w:t>
      </w:r>
      <w:r>
        <w:rPr>
          <w:rFonts w:hint="eastAsia" w:ascii="宋体" w:hAnsi="宋体" w:eastAsia="宋体" w:cs="宋体"/>
          <w:bCs/>
          <w:color w:val="auto"/>
          <w:sz w:val="28"/>
          <w:szCs w:val="28"/>
          <w:lang w:val="en-US" w:eastAsia="zh-CN"/>
        </w:rPr>
        <w:t>商务标响应偏离表</w:t>
      </w:r>
      <w:r>
        <w:rPr>
          <w:rFonts w:hint="eastAsia" w:ascii="宋体" w:hAnsi="宋体" w:eastAsia="宋体" w:cs="宋体"/>
          <w:bCs/>
          <w:color w:val="auto"/>
          <w:sz w:val="28"/>
          <w:szCs w:val="28"/>
        </w:rPr>
        <w:t>………………………………………（页数）</w:t>
      </w:r>
    </w:p>
    <w:p>
      <w:pPr>
        <w:pageBreakBefore w:val="0"/>
        <w:kinsoku/>
        <w:wordWrap/>
        <w:overflowPunct/>
        <w:topLinePunct w:val="0"/>
        <w:bidi w:val="0"/>
        <w:spacing w:line="560" w:lineRule="exact"/>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六、</w:t>
      </w:r>
      <w:r>
        <w:rPr>
          <w:rFonts w:hint="eastAsia" w:ascii="宋体" w:hAnsi="宋体" w:eastAsia="宋体" w:cs="宋体"/>
          <w:bCs/>
          <w:color w:val="auto"/>
          <w:sz w:val="28"/>
          <w:szCs w:val="28"/>
        </w:rPr>
        <w:t>采购需求及相关要求响应详情…………………………（页数）</w:t>
      </w:r>
    </w:p>
    <w:p>
      <w:pPr>
        <w:pageBreakBefore w:val="0"/>
        <w:kinsoku/>
        <w:wordWrap/>
        <w:overflowPunct/>
        <w:topLinePunct w:val="0"/>
        <w:bidi w:val="0"/>
        <w:spacing w:line="560" w:lineRule="exact"/>
        <w:textAlignment w:val="auto"/>
        <w:rPr>
          <w:rFonts w:hint="eastAsia" w:ascii="宋体" w:hAnsi="宋体" w:eastAsia="宋体" w:cs="宋体"/>
          <w:bCs/>
          <w:color w:val="auto"/>
          <w:sz w:val="32"/>
          <w:szCs w:val="32"/>
        </w:rPr>
      </w:pPr>
      <w:r>
        <w:rPr>
          <w:rFonts w:hint="eastAsia" w:ascii="宋体" w:hAnsi="宋体" w:eastAsia="宋体" w:cs="宋体"/>
          <w:bCs/>
          <w:color w:val="auto"/>
          <w:sz w:val="28"/>
          <w:szCs w:val="28"/>
          <w:lang w:val="en-US" w:eastAsia="zh-CN"/>
        </w:rPr>
        <w:t>七</w:t>
      </w:r>
      <w:r>
        <w:rPr>
          <w:rFonts w:hint="eastAsia" w:ascii="宋体" w:hAnsi="宋体" w:eastAsia="宋体" w:cs="宋体"/>
          <w:bCs/>
          <w:color w:val="auto"/>
          <w:sz w:val="28"/>
          <w:szCs w:val="28"/>
        </w:rPr>
        <w:t>、资格证明文件……………………………………………（页数）</w:t>
      </w:r>
    </w:p>
    <w:p>
      <w:pPr>
        <w:pStyle w:val="5"/>
        <w:pageBreakBefore w:val="0"/>
        <w:kinsoku/>
        <w:wordWrap/>
        <w:overflowPunct/>
        <w:topLinePunct w:val="0"/>
        <w:bidi w:val="0"/>
        <w:spacing w:line="560" w:lineRule="exact"/>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5"/>
        <w:pageBreakBefore w:val="0"/>
        <w:kinsoku/>
        <w:wordWrap/>
        <w:overflowPunct/>
        <w:topLinePunct w:val="0"/>
        <w:bidi w:val="0"/>
        <w:spacing w:line="560" w:lineRule="exact"/>
        <w:ind w:firstLine="0"/>
        <w:textAlignment w:val="auto"/>
        <w:rPr>
          <w:rFonts w:hint="eastAsia" w:ascii="宋体" w:hAnsi="宋体" w:eastAsia="宋体" w:cs="宋体"/>
          <w:color w:val="auto"/>
          <w:sz w:val="32"/>
          <w:szCs w:val="32"/>
        </w:rPr>
      </w:pPr>
    </w:p>
    <w:p>
      <w:pPr>
        <w:pStyle w:val="4"/>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44"/>
          <w:szCs w:val="44"/>
        </w:rPr>
      </w:pPr>
    </w:p>
    <w:p>
      <w:pPr>
        <w:pStyle w:val="4"/>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投标函</w:t>
      </w: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Cs w:val="28"/>
          <w:u w:val="single"/>
        </w:rPr>
      </w:pPr>
    </w:p>
    <w:p>
      <w:pPr>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u w:val="single"/>
        </w:rPr>
        <w:t>（采购人/采购代理机构名称）</w:t>
      </w:r>
      <w:r>
        <w:rPr>
          <w:rFonts w:hint="eastAsia" w:ascii="宋体" w:hAnsi="宋体" w:eastAsia="宋体" w:cs="宋体"/>
          <w:color w:val="auto"/>
          <w:sz w:val="24"/>
          <w:szCs w:val="24"/>
          <w:u w:val="single"/>
          <w:lang w:eastAsia="zh-CN"/>
        </w:rPr>
        <w:t>：</w:t>
      </w:r>
    </w:p>
    <w:p>
      <w:pPr>
        <w:pageBreakBefore w:val="0"/>
        <w:kinsoku/>
        <w:wordWrap/>
        <w:overflowPunct/>
        <w:topLinePunct w:val="0"/>
        <w:bidi w:val="0"/>
        <w:spacing w:line="560" w:lineRule="exact"/>
        <w:ind w:firstLine="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单</w:t>
      </w:r>
      <w:r>
        <w:rPr>
          <w:rFonts w:hint="eastAsia" w:ascii="宋体" w:hAnsi="宋体" w:eastAsia="宋体" w:cs="宋体"/>
          <w:color w:val="auto"/>
          <w:sz w:val="24"/>
          <w:szCs w:val="24"/>
          <w:u w:val="single"/>
          <w:lang w:val="en-US" w:eastAsia="zh-CN"/>
        </w:rPr>
        <w:t>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w:t>
      </w:r>
      <w:r>
        <w:rPr>
          <w:rFonts w:hint="eastAsia" w:ascii="宋体" w:hAnsi="宋体" w:eastAsia="宋体" w:cs="宋体"/>
          <w:color w:val="auto"/>
          <w:sz w:val="24"/>
          <w:szCs w:val="24"/>
        </w:rPr>
        <w:t>称我方）自愿参加</w:t>
      </w:r>
      <w:r>
        <w:rPr>
          <w:rFonts w:hint="eastAsia" w:ascii="宋体" w:hAnsi="宋体" w:eastAsia="宋体" w:cs="宋体"/>
          <w:color w:val="auto"/>
          <w:sz w:val="24"/>
          <w:szCs w:val="24"/>
          <w:u w:val="single"/>
        </w:rPr>
        <w:t xml:space="preserve">              （项目名称和招标编号）</w:t>
      </w:r>
      <w:r>
        <w:rPr>
          <w:rFonts w:hint="eastAsia" w:ascii="宋体" w:hAnsi="宋体" w:eastAsia="宋体" w:cs="宋体"/>
          <w:color w:val="auto"/>
          <w:sz w:val="24"/>
          <w:szCs w:val="24"/>
        </w:rPr>
        <w:t>的投标,并做出如下承诺：</w:t>
      </w:r>
    </w:p>
    <w:p>
      <w:pPr>
        <w:pageBreakBefore w:val="0"/>
        <w:kinsoku/>
        <w:wordWrap/>
        <w:overflowPunct/>
        <w:topLinePunct w:val="0"/>
        <w:bidi w:val="0"/>
        <w:spacing w:line="560" w:lineRule="exact"/>
        <w:ind w:firstLine="600"/>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一、</w:t>
      </w:r>
      <w:r>
        <w:rPr>
          <w:rFonts w:hint="eastAsia" w:ascii="宋体" w:hAnsi="宋体" w:eastAsia="宋体" w:cs="宋体"/>
          <w:bCs/>
          <w:color w:val="auto"/>
          <w:sz w:val="24"/>
          <w:szCs w:val="24"/>
        </w:rPr>
        <w:t>我方授权</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(姓名和职务)代表我方</w:t>
      </w:r>
      <w:r>
        <w:rPr>
          <w:rFonts w:hint="eastAsia" w:ascii="宋体" w:hAnsi="宋体" w:eastAsia="宋体" w:cs="宋体"/>
          <w:bCs/>
          <w:color w:val="auto"/>
          <w:sz w:val="24"/>
          <w:szCs w:val="24"/>
          <w:u w:val="single"/>
        </w:rPr>
        <w:t xml:space="preserve"> （投标单位</w:t>
      </w:r>
      <w:r>
        <w:rPr>
          <w:rFonts w:hint="eastAsia" w:ascii="宋体" w:hAnsi="宋体" w:eastAsia="宋体" w:cs="宋体"/>
          <w:bCs/>
          <w:color w:val="auto"/>
          <w:sz w:val="24"/>
          <w:szCs w:val="24"/>
        </w:rPr>
        <w:t>的名称）全权处理本项目投标的有关事宜。</w:t>
      </w:r>
    </w:p>
    <w:p>
      <w:pPr>
        <w:pageBreakBefore w:val="0"/>
        <w:kinsoku/>
        <w:wordWrap/>
        <w:overflowPunct/>
        <w:topLinePunct w:val="0"/>
        <w:bidi w:val="0"/>
        <w:spacing w:line="560" w:lineRule="exact"/>
        <w:ind w:firstLine="6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二、我方愿意按照采购文件规定的各项要求，向采购人提供所需的服务，我方所投总投标价</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lang w:val="en-US" w:eastAsia="zh-CN"/>
        </w:rPr>
        <w:t>0000.00元</w:t>
      </w:r>
      <w:r>
        <w:rPr>
          <w:rFonts w:hint="eastAsia" w:ascii="宋体" w:hAnsi="宋体" w:eastAsia="宋体" w:cs="宋体"/>
          <w:bCs/>
          <w:color w:val="auto"/>
          <w:sz w:val="24"/>
          <w:szCs w:val="24"/>
        </w:rPr>
        <w:t>（大写</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人民币</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u w:val="single"/>
          <w:lang w:eastAsia="zh-CN"/>
        </w:rPr>
        <w:t>元</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w:t>
      </w:r>
    </w:p>
    <w:p>
      <w:pPr>
        <w:pageBreakBefore w:val="0"/>
        <w:kinsoku/>
        <w:wordWrap/>
        <w:overflowPunct/>
        <w:topLinePunct w:val="0"/>
        <w:bidi w:val="0"/>
        <w:spacing w:line="560" w:lineRule="exact"/>
        <w:ind w:firstLine="6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三、本投标有效期为自投标截止之日起</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自然日（日历日）。</w:t>
      </w:r>
    </w:p>
    <w:p>
      <w:pPr>
        <w:pageBreakBefore w:val="0"/>
        <w:kinsoku/>
        <w:wordWrap/>
        <w:overflowPunct/>
        <w:topLinePunct w:val="0"/>
        <w:bidi w:val="0"/>
        <w:spacing w:line="560" w:lineRule="exact"/>
        <w:ind w:firstLine="6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四、交货地点</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u w:val="none"/>
          <w:lang w:val="en-US" w:eastAsia="zh-CN"/>
        </w:rPr>
        <w:t>。</w:t>
      </w:r>
    </w:p>
    <w:p>
      <w:pPr>
        <w:pageBreakBefore w:val="0"/>
        <w:kinsoku/>
        <w:wordWrap/>
        <w:overflowPunct/>
        <w:topLinePunct w:val="0"/>
        <w:bidi w:val="0"/>
        <w:spacing w:line="560" w:lineRule="exact"/>
        <w:ind w:firstLine="600"/>
        <w:textAlignment w:val="auto"/>
        <w:rPr>
          <w:rFonts w:hint="eastAsia" w:ascii="宋体" w:hAnsi="宋体" w:eastAsia="宋体" w:cs="宋体"/>
          <w:b w:val="0"/>
          <w:color w:val="auto"/>
          <w:sz w:val="24"/>
          <w:szCs w:val="24"/>
        </w:rPr>
      </w:pPr>
      <w:r>
        <w:rPr>
          <w:rFonts w:hint="eastAsia" w:ascii="宋体" w:hAnsi="宋体" w:eastAsia="宋体" w:cs="宋体"/>
          <w:bCs/>
          <w:color w:val="auto"/>
          <w:sz w:val="24"/>
          <w:szCs w:val="24"/>
          <w:lang w:val="en-US" w:eastAsia="zh-CN"/>
        </w:rPr>
        <w:t>五</w:t>
      </w:r>
      <w:r>
        <w:rPr>
          <w:rFonts w:hint="eastAsia" w:ascii="宋体" w:hAnsi="宋体" w:eastAsia="宋体" w:cs="宋体"/>
          <w:bCs/>
          <w:color w:val="auto"/>
          <w:sz w:val="24"/>
          <w:szCs w:val="24"/>
        </w:rPr>
        <w:t>、我方已详细</w:t>
      </w:r>
      <w:r>
        <w:rPr>
          <w:rFonts w:hint="eastAsia" w:ascii="宋体" w:hAnsi="宋体" w:eastAsia="宋体" w:cs="宋体"/>
          <w:b w:val="0"/>
          <w:color w:val="auto"/>
          <w:sz w:val="24"/>
          <w:szCs w:val="24"/>
        </w:rPr>
        <w:t>审查全部采购文件，包括所有补充通知（如有），完全理解并同意放弃对这方面有不明、误解的权利。</w:t>
      </w:r>
    </w:p>
    <w:p>
      <w:pPr>
        <w:pStyle w:val="28"/>
        <w:pageBreakBefore w:val="0"/>
        <w:kinsoku/>
        <w:wordWrap/>
        <w:overflowPunct/>
        <w:topLinePunct w:val="0"/>
        <w:bidi w:val="0"/>
        <w:spacing w:line="560" w:lineRule="exact"/>
        <w:ind w:firstLine="56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六</w:t>
      </w:r>
      <w:r>
        <w:rPr>
          <w:rFonts w:hint="eastAsia" w:ascii="宋体" w:hAnsi="宋体" w:eastAsia="宋体" w:cs="宋体"/>
          <w:bCs/>
          <w:color w:val="auto"/>
          <w:sz w:val="24"/>
          <w:szCs w:val="24"/>
        </w:rPr>
        <w:t>、我方同意按照采购文件要求缴纳投标保证金，并承诺自投标截止时间至本项目发</w:t>
      </w:r>
      <w:r>
        <w:rPr>
          <w:rFonts w:hint="eastAsia" w:ascii="宋体" w:hAnsi="宋体" w:eastAsia="宋体" w:cs="宋体"/>
          <w:color w:val="auto"/>
          <w:sz w:val="24"/>
          <w:szCs w:val="24"/>
        </w:rPr>
        <w:t>布中标公告为止，撤销投标的、或者中标后不依法与采购人签订合同、或者中标后不按照本采购文件规定缴纳招标代理费的，</w:t>
      </w:r>
      <w:r>
        <w:rPr>
          <w:rFonts w:hint="eastAsia" w:ascii="宋体" w:hAnsi="宋体" w:eastAsia="宋体" w:cs="宋体"/>
          <w:bCs/>
          <w:color w:val="auto"/>
          <w:sz w:val="24"/>
          <w:szCs w:val="24"/>
        </w:rPr>
        <w:t>我方将向采购人、采购代理机构</w:t>
      </w:r>
      <w:r>
        <w:rPr>
          <w:rFonts w:hint="eastAsia" w:ascii="宋体" w:hAnsi="宋体" w:eastAsia="宋体" w:cs="宋体"/>
          <w:color w:val="auto"/>
          <w:sz w:val="24"/>
          <w:szCs w:val="24"/>
        </w:rPr>
        <w:t>支付本采购文件公布的投标保证金作为违约赔偿金。</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七</w:t>
      </w:r>
      <w:r>
        <w:rPr>
          <w:rFonts w:hint="eastAsia" w:ascii="宋体" w:hAnsi="宋体" w:eastAsia="宋体" w:cs="宋体"/>
          <w:bCs/>
          <w:color w:val="auto"/>
          <w:sz w:val="24"/>
          <w:szCs w:val="24"/>
        </w:rPr>
        <w:t>、我方愿意按照采购文件的要求，提供与项目有关的所有文件资料，并保证我方所有文件资料的合法性、真实性、完整性和准确性。</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八</w:t>
      </w:r>
      <w:r>
        <w:rPr>
          <w:rFonts w:hint="eastAsia" w:ascii="宋体" w:hAnsi="宋体" w:eastAsia="宋体" w:cs="宋体"/>
          <w:bCs/>
          <w:color w:val="auto"/>
          <w:sz w:val="24"/>
          <w:szCs w:val="24"/>
        </w:rPr>
        <w:t xml:space="preserve">、一旦我方被确定为中标供应商，我方将严格履行合同规定的责任和义务，保证于合同签字生效后按照约定时间完成项目，并交付采购人验收。 </w:t>
      </w:r>
    </w:p>
    <w:p>
      <w:pPr>
        <w:pageBreakBefore w:val="0"/>
        <w:kinsoku/>
        <w:wordWrap/>
        <w:overflowPunct/>
        <w:topLinePunct w:val="0"/>
        <w:bidi w:val="0"/>
        <w:spacing w:line="560" w:lineRule="exact"/>
        <w:ind w:left="1604" w:leftChars="273" w:hanging="840" w:hangingChars="35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604" w:leftChars="273" w:hanging="840" w:hangingChars="35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604" w:leftChars="273" w:hanging="840" w:hanging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投标人（盖章）：</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传真：</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电子邮件：</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邮编：</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法定代表人或委托代理人(签字或签章)：</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r>
        <w:rPr>
          <w:rFonts w:hint="eastAsia" w:ascii="宋体" w:hAnsi="宋体" w:eastAsia="宋体" w:cs="宋体"/>
          <w:b/>
          <w:bCs/>
          <w:color w:val="auto"/>
          <w:szCs w:val="28"/>
        </w:rPr>
        <w:br w:type="page"/>
      </w:r>
    </w:p>
    <w:p>
      <w:pPr>
        <w:pageBreakBefore w:val="0"/>
        <w:numPr>
          <w:ilvl w:val="0"/>
          <w:numId w:val="0"/>
        </w:numPr>
        <w:tabs>
          <w:tab w:val="left" w:pos="1800"/>
          <w:tab w:val="left" w:pos="5580"/>
        </w:tabs>
        <w:kinsoku/>
        <w:wordWrap/>
        <w:overflowPunct/>
        <w:topLinePunct w:val="0"/>
        <w:bidi w:val="0"/>
        <w:spacing w:line="560" w:lineRule="exact"/>
        <w:ind w:right="-1156" w:rightChars="-413" w:firstLine="3520" w:firstLineChars="1100"/>
        <w:jc w:val="both"/>
        <w:textAlignment w:val="auto"/>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开标一览表</w:t>
      </w:r>
    </w:p>
    <w:p>
      <w:pPr>
        <w:pageBreakBefore w:val="0"/>
        <w:tabs>
          <w:tab w:val="left" w:pos="1800"/>
          <w:tab w:val="left" w:pos="5580"/>
        </w:tabs>
        <w:kinsoku/>
        <w:wordWrap/>
        <w:overflowPunct/>
        <w:topLinePunct w:val="0"/>
        <w:bidi w:val="0"/>
        <w:spacing w:line="560" w:lineRule="exact"/>
        <w:ind w:right="-1156" w:rightChars="-413"/>
        <w:textAlignment w:val="auto"/>
        <w:rPr>
          <w:rFonts w:hint="eastAsia" w:ascii="宋体" w:hAnsi="宋体" w:eastAsia="宋体" w:cs="宋体"/>
          <w:bCs/>
          <w:color w:val="auto"/>
          <w:szCs w:val="28"/>
        </w:rPr>
      </w:pPr>
      <w:r>
        <w:rPr>
          <w:rFonts w:hint="eastAsia" w:ascii="宋体" w:hAnsi="宋体" w:eastAsia="宋体" w:cs="宋体"/>
          <w:color w:val="auto"/>
          <w:sz w:val="24"/>
        </w:rPr>
        <w:t xml:space="preserve">                                           </w:t>
      </w:r>
      <w:r>
        <w:rPr>
          <w:rFonts w:hint="eastAsia" w:ascii="宋体" w:hAnsi="宋体" w:eastAsia="宋体" w:cs="宋体"/>
          <w:bCs/>
          <w:color w:val="auto"/>
          <w:szCs w:val="28"/>
        </w:rPr>
        <w:t xml:space="preserve">                      </w:t>
      </w:r>
    </w:p>
    <w:tbl>
      <w:tblPr>
        <w:tblStyle w:val="19"/>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820" w:type="dxa"/>
            <w:tcBorders>
              <w:top w:val="double" w:color="auto" w:sz="4" w:space="0"/>
              <w:left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p>
        </w:tc>
        <w:tc>
          <w:tcPr>
            <w:tcW w:w="6848" w:type="dxa"/>
            <w:tcBorders>
              <w:top w:val="double" w:color="auto" w:sz="4" w:space="0"/>
              <w:right w:val="double" w:color="auto" w:sz="4" w:space="0"/>
            </w:tcBorders>
            <w:vAlign w:val="center"/>
          </w:tcPr>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20" w:type="dxa"/>
            <w:tcBorders>
              <w:left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标段号</w:t>
            </w:r>
          </w:p>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（如有填写）</w:t>
            </w:r>
          </w:p>
        </w:tc>
        <w:tc>
          <w:tcPr>
            <w:tcW w:w="6848" w:type="dxa"/>
            <w:tcBorders>
              <w:right w:val="double" w:color="auto" w:sz="4" w:space="0"/>
            </w:tcBorders>
            <w:vAlign w:val="center"/>
          </w:tcPr>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20" w:type="dxa"/>
            <w:vMerge w:val="restart"/>
            <w:tcBorders>
              <w:left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投标</w:t>
            </w:r>
            <w:r>
              <w:rPr>
                <w:rFonts w:hint="eastAsia" w:ascii="宋体" w:hAnsi="宋体" w:eastAsia="宋体" w:cs="宋体"/>
                <w:bCs/>
                <w:color w:val="auto"/>
                <w:sz w:val="24"/>
                <w:szCs w:val="24"/>
                <w:lang w:val="en-US" w:eastAsia="zh-CN"/>
              </w:rPr>
              <w:t>总报价</w:t>
            </w:r>
          </w:p>
        </w:tc>
        <w:tc>
          <w:tcPr>
            <w:tcW w:w="6848" w:type="dxa"/>
            <w:tcBorders>
              <w:right w:val="double" w:color="auto" w:sz="4" w:space="0"/>
            </w:tcBorders>
            <w:vAlign w:val="center"/>
          </w:tcPr>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人民币小写</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820" w:type="dxa"/>
            <w:vMerge w:val="continue"/>
            <w:tcBorders>
              <w:left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6848" w:type="dxa"/>
            <w:tcBorders>
              <w:right w:val="double" w:color="auto" w:sz="4" w:space="0"/>
            </w:tcBorders>
            <w:vAlign w:val="center"/>
          </w:tcPr>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大写</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人民币</w:t>
            </w:r>
            <w:r>
              <w:rPr>
                <w:rFonts w:hint="eastAsia" w:ascii="宋体" w:hAnsi="宋体" w:eastAsia="宋体" w:cs="宋体"/>
                <w:bCs/>
                <w:color w:val="auto"/>
                <w:sz w:val="24"/>
                <w:szCs w:val="24"/>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820" w:type="dxa"/>
            <w:tcBorders>
              <w:left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交货期</w:t>
            </w:r>
          </w:p>
        </w:tc>
        <w:tc>
          <w:tcPr>
            <w:tcW w:w="6848" w:type="dxa"/>
            <w:tcBorders>
              <w:right w:val="double" w:color="auto" w:sz="4" w:space="0"/>
            </w:tcBorders>
            <w:vAlign w:val="center"/>
          </w:tcPr>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820" w:type="dxa"/>
            <w:tcBorders>
              <w:left w:val="double" w:color="auto" w:sz="4" w:space="0"/>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质保期</w:t>
            </w:r>
          </w:p>
        </w:tc>
        <w:tc>
          <w:tcPr>
            <w:tcW w:w="6848" w:type="dxa"/>
            <w:tcBorders>
              <w:bottom w:val="double" w:color="auto" w:sz="4" w:space="0"/>
              <w:right w:val="double" w:color="auto" w:sz="4" w:space="0"/>
            </w:tcBorders>
            <w:vAlign w:val="center"/>
          </w:tcPr>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820" w:type="dxa"/>
            <w:tcBorders>
              <w:left w:val="double" w:color="auto" w:sz="4" w:space="0"/>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备  注</w:t>
            </w:r>
          </w:p>
        </w:tc>
        <w:tc>
          <w:tcPr>
            <w:tcW w:w="6848" w:type="dxa"/>
            <w:tcBorders>
              <w:bottom w:val="double" w:color="auto" w:sz="4" w:space="0"/>
              <w:right w:val="double" w:color="auto" w:sz="4" w:space="0"/>
            </w:tcBorders>
            <w:vAlign w:val="center"/>
          </w:tcPr>
          <w:p>
            <w:pPr>
              <w:pageBreakBefore w:val="0"/>
              <w:kinsoku/>
              <w:wordWrap/>
              <w:overflowPunct/>
              <w:topLinePunct w:val="0"/>
              <w:bidi w:val="0"/>
              <w:spacing w:line="560" w:lineRule="exac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投标价格为供应商考虑各种因素（含折扣、优惠等）的最终报价。</w:t>
            </w:r>
          </w:p>
        </w:tc>
      </w:tr>
    </w:tbl>
    <w:p>
      <w:pPr>
        <w:pageBreakBefore w:val="0"/>
        <w:kinsoku/>
        <w:wordWrap/>
        <w:overflowPunct/>
        <w:topLinePunct w:val="0"/>
        <w:bidi w:val="0"/>
        <w:spacing w:line="560" w:lineRule="exact"/>
        <w:ind w:firstLine="4200" w:firstLineChars="1500"/>
        <w:textAlignment w:val="auto"/>
        <w:rPr>
          <w:rFonts w:hint="eastAsia" w:ascii="宋体" w:hAnsi="宋体" w:eastAsia="宋体" w:cs="宋体"/>
          <w:bCs/>
          <w:color w:val="auto"/>
          <w:szCs w:val="28"/>
        </w:rPr>
      </w:pPr>
    </w:p>
    <w:p>
      <w:pPr>
        <w:pageBreakBefore w:val="0"/>
        <w:kinsoku/>
        <w:wordWrap/>
        <w:overflowPunct/>
        <w:topLinePunct w:val="0"/>
        <w:bidi w:val="0"/>
        <w:spacing w:line="560" w:lineRule="exact"/>
        <w:ind w:firstLine="4560" w:firstLineChars="19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投标人（盖章）：</w:t>
      </w:r>
    </w:p>
    <w:p>
      <w:pPr>
        <w:pageBreakBefore w:val="0"/>
        <w:kinsoku/>
        <w:wordWrap/>
        <w:overflowPunct/>
        <w:topLinePunct w:val="0"/>
        <w:bidi w:val="0"/>
        <w:spacing w:line="560" w:lineRule="exact"/>
        <w:ind w:firstLine="2160" w:firstLineChars="9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法定代表人或委托代理人(签字或签章):</w:t>
      </w:r>
      <w:r>
        <w:rPr>
          <w:rFonts w:hint="eastAsia" w:ascii="宋体" w:hAnsi="宋体" w:eastAsia="宋体" w:cs="宋体"/>
          <w:bCs/>
          <w:color w:val="auto"/>
          <w:sz w:val="24"/>
          <w:szCs w:val="24"/>
        </w:rPr>
        <w:tab/>
      </w:r>
    </w:p>
    <w:p>
      <w:pPr>
        <w:pageBreakBefore w:val="0"/>
        <w:kinsoku/>
        <w:wordWrap/>
        <w:overflowPunct/>
        <w:topLinePunct w:val="0"/>
        <w:bidi w:val="0"/>
        <w:spacing w:line="560" w:lineRule="exact"/>
        <w:ind w:firstLine="6000" w:firstLineChars="2500"/>
        <w:textAlignment w:val="auto"/>
        <w:rPr>
          <w:rFonts w:hint="eastAsia" w:ascii="宋体" w:hAnsi="宋体" w:eastAsia="宋体" w:cs="宋体"/>
          <w:bCs/>
          <w:color w:val="auto"/>
          <w:szCs w:val="28"/>
        </w:rPr>
      </w:pPr>
      <w:r>
        <w:rPr>
          <w:rFonts w:hint="eastAsia" w:ascii="宋体" w:hAnsi="宋体" w:eastAsia="宋体" w:cs="宋体"/>
          <w:bCs/>
          <w:color w:val="auto"/>
          <w:sz w:val="24"/>
          <w:szCs w:val="24"/>
        </w:rPr>
        <w:t>年   月  日</w:t>
      </w:r>
    </w:p>
    <w:p>
      <w:pPr>
        <w:pageBreakBefore w:val="0"/>
        <w:kinsoku/>
        <w:wordWrap/>
        <w:overflowPunct/>
        <w:topLinePunct w:val="0"/>
        <w:bidi w:val="0"/>
        <w:spacing w:line="560" w:lineRule="exact"/>
        <w:textAlignment w:val="auto"/>
        <w:rPr>
          <w:rFonts w:hint="eastAsia" w:ascii="宋体" w:hAnsi="宋体" w:eastAsia="宋体" w:cs="宋体"/>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p>
    <w:p>
      <w:pPr>
        <w:pageBreakBefore w:val="0"/>
        <w:kinsoku/>
        <w:wordWrap/>
        <w:overflowPunct/>
        <w:topLinePunct w:val="0"/>
        <w:bidi w:val="0"/>
        <w:spacing w:line="5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注:</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1.此表中，每个标段的投标总价应和投标分项报价表的总价相一致，若不一致，以此表为准。</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8"/>
          <w:szCs w:val="28"/>
          <w:u w:val="single"/>
        </w:rPr>
      </w:pPr>
      <w:r>
        <w:rPr>
          <w:rFonts w:hint="eastAsia" w:ascii="宋体" w:hAnsi="宋体" w:eastAsia="宋体" w:cs="宋体"/>
          <w:b/>
          <w:color w:val="auto"/>
          <w:sz w:val="24"/>
          <w:szCs w:val="24"/>
        </w:rPr>
        <w:t>2.投标人在投标报价中只能作一种最佳报价方案，多报无效。</w:t>
      </w:r>
    </w:p>
    <w:p>
      <w:pPr>
        <w:pageBreakBefore w:val="0"/>
        <w:kinsoku/>
        <w:wordWrap/>
        <w:overflowPunct/>
        <w:topLinePunct w:val="0"/>
        <w:bidi w:val="0"/>
        <w:spacing w:line="560" w:lineRule="exact"/>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br w:type="page"/>
      </w:r>
    </w:p>
    <w:p>
      <w:pPr>
        <w:keepNext/>
        <w:keepLines/>
        <w:pageBreakBefore w:val="0"/>
        <w:kinsoku/>
        <w:wordWrap/>
        <w:overflowPunct/>
        <w:topLinePunct w:val="0"/>
        <w:bidi w:val="0"/>
        <w:spacing w:before="260" w:after="260" w:line="560" w:lineRule="exact"/>
        <w:jc w:val="center"/>
        <w:textAlignment w:val="auto"/>
        <w:outlineLvl w:val="1"/>
        <w:rPr>
          <w:rFonts w:hint="eastAsia" w:ascii="宋体" w:hAnsi="宋体" w:eastAsia="宋体" w:cs="宋体"/>
          <w:bCs/>
          <w:color w:val="auto"/>
          <w:szCs w:val="28"/>
        </w:rPr>
        <w:sectPr>
          <w:pgSz w:w="11906" w:h="16838"/>
          <w:pgMar w:top="1440" w:right="1474" w:bottom="1440" w:left="1587" w:header="851" w:footer="992" w:gutter="0"/>
          <w:pgNumType w:fmt="decimal"/>
          <w:cols w:space="720" w:num="1"/>
          <w:rtlGutter w:val="0"/>
          <w:docGrid w:type="linesAndChars" w:linePitch="312" w:charSpace="0"/>
        </w:sectPr>
      </w:pPr>
    </w:p>
    <w:p>
      <w:pPr>
        <w:pStyle w:val="11"/>
        <w:pageBreakBefore w:val="0"/>
        <w:numPr>
          <w:ilvl w:val="0"/>
          <w:numId w:val="0"/>
        </w:numPr>
        <w:kinsoku/>
        <w:wordWrap/>
        <w:overflowPunct/>
        <w:topLinePunct w:val="0"/>
        <w:bidi w:val="0"/>
        <w:spacing w:line="560" w:lineRule="exact"/>
        <w:ind w:leftChars="257"/>
        <w:jc w:val="center"/>
        <w:textAlignment w:val="auto"/>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投标价格明细表</w:t>
      </w:r>
    </w:p>
    <w:p>
      <w:pPr>
        <w:pStyle w:val="11"/>
        <w:pageBreakBefore w:val="0"/>
        <w:kinsoku/>
        <w:wordWrap/>
        <w:overflowPunct/>
        <w:topLinePunct w:val="0"/>
        <w:bidi w:val="0"/>
        <w:spacing w:line="560" w:lineRule="exact"/>
        <w:ind w:left="719" w:leftChars="257"/>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项目名称:                      招标编号:                           报价单位：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790"/>
        <w:gridCol w:w="960"/>
        <w:gridCol w:w="1740"/>
        <w:gridCol w:w="1120"/>
        <w:gridCol w:w="1080"/>
        <w:gridCol w:w="2754"/>
        <w:gridCol w:w="913"/>
        <w:gridCol w:w="106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14"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179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名 称</w:t>
            </w:r>
          </w:p>
        </w:tc>
        <w:tc>
          <w:tcPr>
            <w:tcW w:w="96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品 牌</w:t>
            </w:r>
          </w:p>
        </w:tc>
        <w:tc>
          <w:tcPr>
            <w:tcW w:w="174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型号和规格</w:t>
            </w:r>
          </w:p>
        </w:tc>
        <w:tc>
          <w:tcPr>
            <w:tcW w:w="112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数量</w:t>
            </w:r>
          </w:p>
        </w:tc>
        <w:tc>
          <w:tcPr>
            <w:tcW w:w="108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原产地</w:t>
            </w:r>
          </w:p>
        </w:tc>
        <w:tc>
          <w:tcPr>
            <w:tcW w:w="2754"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制造商（服务商）名称</w:t>
            </w:r>
          </w:p>
        </w:tc>
        <w:tc>
          <w:tcPr>
            <w:tcW w:w="913"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单价</w:t>
            </w:r>
          </w:p>
        </w:tc>
        <w:tc>
          <w:tcPr>
            <w:tcW w:w="1067"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总价</w:t>
            </w:r>
          </w:p>
        </w:tc>
        <w:tc>
          <w:tcPr>
            <w:tcW w:w="1072"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p>
        </w:tc>
        <w:tc>
          <w:tcPr>
            <w:tcW w:w="179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i/>
                <w:color w:val="auto"/>
                <w:sz w:val="24"/>
              </w:rPr>
            </w:pPr>
          </w:p>
        </w:tc>
        <w:tc>
          <w:tcPr>
            <w:tcW w:w="960" w:type="dxa"/>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74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12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8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2754"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913"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67"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72"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2</w:t>
            </w:r>
          </w:p>
        </w:tc>
        <w:tc>
          <w:tcPr>
            <w:tcW w:w="179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i/>
                <w:color w:val="auto"/>
                <w:sz w:val="24"/>
              </w:rPr>
            </w:pPr>
          </w:p>
        </w:tc>
        <w:tc>
          <w:tcPr>
            <w:tcW w:w="960" w:type="dxa"/>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74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12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8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2754"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913"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67"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72"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3</w:t>
            </w:r>
          </w:p>
        </w:tc>
        <w:tc>
          <w:tcPr>
            <w:tcW w:w="179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i/>
                <w:color w:val="auto"/>
                <w:sz w:val="24"/>
              </w:rPr>
            </w:pPr>
          </w:p>
        </w:tc>
        <w:tc>
          <w:tcPr>
            <w:tcW w:w="960" w:type="dxa"/>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74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12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8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2754"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913"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67"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72"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w:t>
            </w:r>
          </w:p>
        </w:tc>
        <w:tc>
          <w:tcPr>
            <w:tcW w:w="1790" w:type="dxa"/>
            <w:vAlign w:val="center"/>
          </w:tcPr>
          <w:p>
            <w:pPr>
              <w:pStyle w:val="11"/>
              <w:pageBreakBefore w:val="0"/>
              <w:kinsoku/>
              <w:wordWrap/>
              <w:overflowPunct/>
              <w:topLinePunct w:val="0"/>
              <w:bidi w:val="0"/>
              <w:spacing w:line="56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rPr>
              <w:t>……</w:t>
            </w:r>
          </w:p>
        </w:tc>
        <w:tc>
          <w:tcPr>
            <w:tcW w:w="960" w:type="dxa"/>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74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12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80"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2754"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913"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67"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c>
          <w:tcPr>
            <w:tcW w:w="1072" w:type="dxa"/>
            <w:vAlign w:val="center"/>
          </w:tcPr>
          <w:p>
            <w:pPr>
              <w:pStyle w:val="11"/>
              <w:pageBreakBefore w:val="0"/>
              <w:kinsoku/>
              <w:wordWrap/>
              <w:overflowPunct/>
              <w:topLinePunct w:val="0"/>
              <w:bidi w:val="0"/>
              <w:spacing w:line="560" w:lineRule="exact"/>
              <w:ind w:left="1259" w:leftChars="257" w:hanging="540"/>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3410" w:type="dxa"/>
            <w:gridSpan w:val="10"/>
          </w:tcPr>
          <w:p>
            <w:pPr>
              <w:pStyle w:val="11"/>
              <w:pageBreakBefore w:val="0"/>
              <w:kinsoku/>
              <w:wordWrap/>
              <w:overflowPunct/>
              <w:topLinePunct w:val="0"/>
              <w:bidi w:val="0"/>
              <w:spacing w:line="560" w:lineRule="exact"/>
              <w:jc w:val="left"/>
              <w:textAlignment w:val="auto"/>
              <w:rPr>
                <w:rFonts w:hint="eastAsia" w:ascii="宋体" w:hAnsi="宋体" w:eastAsia="宋体" w:cs="宋体"/>
                <w:color w:val="auto"/>
                <w:sz w:val="24"/>
                <w:lang w:val="en-US" w:eastAsia="zh-CN"/>
              </w:rPr>
            </w:pPr>
            <w:r>
              <w:rPr>
                <w:rFonts w:hint="eastAsia" w:ascii="宋体" w:hAnsi="宋体" w:eastAsia="宋体" w:cs="宋体"/>
                <w:b/>
                <w:bCs/>
                <w:color w:val="auto"/>
                <w:sz w:val="24"/>
              </w:rPr>
              <w:t>总价：¥</w:t>
            </w:r>
            <w:r>
              <w:rPr>
                <w:rFonts w:hint="eastAsia" w:ascii="宋体" w:hAnsi="宋体" w:eastAsia="宋体" w:cs="宋体"/>
                <w:b/>
                <w:bCs/>
                <w:color w:val="auto"/>
                <w:sz w:val="24"/>
                <w:lang w:val="en-US" w:eastAsia="zh-CN"/>
              </w:rPr>
              <w:t>00000.00元（大写：人民币     元）</w:t>
            </w:r>
          </w:p>
        </w:tc>
      </w:tr>
    </w:tbl>
    <w:p>
      <w:pPr>
        <w:pageBreakBefore w:val="0"/>
        <w:kinsoku/>
        <w:wordWrap/>
        <w:overflowPunct/>
        <w:topLinePunct w:val="0"/>
        <w:bidi w:val="0"/>
        <w:spacing w:line="560" w:lineRule="exact"/>
        <w:ind w:firstLine="9800" w:firstLineChars="3500"/>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投标人（盖章）：</w:t>
      </w:r>
    </w:p>
    <w:p>
      <w:pPr>
        <w:pageBreakBefore w:val="0"/>
        <w:kinsoku/>
        <w:wordWrap/>
        <w:overflowPunct/>
        <w:topLinePunct w:val="0"/>
        <w:bidi w:val="0"/>
        <w:spacing w:line="560" w:lineRule="exact"/>
        <w:ind w:firstLine="6720" w:firstLineChars="2400"/>
        <w:textAlignment w:val="auto"/>
        <w:rPr>
          <w:rFonts w:hint="eastAsia" w:ascii="宋体" w:hAnsi="宋体" w:eastAsia="宋体" w:cs="宋体"/>
          <w:bCs/>
          <w:color w:val="auto"/>
          <w:sz w:val="24"/>
        </w:rPr>
      </w:pPr>
      <w:r>
        <w:rPr>
          <w:rFonts w:hint="eastAsia" w:ascii="宋体" w:hAnsi="宋体" w:eastAsia="宋体" w:cs="宋体"/>
          <w:bCs/>
          <w:color w:val="auto"/>
          <w:sz w:val="28"/>
          <w:szCs w:val="28"/>
        </w:rPr>
        <w:t xml:space="preserve">法定代表人或委托代理人（签字或签章）: </w:t>
      </w:r>
      <w:r>
        <w:rPr>
          <w:rFonts w:hint="eastAsia" w:ascii="宋体" w:hAnsi="宋体" w:eastAsia="宋体" w:cs="宋体"/>
          <w:bCs/>
          <w:color w:val="auto"/>
          <w:sz w:val="28"/>
          <w:szCs w:val="28"/>
        </w:rPr>
        <w:tab/>
      </w:r>
      <w:r>
        <w:rPr>
          <w:rFonts w:hint="eastAsia" w:ascii="宋体" w:hAnsi="宋体" w:eastAsia="宋体" w:cs="宋体"/>
          <w:bCs/>
          <w:color w:val="auto"/>
          <w:sz w:val="24"/>
        </w:rPr>
        <w:t xml:space="preserve">                 </w:t>
      </w:r>
    </w:p>
    <w:p>
      <w:pPr>
        <w:pageBreakBefore w:val="0"/>
        <w:kinsoku/>
        <w:wordWrap/>
        <w:overflowPunct/>
        <w:topLinePunct w:val="0"/>
        <w:bidi w:val="0"/>
        <w:spacing w:line="560" w:lineRule="exact"/>
        <w:ind w:firstLine="10080" w:firstLineChars="4200"/>
        <w:textAlignment w:val="auto"/>
        <w:rPr>
          <w:rFonts w:hint="eastAsia" w:ascii="宋体" w:hAnsi="宋体" w:eastAsia="宋体" w:cs="宋体"/>
          <w:bCs/>
          <w:color w:val="auto"/>
          <w:sz w:val="24"/>
        </w:rPr>
      </w:pPr>
      <w:r>
        <w:rPr>
          <w:rFonts w:hint="eastAsia" w:ascii="宋体" w:hAnsi="宋体" w:eastAsia="宋体" w:cs="宋体"/>
          <w:bCs/>
          <w:color w:val="auto"/>
          <w:sz w:val="24"/>
        </w:rPr>
        <w:t>年     月     日</w:t>
      </w:r>
    </w:p>
    <w:p>
      <w:pPr>
        <w:pageBreakBefore w:val="0"/>
        <w:kinsoku/>
        <w:wordWrap/>
        <w:overflowPunct/>
        <w:topLinePunct w:val="0"/>
        <w:bidi w:val="0"/>
        <w:spacing w:line="560" w:lineRule="exact"/>
        <w:textAlignment w:val="auto"/>
        <w:rPr>
          <w:rFonts w:hint="eastAsia" w:ascii="宋体" w:hAnsi="宋体" w:eastAsia="宋体" w:cs="宋体"/>
          <w:b/>
          <w:color w:val="auto"/>
          <w:sz w:val="24"/>
        </w:rPr>
      </w:pPr>
      <w:r>
        <w:rPr>
          <w:rFonts w:hint="eastAsia" w:ascii="宋体" w:hAnsi="宋体" w:eastAsia="宋体" w:cs="宋体"/>
          <w:b/>
          <w:color w:val="auto"/>
          <w:sz w:val="24"/>
        </w:rPr>
        <w:t>注:</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rPr>
        <w:t>1.如果投标人认为需要，每种货物填写一份本表。</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2.如果按单价计算的结果与总价不一致,以单价为准修正总价。</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3.如果不提供详细分项报价将视为没有实质性响应招标文件。</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4.上述各项的详细分项报价，可另页描述。</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5.如果开标一览表（报价表）内容与本表内容和合计金额不一致的，以开标一览表（报价表）内容为准。</w:t>
      </w:r>
    </w:p>
    <w:p>
      <w:pPr>
        <w:pStyle w:val="2"/>
        <w:pageBreakBefore w:val="0"/>
        <w:kinsoku/>
        <w:wordWrap/>
        <w:overflowPunct/>
        <w:topLinePunct w:val="0"/>
        <w:bidi w:val="0"/>
        <w:spacing w:line="560" w:lineRule="exact"/>
        <w:jc w:val="both"/>
        <w:textAlignment w:val="auto"/>
        <w:rPr>
          <w:rFonts w:hint="eastAsia" w:ascii="宋体" w:hAnsi="宋体" w:eastAsia="宋体" w:cs="宋体"/>
          <w:color w:val="auto"/>
          <w:sz w:val="24"/>
          <w:szCs w:val="24"/>
        </w:rPr>
        <w:sectPr>
          <w:pgSz w:w="16838" w:h="11906" w:orient="landscape"/>
          <w:pgMar w:top="1417" w:right="1474" w:bottom="1417" w:left="1587" w:header="851" w:footer="992" w:gutter="0"/>
          <w:pgNumType w:fmt="decimal"/>
          <w:cols w:space="0" w:num="1"/>
          <w:rtlGutter w:val="0"/>
          <w:docGrid w:type="linesAndChars" w:linePitch="312" w:charSpace="0"/>
        </w:sectPr>
      </w:pPr>
    </w:p>
    <w:p>
      <w:pPr>
        <w:keepNext/>
        <w:keepLines/>
        <w:pageBreakBefore w:val="0"/>
        <w:kinsoku/>
        <w:wordWrap/>
        <w:overflowPunct/>
        <w:topLinePunct w:val="0"/>
        <w:bidi w:val="0"/>
        <w:spacing w:before="260" w:after="260" w:line="560" w:lineRule="exact"/>
        <w:jc w:val="center"/>
        <w:textAlignment w:val="auto"/>
        <w:outlineLvl w:val="1"/>
        <w:rPr>
          <w:rFonts w:hint="eastAsia" w:ascii="宋体" w:hAnsi="宋体" w:eastAsia="宋体" w:cs="宋体"/>
          <w:b w:val="0"/>
          <w:bCs w:val="0"/>
          <w:color w:val="auto"/>
          <w:szCs w:val="28"/>
        </w:rPr>
      </w:pPr>
      <w:bookmarkStart w:id="235" w:name="_Toc237920953"/>
      <w:bookmarkStart w:id="236" w:name="_Toc71968192"/>
      <w:bookmarkStart w:id="237" w:name="_Toc118878852"/>
      <w:bookmarkStart w:id="238" w:name="_Toc71967775"/>
      <w:bookmarkStart w:id="239" w:name="_Toc71881273"/>
      <w:bookmarkStart w:id="240" w:name="_Toc82222718"/>
      <w:bookmarkStart w:id="241" w:name="_Toc71968699"/>
      <w:bookmarkStart w:id="242" w:name="_Toc71968894"/>
      <w:bookmarkStart w:id="243" w:name="_Toc237920725"/>
      <w:bookmarkStart w:id="244" w:name="_Toc71968006"/>
      <w:r>
        <w:rPr>
          <w:rFonts w:hint="eastAsia" w:ascii="宋体" w:hAnsi="宋体" w:eastAsia="宋体" w:cs="宋体"/>
          <w:b w:val="0"/>
          <w:bCs w:val="0"/>
          <w:color w:val="auto"/>
          <w:sz w:val="32"/>
          <w:szCs w:val="32"/>
        </w:rPr>
        <w:t>采购需求响应表</w:t>
      </w:r>
      <w:bookmarkEnd w:id="235"/>
      <w:bookmarkEnd w:id="236"/>
      <w:bookmarkEnd w:id="237"/>
      <w:bookmarkEnd w:id="238"/>
      <w:bookmarkEnd w:id="239"/>
      <w:bookmarkEnd w:id="240"/>
      <w:bookmarkEnd w:id="241"/>
      <w:bookmarkEnd w:id="242"/>
      <w:bookmarkEnd w:id="243"/>
      <w:bookmarkEnd w:id="244"/>
    </w:p>
    <w:tbl>
      <w:tblPr>
        <w:tblStyle w:val="19"/>
        <w:tblW w:w="868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151"/>
        <w:gridCol w:w="2591"/>
        <w:gridCol w:w="2982"/>
        <w:gridCol w:w="11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7" w:type="dxa"/>
            <w:vMerge w:val="restart"/>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1151" w:type="dxa"/>
            <w:vMerge w:val="restart"/>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货物</w:t>
            </w:r>
          </w:p>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名称</w:t>
            </w:r>
          </w:p>
        </w:tc>
        <w:tc>
          <w:tcPr>
            <w:tcW w:w="259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招标文件规定</w:t>
            </w:r>
          </w:p>
        </w:tc>
        <w:tc>
          <w:tcPr>
            <w:tcW w:w="298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投标文件响应情况</w:t>
            </w:r>
          </w:p>
        </w:tc>
        <w:tc>
          <w:tcPr>
            <w:tcW w:w="1105" w:type="dxa"/>
            <w:vMerge w:val="restart"/>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偏离</w:t>
            </w:r>
          </w:p>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
                <w:bCs w:val="0"/>
                <w:color w:val="auto"/>
                <w:sz w:val="24"/>
                <w:szCs w:val="24"/>
              </w:rPr>
              <w:t>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7" w:type="dxa"/>
            <w:vMerge w:val="continue"/>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p>
        </w:tc>
        <w:tc>
          <w:tcPr>
            <w:tcW w:w="1151" w:type="dxa"/>
            <w:vMerge w:val="continue"/>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p>
        </w:tc>
        <w:tc>
          <w:tcPr>
            <w:tcW w:w="259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pacing w:val="-6"/>
                <w:sz w:val="24"/>
                <w:szCs w:val="24"/>
              </w:rPr>
            </w:pPr>
            <w:r>
              <w:rPr>
                <w:rFonts w:hint="eastAsia" w:ascii="宋体" w:hAnsi="宋体" w:eastAsia="宋体" w:cs="宋体"/>
                <w:b/>
                <w:bCs w:val="0"/>
                <w:color w:val="auto"/>
                <w:sz w:val="24"/>
                <w:szCs w:val="24"/>
              </w:rPr>
              <w:t>技术参数要求</w:t>
            </w:r>
          </w:p>
        </w:tc>
        <w:tc>
          <w:tcPr>
            <w:tcW w:w="298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技术参数要求</w:t>
            </w:r>
          </w:p>
        </w:tc>
        <w:tc>
          <w:tcPr>
            <w:tcW w:w="1105" w:type="dxa"/>
            <w:vMerge w:val="continue"/>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5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w:t>
            </w:r>
          </w:p>
        </w:tc>
        <w:tc>
          <w:tcPr>
            <w:tcW w:w="115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59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98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10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5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w:t>
            </w:r>
          </w:p>
        </w:tc>
        <w:tc>
          <w:tcPr>
            <w:tcW w:w="115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59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98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10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5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w:t>
            </w:r>
          </w:p>
        </w:tc>
        <w:tc>
          <w:tcPr>
            <w:tcW w:w="115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59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98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10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5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w:t>
            </w:r>
          </w:p>
        </w:tc>
        <w:tc>
          <w:tcPr>
            <w:tcW w:w="115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59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98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10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57"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w:t>
            </w:r>
          </w:p>
        </w:tc>
        <w:tc>
          <w:tcPr>
            <w:tcW w:w="115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591"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982"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105" w:type="dxa"/>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57" w:type="dxa"/>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w:t>
            </w:r>
          </w:p>
        </w:tc>
        <w:tc>
          <w:tcPr>
            <w:tcW w:w="1151" w:type="dxa"/>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591" w:type="dxa"/>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2982" w:type="dxa"/>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105" w:type="dxa"/>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bl>
    <w:p>
      <w:pPr>
        <w:pageBreakBefore w:val="0"/>
        <w:kinsoku/>
        <w:wordWrap/>
        <w:overflowPunct/>
        <w:topLinePunct w:val="0"/>
        <w:bidi w:val="0"/>
        <w:spacing w:line="560" w:lineRule="exact"/>
        <w:ind w:firstLine="4200" w:firstLineChars="1500"/>
        <w:textAlignment w:val="auto"/>
        <w:rPr>
          <w:rFonts w:hint="eastAsia" w:ascii="宋体" w:hAnsi="宋体" w:eastAsia="宋体" w:cs="宋体"/>
          <w:bCs/>
          <w:color w:val="auto"/>
          <w:szCs w:val="28"/>
        </w:rPr>
      </w:pPr>
    </w:p>
    <w:p>
      <w:pPr>
        <w:pageBreakBefore w:val="0"/>
        <w:kinsoku/>
        <w:wordWrap/>
        <w:overflowPunct/>
        <w:topLinePunct w:val="0"/>
        <w:bidi w:val="0"/>
        <w:spacing w:line="560" w:lineRule="exact"/>
        <w:ind w:firstLine="4320" w:firstLineChars="18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投标人（盖章）：</w:t>
      </w:r>
    </w:p>
    <w:p>
      <w:pPr>
        <w:pageBreakBefore w:val="0"/>
        <w:kinsoku/>
        <w:wordWrap/>
        <w:overflowPunct/>
        <w:topLinePunct w:val="0"/>
        <w:bidi w:val="0"/>
        <w:spacing w:line="560" w:lineRule="exact"/>
        <w:ind w:firstLine="1680" w:firstLineChars="7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法定代表人或委托代理人（签字或签章）: </w:t>
      </w:r>
    </w:p>
    <w:p>
      <w:pPr>
        <w:pageBreakBefore w:val="0"/>
        <w:kinsoku/>
        <w:wordWrap/>
        <w:overflowPunct/>
        <w:topLinePunct w:val="0"/>
        <w:bidi w:val="0"/>
        <w:spacing w:line="560" w:lineRule="exact"/>
        <w:ind w:firstLine="3600" w:firstLineChars="1500"/>
        <w:textAlignment w:val="auto"/>
        <w:rPr>
          <w:rFonts w:hint="eastAsia" w:ascii="宋体" w:hAnsi="宋体" w:eastAsia="宋体" w:cs="宋体"/>
          <w:bCs/>
          <w:color w:val="auto"/>
          <w:sz w:val="24"/>
          <w:szCs w:val="24"/>
        </w:rPr>
      </w:pPr>
    </w:p>
    <w:p>
      <w:pPr>
        <w:pageBreakBefore w:val="0"/>
        <w:kinsoku/>
        <w:wordWrap/>
        <w:overflowPunct/>
        <w:topLinePunct w:val="0"/>
        <w:bidi w:val="0"/>
        <w:spacing w:line="560" w:lineRule="exact"/>
        <w:ind w:firstLine="4800" w:firstLineChars="20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年     月     日</w:t>
      </w:r>
    </w:p>
    <w:p>
      <w:pPr>
        <w:pageBreakBefore w:val="0"/>
        <w:tabs>
          <w:tab w:val="left" w:pos="630"/>
        </w:tabs>
        <w:kinsoku/>
        <w:wordWrap/>
        <w:overflowPunct/>
        <w:topLinePunct w:val="0"/>
        <w:bidi w:val="0"/>
        <w:spacing w:line="560" w:lineRule="exact"/>
        <w:textAlignment w:val="auto"/>
        <w:rPr>
          <w:rFonts w:hint="eastAsia" w:ascii="宋体" w:hAnsi="宋体" w:eastAsia="宋体" w:cs="宋体"/>
          <w:color w:val="auto"/>
          <w:sz w:val="32"/>
          <w:szCs w:val="32"/>
        </w:rPr>
      </w:pPr>
    </w:p>
    <w:p>
      <w:pPr>
        <w:pageBreakBefore w:val="0"/>
        <w:tabs>
          <w:tab w:val="left" w:pos="630"/>
        </w:tabs>
        <w:kinsoku/>
        <w:wordWrap/>
        <w:overflowPunct/>
        <w:topLinePunct w:val="0"/>
        <w:bidi w:val="0"/>
        <w:spacing w:line="560" w:lineRule="exact"/>
        <w:textAlignment w:val="auto"/>
        <w:rPr>
          <w:rFonts w:hint="eastAsia" w:ascii="宋体" w:hAnsi="宋体" w:eastAsia="宋体" w:cs="宋体"/>
          <w:color w:val="auto"/>
          <w:sz w:val="32"/>
          <w:szCs w:val="32"/>
        </w:rPr>
      </w:pPr>
    </w:p>
    <w:p>
      <w:pPr>
        <w:pageBreakBefore w:val="0"/>
        <w:kinsoku/>
        <w:wordWrap/>
        <w:overflowPunct/>
        <w:topLinePunct w:val="0"/>
        <w:bidi w:val="0"/>
        <w:spacing w:line="560" w:lineRule="exact"/>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keepNext/>
        <w:keepLines/>
        <w:pageBreakBefore w:val="0"/>
        <w:kinsoku/>
        <w:wordWrap/>
        <w:overflowPunct/>
        <w:topLinePunct w:val="0"/>
        <w:bidi w:val="0"/>
        <w:spacing w:before="260" w:after="260" w:line="560" w:lineRule="exact"/>
        <w:jc w:val="center"/>
        <w:textAlignment w:val="auto"/>
        <w:outlineLvl w:val="1"/>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商务标响应情况表</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3115"/>
        <w:gridCol w:w="3585"/>
        <w:gridCol w:w="13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pct"/>
            <w:vMerge w:val="restar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序号</w:t>
            </w:r>
          </w:p>
        </w:tc>
        <w:tc>
          <w:tcPr>
            <w:tcW w:w="1719"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招标文件规定</w:t>
            </w:r>
          </w:p>
        </w:tc>
        <w:tc>
          <w:tcPr>
            <w:tcW w:w="197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投标文件响应情况</w:t>
            </w:r>
          </w:p>
        </w:tc>
        <w:tc>
          <w:tcPr>
            <w:tcW w:w="733" w:type="pct"/>
            <w:vMerge w:val="restar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偏离</w:t>
            </w:r>
          </w:p>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pct"/>
            <w:vMerge w:val="continue"/>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719"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pacing w:val="-6"/>
                <w:sz w:val="24"/>
                <w:szCs w:val="24"/>
              </w:rPr>
            </w:pPr>
            <w:r>
              <w:rPr>
                <w:rFonts w:hint="eastAsia" w:ascii="宋体" w:hAnsi="宋体" w:eastAsia="宋体" w:cs="宋体"/>
                <w:bCs/>
                <w:color w:val="auto"/>
                <w:sz w:val="24"/>
                <w:szCs w:val="24"/>
              </w:rPr>
              <w:t>商务要求</w:t>
            </w:r>
          </w:p>
        </w:tc>
        <w:tc>
          <w:tcPr>
            <w:tcW w:w="197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商务要求</w:t>
            </w:r>
          </w:p>
        </w:tc>
        <w:tc>
          <w:tcPr>
            <w:tcW w:w="733" w:type="pct"/>
            <w:vMerge w:val="continue"/>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6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w:t>
            </w:r>
          </w:p>
        </w:tc>
        <w:tc>
          <w:tcPr>
            <w:tcW w:w="1719"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97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733"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6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w:t>
            </w:r>
          </w:p>
        </w:tc>
        <w:tc>
          <w:tcPr>
            <w:tcW w:w="1719"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97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733"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6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w:t>
            </w:r>
          </w:p>
        </w:tc>
        <w:tc>
          <w:tcPr>
            <w:tcW w:w="1719"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97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733"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6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w:t>
            </w:r>
          </w:p>
        </w:tc>
        <w:tc>
          <w:tcPr>
            <w:tcW w:w="1719"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97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733"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6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w:t>
            </w:r>
          </w:p>
        </w:tc>
        <w:tc>
          <w:tcPr>
            <w:tcW w:w="1719"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978"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733" w:type="pct"/>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68" w:type="pct"/>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w:t>
            </w:r>
          </w:p>
        </w:tc>
        <w:tc>
          <w:tcPr>
            <w:tcW w:w="1719" w:type="pct"/>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1978" w:type="pct"/>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c>
          <w:tcPr>
            <w:tcW w:w="733" w:type="pct"/>
            <w:tcBorders>
              <w:bottom w:val="double" w:color="auto" w:sz="4" w:space="0"/>
            </w:tcBorders>
            <w:vAlign w:val="center"/>
          </w:tcPr>
          <w:p>
            <w:pPr>
              <w:pageBreakBefore w:val="0"/>
              <w:kinsoku/>
              <w:wordWrap/>
              <w:overflowPunct/>
              <w:topLinePunct w:val="0"/>
              <w:bidi w:val="0"/>
              <w:spacing w:line="560" w:lineRule="exact"/>
              <w:jc w:val="center"/>
              <w:textAlignment w:val="auto"/>
              <w:rPr>
                <w:rFonts w:hint="eastAsia" w:ascii="宋体" w:hAnsi="宋体" w:eastAsia="宋体" w:cs="宋体"/>
                <w:bCs/>
                <w:color w:val="auto"/>
                <w:sz w:val="24"/>
                <w:szCs w:val="24"/>
              </w:rPr>
            </w:pPr>
          </w:p>
        </w:tc>
      </w:tr>
    </w:tbl>
    <w:p>
      <w:pPr>
        <w:pageBreakBefore w:val="0"/>
        <w:kinsoku/>
        <w:wordWrap/>
        <w:overflowPunct/>
        <w:topLinePunct w:val="0"/>
        <w:bidi w:val="0"/>
        <w:spacing w:line="560" w:lineRule="exact"/>
        <w:ind w:firstLine="4760" w:firstLineChars="1700"/>
        <w:textAlignment w:val="auto"/>
        <w:rPr>
          <w:rFonts w:hint="eastAsia" w:ascii="宋体" w:hAnsi="宋体" w:eastAsia="宋体" w:cs="宋体"/>
          <w:bCs/>
          <w:color w:val="auto"/>
          <w:szCs w:val="28"/>
        </w:rPr>
      </w:pPr>
    </w:p>
    <w:p>
      <w:pPr>
        <w:pageBreakBefore w:val="0"/>
        <w:kinsoku/>
        <w:wordWrap/>
        <w:overflowPunct/>
        <w:topLinePunct w:val="0"/>
        <w:bidi w:val="0"/>
        <w:spacing w:line="560" w:lineRule="exact"/>
        <w:ind w:firstLine="4080" w:firstLineChars="17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投标人（盖章）：</w:t>
      </w:r>
    </w:p>
    <w:p>
      <w:pPr>
        <w:pageBreakBefore w:val="0"/>
        <w:kinsoku/>
        <w:wordWrap/>
        <w:overflowPunct/>
        <w:topLinePunct w:val="0"/>
        <w:bidi w:val="0"/>
        <w:spacing w:line="560" w:lineRule="exact"/>
        <w:ind w:firstLine="1440" w:firstLineChars="6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法定代表人或委托代理人（签字或签章）:</w:t>
      </w:r>
      <w:r>
        <w:rPr>
          <w:rFonts w:hint="eastAsia" w:ascii="宋体" w:hAnsi="宋体" w:eastAsia="宋体" w:cs="宋体"/>
          <w:bCs/>
          <w:color w:val="auto"/>
          <w:sz w:val="24"/>
          <w:szCs w:val="24"/>
        </w:rPr>
        <w:tab/>
      </w:r>
      <w:r>
        <w:rPr>
          <w:rFonts w:hint="eastAsia" w:ascii="宋体" w:hAnsi="宋体" w:eastAsia="宋体" w:cs="宋体"/>
          <w:bCs/>
          <w:color w:val="auto"/>
          <w:sz w:val="24"/>
          <w:szCs w:val="24"/>
        </w:rPr>
        <w:t xml:space="preserve">                 </w:t>
      </w:r>
    </w:p>
    <w:p>
      <w:pPr>
        <w:pageBreakBefore w:val="0"/>
        <w:kinsoku/>
        <w:wordWrap/>
        <w:overflowPunct/>
        <w:topLinePunct w:val="0"/>
        <w:bidi w:val="0"/>
        <w:spacing w:line="560" w:lineRule="exact"/>
        <w:ind w:firstLine="5040" w:firstLineChars="2100"/>
        <w:textAlignment w:val="auto"/>
        <w:rPr>
          <w:rFonts w:hint="eastAsia" w:ascii="宋体" w:hAnsi="宋体" w:eastAsia="宋体" w:cs="宋体"/>
          <w:bCs/>
          <w:color w:val="auto"/>
          <w:szCs w:val="28"/>
        </w:rPr>
      </w:pPr>
      <w:r>
        <w:rPr>
          <w:rFonts w:hint="eastAsia" w:ascii="宋体" w:hAnsi="宋体" w:eastAsia="宋体" w:cs="宋体"/>
          <w:bCs/>
          <w:color w:val="auto"/>
          <w:sz w:val="24"/>
          <w:szCs w:val="24"/>
        </w:rPr>
        <w:t>年     月     日</w:t>
      </w:r>
    </w:p>
    <w:p>
      <w:pPr>
        <w:pageBreakBefore w:val="0"/>
        <w:kinsoku/>
        <w:wordWrap/>
        <w:overflowPunct/>
        <w:topLinePunct w:val="0"/>
        <w:bidi w:val="0"/>
        <w:spacing w:line="560" w:lineRule="exact"/>
        <w:textAlignment w:val="auto"/>
        <w:rPr>
          <w:rFonts w:hint="eastAsia" w:ascii="宋体" w:hAnsi="宋体" w:eastAsia="宋体" w:cs="宋体"/>
          <w:b/>
          <w:bCs/>
          <w:color w:val="auto"/>
          <w:sz w:val="36"/>
          <w:szCs w:val="36"/>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r>
        <w:rPr>
          <w:rFonts w:hint="eastAsia" w:ascii="宋体" w:hAnsi="宋体" w:eastAsia="宋体" w:cs="宋体"/>
          <w:b/>
          <w:bCs/>
          <w:color w:val="auto"/>
          <w:szCs w:val="28"/>
        </w:rPr>
        <w:br w:type="page"/>
      </w:r>
    </w:p>
    <w:p>
      <w:pPr>
        <w:keepNext/>
        <w:keepLines/>
        <w:pageBreakBefore w:val="0"/>
        <w:kinsoku/>
        <w:wordWrap/>
        <w:overflowPunct/>
        <w:topLinePunct w:val="0"/>
        <w:bidi w:val="0"/>
        <w:spacing w:before="260" w:after="260" w:line="560" w:lineRule="exact"/>
        <w:jc w:val="center"/>
        <w:textAlignment w:val="auto"/>
        <w:outlineLvl w:val="1"/>
        <w:rPr>
          <w:rFonts w:hint="eastAsia" w:ascii="宋体" w:hAnsi="宋体" w:eastAsia="宋体" w:cs="宋体"/>
          <w:b/>
          <w:bCs/>
          <w:color w:val="auto"/>
          <w:sz w:val="32"/>
          <w:szCs w:val="32"/>
        </w:rPr>
      </w:pPr>
      <w:r>
        <w:rPr>
          <w:rFonts w:hint="eastAsia" w:ascii="宋体" w:hAnsi="宋体" w:eastAsia="宋体" w:cs="宋体"/>
          <w:b/>
          <w:bCs/>
          <w:color w:val="auto"/>
          <w:sz w:val="32"/>
          <w:szCs w:val="32"/>
        </w:rPr>
        <w:t>采购需求及相关要求响应详情</w:t>
      </w:r>
    </w:p>
    <w:p>
      <w:pPr>
        <w:pageBreakBefore w:val="0"/>
        <w:kinsoku/>
        <w:wordWrap/>
        <w:overflowPunct/>
        <w:topLinePunct w:val="0"/>
        <w:bidi w:val="0"/>
        <w:spacing w:before="120" w:after="120" w:line="560" w:lineRule="exact"/>
        <w:textAlignment w:val="auto"/>
        <w:rPr>
          <w:rFonts w:hint="eastAsia" w:ascii="宋体" w:hAnsi="宋体" w:eastAsia="宋体" w:cs="宋体"/>
          <w:bCs/>
          <w:caps/>
          <w:color w:val="auto"/>
          <w:szCs w:val="28"/>
        </w:rPr>
      </w:pPr>
      <w:r>
        <w:rPr>
          <w:rFonts w:hint="eastAsia" w:ascii="宋体" w:hAnsi="宋体" w:eastAsia="宋体" w:cs="宋体"/>
          <w:bCs/>
          <w:caps/>
          <w:color w:val="auto"/>
          <w:szCs w:val="28"/>
        </w:rPr>
        <w:t>（本部分由供应商根据招标文件的采购需求和相关要求填写，附详细的方案和相应的承诺等。）</w:t>
      </w:r>
    </w:p>
    <w:p>
      <w:pPr>
        <w:pageBreakBefore w:val="0"/>
        <w:tabs>
          <w:tab w:val="left" w:pos="630"/>
        </w:tabs>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bCs/>
          <w:color w:val="auto"/>
          <w:sz w:val="32"/>
          <w:szCs w:val="32"/>
        </w:rPr>
      </w:pPr>
    </w:p>
    <w:p>
      <w:pPr>
        <w:pageBreakBefore w:val="0"/>
        <w:kinsoku/>
        <w:wordWrap/>
        <w:overflowPunct/>
        <w:topLinePunct w:val="0"/>
        <w:bidi w:val="0"/>
        <w:spacing w:line="560" w:lineRule="exact"/>
        <w:textAlignment w:val="auto"/>
        <w:rPr>
          <w:rFonts w:hint="eastAsia" w:ascii="宋体" w:hAnsi="宋体" w:eastAsia="宋体" w:cs="宋体"/>
          <w:color w:val="auto"/>
        </w:rPr>
      </w:pPr>
      <w:r>
        <w:rPr>
          <w:rFonts w:hint="eastAsia" w:ascii="宋体" w:hAnsi="宋体" w:eastAsia="宋体" w:cs="宋体"/>
          <w:color w:val="auto"/>
        </w:rPr>
        <w:br w:type="page"/>
      </w:r>
    </w:p>
    <w:p>
      <w:pPr>
        <w:pStyle w:val="4"/>
        <w:pageBreakBefore w:val="0"/>
        <w:kinsoku/>
        <w:wordWrap/>
        <w:overflowPunct/>
        <w:topLinePunct w:val="0"/>
        <w:bidi w:val="0"/>
        <w:spacing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资格证明文件</w:t>
      </w:r>
    </w:p>
    <w:p>
      <w:pPr>
        <w:pStyle w:val="4"/>
        <w:pageBreakBefore w:val="0"/>
        <w:kinsoku/>
        <w:wordWrap/>
        <w:overflowPunct/>
        <w:topLinePunct w:val="0"/>
        <w:bidi w:val="0"/>
        <w:spacing w:before="0" w:line="560" w:lineRule="exact"/>
        <w:ind w:firstLine="560" w:firstLineChars="200"/>
        <w:textAlignment w:val="auto"/>
        <w:rPr>
          <w:rFonts w:hint="eastAsia" w:ascii="宋体" w:hAnsi="宋体" w:eastAsia="宋体" w:cs="宋体"/>
          <w:color w:val="auto"/>
          <w:sz w:val="28"/>
          <w:szCs w:val="28"/>
        </w:rPr>
      </w:pPr>
      <w:bookmarkStart w:id="245" w:name="_Toc515647805"/>
      <w:bookmarkStart w:id="246" w:name="_Toc532473496"/>
      <w:bookmarkStart w:id="247" w:name="_Toc29899"/>
      <w:bookmarkStart w:id="248" w:name="_Toc17577"/>
      <w:bookmarkStart w:id="249" w:name="_Toc2582310"/>
      <w:r>
        <w:rPr>
          <w:rFonts w:hint="eastAsia" w:ascii="宋体" w:hAnsi="宋体" w:eastAsia="宋体" w:cs="宋体"/>
          <w:color w:val="auto"/>
          <w:sz w:val="28"/>
          <w:szCs w:val="28"/>
        </w:rPr>
        <w:t>法人或者非法人组织的营业执照等证明文件</w:t>
      </w:r>
      <w:bookmarkEnd w:id="245"/>
      <w:bookmarkStart w:id="250" w:name="_Toc515647806"/>
      <w:r>
        <w:rPr>
          <w:rFonts w:hint="eastAsia" w:ascii="宋体" w:hAnsi="宋体" w:eastAsia="宋体" w:cs="宋体"/>
          <w:color w:val="auto"/>
          <w:sz w:val="28"/>
          <w:szCs w:val="28"/>
        </w:rPr>
        <w:t>或自然人的身份证明</w:t>
      </w:r>
      <w:bookmarkEnd w:id="246"/>
      <w:bookmarkEnd w:id="247"/>
      <w:bookmarkEnd w:id="248"/>
      <w:bookmarkEnd w:id="249"/>
      <w:bookmarkEnd w:id="250"/>
    </w:p>
    <w:p>
      <w:pPr>
        <w:pageBreakBefore w:val="0"/>
        <w:kinsoku/>
        <w:wordWrap/>
        <w:overflowPunct/>
        <w:topLinePunct w:val="0"/>
        <w:bidi w:val="0"/>
        <w:spacing w:line="560" w:lineRule="exact"/>
        <w:textAlignment w:val="auto"/>
        <w:rPr>
          <w:rFonts w:hint="eastAsia" w:ascii="宋体" w:hAnsi="宋体" w:eastAsia="宋体" w:cs="宋体"/>
          <w:b/>
          <w:color w:val="auto"/>
          <w:szCs w:val="28"/>
        </w:rPr>
      </w:pPr>
      <w:r>
        <w:rPr>
          <w:rFonts w:hint="eastAsia" w:ascii="宋体" w:hAnsi="宋体" w:eastAsia="宋体" w:cs="宋体"/>
          <w:b/>
          <w:color w:val="auto"/>
          <w:szCs w:val="28"/>
          <w:lang w:bidi="ar"/>
        </w:rPr>
        <w:t>说明：</w:t>
      </w:r>
    </w:p>
    <w:p>
      <w:pPr>
        <w:pStyle w:val="11"/>
        <w:pageBreakBefore w:val="0"/>
        <w:tabs>
          <w:tab w:val="left" w:pos="5580"/>
        </w:tabs>
        <w:kinsoku/>
        <w:wordWrap/>
        <w:overflowPunct/>
        <w:topLinePunct w:val="0"/>
        <w:bidi w:val="0"/>
        <w:spacing w:line="560" w:lineRule="exact"/>
        <w:ind w:firstLine="480"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1.法人或其他组织的营业执照副本、自然人的身份证明</w:t>
      </w:r>
    </w:p>
    <w:p>
      <w:pPr>
        <w:pStyle w:val="11"/>
        <w:pageBreakBefore w:val="0"/>
        <w:tabs>
          <w:tab w:val="left" w:pos="5580"/>
        </w:tabs>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人包括企业法人、机关法人、事业单位法人和社会团体法人；其他组织主要包括合伙企业、非企业专业服务机构、个体工商户、农村承包经营户；自然人是指《中华人民共和国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pStyle w:val="11"/>
        <w:pageBreakBefore w:val="0"/>
        <w:tabs>
          <w:tab w:val="left" w:pos="5580"/>
        </w:tabs>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这里所指“其他组织”不包括法人的分支机构，由于法人分支机构不能独立承担民事责任，不能以分支机构的身份参加政府采购，只能以法人身份参加。根据《自治区财政厅关于明确法人及其分支机构参加政府采购活动相关事宜的通知》[宁财（采）发[2021]22号]的要求，由于银行、保险、石油石化、电力、电信等有行业特殊情况的，采购人、采购代理机构可按照其特点在采购文件中作出专门规定，允许分支机构在总公司授权的基础上参加政府采购活动，授权方式应当以项目授权为主。分支机构中标或成交后，可以作为中标或者成交供应商与采购人签订政府采购合同。采购人应当按照合同约定支付款项给分支机构。</w:t>
      </w:r>
    </w:p>
    <w:p>
      <w:pPr>
        <w:pStyle w:val="11"/>
        <w:pageBreakBefore w:val="0"/>
        <w:tabs>
          <w:tab w:val="left" w:pos="5580"/>
        </w:tabs>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只有中国公民才能以自然人的身份参加政府采购活动，并提供法定身份证明。</w:t>
      </w:r>
    </w:p>
    <w:p>
      <w:pPr>
        <w:pStyle w:val="11"/>
        <w:pageBreakBefore w:val="0"/>
        <w:tabs>
          <w:tab w:val="left" w:pos="5580"/>
        </w:tabs>
        <w:kinsoku/>
        <w:wordWrap/>
        <w:overflowPunct/>
        <w:topLinePunct w:val="0"/>
        <w:bidi w:val="0"/>
        <w:spacing w:line="560" w:lineRule="exact"/>
        <w:ind w:firstLine="480"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2.参与采购活动前三年内在经营活动中没有重大违法记录的书面声明</w:t>
      </w:r>
    </w:p>
    <w:p>
      <w:pPr>
        <w:pStyle w:val="11"/>
        <w:pageBreakBefore w:val="0"/>
        <w:tabs>
          <w:tab w:val="left" w:pos="5580"/>
        </w:tabs>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重大违法记录，是指供应商因违法经营受到刑事处罚或者责令停产停业、吊销许可证或者执照、较大数额罚款等行政处罚。采取供应商自行承诺并承担后果的做法，参加政府采购活动的供应商要提交“参与采购活动前三年内在经营活动中没有重大违法记录的书面声明函”。一旦发现供应商提供的声明函不实时，按照《政府采购法》有关提供虚假材料的规定给予处罚。</w:t>
      </w:r>
    </w:p>
    <w:p>
      <w:pPr>
        <w:pStyle w:val="11"/>
        <w:pageBreakBefore w:val="0"/>
        <w:tabs>
          <w:tab w:val="left" w:pos="5580"/>
        </w:tabs>
        <w:kinsoku/>
        <w:wordWrap/>
        <w:overflowPunct/>
        <w:topLinePunct w:val="0"/>
        <w:bidi w:val="0"/>
        <w:spacing w:line="5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在参加政府采购活动前三年内因违法经营被禁止在一定期限内参加政府采购活动，期限届满可以参加政府采购活动。是指供应商在参加政府采购活动中，因违法经营被政府采购监督管理部门禁止在一定期限内参加政府采购活动，处罚期限届满后，可以参加政府采购活动。</w:t>
      </w:r>
    </w:p>
    <w:p>
      <w:pPr>
        <w:pStyle w:val="11"/>
        <w:pageBreakBefore w:val="0"/>
        <w:numPr>
          <w:ilvl w:val="255"/>
          <w:numId w:val="0"/>
        </w:numPr>
        <w:tabs>
          <w:tab w:val="left" w:pos="5580"/>
        </w:tabs>
        <w:kinsoku/>
        <w:wordWrap/>
        <w:overflowPunct/>
        <w:topLinePunct w:val="0"/>
        <w:bidi w:val="0"/>
        <w:spacing w:line="560" w:lineRule="exact"/>
        <w:ind w:firstLine="480" w:firstLineChars="200"/>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rPr>
        <w:t>联合体投标应提供联合体各方满足以上要求的证明文件。</w:t>
      </w:r>
    </w:p>
    <w:p>
      <w:pPr>
        <w:pStyle w:val="11"/>
        <w:pageBreakBefore w:val="0"/>
        <w:tabs>
          <w:tab w:val="left" w:pos="5580"/>
        </w:tabs>
        <w:kinsoku/>
        <w:wordWrap/>
        <w:overflowPunct/>
        <w:topLinePunct w:val="0"/>
        <w:bidi w:val="0"/>
        <w:spacing w:line="560" w:lineRule="exact"/>
        <w:ind w:left="1259" w:leftChars="257" w:hanging="540"/>
        <w:textAlignment w:val="auto"/>
        <w:rPr>
          <w:rFonts w:hint="eastAsia" w:ascii="宋体" w:hAnsi="宋体" w:eastAsia="宋体" w:cs="宋体"/>
          <w:b/>
          <w:color w:val="auto"/>
          <w:szCs w:val="28"/>
        </w:rPr>
      </w:pPr>
    </w:p>
    <w:p>
      <w:pPr>
        <w:pStyle w:val="11"/>
        <w:pageBreakBefore w:val="0"/>
        <w:tabs>
          <w:tab w:val="left" w:pos="5580"/>
        </w:tabs>
        <w:kinsoku/>
        <w:wordWrap/>
        <w:overflowPunct/>
        <w:topLinePunct w:val="0"/>
        <w:bidi w:val="0"/>
        <w:spacing w:line="560" w:lineRule="exact"/>
        <w:ind w:left="1259" w:leftChars="257" w:hanging="540"/>
        <w:textAlignment w:val="auto"/>
        <w:rPr>
          <w:rFonts w:hint="eastAsia" w:ascii="宋体" w:hAnsi="宋体" w:eastAsia="宋体" w:cs="宋体"/>
          <w:b/>
          <w:color w:val="auto"/>
          <w:sz w:val="32"/>
          <w:szCs w:val="32"/>
        </w:rPr>
      </w:pPr>
    </w:p>
    <w:p>
      <w:pPr>
        <w:pStyle w:val="11"/>
        <w:pageBreakBefore w:val="0"/>
        <w:tabs>
          <w:tab w:val="left" w:pos="5580"/>
        </w:tabs>
        <w:kinsoku/>
        <w:wordWrap/>
        <w:overflowPunct/>
        <w:topLinePunct w:val="0"/>
        <w:bidi w:val="0"/>
        <w:spacing w:line="560" w:lineRule="exact"/>
        <w:textAlignment w:val="auto"/>
        <w:rPr>
          <w:rFonts w:hint="eastAsia" w:ascii="宋体" w:hAnsi="宋体" w:eastAsia="宋体" w:cs="宋体"/>
          <w:color w:val="auto"/>
          <w:sz w:val="32"/>
          <w:szCs w:val="32"/>
        </w:rPr>
      </w:pPr>
    </w:p>
    <w:p>
      <w:pPr>
        <w:pStyle w:val="11"/>
        <w:pageBreakBefore w:val="0"/>
        <w:tabs>
          <w:tab w:val="left" w:pos="5580"/>
        </w:tabs>
        <w:kinsoku/>
        <w:wordWrap/>
        <w:overflowPunct/>
        <w:topLinePunct w:val="0"/>
        <w:bidi w:val="0"/>
        <w:spacing w:line="560" w:lineRule="exact"/>
        <w:textAlignment w:val="auto"/>
        <w:rPr>
          <w:rFonts w:hint="eastAsia" w:ascii="宋体" w:hAnsi="宋体" w:eastAsia="宋体" w:cs="宋体"/>
          <w:color w:val="auto"/>
          <w:sz w:val="32"/>
          <w:szCs w:val="32"/>
        </w:rPr>
      </w:pPr>
    </w:p>
    <w:p>
      <w:pPr>
        <w:pStyle w:val="11"/>
        <w:pageBreakBefore w:val="0"/>
        <w:tabs>
          <w:tab w:val="left" w:pos="5580"/>
        </w:tabs>
        <w:kinsoku/>
        <w:wordWrap/>
        <w:overflowPunct/>
        <w:topLinePunct w:val="0"/>
        <w:bidi w:val="0"/>
        <w:spacing w:line="560" w:lineRule="exact"/>
        <w:textAlignment w:val="auto"/>
        <w:rPr>
          <w:rFonts w:hint="eastAsia" w:ascii="宋体" w:hAnsi="宋体" w:eastAsia="宋体" w:cs="宋体"/>
          <w:color w:val="auto"/>
          <w:sz w:val="32"/>
          <w:szCs w:val="32"/>
        </w:rPr>
      </w:pPr>
    </w:p>
    <w:p>
      <w:pPr>
        <w:pStyle w:val="11"/>
        <w:pageBreakBefore w:val="0"/>
        <w:tabs>
          <w:tab w:val="left" w:pos="5580"/>
        </w:tabs>
        <w:kinsoku/>
        <w:wordWrap/>
        <w:overflowPunct/>
        <w:topLinePunct w:val="0"/>
        <w:bidi w:val="0"/>
        <w:spacing w:line="560" w:lineRule="exact"/>
        <w:textAlignment w:val="auto"/>
        <w:rPr>
          <w:rFonts w:hint="eastAsia" w:ascii="宋体" w:hAnsi="宋体" w:eastAsia="宋体" w:cs="宋体"/>
          <w:color w:val="auto"/>
          <w:sz w:val="32"/>
          <w:szCs w:val="32"/>
        </w:rPr>
      </w:pPr>
    </w:p>
    <w:p>
      <w:pPr>
        <w:pStyle w:val="11"/>
        <w:pageBreakBefore w:val="0"/>
        <w:tabs>
          <w:tab w:val="left" w:pos="5580"/>
        </w:tabs>
        <w:kinsoku/>
        <w:wordWrap/>
        <w:overflowPunct/>
        <w:topLinePunct w:val="0"/>
        <w:bidi w:val="0"/>
        <w:spacing w:line="560" w:lineRule="exact"/>
        <w:textAlignment w:val="auto"/>
        <w:rPr>
          <w:rFonts w:hint="eastAsia" w:ascii="宋体" w:hAnsi="宋体" w:eastAsia="宋体" w:cs="宋体"/>
          <w:color w:val="auto"/>
          <w:sz w:val="32"/>
          <w:szCs w:val="32"/>
        </w:rPr>
      </w:pPr>
    </w:p>
    <w:p>
      <w:pPr>
        <w:pageBreakBefore w:val="0"/>
        <w:kinsoku/>
        <w:wordWrap/>
        <w:overflowPunct/>
        <w:topLinePunct w:val="0"/>
        <w:bidi w:val="0"/>
        <w:spacing w:line="560" w:lineRule="exact"/>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pStyle w:val="4"/>
        <w:pageBreakBefore w:val="0"/>
        <w:kinsoku/>
        <w:wordWrap/>
        <w:overflowPunct/>
        <w:topLinePunct w:val="0"/>
        <w:bidi w:val="0"/>
        <w:spacing w:before="0" w:line="560" w:lineRule="exact"/>
        <w:ind w:left="1"/>
        <w:jc w:val="center"/>
        <w:textAlignment w:val="auto"/>
        <w:rPr>
          <w:rFonts w:hint="eastAsia" w:ascii="宋体" w:hAnsi="宋体" w:eastAsia="宋体" w:cs="宋体"/>
          <w:b w:val="0"/>
          <w:bCs w:val="0"/>
          <w:color w:val="auto"/>
          <w:sz w:val="44"/>
          <w:szCs w:val="44"/>
        </w:rPr>
      </w:pPr>
      <w:bookmarkStart w:id="251" w:name="_Toc390"/>
      <w:bookmarkStart w:id="252" w:name="_Toc532473497"/>
      <w:bookmarkStart w:id="253" w:name="_Toc515647807"/>
      <w:bookmarkStart w:id="254" w:name="_Toc1083"/>
      <w:bookmarkStart w:id="255" w:name="_Toc22472"/>
      <w:r>
        <w:rPr>
          <w:rFonts w:hint="eastAsia" w:ascii="宋体" w:hAnsi="宋体" w:eastAsia="宋体" w:cs="宋体"/>
          <w:b w:val="0"/>
          <w:bCs w:val="0"/>
          <w:caps/>
          <w:color w:val="auto"/>
          <w:sz w:val="44"/>
          <w:szCs w:val="44"/>
        </w:rPr>
        <w:t>法定代表人身份证明书</w:t>
      </w:r>
      <w:bookmarkEnd w:id="251"/>
    </w:p>
    <w:bookmarkEnd w:id="252"/>
    <w:p>
      <w:pPr>
        <w:pageBreakBefore w:val="0"/>
        <w:kinsoku/>
        <w:wordWrap/>
        <w:overflowPunct/>
        <w:topLinePunct w:val="0"/>
        <w:bidi w:val="0"/>
        <w:spacing w:line="560" w:lineRule="exact"/>
        <w:textAlignment w:val="auto"/>
        <w:rPr>
          <w:rFonts w:hint="eastAsia" w:ascii="宋体" w:hAnsi="宋体" w:eastAsia="宋体" w:cs="宋体"/>
          <w:color w:val="auto"/>
          <w:szCs w:val="28"/>
          <w:u w:val="single"/>
        </w:rPr>
      </w:pP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（采购代理机构名称）</w:t>
      </w:r>
      <w:r>
        <w:rPr>
          <w:rFonts w:hint="eastAsia" w:ascii="宋体" w:hAnsi="宋体" w:eastAsia="宋体" w:cs="宋体"/>
          <w:color w:val="auto"/>
          <w:sz w:val="24"/>
          <w:szCs w:val="24"/>
        </w:rPr>
        <w:t>：</w:t>
      </w:r>
    </w:p>
    <w:p>
      <w:pPr>
        <w:pageBreakBefore w:val="0"/>
        <w:kinsoku/>
        <w:wordWrap/>
        <w:overflowPunct/>
        <w:topLinePunct w:val="0"/>
        <w:bidi w:val="0"/>
        <w:spacing w:line="560" w:lineRule="exact"/>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（姓名、性别、年龄、身份证号码）在我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"https://baike.baidu.com/item/%E5%8D%95%E4%BD%8D/32292"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单位</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（董事长、总经理等）职务，是我单位的法定代表人。</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pageBreakBefore w:val="0"/>
        <w:kinsoku/>
        <w:wordWrap/>
        <w:overflowPunct/>
        <w:topLinePunct w:val="0"/>
        <w:bidi w:val="0"/>
        <w:spacing w:line="560" w:lineRule="exact"/>
        <w:ind w:firstLine="480"/>
        <w:textAlignment w:val="auto"/>
        <w:rPr>
          <w:rFonts w:hint="eastAsia" w:ascii="宋体" w:hAnsi="宋体" w:eastAsia="宋体" w:cs="宋体"/>
          <w:color w:val="auto"/>
          <w:sz w:val="24"/>
          <w:szCs w:val="24"/>
        </w:rPr>
      </w:pP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投标人（盖</w:t>
      </w:r>
      <w:r>
        <w:rPr>
          <w:rFonts w:hint="eastAsia" w:ascii="宋体" w:hAnsi="宋体" w:eastAsia="宋体" w:cs="宋体"/>
          <w:color w:val="auto"/>
          <w:sz w:val="24"/>
          <w:szCs w:val="24"/>
          <w:lang w:eastAsia="zh-CN"/>
        </w:rPr>
        <w:t>鲜</w:t>
      </w:r>
      <w:r>
        <w:rPr>
          <w:rFonts w:hint="eastAsia" w:ascii="宋体" w:hAnsi="宋体" w:eastAsia="宋体" w:cs="宋体"/>
          <w:color w:val="auto"/>
          <w:sz w:val="24"/>
          <w:szCs w:val="24"/>
        </w:rPr>
        <w:t>章）：</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详细通讯地址：</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邮政编码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传真：</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电话：</w:t>
      </w:r>
    </w:p>
    <w:p>
      <w:pPr>
        <w:pageBreakBefore w:val="0"/>
        <w:kinsoku/>
        <w:wordWrap/>
        <w:overflowPunct/>
        <w:topLinePunct w:val="0"/>
        <w:bidi w:val="0"/>
        <w:spacing w:line="560" w:lineRule="exact"/>
        <w:ind w:firstLine="480"/>
        <w:textAlignment w:val="auto"/>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bookmarkEnd w:id="253"/>
    <w:bookmarkEnd w:id="254"/>
    <w:bookmarkEnd w:id="255"/>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后附法人的身份证复印件并加盖鲜章。</w:t>
      </w:r>
      <w:r>
        <w:rPr>
          <w:rFonts w:hint="eastAsia" w:ascii="宋体" w:hAnsi="宋体" w:eastAsia="宋体" w:cs="宋体"/>
          <w:color w:val="auto"/>
          <w:sz w:val="24"/>
          <w:szCs w:val="24"/>
          <w:lang w:eastAsia="zh-CN"/>
        </w:rPr>
        <w:t>）</w:t>
      </w:r>
    </w:p>
    <w:p>
      <w:pPr>
        <w:pStyle w:val="15"/>
        <w:pageBreakBefore w:val="0"/>
        <w:kinsoku/>
        <w:wordWrap/>
        <w:overflowPunct/>
        <w:topLinePunct w:val="0"/>
        <w:bidi w:val="0"/>
        <w:spacing w:line="560" w:lineRule="exact"/>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r>
        <w:rPr>
          <w:rFonts w:hint="eastAsia" w:ascii="宋体" w:hAnsi="宋体" w:eastAsia="宋体" w:cs="宋体"/>
          <w:color w:val="auto"/>
          <w:szCs w:val="28"/>
        </w:rPr>
        <w:br w:type="page"/>
      </w:r>
    </w:p>
    <w:p>
      <w:pPr>
        <w:pStyle w:val="15"/>
        <w:pageBreakBefore w:val="0"/>
        <w:kinsoku/>
        <w:wordWrap/>
        <w:overflowPunct/>
        <w:topLinePunct w:val="0"/>
        <w:bidi w:val="0"/>
        <w:spacing w:line="560" w:lineRule="exact"/>
        <w:jc w:val="center"/>
        <w:textAlignment w:val="auto"/>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法定代表人授权委托书</w:t>
      </w:r>
    </w:p>
    <w:p>
      <w:pPr>
        <w:pageBreakBefore w:val="0"/>
        <w:kinsoku/>
        <w:wordWrap/>
        <w:overflowPunct/>
        <w:topLinePunct w:val="0"/>
        <w:bidi w:val="0"/>
        <w:spacing w:line="560" w:lineRule="exact"/>
        <w:textAlignment w:val="auto"/>
        <w:rPr>
          <w:rFonts w:hint="eastAsia" w:ascii="宋体" w:hAnsi="宋体" w:eastAsia="宋体" w:cs="宋体"/>
          <w:b/>
          <w:color w:val="auto"/>
          <w:szCs w:val="28"/>
          <w:highlight w:val="red"/>
        </w:rPr>
      </w:pPr>
    </w:p>
    <w:p>
      <w:pPr>
        <w:pageBreakBefore w:val="0"/>
        <w:kinsoku/>
        <w:wordWrap/>
        <w:overflowPunct/>
        <w:topLinePunct w:val="0"/>
        <w:bidi w:val="0"/>
        <w:spacing w:line="5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u w:val="single"/>
        </w:rPr>
        <w:t>（采购人/采购代理机构名称）</w:t>
      </w:r>
      <w:r>
        <w:rPr>
          <w:rFonts w:hint="eastAsia" w:ascii="宋体" w:hAnsi="宋体" w:eastAsia="宋体" w:cs="宋体"/>
          <w:color w:val="auto"/>
          <w:sz w:val="24"/>
          <w:szCs w:val="24"/>
          <w:u w:val="single"/>
          <w:lang w:eastAsia="zh-CN"/>
        </w:rPr>
        <w:t>：</w:t>
      </w:r>
    </w:p>
    <w:p>
      <w:pPr>
        <w:pageBreakBefore w:val="0"/>
        <w:kinsoku/>
        <w:wordWrap/>
        <w:overflowPunct/>
        <w:topLinePunct w:val="0"/>
        <w:bidi w:val="0"/>
        <w:spacing w:line="560" w:lineRule="exact"/>
        <w:ind w:firstLine="6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本授权书声明：</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（供应商名称）的</w:t>
      </w:r>
      <w:r>
        <w:rPr>
          <w:rFonts w:hint="eastAsia" w:ascii="宋体" w:hAnsi="宋体" w:eastAsia="宋体" w:cs="宋体"/>
          <w:bCs/>
          <w:color w:val="auto"/>
          <w:sz w:val="24"/>
          <w:szCs w:val="24"/>
          <w:u w:val="single"/>
        </w:rPr>
        <w:t xml:space="preserve">       （法人代表姓名、职务）</w:t>
      </w:r>
      <w:r>
        <w:rPr>
          <w:rFonts w:hint="eastAsia" w:ascii="宋体" w:hAnsi="宋体" w:eastAsia="宋体" w:cs="宋体"/>
          <w:bCs/>
          <w:color w:val="auto"/>
          <w:sz w:val="24"/>
          <w:szCs w:val="24"/>
        </w:rPr>
        <w:t>授权</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被授权人的姓名、职务）为我方就</w:t>
      </w:r>
      <w:r>
        <w:rPr>
          <w:rFonts w:hint="eastAsia" w:ascii="宋体" w:hAnsi="宋体" w:eastAsia="宋体" w:cs="宋体"/>
          <w:bCs/>
          <w:color w:val="auto"/>
          <w:sz w:val="24"/>
          <w:szCs w:val="24"/>
          <w:u w:val="single"/>
        </w:rPr>
        <w:t xml:space="preserve">        （采购项目名称）</w:t>
      </w:r>
      <w:r>
        <w:rPr>
          <w:rFonts w:hint="eastAsia" w:ascii="宋体" w:hAnsi="宋体" w:eastAsia="宋体" w:cs="宋体"/>
          <w:bCs/>
          <w:color w:val="auto"/>
          <w:sz w:val="24"/>
          <w:szCs w:val="24"/>
        </w:rPr>
        <w:t>购项目投标活动的合法代理人，以我方名义全权处理与该项目有关的一切事务。</w:t>
      </w:r>
    </w:p>
    <w:p>
      <w:pPr>
        <w:pageBreakBefore w:val="0"/>
        <w:kinsoku/>
        <w:wordWrap/>
        <w:overflowPunct/>
        <w:topLinePunct w:val="0"/>
        <w:bidi w:val="0"/>
        <w:spacing w:line="560" w:lineRule="exact"/>
        <w:ind w:firstLine="645"/>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本授权书于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日签字生效,特此声明。</w:t>
      </w:r>
    </w:p>
    <w:p>
      <w:pPr>
        <w:pageBreakBefore w:val="0"/>
        <w:kinsoku/>
        <w:wordWrap/>
        <w:overflowPunct/>
        <w:topLinePunct w:val="0"/>
        <w:bidi w:val="0"/>
        <w:spacing w:line="560" w:lineRule="exact"/>
        <w:ind w:firstLine="645"/>
        <w:textAlignment w:val="auto"/>
        <w:rPr>
          <w:rFonts w:hint="eastAsia" w:ascii="宋体" w:hAnsi="宋体" w:eastAsia="宋体" w:cs="宋体"/>
          <w:bCs/>
          <w:color w:val="auto"/>
          <w:sz w:val="24"/>
          <w:szCs w:val="24"/>
        </w:rPr>
      </w:pP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投标人（盖鲜章）：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法定代表人（签字或签章）：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身份证号：</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联系电话：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委托代理人（签字或签章）：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身份证号：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联系电话：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详细通讯地址：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邮 政 编 码 ：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传真：                                       </w:t>
      </w:r>
    </w:p>
    <w:p>
      <w:pPr>
        <w:pStyle w:val="11"/>
        <w:pageBreakBefore w:val="0"/>
        <w:tabs>
          <w:tab w:val="left" w:pos="5580"/>
        </w:tabs>
        <w:kinsoku/>
        <w:wordWrap/>
        <w:overflowPunct/>
        <w:topLinePunct w:val="0"/>
        <w:bidi w:val="0"/>
        <w:spacing w:line="560" w:lineRule="exact"/>
        <w:ind w:firstLine="480" w:firstLineChars="200"/>
        <w:textAlignment w:val="auto"/>
        <w:rPr>
          <w:rFonts w:hint="eastAsia" w:ascii="宋体" w:hAnsi="宋体" w:eastAsia="宋体" w:cs="宋体"/>
          <w:bCs/>
          <w:color w:val="auto"/>
          <w:sz w:val="24"/>
          <w:szCs w:val="24"/>
          <w:u w:val="none" w:color="auto"/>
        </w:rPr>
      </w:pPr>
      <w:r>
        <w:rPr>
          <w:rFonts w:hint="eastAsia" w:ascii="宋体" w:hAnsi="宋体" w:eastAsia="宋体" w:cs="宋体"/>
          <w:color w:val="auto"/>
          <w:sz w:val="24"/>
          <w:szCs w:val="24"/>
          <w:u w:val="none" w:color="auto"/>
        </w:rPr>
        <w:t xml:space="preserve">电话：                                         </w:t>
      </w:r>
    </w:p>
    <w:p>
      <w:pPr>
        <w:pageBreakBefore w:val="0"/>
        <w:kinsoku/>
        <w:wordWrap/>
        <w:overflowPunct/>
        <w:topLinePunct w:val="0"/>
        <w:bidi w:val="0"/>
        <w:adjustRightInd w:val="0"/>
        <w:snapToGrid w:val="0"/>
        <w:spacing w:line="560" w:lineRule="exact"/>
        <w:ind w:firstLine="460" w:firstLineChars="192"/>
        <w:textAlignment w:val="auto"/>
        <w:rPr>
          <w:rFonts w:hint="eastAsia" w:ascii="宋体" w:hAnsi="宋体" w:eastAsia="宋体" w:cs="宋体"/>
          <w:bCs/>
          <w:color w:val="auto"/>
          <w:sz w:val="24"/>
          <w:szCs w:val="24"/>
        </w:rPr>
      </w:pPr>
    </w:p>
    <w:p>
      <w:pPr>
        <w:pageBreakBefore w:val="0"/>
        <w:kinsoku/>
        <w:wordWrap/>
        <w:overflowPunct/>
        <w:topLinePunct w:val="0"/>
        <w:bidi w:val="0"/>
        <w:adjustRightInd w:val="0"/>
        <w:snapToGrid w:val="0"/>
        <w:spacing w:line="560" w:lineRule="exact"/>
        <w:ind w:firstLine="460" w:firstLineChars="192"/>
        <w:textAlignment w:val="auto"/>
        <w:rPr>
          <w:rFonts w:hint="eastAsia" w:ascii="宋体" w:hAnsi="宋体" w:eastAsia="宋体" w:cs="宋体"/>
          <w:bCs/>
          <w:color w:val="auto"/>
          <w:sz w:val="24"/>
          <w:szCs w:val="24"/>
        </w:rPr>
      </w:pPr>
    </w:p>
    <w:p>
      <w:pPr>
        <w:pageBreakBefore w:val="0"/>
        <w:kinsoku/>
        <w:wordWrap/>
        <w:overflowPunct/>
        <w:topLinePunct w:val="0"/>
        <w:bidi w:val="0"/>
        <w:adjustRightInd w:val="0"/>
        <w:snapToGrid w:val="0"/>
        <w:spacing w:line="560" w:lineRule="exact"/>
        <w:ind w:firstLine="460" w:firstLineChars="192"/>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后</w:t>
      </w:r>
      <w:r>
        <w:rPr>
          <w:rFonts w:hint="eastAsia" w:ascii="宋体" w:hAnsi="宋体" w:eastAsia="宋体" w:cs="宋体"/>
          <w:bCs/>
          <w:color w:val="auto"/>
          <w:sz w:val="24"/>
          <w:szCs w:val="24"/>
        </w:rPr>
        <w:t xml:space="preserve">附法人及代理人身份证复印件） </w:t>
      </w:r>
    </w:p>
    <w:p>
      <w:pPr>
        <w:pageBreakBefore w:val="0"/>
        <w:kinsoku/>
        <w:wordWrap/>
        <w:overflowPunct/>
        <w:topLinePunct w:val="0"/>
        <w:bidi w:val="0"/>
        <w:adjustRightInd w:val="0"/>
        <w:snapToGrid w:val="0"/>
        <w:spacing w:line="560" w:lineRule="exact"/>
        <w:ind w:firstLine="460" w:firstLineChars="192"/>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注：自然人投标的或法定代表人投标的无需提供</w:t>
      </w:r>
    </w:p>
    <w:p>
      <w:pPr>
        <w:pStyle w:val="4"/>
        <w:pageBreakBefore w:val="0"/>
        <w:numPr>
          <w:ilvl w:val="0"/>
          <w:numId w:val="0"/>
        </w:numPr>
        <w:kinsoku/>
        <w:wordWrap/>
        <w:overflowPunct/>
        <w:topLinePunct w:val="0"/>
        <w:bidi w:val="0"/>
        <w:spacing w:before="0" w:line="560" w:lineRule="exact"/>
        <w:jc w:val="both"/>
        <w:textAlignment w:val="auto"/>
        <w:rPr>
          <w:rFonts w:hint="eastAsia" w:ascii="宋体" w:hAnsi="宋体" w:eastAsia="宋体" w:cs="宋体"/>
          <w:color w:val="auto"/>
          <w:sz w:val="28"/>
          <w:szCs w:val="28"/>
        </w:rPr>
      </w:pPr>
      <w:bookmarkStart w:id="256" w:name="_Toc2582314"/>
      <w:r>
        <w:rPr>
          <w:rFonts w:hint="eastAsia" w:ascii="宋体" w:hAnsi="宋体" w:eastAsia="宋体" w:cs="宋体"/>
          <w:color w:val="auto"/>
          <w:sz w:val="28"/>
          <w:szCs w:val="28"/>
        </w:rPr>
        <w:t>投标保证承诺书</w:t>
      </w:r>
    </w:p>
    <w:p>
      <w:pPr>
        <w:pageBreakBefore w:val="0"/>
        <w:kinsoku/>
        <w:wordWrap/>
        <w:overflowPunct/>
        <w:topLinePunct w:val="0"/>
        <w:bidi w:val="0"/>
        <w:spacing w:line="560" w:lineRule="exact"/>
        <w:ind w:firstLine="600"/>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资格承诺函</w:t>
      </w:r>
    </w:p>
    <w:p>
      <w:pPr>
        <w:pageBreakBefore w:val="0"/>
        <w:kinsoku/>
        <w:wordWrap/>
        <w:overflowPunct/>
        <w:topLinePunct w:val="0"/>
        <w:bidi w:val="0"/>
        <w:spacing w:line="560" w:lineRule="exact"/>
        <w:textAlignment w:val="auto"/>
        <w:rPr>
          <w:rFonts w:hint="eastAsia" w:ascii="宋体" w:hAnsi="宋体" w:eastAsia="宋体" w:cs="宋体"/>
          <w:color w:val="auto"/>
          <w:szCs w:val="28"/>
          <w:u w:val="none"/>
        </w:rPr>
      </w:pPr>
    </w:p>
    <w:p>
      <w:pPr>
        <w:pageBreakBefore w:val="0"/>
        <w:kinsoku/>
        <w:wordWrap/>
        <w:overflowPunct/>
        <w:topLinePunct w:val="0"/>
        <w:bidi w:val="0"/>
        <w:spacing w:line="560" w:lineRule="exact"/>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lang w:val="en-US" w:eastAsia="zh-CN"/>
        </w:rPr>
        <w:t>宁夏中世联众工程咨询有限公司</w:t>
      </w:r>
      <w:r>
        <w:rPr>
          <w:rFonts w:hint="eastAsia" w:ascii="宋体" w:hAnsi="宋体" w:eastAsia="宋体" w:cs="宋体"/>
          <w:color w:val="auto"/>
          <w:sz w:val="24"/>
          <w:szCs w:val="24"/>
          <w:u w:val="none"/>
          <w:lang w:eastAsia="zh-CN"/>
        </w:rPr>
        <w:t>：</w:t>
      </w:r>
    </w:p>
    <w:p>
      <w:pPr>
        <w:pageBreakBefore w:val="0"/>
        <w:kinsoku/>
        <w:wordWrap/>
        <w:overflowPunct/>
        <w:topLinePunct w:val="0"/>
        <w:bidi w:val="0"/>
        <w:spacing w:line="560" w:lineRule="exact"/>
        <w:ind w:firstLine="6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公司/单位名称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简称公司/</w:t>
      </w:r>
      <w:r>
        <w:rPr>
          <w:rFonts w:hint="eastAsia" w:ascii="宋体" w:hAnsi="宋体" w:eastAsia="宋体" w:cs="宋体"/>
          <w:color w:val="auto"/>
          <w:sz w:val="24"/>
          <w:szCs w:val="24"/>
        </w:rPr>
        <w:t>单位）自愿参加</w:t>
      </w:r>
      <w:r>
        <w:rPr>
          <w:rFonts w:hint="eastAsia" w:ascii="宋体" w:hAnsi="宋体" w:eastAsia="宋体" w:cs="宋体"/>
          <w:color w:val="auto"/>
          <w:sz w:val="24"/>
          <w:szCs w:val="24"/>
          <w:u w:val="single"/>
        </w:rPr>
        <w:t xml:space="preserve">              （项目名称和招标编号）</w:t>
      </w:r>
      <w:r>
        <w:rPr>
          <w:rFonts w:hint="eastAsia" w:ascii="宋体" w:hAnsi="宋体" w:eastAsia="宋体" w:cs="宋体"/>
          <w:color w:val="auto"/>
          <w:sz w:val="24"/>
          <w:szCs w:val="24"/>
        </w:rPr>
        <w:t>的投标,并做出如下承诺：</w:t>
      </w:r>
    </w:p>
    <w:p>
      <w:pPr>
        <w:pageBreakBefore w:val="0"/>
        <w:kinsoku/>
        <w:wordWrap/>
        <w:overflowPunct/>
        <w:topLinePunct w:val="0"/>
        <w:bidi w:val="0"/>
        <w:spacing w:line="560" w:lineRule="exact"/>
        <w:ind w:firstLine="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一、除不可抗力外，我单位如果发生以下行为，将在行为发生的10个工作日内，向贵方（或采购人）支付本招标文件公布的预算金额（或最高限价）的2%作为违约赔偿金。</w:t>
      </w:r>
    </w:p>
    <w:p>
      <w:pPr>
        <w:pStyle w:val="28"/>
        <w:pageBreakBefore w:val="0"/>
        <w:kinsoku/>
        <w:wordWrap/>
        <w:overflowPunct/>
        <w:topLinePunct w:val="0"/>
        <w:bidi w:val="0"/>
        <w:spacing w:line="560" w:lineRule="exact"/>
        <w:ind w:left="567"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1.自投标截止时间至本项目发布中标公告为止，撤销投标；</w:t>
      </w:r>
    </w:p>
    <w:p>
      <w:pPr>
        <w:pStyle w:val="28"/>
        <w:pageBreakBefore w:val="0"/>
        <w:kinsoku/>
        <w:wordWrap/>
        <w:overflowPunct/>
        <w:topLinePunct w:val="0"/>
        <w:bidi w:val="0"/>
        <w:spacing w:line="560" w:lineRule="exact"/>
        <w:ind w:left="567"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2.中标后不依法与采购人签订合同；</w:t>
      </w:r>
    </w:p>
    <w:p>
      <w:pPr>
        <w:pStyle w:val="28"/>
        <w:pageBreakBefore w:val="0"/>
        <w:kinsoku/>
        <w:wordWrap/>
        <w:overflowPunct/>
        <w:topLinePunct w:val="0"/>
        <w:bidi w:val="0"/>
        <w:spacing w:line="560" w:lineRule="exact"/>
        <w:ind w:left="567"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3.中标后不按照本招标文件规定向采购人提交履约保证金；</w:t>
      </w:r>
    </w:p>
    <w:p>
      <w:pPr>
        <w:pStyle w:val="28"/>
        <w:pageBreakBefore w:val="0"/>
        <w:kinsoku/>
        <w:wordWrap/>
        <w:overflowPunct/>
        <w:topLinePunct w:val="0"/>
        <w:bidi w:val="0"/>
        <w:spacing w:line="560" w:lineRule="exact"/>
        <w:ind w:left="567"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4.中标后不按照本招标文件规定向贵方缴纳招标代理费。</w:t>
      </w:r>
    </w:p>
    <w:p>
      <w:pPr>
        <w:pageBreakBefore w:val="0"/>
        <w:kinsoku/>
        <w:wordWrap/>
        <w:overflowPunct/>
        <w:topLinePunct w:val="0"/>
        <w:bidi w:val="0"/>
        <w:spacing w:line="560" w:lineRule="exact"/>
        <w:ind w:firstLine="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二、我单位知晓上述行为的法律后果，承认本承诺书作为贵方（或采购人）要求我单位履行违约赔偿义务的依据作用。</w:t>
      </w:r>
    </w:p>
    <w:p>
      <w:pPr>
        <w:pageBreakBefore w:val="0"/>
        <w:kinsoku/>
        <w:wordWrap/>
        <w:overflowPunct/>
        <w:topLinePunct w:val="0"/>
        <w:bidi w:val="0"/>
        <w:spacing w:line="560" w:lineRule="exact"/>
        <w:jc w:val="left"/>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left="1604" w:leftChars="273" w:hanging="840" w:hangingChars="3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投标人（盖</w:t>
      </w:r>
      <w:r>
        <w:rPr>
          <w:rFonts w:hint="eastAsia" w:ascii="宋体" w:hAnsi="宋体" w:eastAsia="宋体" w:cs="宋体"/>
          <w:color w:val="auto"/>
          <w:sz w:val="24"/>
          <w:szCs w:val="24"/>
          <w:lang w:eastAsia="zh-CN"/>
        </w:rPr>
        <w:t>鲜</w:t>
      </w:r>
      <w:r>
        <w:rPr>
          <w:rFonts w:hint="eastAsia" w:ascii="宋体" w:hAnsi="宋体" w:eastAsia="宋体" w:cs="宋体"/>
          <w:color w:val="auto"/>
          <w:sz w:val="24"/>
          <w:szCs w:val="24"/>
        </w:rPr>
        <w:t>章）：</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电话：</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传真：</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电子邮件：</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邮编：</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法定代表人或委托代理人(签字或签章)：</w:t>
      </w:r>
    </w:p>
    <w:p>
      <w:pPr>
        <w:pageBreakBefore w:val="0"/>
        <w:kinsoku/>
        <w:wordWrap/>
        <w:overflowPunct/>
        <w:topLinePunct w:val="0"/>
        <w:bidi w:val="0"/>
        <w:spacing w:line="560" w:lineRule="exact"/>
        <w:ind w:left="1799" w:leftChars="257" w:hanging="10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p>
    <w:p>
      <w:pPr>
        <w:pStyle w:val="5"/>
        <w:pageBreakBefore w:val="0"/>
        <w:kinsoku/>
        <w:wordWrap/>
        <w:overflowPunct/>
        <w:topLinePunct w:val="0"/>
        <w:bidi w:val="0"/>
        <w:spacing w:line="560" w:lineRule="exact"/>
        <w:textAlignment w:val="auto"/>
        <w:rPr>
          <w:rFonts w:hint="eastAsia" w:ascii="宋体" w:hAnsi="宋体" w:eastAsia="宋体" w:cs="宋体"/>
          <w:color w:val="auto"/>
          <w:sz w:val="28"/>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r>
        <w:rPr>
          <w:rFonts w:hint="eastAsia" w:ascii="宋体" w:hAnsi="宋体" w:eastAsia="宋体" w:cs="宋体"/>
          <w:color w:val="auto"/>
          <w:szCs w:val="28"/>
        </w:rPr>
        <w:br w:type="page"/>
      </w:r>
    </w:p>
    <w:p>
      <w:pPr>
        <w:pStyle w:val="4"/>
        <w:pageBreakBefore w:val="0"/>
        <w:numPr>
          <w:ilvl w:val="0"/>
          <w:numId w:val="0"/>
        </w:numPr>
        <w:kinsoku/>
        <w:wordWrap/>
        <w:overflowPunct/>
        <w:topLinePunct w:val="0"/>
        <w:bidi w:val="0"/>
        <w:spacing w:before="0" w:line="56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具有良好的商业信誉和健全的财务会计制度承诺书</w:t>
      </w:r>
      <w:bookmarkEnd w:id="256"/>
    </w:p>
    <w:p>
      <w:pPr>
        <w:pageBreakBefore w:val="0"/>
        <w:kinsoku/>
        <w:wordWrap/>
        <w:overflowPunct/>
        <w:topLinePunct w:val="0"/>
        <w:bidi w:val="0"/>
        <w:spacing w:line="560" w:lineRule="exact"/>
        <w:jc w:val="center"/>
        <w:textAlignment w:val="auto"/>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资格承诺函</w:t>
      </w: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single"/>
        </w:rPr>
        <w:t>（采购人、采购代理机构）</w:t>
      </w:r>
      <w:r>
        <w:rPr>
          <w:rFonts w:hint="eastAsia" w:ascii="宋体" w:hAnsi="宋体" w:eastAsia="宋体" w:cs="宋体"/>
          <w:color w:val="auto"/>
          <w:sz w:val="24"/>
          <w:szCs w:val="24"/>
          <w:u w:val="single"/>
          <w:lang w:eastAsia="zh-CN"/>
        </w:rPr>
        <w:t>：</w:t>
      </w:r>
    </w:p>
    <w:p>
      <w:pPr>
        <w:pageBreakBefore w:val="0"/>
        <w:kinsoku/>
        <w:wordWrap/>
        <w:overflowPunct/>
        <w:topLinePunct w:val="0"/>
        <w:bidi w:val="0"/>
        <w:spacing w:line="560" w:lineRule="exact"/>
        <w:ind w:firstLine="64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公司/单位名称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简称公司/</w:t>
      </w:r>
      <w:r>
        <w:rPr>
          <w:rFonts w:hint="eastAsia" w:ascii="宋体" w:hAnsi="宋体" w:eastAsia="宋体" w:cs="宋体"/>
          <w:color w:val="auto"/>
          <w:sz w:val="24"/>
          <w:szCs w:val="24"/>
        </w:rPr>
        <w:t>单位）参与</w:t>
      </w:r>
      <w:r>
        <w:rPr>
          <w:rFonts w:hint="eastAsia" w:ascii="宋体" w:hAnsi="宋体" w:eastAsia="宋体" w:cs="宋体"/>
          <w:color w:val="auto"/>
          <w:sz w:val="24"/>
          <w:szCs w:val="24"/>
          <w:u w:val="single"/>
        </w:rPr>
        <w:t>（项目名称）（项目编号：         ）</w:t>
      </w:r>
      <w:r>
        <w:rPr>
          <w:rFonts w:hint="eastAsia" w:ascii="宋体" w:hAnsi="宋体" w:eastAsia="宋体" w:cs="宋体"/>
          <w:color w:val="auto"/>
          <w:sz w:val="24"/>
          <w:szCs w:val="24"/>
        </w:rPr>
        <w:t>项目的政府采购活动，现承诺如下：</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我单位具有符合《中华人民共和国政府采购法》《中华人民共和国政府采购法实施条例》及采购文件资格要求规定的良好的商业信誉和健全的财务会计制度。</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若我单位以上承诺不实，自愿承担提供虚假材料谋取中标、成交的法律责任。</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firstLine="2884" w:firstLineChars="120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承诺供应商（全称并加盖</w:t>
      </w:r>
      <w:r>
        <w:rPr>
          <w:rFonts w:hint="eastAsia" w:ascii="宋体" w:hAnsi="宋体" w:eastAsia="宋体" w:cs="宋体"/>
          <w:color w:val="auto"/>
          <w:sz w:val="24"/>
          <w:szCs w:val="24"/>
          <w:lang w:eastAsia="zh-CN"/>
        </w:rPr>
        <w:t>鲜</w:t>
      </w:r>
      <w:r>
        <w:rPr>
          <w:rFonts w:hint="eastAsia" w:ascii="宋体" w:hAnsi="宋体" w:eastAsia="宋体" w:cs="宋体"/>
          <w:color w:val="auto"/>
          <w:sz w:val="24"/>
          <w:szCs w:val="24"/>
        </w:rPr>
        <w:t xml:space="preserve">章）： </w:t>
      </w:r>
    </w:p>
    <w:p>
      <w:pPr>
        <w:pageBreakBefore w:val="0"/>
        <w:kinsoku/>
        <w:wordWrap/>
        <w:overflowPunct/>
        <w:topLinePunct w:val="0"/>
        <w:bidi w:val="0"/>
        <w:spacing w:line="560" w:lineRule="exact"/>
        <w:ind w:firstLine="2884" w:firstLineChars="120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单位负责人或授权代表（签字）：</w:t>
      </w:r>
    </w:p>
    <w:p>
      <w:pPr>
        <w:pageBreakBefore w:val="0"/>
        <w:kinsoku/>
        <w:wordWrap/>
        <w:overflowPunct/>
        <w:topLinePunct w:val="0"/>
        <w:bidi w:val="0"/>
        <w:spacing w:line="560" w:lineRule="exact"/>
        <w:ind w:firstLine="5760" w:firstLineChars="2400"/>
        <w:textAlignment w:val="auto"/>
        <w:rPr>
          <w:rFonts w:hint="eastAsia" w:ascii="宋体" w:hAnsi="宋体" w:eastAsia="宋体" w:cs="宋体"/>
          <w:color w:val="auto"/>
          <w:szCs w:val="28"/>
        </w:rPr>
      </w:pPr>
      <w:r>
        <w:rPr>
          <w:rFonts w:hint="eastAsia" w:ascii="宋体" w:hAnsi="宋体" w:eastAsia="宋体" w:cs="宋体"/>
          <w:color w:val="auto"/>
          <w:sz w:val="24"/>
          <w:szCs w:val="24"/>
        </w:rPr>
        <w:t>日期：</w:t>
      </w: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说明：供应商可自行选择是否提供本承诺函，若不提供本承诺函，应按《中华人民共和国政府采购法》《中华人民共和国政府采购法实施条例》及采购文件资格要求提供相应的证明材料。</w:t>
      </w:r>
    </w:p>
    <w:p>
      <w:pPr>
        <w:pageBreakBefore w:val="0"/>
        <w:tabs>
          <w:tab w:val="left" w:pos="5580"/>
        </w:tabs>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（投标人承诺良好的商业信誉和健全的财务会计制度；若为联合体投标，联合体各方均需提供承诺书）</w:t>
      </w:r>
    </w:p>
    <w:p>
      <w:pPr>
        <w:pStyle w:val="4"/>
        <w:pageBreakBefore w:val="0"/>
        <w:kinsoku/>
        <w:wordWrap/>
        <w:overflowPunct/>
        <w:topLinePunct w:val="0"/>
        <w:bidi w:val="0"/>
        <w:spacing w:before="0" w:line="560" w:lineRule="exact"/>
        <w:ind w:left="1259" w:leftChars="257" w:hanging="540"/>
        <w:textAlignment w:val="auto"/>
        <w:rPr>
          <w:rFonts w:hint="eastAsia" w:ascii="宋体" w:hAnsi="宋体" w:eastAsia="宋体" w:cs="宋体"/>
          <w:color w:val="auto"/>
          <w:sz w:val="24"/>
          <w:szCs w:val="24"/>
        </w:rPr>
        <w:sectPr>
          <w:pgSz w:w="11906" w:h="16838"/>
          <w:pgMar w:top="1440" w:right="1474" w:bottom="1440" w:left="1587" w:header="851" w:footer="992" w:gutter="0"/>
          <w:pgNumType w:fmt="decimal"/>
          <w:cols w:space="0" w:num="1"/>
          <w:rtlGutter w:val="0"/>
          <w:docGrid w:type="linesAndChars" w:linePitch="312" w:charSpace="200"/>
        </w:sectPr>
      </w:pPr>
    </w:p>
    <w:p>
      <w:pPr>
        <w:pStyle w:val="4"/>
        <w:pageBreakBefore w:val="0"/>
        <w:kinsoku/>
        <w:wordWrap/>
        <w:overflowPunct/>
        <w:topLinePunct w:val="0"/>
        <w:bidi w:val="0"/>
        <w:spacing w:before="0" w:line="56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依法缴纳社会保障资金的缴纳记录和税收的承诺书</w:t>
      </w:r>
    </w:p>
    <w:p>
      <w:pPr>
        <w:pageBreakBefore w:val="0"/>
        <w:kinsoku/>
        <w:wordWrap/>
        <w:overflowPunct/>
        <w:topLinePunct w:val="0"/>
        <w:bidi w:val="0"/>
        <w:spacing w:line="560" w:lineRule="exact"/>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资格承诺函</w:t>
      </w: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single"/>
        </w:rPr>
        <w:t>（采购人、采购代理机构）</w:t>
      </w:r>
      <w:r>
        <w:rPr>
          <w:rFonts w:hint="eastAsia" w:ascii="宋体" w:hAnsi="宋体" w:eastAsia="宋体" w:cs="宋体"/>
          <w:color w:val="auto"/>
          <w:sz w:val="24"/>
          <w:szCs w:val="24"/>
          <w:u w:val="single"/>
          <w:lang w:eastAsia="zh-CN"/>
        </w:rPr>
        <w:t>：</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公司/单位名称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简称公司/</w:t>
      </w:r>
      <w:r>
        <w:rPr>
          <w:rFonts w:hint="eastAsia" w:ascii="宋体" w:hAnsi="宋体" w:eastAsia="宋体" w:cs="宋体"/>
          <w:color w:val="auto"/>
          <w:sz w:val="24"/>
          <w:szCs w:val="24"/>
        </w:rPr>
        <w:t>单位）参与</w:t>
      </w:r>
      <w:r>
        <w:rPr>
          <w:rFonts w:hint="eastAsia" w:ascii="宋体" w:hAnsi="宋体" w:eastAsia="宋体" w:cs="宋体"/>
          <w:color w:val="auto"/>
          <w:sz w:val="24"/>
          <w:szCs w:val="24"/>
          <w:u w:val="single"/>
        </w:rPr>
        <w:t>（项目名称）（项目编号：         ）</w:t>
      </w:r>
      <w:r>
        <w:rPr>
          <w:rFonts w:hint="eastAsia" w:ascii="宋体" w:hAnsi="宋体" w:eastAsia="宋体" w:cs="宋体"/>
          <w:color w:val="auto"/>
          <w:sz w:val="24"/>
          <w:szCs w:val="24"/>
        </w:rPr>
        <w:t>项目的政府采购活动，现承诺如下：</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我单位符合《中华人民共和国政府采购法》《中华人民共和国政府采购法实施条例》及采购文件资格要求规定的依法缴纳税收和社会保障资金。</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若我单位以上承诺不实，自愿承担提供虚假材料谋取中标、成交的法律责任。</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firstLine="2644" w:firstLineChars="110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承诺供应商（全称并加盖</w:t>
      </w:r>
      <w:r>
        <w:rPr>
          <w:rFonts w:hint="eastAsia" w:ascii="宋体" w:hAnsi="宋体" w:eastAsia="宋体" w:cs="宋体"/>
          <w:color w:val="auto"/>
          <w:sz w:val="24"/>
          <w:szCs w:val="24"/>
          <w:lang w:eastAsia="zh-CN"/>
        </w:rPr>
        <w:t>鲜</w:t>
      </w:r>
      <w:r>
        <w:rPr>
          <w:rFonts w:hint="eastAsia" w:ascii="宋体" w:hAnsi="宋体" w:eastAsia="宋体" w:cs="宋体"/>
          <w:color w:val="auto"/>
          <w:sz w:val="24"/>
          <w:szCs w:val="24"/>
        </w:rPr>
        <w:t>章）：</w:t>
      </w:r>
    </w:p>
    <w:p>
      <w:pPr>
        <w:pageBreakBefore w:val="0"/>
        <w:kinsoku/>
        <w:wordWrap/>
        <w:overflowPunct/>
        <w:topLinePunct w:val="0"/>
        <w:bidi w:val="0"/>
        <w:spacing w:line="560" w:lineRule="exact"/>
        <w:ind w:firstLine="2644" w:firstLineChars="110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单位负责人或授权代表（签字）： </w:t>
      </w:r>
    </w:p>
    <w:p>
      <w:pPr>
        <w:pageBreakBefore w:val="0"/>
        <w:kinsoku/>
        <w:wordWrap/>
        <w:overflowPunct/>
        <w:topLinePunct w:val="0"/>
        <w:bidi w:val="0"/>
        <w:spacing w:line="560" w:lineRule="exact"/>
        <w:ind w:firstLine="5524" w:firstLineChars="2302"/>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Cs w:val="28"/>
          <w:u w:val="single"/>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说明：供应商可自行选择是否提供本承诺函，若不提供本承诺函，应按《中华人民共和国政府采购法》《中华人民共和国政府采购法实施条例》及采购文件资格要求提供相应的证明材料。</w:t>
      </w:r>
    </w:p>
    <w:p>
      <w:pPr>
        <w:pageBreakBefore w:val="0"/>
        <w:tabs>
          <w:tab w:val="left" w:pos="5580"/>
        </w:tabs>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（投标人承诺依法缴纳社会保障资金和税收；若为联合体投标，联合体各方均需提供承诺书）</w:t>
      </w:r>
    </w:p>
    <w:p>
      <w:pPr>
        <w:pageBreakBefore w:val="0"/>
        <w:kinsoku/>
        <w:wordWrap/>
        <w:overflowPunct/>
        <w:topLinePunct w:val="0"/>
        <w:bidi w:val="0"/>
        <w:spacing w:line="560" w:lineRule="exact"/>
        <w:textAlignment w:val="auto"/>
        <w:rPr>
          <w:rFonts w:hint="eastAsia" w:ascii="宋体" w:hAnsi="宋体" w:eastAsia="宋体" w:cs="宋体"/>
          <w:color w:val="auto"/>
          <w:szCs w:val="28"/>
        </w:rPr>
      </w:pPr>
      <w:r>
        <w:rPr>
          <w:rFonts w:hint="eastAsia" w:ascii="宋体" w:hAnsi="宋体" w:eastAsia="宋体" w:cs="宋体"/>
          <w:b/>
          <w:bCs/>
          <w:caps/>
          <w:color w:val="auto"/>
          <w:szCs w:val="28"/>
        </w:rPr>
        <w:br w:type="page"/>
      </w:r>
    </w:p>
    <w:p>
      <w:pPr>
        <w:pStyle w:val="4"/>
        <w:pageBreakBefore w:val="0"/>
        <w:numPr>
          <w:ilvl w:val="0"/>
          <w:numId w:val="0"/>
        </w:numPr>
        <w:kinsoku/>
        <w:wordWrap/>
        <w:overflowPunct/>
        <w:topLinePunct w:val="0"/>
        <w:bidi w:val="0"/>
        <w:spacing w:before="0" w:line="56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参加政府采购活动前3年内</w:t>
      </w:r>
      <w:bookmarkStart w:id="257" w:name="_Toc515647812"/>
      <w:bookmarkStart w:id="258" w:name="_Toc1137"/>
      <w:bookmarkStart w:id="259" w:name="_Toc6008"/>
      <w:r>
        <w:rPr>
          <w:rFonts w:hint="eastAsia" w:ascii="宋体" w:hAnsi="宋体" w:eastAsia="宋体" w:cs="宋体"/>
          <w:color w:val="auto"/>
          <w:sz w:val="28"/>
          <w:szCs w:val="28"/>
        </w:rPr>
        <w:t>在经营活动中没有重大违法记录的</w:t>
      </w:r>
      <w:bookmarkEnd w:id="257"/>
      <w:bookmarkEnd w:id="258"/>
      <w:bookmarkEnd w:id="259"/>
      <w:r>
        <w:rPr>
          <w:rFonts w:hint="eastAsia" w:ascii="宋体" w:hAnsi="宋体" w:eastAsia="宋体" w:cs="宋体"/>
          <w:color w:val="auto"/>
          <w:sz w:val="28"/>
          <w:szCs w:val="28"/>
        </w:rPr>
        <w:t>承诺书</w:t>
      </w:r>
    </w:p>
    <w:p>
      <w:pPr>
        <w:pageBreakBefore w:val="0"/>
        <w:kinsoku/>
        <w:wordWrap/>
        <w:overflowPunct/>
        <w:topLinePunct w:val="0"/>
        <w:bidi w:val="0"/>
        <w:spacing w:line="560" w:lineRule="exact"/>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资格承诺函</w:t>
      </w: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u w:val="single"/>
        </w:rPr>
        <w:t>（采购人、采购代理机构）</w:t>
      </w:r>
      <w:r>
        <w:rPr>
          <w:rFonts w:hint="eastAsia" w:ascii="宋体" w:hAnsi="宋体" w:eastAsia="宋体" w:cs="宋体"/>
          <w:color w:val="auto"/>
          <w:sz w:val="24"/>
          <w:szCs w:val="24"/>
          <w:u w:val="single"/>
          <w:lang w:eastAsia="zh-CN"/>
        </w:rPr>
        <w:t>：</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公司/单位名称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简称公司/</w:t>
      </w:r>
      <w:r>
        <w:rPr>
          <w:rFonts w:hint="eastAsia" w:ascii="宋体" w:hAnsi="宋体" w:eastAsia="宋体" w:cs="宋体"/>
          <w:color w:val="auto"/>
          <w:sz w:val="24"/>
          <w:szCs w:val="24"/>
        </w:rPr>
        <w:t>单位）参与</w:t>
      </w:r>
      <w:r>
        <w:rPr>
          <w:rFonts w:hint="eastAsia" w:ascii="宋体" w:hAnsi="宋体" w:eastAsia="宋体" w:cs="宋体"/>
          <w:color w:val="auto"/>
          <w:sz w:val="24"/>
          <w:szCs w:val="24"/>
          <w:u w:val="single"/>
        </w:rPr>
        <w:t>（项目名称）（项目编号：         ）</w:t>
      </w:r>
      <w:r>
        <w:rPr>
          <w:rFonts w:hint="eastAsia" w:ascii="宋体" w:hAnsi="宋体" w:eastAsia="宋体" w:cs="宋体"/>
          <w:color w:val="auto"/>
          <w:sz w:val="24"/>
          <w:szCs w:val="24"/>
        </w:rPr>
        <w:t>项目的政府采购活动，现承诺如下：</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我单位符合《中华人民共和国政府采购法》《中华人民共和国政府采购法实施条例》及采购文件资格要求规定的参加政府采购活动前三年内，在经营活动中没有重大违法记录。</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若我单位以上承诺不实，自愿承担提供虚假材料谋取中标、成交的法律责任。</w:t>
      </w:r>
    </w:p>
    <w:p>
      <w:pPr>
        <w:pageBreakBefore w:val="0"/>
        <w:kinsoku/>
        <w:wordWrap/>
        <w:overflowPunct/>
        <w:topLinePunct w:val="0"/>
        <w:bidi w:val="0"/>
        <w:spacing w:line="560" w:lineRule="exact"/>
        <w:textAlignment w:val="auto"/>
        <w:rPr>
          <w:rFonts w:hint="eastAsia" w:ascii="宋体" w:hAnsi="宋体" w:eastAsia="宋体" w:cs="宋体"/>
          <w:color w:val="auto"/>
          <w:sz w:val="24"/>
          <w:szCs w:val="24"/>
        </w:rPr>
      </w:pPr>
    </w:p>
    <w:p>
      <w:pPr>
        <w:pageBreakBefore w:val="0"/>
        <w:kinsoku/>
        <w:wordWrap/>
        <w:overflowPunct/>
        <w:topLinePunct w:val="0"/>
        <w:bidi w:val="0"/>
        <w:spacing w:line="560" w:lineRule="exact"/>
        <w:ind w:firstLine="3124" w:firstLineChars="130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承诺供应商（全称并加盖鲜章）： </w:t>
      </w:r>
    </w:p>
    <w:p>
      <w:pPr>
        <w:pageBreakBefore w:val="0"/>
        <w:kinsoku/>
        <w:wordWrap/>
        <w:overflowPunct/>
        <w:topLinePunct w:val="0"/>
        <w:bidi w:val="0"/>
        <w:spacing w:line="560" w:lineRule="exact"/>
        <w:ind w:firstLine="3124" w:firstLineChars="130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单位负责人或授权代表（签字）： </w:t>
      </w:r>
    </w:p>
    <w:p>
      <w:pPr>
        <w:pageBreakBefore w:val="0"/>
        <w:kinsoku/>
        <w:wordWrap/>
        <w:overflowPunct/>
        <w:topLinePunct w:val="0"/>
        <w:bidi w:val="0"/>
        <w:spacing w:line="560" w:lineRule="exact"/>
        <w:ind w:firstLine="6000" w:firstLineChars="25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说明：供应商可自行选择是否提供本承诺函，若不提供本承诺函，应按《中华人民共和国政府采购法》《中华人民共和国政府采购法实施条例》及采购文件资格要求提供相应的证明材料。</w:t>
      </w:r>
    </w:p>
    <w:p>
      <w:pPr>
        <w:pageBreakBefore w:val="0"/>
        <w:tabs>
          <w:tab w:val="left" w:pos="5580"/>
        </w:tabs>
        <w:kinsoku/>
        <w:wordWrap/>
        <w:overflowPunct/>
        <w:topLinePunct w:val="0"/>
        <w:bidi w:val="0"/>
        <w:spacing w:line="560" w:lineRule="exact"/>
        <w:jc w:val="left"/>
        <w:textAlignment w:val="auto"/>
        <w:rPr>
          <w:rFonts w:hint="eastAsia" w:ascii="宋体" w:hAnsi="宋体" w:eastAsia="宋体" w:cs="宋体"/>
          <w:b/>
          <w:color w:val="auto"/>
          <w:spacing w:val="6"/>
          <w:szCs w:val="28"/>
        </w:rPr>
      </w:pPr>
      <w:r>
        <w:rPr>
          <w:rFonts w:hint="eastAsia" w:ascii="宋体" w:hAnsi="宋体" w:eastAsia="宋体" w:cs="宋体"/>
          <w:b/>
          <w:bCs/>
          <w:color w:val="auto"/>
          <w:sz w:val="24"/>
          <w:szCs w:val="24"/>
        </w:rPr>
        <w:t>（申请人承诺参加政府采购活动前3年内在经营活动中没有重大违法记录；若为联合体投标，联合体各方均需提供承诺书）</w:t>
      </w:r>
      <w:r>
        <w:rPr>
          <w:rFonts w:hint="eastAsia" w:ascii="宋体" w:hAnsi="宋体" w:eastAsia="宋体" w:cs="宋体"/>
          <w:b/>
          <w:color w:val="auto"/>
          <w:spacing w:val="6"/>
          <w:szCs w:val="28"/>
        </w:rPr>
        <w:br w:type="page"/>
      </w:r>
    </w:p>
    <w:p>
      <w:pPr>
        <w:pageBreakBefore w:val="0"/>
        <w:kinsoku/>
        <w:wordWrap/>
        <w:overflowPunct/>
        <w:topLinePunct w:val="0"/>
        <w:bidi w:val="0"/>
        <w:spacing w:line="560" w:lineRule="exact"/>
        <w:jc w:val="both"/>
        <w:textAlignment w:val="auto"/>
        <w:rPr>
          <w:rFonts w:hint="eastAsia" w:ascii="宋体" w:hAnsi="宋体" w:eastAsia="宋体" w:cs="宋体"/>
          <w:b/>
          <w:color w:val="auto"/>
          <w:spacing w:val="6"/>
          <w:szCs w:val="28"/>
        </w:rPr>
      </w:pPr>
      <w:r>
        <w:rPr>
          <w:rFonts w:hint="eastAsia" w:ascii="宋体" w:hAnsi="宋体" w:eastAsia="宋体" w:cs="宋体"/>
          <w:b/>
          <w:color w:val="auto"/>
          <w:spacing w:val="6"/>
          <w:szCs w:val="28"/>
        </w:rPr>
        <w:t>落实政府采购政策要求的资格证明文件</w:t>
      </w:r>
    </w:p>
    <w:p>
      <w:pPr>
        <w:pageBreakBefore w:val="0"/>
        <w:kinsoku/>
        <w:wordWrap/>
        <w:overflowPunct/>
        <w:topLinePunct w:val="0"/>
        <w:bidi w:val="0"/>
        <w:spacing w:line="560" w:lineRule="exact"/>
        <w:jc w:val="center"/>
        <w:textAlignment w:val="auto"/>
        <w:rPr>
          <w:rFonts w:hint="eastAsia" w:ascii="宋体" w:hAnsi="宋体" w:eastAsia="宋体" w:cs="宋体"/>
          <w:color w:val="auto"/>
          <w:szCs w:val="28"/>
        </w:rPr>
      </w:pPr>
      <w:r>
        <w:rPr>
          <w:rFonts w:hint="eastAsia" w:ascii="宋体" w:hAnsi="宋体" w:eastAsia="宋体" w:cs="宋体"/>
          <w:color w:val="auto"/>
          <w:sz w:val="44"/>
          <w:szCs w:val="44"/>
        </w:rPr>
        <w:t>中小企业声明函</w:t>
      </w:r>
      <w:r>
        <w:rPr>
          <w:rFonts w:hint="eastAsia" w:ascii="宋体" w:hAnsi="宋体" w:eastAsia="宋体" w:cs="宋体"/>
          <w:color w:val="auto"/>
          <w:szCs w:val="28"/>
        </w:rPr>
        <w:t>（货物）</w:t>
      </w:r>
    </w:p>
    <w:p>
      <w:pPr>
        <w:pageBreakBefore w:val="0"/>
        <w:kinsoku/>
        <w:wordWrap/>
        <w:overflowPunct/>
        <w:topLinePunct w:val="0"/>
        <w:bidi w:val="0"/>
        <w:spacing w:line="560" w:lineRule="exact"/>
        <w:ind w:firstLine="640" w:firstLineChars="200"/>
        <w:textAlignment w:val="auto"/>
        <w:rPr>
          <w:rFonts w:hint="eastAsia" w:ascii="宋体" w:hAnsi="宋体" w:eastAsia="宋体" w:cs="宋体"/>
          <w:color w:val="auto"/>
          <w:sz w:val="32"/>
          <w:szCs w:val="32"/>
          <w:u w:val="single"/>
          <w:lang w:val="en-US" w:eastAsia="zh-CN"/>
        </w:rPr>
      </w:pPr>
    </w:p>
    <w:p>
      <w:pPr>
        <w:pageBreakBefore w:val="0"/>
        <w:kinsoku/>
        <w:wordWrap/>
        <w:overflowPunct/>
        <w:topLinePunct w:val="0"/>
        <w:bidi w:val="0"/>
        <w:spacing w:line="56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color w:val="auto"/>
          <w:sz w:val="24"/>
          <w:szCs w:val="24"/>
          <w:u w:val="single"/>
          <w:lang w:val="en-US" w:eastAsia="zh-CN"/>
        </w:rPr>
        <w:t>公司/单位名称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简称公司/</w:t>
      </w:r>
      <w:r>
        <w:rPr>
          <w:rFonts w:hint="eastAsia" w:ascii="宋体" w:hAnsi="宋体" w:eastAsia="宋体" w:cs="宋体"/>
          <w:color w:val="auto"/>
          <w:sz w:val="24"/>
          <w:szCs w:val="24"/>
        </w:rPr>
        <w:t>单位）</w:t>
      </w:r>
      <w:r>
        <w:rPr>
          <w:rFonts w:hint="eastAsia" w:ascii="宋体" w:hAnsi="宋体" w:eastAsia="宋体" w:cs="宋体"/>
          <w:i w:val="0"/>
          <w:iCs w:val="0"/>
          <w:color w:val="auto"/>
          <w:sz w:val="24"/>
          <w:szCs w:val="24"/>
        </w:rPr>
        <w:t>（联合体）郑重声明，根据《政府采购促进中小企业发展管理办法》（财库〔2020〕46号）的规定，本公司（联合体）参加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（项目名称）</w:t>
      </w:r>
      <w:r>
        <w:rPr>
          <w:rFonts w:hint="eastAsia" w:ascii="宋体" w:hAnsi="宋体" w:eastAsia="宋体" w:cs="宋体"/>
          <w:i w:val="0"/>
          <w:iCs w:val="0"/>
          <w:color w:val="auto"/>
          <w:sz w:val="24"/>
          <w:szCs w:val="24"/>
        </w:rPr>
        <w:t>采购活动，提供的货物全部由符合政策要求的中小企业制造。相关企业（含联合体中的中小企业、签订分包意向协议的中小企业）的具体情况如下：</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（标的名称）</w:t>
      </w:r>
      <w:r>
        <w:rPr>
          <w:rStyle w:val="25"/>
          <w:rFonts w:hint="eastAsia" w:ascii="宋体" w:hAnsi="宋体" w:eastAsia="宋体" w:cs="宋体"/>
          <w:i w:val="0"/>
          <w:iCs w:val="0"/>
          <w:color w:val="auto"/>
          <w:sz w:val="24"/>
          <w:szCs w:val="24"/>
          <w:u w:val="single"/>
        </w:rPr>
        <w:footnoteReference w:id="0"/>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rPr>
        <w:t>行业；制造商为</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rPr>
        <w:t>（    ）</w:t>
      </w:r>
      <w:r>
        <w:rPr>
          <w:rFonts w:hint="eastAsia" w:ascii="宋体" w:hAnsi="宋体" w:eastAsia="宋体" w:cs="宋体"/>
          <w:i w:val="0"/>
          <w:iCs w:val="0"/>
          <w:color w:val="auto"/>
          <w:sz w:val="24"/>
          <w:szCs w:val="24"/>
        </w:rPr>
        <w:t>人，营业收入为</w:t>
      </w:r>
      <w:r>
        <w:rPr>
          <w:rFonts w:hint="eastAsia" w:ascii="宋体" w:hAnsi="宋体" w:eastAsia="宋体" w:cs="宋体"/>
          <w:i w:val="0"/>
          <w:iCs w:val="0"/>
          <w:color w:val="auto"/>
          <w:sz w:val="24"/>
          <w:szCs w:val="24"/>
          <w:u w:val="single"/>
        </w:rPr>
        <w:t>（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rPr>
        <w:t>（    ）</w:t>
      </w:r>
      <w:r>
        <w:rPr>
          <w:rFonts w:hint="eastAsia" w:ascii="宋体" w:hAnsi="宋体" w:eastAsia="宋体" w:cs="宋体"/>
          <w:i w:val="0"/>
          <w:iCs w:val="0"/>
          <w:color w:val="auto"/>
          <w:sz w:val="24"/>
          <w:szCs w:val="24"/>
        </w:rPr>
        <w:t>万元</w:t>
      </w:r>
      <w:r>
        <w:rPr>
          <w:rStyle w:val="25"/>
          <w:rFonts w:hint="eastAsia" w:ascii="宋体" w:hAnsi="宋体" w:eastAsia="宋体" w:cs="宋体"/>
          <w:i w:val="0"/>
          <w:iCs w:val="0"/>
          <w:color w:val="auto"/>
          <w:sz w:val="24"/>
          <w:szCs w:val="24"/>
        </w:rPr>
        <w:footnoteReference w:id="1"/>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rPr>
        <w:t>（中型企业、小型企业、微型企业）</w:t>
      </w:r>
      <w:r>
        <w:rPr>
          <w:rFonts w:hint="eastAsia" w:ascii="宋体" w:hAnsi="宋体" w:eastAsia="宋体" w:cs="宋体"/>
          <w:i w:val="0"/>
          <w:iCs w:val="0"/>
          <w:color w:val="auto"/>
          <w:sz w:val="24"/>
          <w:szCs w:val="24"/>
        </w:rPr>
        <w:t>；</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2.</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rPr>
        <w:t>行业；制造商为</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rPr>
        <w:t>（    ）</w:t>
      </w:r>
      <w:r>
        <w:rPr>
          <w:rFonts w:hint="eastAsia" w:ascii="宋体" w:hAnsi="宋体" w:eastAsia="宋体" w:cs="宋体"/>
          <w:i w:val="0"/>
          <w:iCs w:val="0"/>
          <w:color w:val="auto"/>
          <w:sz w:val="24"/>
          <w:szCs w:val="24"/>
        </w:rPr>
        <w:t>人，营业收入为</w:t>
      </w:r>
      <w:r>
        <w:rPr>
          <w:rFonts w:hint="eastAsia" w:ascii="宋体" w:hAnsi="宋体" w:eastAsia="宋体" w:cs="宋体"/>
          <w:i w:val="0"/>
          <w:iCs w:val="0"/>
          <w:color w:val="auto"/>
          <w:sz w:val="24"/>
          <w:szCs w:val="24"/>
          <w:u w:val="single"/>
        </w:rPr>
        <w:t>（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rPr>
        <w:t>（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rPr>
        <w:t>（中型企业、小型企业、微型企业）</w:t>
      </w:r>
      <w:r>
        <w:rPr>
          <w:rFonts w:hint="eastAsia" w:ascii="宋体" w:hAnsi="宋体" w:eastAsia="宋体" w:cs="宋体"/>
          <w:i w:val="0"/>
          <w:iCs w:val="0"/>
          <w:color w:val="auto"/>
          <w:sz w:val="24"/>
          <w:szCs w:val="24"/>
        </w:rPr>
        <w:t>；</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pageBreakBefore w:val="0"/>
        <w:kinsoku/>
        <w:wordWrap/>
        <w:overflowPunct/>
        <w:topLinePunct w:val="0"/>
        <w:bidi w:val="0"/>
        <w:spacing w:line="560" w:lineRule="exact"/>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本企业对上述声明内容的真实性负责。如有虚假，将依法承担相应责任。</w:t>
      </w:r>
    </w:p>
    <w:p>
      <w:pPr>
        <w:pageBreakBefore w:val="0"/>
        <w:kinsoku/>
        <w:wordWrap/>
        <w:overflowPunct/>
        <w:topLinePunct w:val="0"/>
        <w:bidi w:val="0"/>
        <w:spacing w:line="560" w:lineRule="exact"/>
        <w:ind w:firstLine="3520" w:firstLineChars="1100"/>
        <w:textAlignment w:val="auto"/>
        <w:rPr>
          <w:rFonts w:hint="eastAsia" w:ascii="宋体" w:hAnsi="宋体" w:eastAsia="宋体" w:cs="宋体"/>
          <w:i w:val="0"/>
          <w:iCs w:val="0"/>
          <w:color w:val="auto"/>
          <w:sz w:val="32"/>
          <w:szCs w:val="32"/>
        </w:rPr>
      </w:pPr>
    </w:p>
    <w:p>
      <w:pPr>
        <w:pageBreakBefore w:val="0"/>
        <w:kinsoku/>
        <w:wordWrap/>
        <w:overflowPunct/>
        <w:topLinePunct w:val="0"/>
        <w:bidi w:val="0"/>
        <w:spacing w:line="560" w:lineRule="exact"/>
        <w:ind w:firstLine="5040" w:firstLineChars="21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企业名称（盖章）：</w:t>
      </w:r>
    </w:p>
    <w:p>
      <w:pPr>
        <w:pageBreakBefore w:val="0"/>
        <w:kinsoku/>
        <w:wordWrap/>
        <w:overflowPunct/>
        <w:topLinePunct w:val="0"/>
        <w:bidi w:val="0"/>
        <w:spacing w:line="560" w:lineRule="exact"/>
        <w:ind w:firstLine="6480" w:firstLineChars="2700"/>
        <w:textAlignment w:val="auto"/>
        <w:rPr>
          <w:rFonts w:hint="eastAsia" w:ascii="宋体" w:hAnsi="宋体" w:eastAsia="宋体" w:cs="宋体"/>
          <w:i w:val="0"/>
          <w:iCs w:val="0"/>
          <w:color w:val="auto"/>
          <w:sz w:val="32"/>
          <w:szCs w:val="32"/>
        </w:rPr>
      </w:pPr>
      <w:r>
        <w:rPr>
          <w:rFonts w:hint="eastAsia" w:ascii="宋体" w:hAnsi="宋体" w:eastAsia="宋体" w:cs="宋体"/>
          <w:i w:val="0"/>
          <w:iCs w:val="0"/>
          <w:color w:val="auto"/>
          <w:sz w:val="24"/>
          <w:szCs w:val="24"/>
        </w:rPr>
        <w:t>日期：</w:t>
      </w:r>
    </w:p>
    <w:p>
      <w:pPr>
        <w:pageBreakBefore w:val="0"/>
        <w:kinsoku/>
        <w:wordWrap/>
        <w:overflowPunct/>
        <w:topLinePunct w:val="0"/>
        <w:bidi w:val="0"/>
        <w:spacing w:line="560" w:lineRule="exact"/>
        <w:textAlignment w:val="auto"/>
        <w:rPr>
          <w:rFonts w:hint="eastAsia" w:ascii="宋体" w:hAnsi="宋体" w:eastAsia="宋体" w:cs="宋体"/>
          <w:color w:val="auto"/>
          <w:szCs w:val="28"/>
        </w:rPr>
      </w:pPr>
      <w:r>
        <w:rPr>
          <w:rFonts w:hint="eastAsia" w:ascii="宋体" w:hAnsi="宋体" w:eastAsia="宋体" w:cs="宋体"/>
          <w:color w:val="auto"/>
          <w:szCs w:val="28"/>
        </w:rPr>
        <w:br w:type="page"/>
      </w:r>
    </w:p>
    <w:p>
      <w:pPr>
        <w:pStyle w:val="5"/>
        <w:pageBreakBefore w:val="0"/>
        <w:kinsoku/>
        <w:wordWrap/>
        <w:overflowPunct/>
        <w:topLinePunct w:val="0"/>
        <w:bidi w:val="0"/>
        <w:spacing w:line="560" w:lineRule="exact"/>
        <w:ind w:firstLine="320" w:firstLineChars="1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中小企业划型标准规定</w:t>
      </w:r>
    </w:p>
    <w:p>
      <w:pPr>
        <w:pStyle w:val="18"/>
        <w:pageBreakBefore w:val="0"/>
        <w:widowControl/>
        <w:numPr>
          <w:ilvl w:val="0"/>
          <w:numId w:val="5"/>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根据《中华人民共和国中小企业促进法》和《国务院关于进一步促进中小企业发展的若干意见》(国发〔2009〕36号)，制定本规定。</w:t>
      </w:r>
    </w:p>
    <w:p>
      <w:pPr>
        <w:pStyle w:val="18"/>
        <w:pageBreakBefore w:val="0"/>
        <w:widowControl/>
        <w:numPr>
          <w:ilvl w:val="0"/>
          <w:numId w:val="0"/>
        </w:numPr>
        <w:kinsoku/>
        <w:wordWrap/>
        <w:overflowPunct/>
        <w:topLinePunct w:val="0"/>
        <w:bidi w:val="0"/>
        <w:spacing w:before="0" w:beforeAutospacing="0" w:after="0" w:afterAutospacing="0"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二、中小企业划分为中型、小型、微型三种类型，具体标准根据企业从业人员、营业收入、资产总额等指标，结合行业特点制定。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四、各行业划型标准为：</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（一）农、林、牧、渔业。营业收入20000万元以下的为中小微型企业。其中，营业收入500万元及以上的为中型企业，营业收入50万元及以上的为小型企业，营业收入50万元以下的为微型企业。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（四）批发业。从业人员200人以下或营业收入40000万元以下的为中小微型</w:t>
      </w:r>
    </w:p>
    <w:p>
      <w:pPr>
        <w:pStyle w:val="18"/>
        <w:pageBreakBefore w:val="0"/>
        <w:widowControl/>
        <w:numPr>
          <w:ilvl w:val="0"/>
          <w:numId w:val="0"/>
        </w:numPr>
        <w:kinsoku/>
        <w:wordWrap/>
        <w:overflowPunct/>
        <w:topLinePunct w:val="0"/>
        <w:bidi w:val="0"/>
        <w:spacing w:before="0" w:beforeAutospacing="0" w:after="0" w:afterAutospacing="0"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企业。其中，从业人员20人及以上，且营业收入5000万元及以上的为中型企业；从业人员5人及以上，且营业收入1000万元及以上的为小型企业；从业人员5人以下或营业收入1000万元以下的为微型企业。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（十）餐饮业。从业人员300人以下或营业收入10000万元以下的为中小微型</w:t>
      </w:r>
    </w:p>
    <w:p>
      <w:pPr>
        <w:pStyle w:val="18"/>
        <w:pageBreakBefore w:val="0"/>
        <w:widowControl/>
        <w:numPr>
          <w:ilvl w:val="0"/>
          <w:numId w:val="0"/>
        </w:numPr>
        <w:kinsoku/>
        <w:wordWrap/>
        <w:overflowPunct/>
        <w:topLinePunct w:val="0"/>
        <w:bidi w:val="0"/>
        <w:spacing w:before="0" w:beforeAutospacing="0" w:after="0" w:afterAutospacing="0"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企业。其中，从业人员100人及以上，且营业收入2000万元及以上的为中型企业；从业人员10人及以上，且营业收入100万元及以上的为小型企业；从业人员10人以下或营业收入100万元以下的为微型企业。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（十六）其他未列明行业。从业人员300人以下的为中小微型企业。其中，从</w:t>
      </w:r>
    </w:p>
    <w:p>
      <w:pPr>
        <w:pStyle w:val="18"/>
        <w:pageBreakBefore w:val="0"/>
        <w:widowControl/>
        <w:numPr>
          <w:ilvl w:val="0"/>
          <w:numId w:val="0"/>
        </w:numPr>
        <w:kinsoku/>
        <w:wordWrap/>
        <w:overflowPunct/>
        <w:topLinePunct w:val="0"/>
        <w:bidi w:val="0"/>
        <w:spacing w:before="0" w:beforeAutospacing="0" w:after="0" w:afterAutospacing="0"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业人员100人及以上的为中型企业；从业人员10人及以上的为小型企业；从业人员10人以下的为微型企业。</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五、企业类型的划分以统计部门的统计数据为依据。</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六、本规定适用于在中华人民共和国境内依法设立的各类所有制和各种组织形式的企业。个体工商户和本规定以外的行业，参照本规定进行划型。</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八、本规定由工业和信息化部、国家统计局会同有关部门根据《国民经济行业分类》修订情况和企业发展变化情况适时修订。</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九、本规定由工业和信息化部、国家统计局会同有关部门负责解释。</w:t>
      </w:r>
    </w:p>
    <w:p>
      <w:pPr>
        <w:pStyle w:val="18"/>
        <w:pageBreakBefore w:val="0"/>
        <w:widowControl/>
        <w:numPr>
          <w:ilvl w:val="0"/>
          <w:numId w:val="0"/>
        </w:numPr>
        <w:kinsoku/>
        <w:wordWrap/>
        <w:overflowPunct/>
        <w:topLinePunct w:val="0"/>
        <w:bidi w:val="0"/>
        <w:spacing w:before="0" w:beforeAutospacing="0" w:after="0" w:afterAutospacing="0" w:line="560" w:lineRule="exact"/>
        <w:ind w:firstLine="48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十、本规定自发布之日起执行，原国家经贸委、原国家计委、财政部和国家统计局2003年颁布的《中小企业标准暂行规定》同时废止。</w:t>
      </w: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Style w:val="5"/>
        <w:pageBreakBefore w:val="0"/>
        <w:kinsoku/>
        <w:wordWrap/>
        <w:overflowPunct/>
        <w:topLinePunct w:val="0"/>
        <w:bidi w:val="0"/>
        <w:spacing w:line="560" w:lineRule="exact"/>
        <w:textAlignment w:val="auto"/>
        <w:rPr>
          <w:rFonts w:hint="eastAsia" w:ascii="宋体" w:hAnsi="宋体" w:eastAsia="宋体" w:cs="宋体"/>
          <w:color w:val="auto"/>
          <w:sz w:val="28"/>
          <w:szCs w:val="28"/>
        </w:rPr>
      </w:pPr>
    </w:p>
    <w:p>
      <w:pPr>
        <w:pageBreakBefore w:val="0"/>
        <w:kinsoku/>
        <w:wordWrap/>
        <w:overflowPunct/>
        <w:topLinePunct w:val="0"/>
        <w:bidi w:val="0"/>
        <w:spacing w:line="560" w:lineRule="exact"/>
        <w:textAlignment w:val="auto"/>
        <w:rPr>
          <w:rFonts w:hint="eastAsia" w:ascii="宋体" w:hAnsi="宋体" w:eastAsia="宋体" w:cs="宋体"/>
          <w:bCs/>
          <w:color w:val="auto"/>
          <w:spacing w:val="6"/>
          <w:szCs w:val="28"/>
        </w:rPr>
      </w:pPr>
      <w:r>
        <w:rPr>
          <w:rFonts w:hint="eastAsia" w:ascii="宋体" w:hAnsi="宋体" w:eastAsia="宋体" w:cs="宋体"/>
          <w:bCs/>
          <w:color w:val="auto"/>
          <w:spacing w:val="6"/>
          <w:szCs w:val="28"/>
        </w:rPr>
        <w:br w:type="page"/>
      </w:r>
    </w:p>
    <w:p>
      <w:pPr>
        <w:pageBreakBefore w:val="0"/>
        <w:kinsoku/>
        <w:wordWrap/>
        <w:overflowPunct/>
        <w:topLinePunct w:val="0"/>
        <w:bidi w:val="0"/>
        <w:spacing w:line="560" w:lineRule="exact"/>
        <w:jc w:val="center"/>
        <w:textAlignment w:val="auto"/>
        <w:rPr>
          <w:rFonts w:hint="eastAsia" w:ascii="宋体" w:hAnsi="宋体" w:eastAsia="宋体" w:cs="宋体"/>
          <w:b/>
          <w:color w:val="auto"/>
          <w:spacing w:val="6"/>
          <w:szCs w:val="28"/>
        </w:rPr>
      </w:pPr>
      <w:r>
        <w:rPr>
          <w:rFonts w:hint="eastAsia" w:ascii="宋体" w:hAnsi="宋体" w:eastAsia="宋体" w:cs="宋体"/>
          <w:b w:val="0"/>
          <w:bCs/>
          <w:color w:val="auto"/>
          <w:spacing w:val="6"/>
          <w:sz w:val="44"/>
          <w:szCs w:val="44"/>
        </w:rPr>
        <w:t>残疾人福利性单位声明函</w:t>
      </w:r>
    </w:p>
    <w:p>
      <w:pPr>
        <w:pageBreakBefore w:val="0"/>
        <w:kinsoku/>
        <w:wordWrap/>
        <w:overflowPunct/>
        <w:topLinePunct w:val="0"/>
        <w:bidi w:val="0"/>
        <w:spacing w:line="560" w:lineRule="exact"/>
        <w:ind w:firstLine="584" w:firstLineChars="200"/>
        <w:textAlignment w:val="auto"/>
        <w:rPr>
          <w:rFonts w:hint="eastAsia" w:ascii="宋体" w:hAnsi="宋体" w:eastAsia="宋体" w:cs="宋体"/>
          <w:color w:val="auto"/>
          <w:spacing w:val="6"/>
          <w:szCs w:val="28"/>
        </w:rPr>
      </w:pPr>
    </w:p>
    <w:p>
      <w:pPr>
        <w:pageBreakBefore w:val="0"/>
        <w:kinsoku/>
        <w:wordWrap/>
        <w:overflowPunct/>
        <w:topLinePunct w:val="0"/>
        <w:bidi w:val="0"/>
        <w:spacing w:line="560" w:lineRule="exact"/>
        <w:ind w:firstLine="480" w:firstLineChars="200"/>
        <w:jc w:val="left"/>
        <w:textAlignment w:val="auto"/>
        <w:rPr>
          <w:rFonts w:hint="eastAsia" w:ascii="宋体" w:hAnsi="宋体" w:eastAsia="宋体" w:cs="宋体"/>
          <w:color w:val="auto"/>
          <w:spacing w:val="6"/>
          <w:sz w:val="24"/>
          <w:szCs w:val="24"/>
        </w:rPr>
      </w:pPr>
      <w:r>
        <w:rPr>
          <w:rFonts w:hint="eastAsia" w:ascii="宋体" w:hAnsi="宋体" w:eastAsia="宋体" w:cs="宋体"/>
          <w:color w:val="auto"/>
          <w:sz w:val="24"/>
          <w:szCs w:val="24"/>
          <w:u w:val="single"/>
          <w:lang w:val="en-US" w:eastAsia="zh-CN"/>
        </w:rPr>
        <w:t>公司/单位名称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简称公司/</w:t>
      </w:r>
      <w:r>
        <w:rPr>
          <w:rFonts w:hint="eastAsia" w:ascii="宋体" w:hAnsi="宋体" w:eastAsia="宋体" w:cs="宋体"/>
          <w:color w:val="auto"/>
          <w:sz w:val="24"/>
          <w:szCs w:val="24"/>
        </w:rPr>
        <w:t>单位）</w:t>
      </w:r>
      <w:r>
        <w:rPr>
          <w:rFonts w:hint="eastAsia" w:ascii="宋体" w:hAnsi="宋体" w:eastAsia="宋体" w:cs="宋体"/>
          <w:color w:val="auto"/>
          <w:spacing w:val="6"/>
          <w:sz w:val="24"/>
          <w:szCs w:val="24"/>
        </w:rPr>
        <w:t>郑重声明，根据《财政部 民政部 中国残疾人联合会关于促进残疾人就业政府采购政策的通知》（财库</w:t>
      </w:r>
      <w:r>
        <w:rPr>
          <w:rFonts w:hint="eastAsia" w:ascii="宋体" w:hAnsi="宋体" w:eastAsia="宋体" w:cs="宋体"/>
          <w:color w:val="auto"/>
          <w:sz w:val="24"/>
          <w:szCs w:val="24"/>
        </w:rPr>
        <w:t>〔2017〕 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bidi w:val="0"/>
        <w:spacing w:line="560" w:lineRule="exact"/>
        <w:ind w:firstLine="504"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pageBreakBefore w:val="0"/>
        <w:kinsoku/>
        <w:wordWrap/>
        <w:overflowPunct/>
        <w:topLinePunct w:val="0"/>
        <w:bidi w:val="0"/>
        <w:spacing w:line="560" w:lineRule="exact"/>
        <w:ind w:firstLine="504" w:firstLineChars="200"/>
        <w:textAlignment w:val="auto"/>
        <w:rPr>
          <w:rFonts w:hint="eastAsia" w:ascii="宋体" w:hAnsi="宋体" w:eastAsia="宋体" w:cs="宋体"/>
          <w:color w:val="auto"/>
          <w:spacing w:val="6"/>
          <w:sz w:val="24"/>
          <w:szCs w:val="24"/>
        </w:rPr>
      </w:pPr>
    </w:p>
    <w:p>
      <w:pPr>
        <w:pageBreakBefore w:val="0"/>
        <w:kinsoku/>
        <w:wordWrap/>
        <w:overflowPunct/>
        <w:topLinePunct w:val="0"/>
        <w:bidi w:val="0"/>
        <w:spacing w:line="560" w:lineRule="exact"/>
        <w:ind w:firstLine="504" w:firstLineChars="200"/>
        <w:textAlignment w:val="auto"/>
        <w:rPr>
          <w:rFonts w:hint="eastAsia" w:ascii="宋体" w:hAnsi="宋体" w:eastAsia="宋体" w:cs="宋体"/>
          <w:color w:val="auto"/>
          <w:spacing w:val="6"/>
          <w:sz w:val="24"/>
          <w:szCs w:val="24"/>
        </w:rPr>
      </w:pPr>
    </w:p>
    <w:p>
      <w:pPr>
        <w:pStyle w:val="5"/>
        <w:pageBreakBefore w:val="0"/>
        <w:widowControl/>
        <w:kinsoku/>
        <w:wordWrap/>
        <w:overflowPunct/>
        <w:topLinePunct w:val="0"/>
        <w:bidi w:val="0"/>
        <w:snapToGrid w:val="0"/>
        <w:spacing w:line="560" w:lineRule="exact"/>
        <w:ind w:firstLine="967" w:firstLineChars="384"/>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6"/>
          <w:sz w:val="24"/>
          <w:szCs w:val="24"/>
          <w:lang w:val="en-US" w:eastAsia="zh-CN"/>
        </w:rPr>
        <w:t xml:space="preserve">                          </w:t>
      </w:r>
      <w:r>
        <w:rPr>
          <w:rFonts w:hint="eastAsia" w:ascii="宋体" w:hAnsi="宋体" w:eastAsia="宋体" w:cs="宋体"/>
          <w:color w:val="auto"/>
          <w:spacing w:val="6"/>
          <w:sz w:val="24"/>
          <w:szCs w:val="24"/>
        </w:rPr>
        <w:t>单位</w:t>
      </w:r>
      <w:r>
        <w:rPr>
          <w:rFonts w:hint="eastAsia" w:ascii="宋体" w:hAnsi="宋体" w:eastAsia="宋体" w:cs="宋体"/>
          <w:color w:val="auto"/>
          <w:sz w:val="24"/>
          <w:szCs w:val="24"/>
        </w:rPr>
        <w:t>名称（盖章）：</w:t>
      </w:r>
    </w:p>
    <w:p>
      <w:pPr>
        <w:pStyle w:val="5"/>
        <w:pageBreakBefore w:val="0"/>
        <w:widowControl/>
        <w:kinsoku/>
        <w:wordWrap/>
        <w:overflowPunct/>
        <w:topLinePunct w:val="0"/>
        <w:bidi w:val="0"/>
        <w:snapToGrid w:val="0"/>
        <w:spacing w:line="560" w:lineRule="exact"/>
        <w:ind w:firstLine="6360" w:firstLineChars="265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p>
    <w:p>
      <w:pPr>
        <w:pageBreakBefore w:val="0"/>
        <w:kinsoku/>
        <w:wordWrap/>
        <w:overflowPunct/>
        <w:topLinePunct w:val="0"/>
        <w:bidi w:val="0"/>
        <w:spacing w:line="560" w:lineRule="exact"/>
        <w:ind w:firstLine="3640" w:firstLineChars="1300"/>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b/>
          <w:color w:val="auto"/>
          <w:spacing w:val="6"/>
          <w:szCs w:val="28"/>
        </w:rPr>
      </w:pPr>
      <w:r>
        <w:rPr>
          <w:rFonts w:hint="eastAsia" w:ascii="宋体" w:hAnsi="宋体" w:eastAsia="宋体" w:cs="宋体"/>
          <w:b/>
          <w:color w:val="auto"/>
          <w:spacing w:val="6"/>
          <w:szCs w:val="28"/>
        </w:rPr>
        <w:br w:type="page"/>
      </w:r>
    </w:p>
    <w:p>
      <w:pPr>
        <w:pageBreakBefore w:val="0"/>
        <w:kinsoku/>
        <w:wordWrap/>
        <w:overflowPunct/>
        <w:topLinePunct w:val="0"/>
        <w:bidi w:val="0"/>
        <w:spacing w:line="560" w:lineRule="exact"/>
        <w:jc w:val="center"/>
        <w:textAlignment w:val="auto"/>
        <w:rPr>
          <w:rFonts w:hint="eastAsia" w:ascii="宋体" w:hAnsi="宋体" w:eastAsia="宋体" w:cs="宋体"/>
          <w:b w:val="0"/>
          <w:bCs/>
          <w:color w:val="auto"/>
          <w:spacing w:val="6"/>
          <w:sz w:val="44"/>
          <w:szCs w:val="44"/>
        </w:rPr>
      </w:pPr>
      <w:r>
        <w:rPr>
          <w:rFonts w:hint="eastAsia" w:ascii="宋体" w:hAnsi="宋体" w:eastAsia="宋体" w:cs="宋体"/>
          <w:b w:val="0"/>
          <w:bCs/>
          <w:color w:val="auto"/>
          <w:spacing w:val="6"/>
          <w:sz w:val="44"/>
          <w:szCs w:val="44"/>
        </w:rPr>
        <w:t>监狱企业声明函</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color w:val="auto"/>
          <w:kern w:val="0"/>
          <w:szCs w:val="28"/>
        </w:rPr>
      </w:pPr>
    </w:p>
    <w:p>
      <w:pPr>
        <w:pageBreakBefore w:val="0"/>
        <w:kinsoku/>
        <w:wordWrap/>
        <w:overflowPunct/>
        <w:topLinePunct w:val="0"/>
        <w:bidi w:val="0"/>
        <w:spacing w:line="560" w:lineRule="exact"/>
        <w:ind w:firstLine="480" w:firstLineChars="200"/>
        <w:textAlignment w:val="auto"/>
        <w:rPr>
          <w:rFonts w:hint="eastAsia" w:ascii="宋体" w:hAnsi="宋体" w:eastAsia="宋体" w:cs="宋体"/>
          <w:color w:val="auto"/>
          <w:spacing w:val="6"/>
          <w:sz w:val="24"/>
          <w:szCs w:val="24"/>
        </w:rPr>
      </w:pPr>
      <w:r>
        <w:rPr>
          <w:rFonts w:hint="eastAsia" w:ascii="宋体" w:hAnsi="宋体" w:eastAsia="宋体" w:cs="宋体"/>
          <w:color w:val="auto"/>
          <w:sz w:val="24"/>
          <w:szCs w:val="24"/>
          <w:u w:val="single"/>
          <w:lang w:val="en-US" w:eastAsia="zh-CN"/>
        </w:rPr>
        <w:t>公司/单位名称</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以下</w:t>
      </w:r>
      <w:r>
        <w:rPr>
          <w:rFonts w:hint="eastAsia" w:ascii="宋体" w:hAnsi="宋体" w:eastAsia="宋体" w:cs="宋体"/>
          <w:color w:val="auto"/>
          <w:sz w:val="24"/>
          <w:szCs w:val="24"/>
          <w:lang w:val="en-US" w:eastAsia="zh-CN"/>
        </w:rPr>
        <w:t>简称公司/</w:t>
      </w:r>
      <w:r>
        <w:rPr>
          <w:rFonts w:hint="eastAsia" w:ascii="宋体" w:hAnsi="宋体" w:eastAsia="宋体" w:cs="宋体"/>
          <w:color w:val="auto"/>
          <w:sz w:val="24"/>
          <w:szCs w:val="24"/>
        </w:rPr>
        <w:t>单位）</w:t>
      </w:r>
      <w:r>
        <w:rPr>
          <w:rFonts w:hint="eastAsia" w:ascii="宋体" w:hAnsi="宋体" w:eastAsia="宋体" w:cs="宋体"/>
          <w:color w:val="auto"/>
          <w:kern w:val="0"/>
          <w:sz w:val="24"/>
          <w:szCs w:val="24"/>
        </w:rPr>
        <w:t>郑重声明，根据《财政部 司法部关于政府采购支持监狱企业发展有关问题的通知》（财库〔2014〕68号）的规定，本单位为符合条件的监狱企业，</w:t>
      </w:r>
      <w:r>
        <w:rPr>
          <w:rFonts w:hint="eastAsia" w:ascii="宋体" w:hAnsi="宋体" w:eastAsia="宋体" w:cs="宋体"/>
          <w:color w:val="auto"/>
          <w:spacing w:val="6"/>
          <w:sz w:val="24"/>
          <w:szCs w:val="24"/>
        </w:rPr>
        <w:t>且本单位参加</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单位的______项目采购活动提供本单位制造的货物（由本单位承担工程/提供服务）。</w:t>
      </w:r>
    </w:p>
    <w:p>
      <w:pPr>
        <w:pageBreakBefore w:val="0"/>
        <w:widowControl/>
        <w:kinsoku/>
        <w:wordWrap/>
        <w:overflowPunct/>
        <w:topLinePunct w:val="0"/>
        <w:bidi w:val="0"/>
        <w:spacing w:line="560" w:lineRule="exact"/>
        <w:jc w:val="left"/>
        <w:textAlignment w:val="auto"/>
        <w:rPr>
          <w:rFonts w:hint="eastAsia" w:ascii="宋体" w:hAnsi="宋体" w:eastAsia="宋体" w:cs="宋体"/>
          <w:color w:val="auto"/>
          <w:spacing w:val="6"/>
          <w:sz w:val="24"/>
          <w:szCs w:val="24"/>
        </w:rPr>
      </w:pPr>
      <w:r>
        <w:rPr>
          <w:rFonts w:hint="eastAsia" w:ascii="宋体" w:hAnsi="宋体" w:eastAsia="宋体" w:cs="宋体"/>
          <w:color w:val="auto"/>
          <w:kern w:val="0"/>
          <w:sz w:val="24"/>
          <w:szCs w:val="24"/>
        </w:rPr>
        <w:t>　  本单位对上述声明的真实性负责。如有虚假，将依法承担相应责任。</w:t>
      </w:r>
    </w:p>
    <w:p>
      <w:pPr>
        <w:pageBreakBefore w:val="0"/>
        <w:kinsoku/>
        <w:wordWrap/>
        <w:overflowPunct/>
        <w:topLinePunct w:val="0"/>
        <w:bidi w:val="0"/>
        <w:spacing w:line="560" w:lineRule="exact"/>
        <w:ind w:firstLine="504" w:firstLineChars="200"/>
        <w:textAlignment w:val="auto"/>
        <w:rPr>
          <w:rFonts w:hint="eastAsia" w:ascii="宋体" w:hAnsi="宋体" w:eastAsia="宋体" w:cs="宋体"/>
          <w:color w:val="auto"/>
          <w:spacing w:val="6"/>
          <w:sz w:val="24"/>
          <w:szCs w:val="24"/>
        </w:rPr>
      </w:pPr>
    </w:p>
    <w:p>
      <w:pPr>
        <w:pageBreakBefore w:val="0"/>
        <w:kinsoku/>
        <w:wordWrap/>
        <w:overflowPunct/>
        <w:topLinePunct w:val="0"/>
        <w:bidi w:val="0"/>
        <w:spacing w:line="560" w:lineRule="exact"/>
        <w:ind w:firstLine="504" w:firstLineChars="200"/>
        <w:textAlignment w:val="auto"/>
        <w:rPr>
          <w:rFonts w:hint="eastAsia" w:ascii="宋体" w:hAnsi="宋体" w:eastAsia="宋体" w:cs="宋体"/>
          <w:color w:val="auto"/>
          <w:spacing w:val="6"/>
          <w:sz w:val="24"/>
          <w:szCs w:val="24"/>
        </w:rPr>
      </w:pPr>
    </w:p>
    <w:p>
      <w:pPr>
        <w:pStyle w:val="5"/>
        <w:pageBreakBefore w:val="0"/>
        <w:widowControl/>
        <w:kinsoku/>
        <w:wordWrap/>
        <w:overflowPunct/>
        <w:topLinePunct w:val="0"/>
        <w:bidi w:val="0"/>
        <w:snapToGrid w:val="0"/>
        <w:spacing w:line="560" w:lineRule="exact"/>
        <w:ind w:firstLine="967" w:firstLineChars="384"/>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rPr>
        <w:t xml:space="preserve">    </w:t>
      </w:r>
      <w:r>
        <w:rPr>
          <w:rFonts w:hint="eastAsia" w:ascii="宋体" w:hAnsi="宋体" w:eastAsia="宋体" w:cs="宋体"/>
          <w:color w:val="auto"/>
          <w:spacing w:val="6"/>
          <w:sz w:val="24"/>
          <w:szCs w:val="24"/>
          <w:lang w:val="en-US" w:eastAsia="zh-CN"/>
        </w:rPr>
        <w:t xml:space="preserve">                          </w:t>
      </w:r>
      <w:r>
        <w:rPr>
          <w:rFonts w:hint="eastAsia" w:ascii="宋体" w:hAnsi="宋体" w:eastAsia="宋体" w:cs="宋体"/>
          <w:color w:val="auto"/>
          <w:spacing w:val="6"/>
          <w:sz w:val="24"/>
          <w:szCs w:val="24"/>
        </w:rPr>
        <w:t>单位</w:t>
      </w:r>
      <w:r>
        <w:rPr>
          <w:rFonts w:hint="eastAsia" w:ascii="宋体" w:hAnsi="宋体" w:eastAsia="宋体" w:cs="宋体"/>
          <w:color w:val="auto"/>
          <w:sz w:val="24"/>
          <w:szCs w:val="24"/>
        </w:rPr>
        <w:t>名称（盖章）：</w:t>
      </w:r>
    </w:p>
    <w:p>
      <w:pPr>
        <w:pStyle w:val="5"/>
        <w:pageBreakBefore w:val="0"/>
        <w:widowControl/>
        <w:kinsoku/>
        <w:wordWrap/>
        <w:overflowPunct/>
        <w:topLinePunct w:val="0"/>
        <w:bidi w:val="0"/>
        <w:snapToGrid w:val="0"/>
        <w:spacing w:line="560" w:lineRule="exact"/>
        <w:ind w:firstLine="6480" w:firstLineChars="27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p>
    <w:p>
      <w:pPr>
        <w:pageBreakBefore w:val="0"/>
        <w:kinsoku/>
        <w:wordWrap/>
        <w:overflowPunct/>
        <w:topLinePunct w:val="0"/>
        <w:bidi w:val="0"/>
        <w:spacing w:line="560" w:lineRule="exact"/>
        <w:textAlignment w:val="auto"/>
        <w:rPr>
          <w:rFonts w:hint="eastAsia" w:ascii="宋体" w:hAnsi="宋体" w:eastAsia="宋体" w:cs="宋体"/>
          <w:color w:val="auto"/>
          <w:szCs w:val="28"/>
          <w:u w:val="single"/>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kinsoku/>
        <w:wordWrap/>
        <w:overflowPunct/>
        <w:topLinePunct w:val="0"/>
        <w:bidi w:val="0"/>
        <w:spacing w:line="560" w:lineRule="exact"/>
        <w:textAlignment w:val="auto"/>
        <w:rPr>
          <w:rFonts w:hint="eastAsia" w:ascii="宋体" w:hAnsi="宋体" w:eastAsia="宋体" w:cs="宋体"/>
          <w:color w:val="auto"/>
          <w:szCs w:val="28"/>
        </w:rPr>
      </w:pPr>
    </w:p>
    <w:p>
      <w:pPr>
        <w:pageBreakBefore w:val="0"/>
        <w:tabs>
          <w:tab w:val="left" w:pos="5239"/>
        </w:tabs>
        <w:kinsoku/>
        <w:wordWrap/>
        <w:overflowPunct/>
        <w:topLinePunct w:val="0"/>
        <w:bidi w:val="0"/>
        <w:spacing w:line="560" w:lineRule="exact"/>
        <w:jc w:val="left"/>
        <w:textAlignment w:val="auto"/>
        <w:rPr>
          <w:rFonts w:hint="eastAsia" w:ascii="宋体" w:hAnsi="宋体" w:eastAsia="宋体" w:cs="宋体"/>
          <w:color w:val="auto"/>
          <w:szCs w:val="28"/>
        </w:rPr>
      </w:pPr>
      <w:r>
        <w:rPr>
          <w:rFonts w:hint="eastAsia" w:ascii="宋体" w:hAnsi="宋体" w:eastAsia="宋体" w:cs="宋体"/>
          <w:color w:val="auto"/>
          <w:szCs w:val="28"/>
        </w:rPr>
        <w:tab/>
      </w:r>
    </w:p>
    <w:p>
      <w:pPr>
        <w:pageBreakBefore w:val="0"/>
        <w:kinsoku/>
        <w:wordWrap/>
        <w:overflowPunct/>
        <w:topLinePunct w:val="0"/>
        <w:bidi w:val="0"/>
        <w:spacing w:line="560" w:lineRule="exact"/>
        <w:textAlignment w:val="auto"/>
        <w:rPr>
          <w:rFonts w:hint="eastAsia" w:ascii="宋体" w:hAnsi="宋体" w:eastAsia="宋体" w:cs="宋体"/>
          <w:b/>
          <w:color w:val="auto"/>
          <w:spacing w:val="6"/>
          <w:szCs w:val="28"/>
        </w:rPr>
      </w:pPr>
    </w:p>
    <w:p>
      <w:pPr>
        <w:pageBreakBefore w:val="0"/>
        <w:kinsoku/>
        <w:wordWrap/>
        <w:overflowPunct/>
        <w:topLinePunct w:val="0"/>
        <w:bidi w:val="0"/>
        <w:spacing w:line="560" w:lineRule="exact"/>
        <w:textAlignment w:val="auto"/>
        <w:rPr>
          <w:rFonts w:hint="eastAsia" w:ascii="宋体" w:hAnsi="宋体" w:eastAsia="宋体" w:cs="宋体"/>
          <w:b/>
          <w:color w:val="auto"/>
          <w:spacing w:val="6"/>
          <w:szCs w:val="28"/>
        </w:rPr>
      </w:pPr>
    </w:p>
    <w:p>
      <w:pPr>
        <w:pageBreakBefore w:val="0"/>
        <w:kinsoku/>
        <w:wordWrap/>
        <w:overflowPunct/>
        <w:topLinePunct w:val="0"/>
        <w:bidi w:val="0"/>
        <w:spacing w:line="560" w:lineRule="exact"/>
        <w:textAlignment w:val="auto"/>
        <w:rPr>
          <w:rFonts w:hint="eastAsia" w:ascii="宋体" w:hAnsi="宋体" w:eastAsia="宋体" w:cs="宋体"/>
          <w:b/>
          <w:color w:val="auto"/>
          <w:spacing w:val="6"/>
          <w:szCs w:val="28"/>
        </w:rPr>
      </w:pPr>
    </w:p>
    <w:p>
      <w:pPr>
        <w:pageBreakBefore w:val="0"/>
        <w:kinsoku/>
        <w:wordWrap/>
        <w:overflowPunct/>
        <w:topLinePunct w:val="0"/>
        <w:bidi w:val="0"/>
        <w:spacing w:line="560" w:lineRule="exact"/>
        <w:textAlignment w:val="auto"/>
        <w:rPr>
          <w:rFonts w:hint="eastAsia" w:ascii="宋体" w:hAnsi="宋体" w:eastAsia="宋体" w:cs="宋体"/>
          <w:b/>
          <w:color w:val="auto"/>
          <w:spacing w:val="6"/>
          <w:szCs w:val="28"/>
        </w:rPr>
      </w:pPr>
    </w:p>
    <w:p>
      <w:pPr>
        <w:pageBreakBefore w:val="0"/>
        <w:kinsoku/>
        <w:wordWrap/>
        <w:overflowPunct/>
        <w:topLinePunct w:val="0"/>
        <w:bidi w:val="0"/>
        <w:spacing w:line="560" w:lineRule="exact"/>
        <w:textAlignment w:val="auto"/>
        <w:rPr>
          <w:rFonts w:hint="eastAsia" w:ascii="宋体" w:hAnsi="宋体" w:eastAsia="宋体" w:cs="宋体"/>
          <w:b/>
          <w:bCs/>
          <w:color w:val="auto"/>
          <w:szCs w:val="28"/>
        </w:rPr>
      </w:pPr>
      <w:r>
        <w:rPr>
          <w:rFonts w:hint="eastAsia" w:ascii="宋体" w:hAnsi="宋体" w:eastAsia="宋体" w:cs="宋体"/>
          <w:b/>
          <w:color w:val="auto"/>
          <w:spacing w:val="6"/>
          <w:szCs w:val="28"/>
        </w:rPr>
        <w:t>投标须知前附表要求的其他资格证明文件</w:t>
      </w:r>
    </w:p>
    <w:p>
      <w:pPr>
        <w:rPr>
          <w:color w:val="auto"/>
        </w:rPr>
      </w:pPr>
    </w:p>
    <w:sectPr>
      <w:pgSz w:w="11906" w:h="16838"/>
      <w:pgMar w:top="1440" w:right="1474" w:bottom="1440" w:left="1587" w:header="851" w:footer="992" w:gutter="0"/>
      <w:pgNumType w:fmt="decimal"/>
      <w:cols w:space="0" w:num="1"/>
      <w:rtlGutter w:val="0"/>
      <w:docGrid w:type="linesAndChar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1</w:t>
                          </w:r>
                          <w:r>
                            <w:rPr>
                              <w:color w:val="FFFFFF"/>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1</w:t>
                    </w:r>
                    <w:r>
                      <w:rPr>
                        <w:color w:val="FFFFF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7"/>
      </w:pPr>
      <w:r>
        <w:rPr>
          <w:rStyle w:val="25"/>
        </w:rPr>
        <w:footnoteRef/>
      </w:r>
      <w:r>
        <w:t xml:space="preserve"> </w:t>
      </w:r>
      <w:r>
        <w:rPr>
          <w:rFonts w:hint="eastAsia"/>
        </w:rPr>
        <w:t>供应商需按提供的货物标的分别填写，未按规定填写的，视为未提供《中小企业申明函》。</w:t>
      </w:r>
    </w:p>
  </w:footnote>
  <w:footnote w:id="1">
    <w:p>
      <w:pPr>
        <w:pStyle w:val="17"/>
      </w:pPr>
      <w:r>
        <w:rPr>
          <w:rStyle w:val="25"/>
        </w:rPr>
        <w:footnoteRef/>
      </w:r>
      <w:r>
        <w:t xml:space="preserve"> </w:t>
      </w:r>
      <w:r>
        <w:rPr>
          <w:rFonts w:hint="eastAsia"/>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34859"/>
    <w:multiLevelType w:val="singleLevel"/>
    <w:tmpl w:val="99934859"/>
    <w:lvl w:ilvl="0" w:tentative="0">
      <w:start w:val="1"/>
      <w:numFmt w:val="chineseCounting"/>
      <w:suff w:val="nothing"/>
      <w:lvlText w:val="%1、"/>
      <w:lvlJc w:val="left"/>
      <w:rPr>
        <w:rFonts w:hint="eastAsia"/>
      </w:rPr>
    </w:lvl>
  </w:abstractNum>
  <w:abstractNum w:abstractNumId="1">
    <w:nsid w:val="9BB03D53"/>
    <w:multiLevelType w:val="singleLevel"/>
    <w:tmpl w:val="9BB03D53"/>
    <w:lvl w:ilvl="0" w:tentative="0">
      <w:start w:val="5"/>
      <w:numFmt w:val="chineseCounting"/>
      <w:suff w:val="nothing"/>
      <w:lvlText w:val="（%1）"/>
      <w:lvlJc w:val="left"/>
      <w:rPr>
        <w:rFonts w:hint="eastAsia"/>
      </w:rPr>
    </w:lvl>
  </w:abstractNum>
  <w:abstractNum w:abstractNumId="2">
    <w:nsid w:val="2F3310AD"/>
    <w:multiLevelType w:val="singleLevel"/>
    <w:tmpl w:val="2F3310AD"/>
    <w:lvl w:ilvl="0" w:tentative="0">
      <w:start w:val="4"/>
      <w:numFmt w:val="decimal"/>
      <w:suff w:val="nothing"/>
      <w:lvlText w:val="（%1）"/>
      <w:lvlJc w:val="left"/>
      <w:pPr>
        <w:ind w:left="280" w:firstLine="0"/>
      </w:pPr>
    </w:lvl>
  </w:abstractNum>
  <w:abstractNum w:abstractNumId="3">
    <w:nsid w:val="64141A7B"/>
    <w:multiLevelType w:val="singleLevel"/>
    <w:tmpl w:val="64141A7B"/>
    <w:lvl w:ilvl="0" w:tentative="0">
      <w:start w:val="4"/>
      <w:numFmt w:val="chineseCounting"/>
      <w:suff w:val="space"/>
      <w:lvlText w:val="第%1章"/>
      <w:lvlJc w:val="left"/>
      <w:rPr>
        <w:rFonts w:hint="eastAsia"/>
      </w:rPr>
    </w:lvl>
  </w:abstractNum>
  <w:abstractNum w:abstractNumId="4">
    <w:nsid w:val="64868243"/>
    <w:multiLevelType w:val="singleLevel"/>
    <w:tmpl w:val="64868243"/>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C06AE"/>
    <w:rsid w:val="00051C37"/>
    <w:rsid w:val="000923A9"/>
    <w:rsid w:val="00270BEB"/>
    <w:rsid w:val="003444D7"/>
    <w:rsid w:val="003C7F4F"/>
    <w:rsid w:val="0042700B"/>
    <w:rsid w:val="00692603"/>
    <w:rsid w:val="00837F4E"/>
    <w:rsid w:val="0091588E"/>
    <w:rsid w:val="0099739F"/>
    <w:rsid w:val="009A7021"/>
    <w:rsid w:val="00AB6829"/>
    <w:rsid w:val="00BC1277"/>
    <w:rsid w:val="00BD42EB"/>
    <w:rsid w:val="00C16E00"/>
    <w:rsid w:val="00D718B7"/>
    <w:rsid w:val="00D97614"/>
    <w:rsid w:val="00DB4073"/>
    <w:rsid w:val="00E51B31"/>
    <w:rsid w:val="00E6443C"/>
    <w:rsid w:val="00F33CBC"/>
    <w:rsid w:val="00F87DF3"/>
    <w:rsid w:val="00FF6EA1"/>
    <w:rsid w:val="01164FA2"/>
    <w:rsid w:val="011A395F"/>
    <w:rsid w:val="016B20A6"/>
    <w:rsid w:val="016C090A"/>
    <w:rsid w:val="01B91FB9"/>
    <w:rsid w:val="01CE7D1C"/>
    <w:rsid w:val="02AD47BD"/>
    <w:rsid w:val="03BE2C50"/>
    <w:rsid w:val="0439504E"/>
    <w:rsid w:val="04761B44"/>
    <w:rsid w:val="051473EC"/>
    <w:rsid w:val="05D2390A"/>
    <w:rsid w:val="05E81C0D"/>
    <w:rsid w:val="065C51AA"/>
    <w:rsid w:val="06731AA9"/>
    <w:rsid w:val="06B76C49"/>
    <w:rsid w:val="06FC510B"/>
    <w:rsid w:val="071D496B"/>
    <w:rsid w:val="07670345"/>
    <w:rsid w:val="08956CBC"/>
    <w:rsid w:val="08FE1CFD"/>
    <w:rsid w:val="09F5027F"/>
    <w:rsid w:val="09FF15B4"/>
    <w:rsid w:val="0A0F450B"/>
    <w:rsid w:val="0A1D530E"/>
    <w:rsid w:val="0A651101"/>
    <w:rsid w:val="0AEC3153"/>
    <w:rsid w:val="0B562494"/>
    <w:rsid w:val="0B8C5E06"/>
    <w:rsid w:val="0BBB0B57"/>
    <w:rsid w:val="0C4C3C34"/>
    <w:rsid w:val="0C87573B"/>
    <w:rsid w:val="0CBF3DED"/>
    <w:rsid w:val="0CCB4180"/>
    <w:rsid w:val="0CE6795C"/>
    <w:rsid w:val="0DAB7241"/>
    <w:rsid w:val="0DCE7C62"/>
    <w:rsid w:val="0DE617D0"/>
    <w:rsid w:val="0DF30727"/>
    <w:rsid w:val="0E01132F"/>
    <w:rsid w:val="0E752549"/>
    <w:rsid w:val="0E910DF4"/>
    <w:rsid w:val="0EB8401E"/>
    <w:rsid w:val="0F001EE2"/>
    <w:rsid w:val="0F187530"/>
    <w:rsid w:val="100668BC"/>
    <w:rsid w:val="10480BC9"/>
    <w:rsid w:val="104B3648"/>
    <w:rsid w:val="10AB3E89"/>
    <w:rsid w:val="10B114FC"/>
    <w:rsid w:val="10D63975"/>
    <w:rsid w:val="10F0762B"/>
    <w:rsid w:val="112E3F29"/>
    <w:rsid w:val="114957FB"/>
    <w:rsid w:val="1185349E"/>
    <w:rsid w:val="11D0615B"/>
    <w:rsid w:val="120578D9"/>
    <w:rsid w:val="12106B4D"/>
    <w:rsid w:val="123606BB"/>
    <w:rsid w:val="1242338F"/>
    <w:rsid w:val="12BA0DF5"/>
    <w:rsid w:val="12ED0AFF"/>
    <w:rsid w:val="12F17F2C"/>
    <w:rsid w:val="12F5106A"/>
    <w:rsid w:val="135F4D2E"/>
    <w:rsid w:val="13875857"/>
    <w:rsid w:val="139C7391"/>
    <w:rsid w:val="13D94EE0"/>
    <w:rsid w:val="146B15F2"/>
    <w:rsid w:val="14A964CB"/>
    <w:rsid w:val="15335190"/>
    <w:rsid w:val="15490853"/>
    <w:rsid w:val="156F0A28"/>
    <w:rsid w:val="15DC65F0"/>
    <w:rsid w:val="1662251B"/>
    <w:rsid w:val="171A50C0"/>
    <w:rsid w:val="176F67B7"/>
    <w:rsid w:val="1876212B"/>
    <w:rsid w:val="18806BC1"/>
    <w:rsid w:val="18BF29A5"/>
    <w:rsid w:val="192763CA"/>
    <w:rsid w:val="19373A4C"/>
    <w:rsid w:val="19777E60"/>
    <w:rsid w:val="1980543E"/>
    <w:rsid w:val="1A561652"/>
    <w:rsid w:val="1A652B3F"/>
    <w:rsid w:val="1A6F3199"/>
    <w:rsid w:val="1A910FB8"/>
    <w:rsid w:val="1AC54957"/>
    <w:rsid w:val="1AF509A8"/>
    <w:rsid w:val="1B4F2950"/>
    <w:rsid w:val="1BCE0069"/>
    <w:rsid w:val="1C0809A9"/>
    <w:rsid w:val="1C367A66"/>
    <w:rsid w:val="1C403ADE"/>
    <w:rsid w:val="1D1D4501"/>
    <w:rsid w:val="1D374DA7"/>
    <w:rsid w:val="1D854FC3"/>
    <w:rsid w:val="1DB409A2"/>
    <w:rsid w:val="1DFF1061"/>
    <w:rsid w:val="1E8819A8"/>
    <w:rsid w:val="1E902EBC"/>
    <w:rsid w:val="1EA96D9C"/>
    <w:rsid w:val="1EE60AE6"/>
    <w:rsid w:val="1F061932"/>
    <w:rsid w:val="1F457A61"/>
    <w:rsid w:val="1FDF49F7"/>
    <w:rsid w:val="203B1B0D"/>
    <w:rsid w:val="206949C1"/>
    <w:rsid w:val="2089301A"/>
    <w:rsid w:val="208B7B61"/>
    <w:rsid w:val="20A84AD1"/>
    <w:rsid w:val="20BF7BDC"/>
    <w:rsid w:val="20FC62E8"/>
    <w:rsid w:val="21710046"/>
    <w:rsid w:val="222A356B"/>
    <w:rsid w:val="22F422C8"/>
    <w:rsid w:val="236F12CE"/>
    <w:rsid w:val="23C142D5"/>
    <w:rsid w:val="23C87143"/>
    <w:rsid w:val="23CE2876"/>
    <w:rsid w:val="23D965FB"/>
    <w:rsid w:val="2427654A"/>
    <w:rsid w:val="243B2460"/>
    <w:rsid w:val="24BD091C"/>
    <w:rsid w:val="25404C5A"/>
    <w:rsid w:val="25A712B9"/>
    <w:rsid w:val="25BE14E3"/>
    <w:rsid w:val="261A4ABB"/>
    <w:rsid w:val="2729303D"/>
    <w:rsid w:val="2745797B"/>
    <w:rsid w:val="27470D17"/>
    <w:rsid w:val="27647787"/>
    <w:rsid w:val="279F7F07"/>
    <w:rsid w:val="27F70199"/>
    <w:rsid w:val="28642D36"/>
    <w:rsid w:val="286C6375"/>
    <w:rsid w:val="29124E0B"/>
    <w:rsid w:val="298B0C29"/>
    <w:rsid w:val="29DE79DE"/>
    <w:rsid w:val="29FB3891"/>
    <w:rsid w:val="2A1A4904"/>
    <w:rsid w:val="2A3912C3"/>
    <w:rsid w:val="2A9312B5"/>
    <w:rsid w:val="2AF00265"/>
    <w:rsid w:val="2B0F3F3E"/>
    <w:rsid w:val="2C2D6740"/>
    <w:rsid w:val="2C5135D1"/>
    <w:rsid w:val="2CAA5F35"/>
    <w:rsid w:val="2CBA2390"/>
    <w:rsid w:val="2D604229"/>
    <w:rsid w:val="2D8A192A"/>
    <w:rsid w:val="2DAB095D"/>
    <w:rsid w:val="2DE11496"/>
    <w:rsid w:val="2E5A7760"/>
    <w:rsid w:val="2E906C5D"/>
    <w:rsid w:val="2F7D4C62"/>
    <w:rsid w:val="2F926BD9"/>
    <w:rsid w:val="2F944933"/>
    <w:rsid w:val="2FC246AB"/>
    <w:rsid w:val="2FFE0C53"/>
    <w:rsid w:val="301C2807"/>
    <w:rsid w:val="302D3085"/>
    <w:rsid w:val="303F0B34"/>
    <w:rsid w:val="304948AB"/>
    <w:rsid w:val="307543B8"/>
    <w:rsid w:val="30CF5E22"/>
    <w:rsid w:val="30E7465B"/>
    <w:rsid w:val="311A002F"/>
    <w:rsid w:val="314D520B"/>
    <w:rsid w:val="3193190F"/>
    <w:rsid w:val="31A00CA9"/>
    <w:rsid w:val="31EA0061"/>
    <w:rsid w:val="32432FFB"/>
    <w:rsid w:val="32694D23"/>
    <w:rsid w:val="331F698A"/>
    <w:rsid w:val="33244D2C"/>
    <w:rsid w:val="332A70D3"/>
    <w:rsid w:val="332F3054"/>
    <w:rsid w:val="33376552"/>
    <w:rsid w:val="33CB4ECD"/>
    <w:rsid w:val="34047105"/>
    <w:rsid w:val="3444020D"/>
    <w:rsid w:val="34511C7F"/>
    <w:rsid w:val="34951C25"/>
    <w:rsid w:val="34A27AB2"/>
    <w:rsid w:val="34EF258A"/>
    <w:rsid w:val="351C74B8"/>
    <w:rsid w:val="35995FB2"/>
    <w:rsid w:val="35B9498F"/>
    <w:rsid w:val="35D70F6E"/>
    <w:rsid w:val="35EB0638"/>
    <w:rsid w:val="35F90747"/>
    <w:rsid w:val="362A7A06"/>
    <w:rsid w:val="362E702D"/>
    <w:rsid w:val="36600129"/>
    <w:rsid w:val="36820708"/>
    <w:rsid w:val="36D811D9"/>
    <w:rsid w:val="37012D85"/>
    <w:rsid w:val="377E7525"/>
    <w:rsid w:val="37A47277"/>
    <w:rsid w:val="38457AEC"/>
    <w:rsid w:val="38AD63C4"/>
    <w:rsid w:val="392D4315"/>
    <w:rsid w:val="3B01103E"/>
    <w:rsid w:val="3B902C0C"/>
    <w:rsid w:val="3BA5589D"/>
    <w:rsid w:val="3BBF69CF"/>
    <w:rsid w:val="3C5E2234"/>
    <w:rsid w:val="3C660796"/>
    <w:rsid w:val="3CD84B4C"/>
    <w:rsid w:val="3CFD1DC4"/>
    <w:rsid w:val="3D327C67"/>
    <w:rsid w:val="3D5527B3"/>
    <w:rsid w:val="3D5D090F"/>
    <w:rsid w:val="3DA31662"/>
    <w:rsid w:val="3DBD6CDA"/>
    <w:rsid w:val="3E1F67AF"/>
    <w:rsid w:val="3E286450"/>
    <w:rsid w:val="3E9D4975"/>
    <w:rsid w:val="3EF63C0A"/>
    <w:rsid w:val="3F5D295D"/>
    <w:rsid w:val="3F727C20"/>
    <w:rsid w:val="3FDF6807"/>
    <w:rsid w:val="404B43E3"/>
    <w:rsid w:val="40942B75"/>
    <w:rsid w:val="409C71AD"/>
    <w:rsid w:val="40F11C1A"/>
    <w:rsid w:val="416F0D30"/>
    <w:rsid w:val="42367256"/>
    <w:rsid w:val="42731488"/>
    <w:rsid w:val="42811CC5"/>
    <w:rsid w:val="428709A6"/>
    <w:rsid w:val="42DA0D29"/>
    <w:rsid w:val="42E91E3E"/>
    <w:rsid w:val="43587A7F"/>
    <w:rsid w:val="43A04CFF"/>
    <w:rsid w:val="43AC7FC9"/>
    <w:rsid w:val="43BE671D"/>
    <w:rsid w:val="43D123AD"/>
    <w:rsid w:val="43DB1D37"/>
    <w:rsid w:val="43ED241E"/>
    <w:rsid w:val="440914E8"/>
    <w:rsid w:val="44201C24"/>
    <w:rsid w:val="448C5C19"/>
    <w:rsid w:val="450E47A0"/>
    <w:rsid w:val="458F7CB5"/>
    <w:rsid w:val="45FB45F6"/>
    <w:rsid w:val="45FF7099"/>
    <w:rsid w:val="46045DD2"/>
    <w:rsid w:val="460A2EC3"/>
    <w:rsid w:val="460E6034"/>
    <w:rsid w:val="469C06AE"/>
    <w:rsid w:val="46BA16F8"/>
    <w:rsid w:val="476604C5"/>
    <w:rsid w:val="47D0757E"/>
    <w:rsid w:val="47D816C8"/>
    <w:rsid w:val="481D6F6E"/>
    <w:rsid w:val="48BE1F3E"/>
    <w:rsid w:val="48CB7AD6"/>
    <w:rsid w:val="48CE54A2"/>
    <w:rsid w:val="492C59C6"/>
    <w:rsid w:val="49340CD6"/>
    <w:rsid w:val="496B1926"/>
    <w:rsid w:val="496E7B97"/>
    <w:rsid w:val="49CA6828"/>
    <w:rsid w:val="4A061958"/>
    <w:rsid w:val="4A2C7C36"/>
    <w:rsid w:val="4A5B2E3F"/>
    <w:rsid w:val="4B34523B"/>
    <w:rsid w:val="4B4060D3"/>
    <w:rsid w:val="4B8665F4"/>
    <w:rsid w:val="4BDB7C5A"/>
    <w:rsid w:val="4C05246A"/>
    <w:rsid w:val="4C220629"/>
    <w:rsid w:val="4C9036F0"/>
    <w:rsid w:val="4CBD359B"/>
    <w:rsid w:val="4D0628A0"/>
    <w:rsid w:val="4EAB52FF"/>
    <w:rsid w:val="4EB84C69"/>
    <w:rsid w:val="4EDA20A8"/>
    <w:rsid w:val="4F9D7118"/>
    <w:rsid w:val="4FF35F91"/>
    <w:rsid w:val="504E20FC"/>
    <w:rsid w:val="505333D6"/>
    <w:rsid w:val="50BD4AB8"/>
    <w:rsid w:val="50D172B2"/>
    <w:rsid w:val="50F30684"/>
    <w:rsid w:val="51DB5923"/>
    <w:rsid w:val="523A2207"/>
    <w:rsid w:val="525513C0"/>
    <w:rsid w:val="52B61F8F"/>
    <w:rsid w:val="531829E1"/>
    <w:rsid w:val="53206C2C"/>
    <w:rsid w:val="540560DD"/>
    <w:rsid w:val="54636A16"/>
    <w:rsid w:val="547A5E88"/>
    <w:rsid w:val="547B5E10"/>
    <w:rsid w:val="54970FC5"/>
    <w:rsid w:val="55895497"/>
    <w:rsid w:val="55A97385"/>
    <w:rsid w:val="55F67E7E"/>
    <w:rsid w:val="56984604"/>
    <w:rsid w:val="5705494D"/>
    <w:rsid w:val="572C46CF"/>
    <w:rsid w:val="573B036F"/>
    <w:rsid w:val="574B04A5"/>
    <w:rsid w:val="57986489"/>
    <w:rsid w:val="579A58BF"/>
    <w:rsid w:val="57C91C98"/>
    <w:rsid w:val="57D66E03"/>
    <w:rsid w:val="57EF0FC7"/>
    <w:rsid w:val="58560C0D"/>
    <w:rsid w:val="59651E8F"/>
    <w:rsid w:val="59AD588C"/>
    <w:rsid w:val="5A0F662E"/>
    <w:rsid w:val="5A116A7D"/>
    <w:rsid w:val="5A6B3743"/>
    <w:rsid w:val="5AA956E4"/>
    <w:rsid w:val="5AB17E36"/>
    <w:rsid w:val="5B8D5B30"/>
    <w:rsid w:val="5BB83775"/>
    <w:rsid w:val="5BDF7F7D"/>
    <w:rsid w:val="5BEE3BEC"/>
    <w:rsid w:val="5C4904EA"/>
    <w:rsid w:val="5C713ADE"/>
    <w:rsid w:val="5C97535F"/>
    <w:rsid w:val="5CE24DE9"/>
    <w:rsid w:val="5CE52E6F"/>
    <w:rsid w:val="5D3818BF"/>
    <w:rsid w:val="5D601473"/>
    <w:rsid w:val="5D7E19FD"/>
    <w:rsid w:val="5DAF4950"/>
    <w:rsid w:val="5DC83CE0"/>
    <w:rsid w:val="5E231F5E"/>
    <w:rsid w:val="5E247747"/>
    <w:rsid w:val="5E4734A5"/>
    <w:rsid w:val="5E5F4F3C"/>
    <w:rsid w:val="5F084C7B"/>
    <w:rsid w:val="5F4A75DA"/>
    <w:rsid w:val="603B794C"/>
    <w:rsid w:val="606D7125"/>
    <w:rsid w:val="60BD3B07"/>
    <w:rsid w:val="612C3D26"/>
    <w:rsid w:val="61A23B8A"/>
    <w:rsid w:val="62AB201A"/>
    <w:rsid w:val="63062A7B"/>
    <w:rsid w:val="630C5F5B"/>
    <w:rsid w:val="634153AF"/>
    <w:rsid w:val="63771DD9"/>
    <w:rsid w:val="64794BFE"/>
    <w:rsid w:val="64923381"/>
    <w:rsid w:val="64C0573A"/>
    <w:rsid w:val="650B7202"/>
    <w:rsid w:val="658B5A91"/>
    <w:rsid w:val="65AF7DA3"/>
    <w:rsid w:val="66792B58"/>
    <w:rsid w:val="66B07AE8"/>
    <w:rsid w:val="67B958FE"/>
    <w:rsid w:val="67BE5AB9"/>
    <w:rsid w:val="68341A5B"/>
    <w:rsid w:val="68775F5A"/>
    <w:rsid w:val="687B14A9"/>
    <w:rsid w:val="688723D3"/>
    <w:rsid w:val="68FE7DBE"/>
    <w:rsid w:val="693C26A4"/>
    <w:rsid w:val="697655D4"/>
    <w:rsid w:val="697C3EF2"/>
    <w:rsid w:val="69CD764D"/>
    <w:rsid w:val="6AAB1F54"/>
    <w:rsid w:val="6AED1486"/>
    <w:rsid w:val="6AFB1536"/>
    <w:rsid w:val="6B10110D"/>
    <w:rsid w:val="6B283295"/>
    <w:rsid w:val="6BD01034"/>
    <w:rsid w:val="6C822710"/>
    <w:rsid w:val="6CD209B0"/>
    <w:rsid w:val="6CE17677"/>
    <w:rsid w:val="6DD0146B"/>
    <w:rsid w:val="6DD7491B"/>
    <w:rsid w:val="6DEE254B"/>
    <w:rsid w:val="6DF604EA"/>
    <w:rsid w:val="6EAB65C8"/>
    <w:rsid w:val="6EAC5BEA"/>
    <w:rsid w:val="7068728A"/>
    <w:rsid w:val="709D38AA"/>
    <w:rsid w:val="70AA3EA1"/>
    <w:rsid w:val="7173590B"/>
    <w:rsid w:val="719278C5"/>
    <w:rsid w:val="71B5177B"/>
    <w:rsid w:val="71FE1267"/>
    <w:rsid w:val="722112FB"/>
    <w:rsid w:val="72701F8F"/>
    <w:rsid w:val="72F922F4"/>
    <w:rsid w:val="734D0937"/>
    <w:rsid w:val="737D38CC"/>
    <w:rsid w:val="73FD14AF"/>
    <w:rsid w:val="742661EA"/>
    <w:rsid w:val="74755E43"/>
    <w:rsid w:val="74990999"/>
    <w:rsid w:val="750F4243"/>
    <w:rsid w:val="754E0288"/>
    <w:rsid w:val="75527DA3"/>
    <w:rsid w:val="756A1031"/>
    <w:rsid w:val="75CB67CC"/>
    <w:rsid w:val="76190A34"/>
    <w:rsid w:val="762222A5"/>
    <w:rsid w:val="76855F00"/>
    <w:rsid w:val="76BA5F81"/>
    <w:rsid w:val="773520EC"/>
    <w:rsid w:val="77456C66"/>
    <w:rsid w:val="77843AD8"/>
    <w:rsid w:val="779B53EF"/>
    <w:rsid w:val="779E76C8"/>
    <w:rsid w:val="78320A20"/>
    <w:rsid w:val="785B794E"/>
    <w:rsid w:val="78793D6A"/>
    <w:rsid w:val="787C67DF"/>
    <w:rsid w:val="78C70D0F"/>
    <w:rsid w:val="7902714A"/>
    <w:rsid w:val="797B07D0"/>
    <w:rsid w:val="797F51CE"/>
    <w:rsid w:val="79A30E60"/>
    <w:rsid w:val="7A3E1EEE"/>
    <w:rsid w:val="7A7706BC"/>
    <w:rsid w:val="7AB26A40"/>
    <w:rsid w:val="7ACF06E2"/>
    <w:rsid w:val="7AF23CBE"/>
    <w:rsid w:val="7B0736D8"/>
    <w:rsid w:val="7BA53AB4"/>
    <w:rsid w:val="7C574924"/>
    <w:rsid w:val="7C655F10"/>
    <w:rsid w:val="7CB73864"/>
    <w:rsid w:val="7CEA2C5E"/>
    <w:rsid w:val="7D7409D6"/>
    <w:rsid w:val="7DA222E3"/>
    <w:rsid w:val="7DAD7534"/>
    <w:rsid w:val="7DD179FD"/>
    <w:rsid w:val="7E00382B"/>
    <w:rsid w:val="7E41197D"/>
    <w:rsid w:val="7F181F3F"/>
    <w:rsid w:val="7F2A171E"/>
    <w:rsid w:val="7F36118B"/>
    <w:rsid w:val="7FAD2AB5"/>
    <w:rsid w:val="7FD922F0"/>
    <w:rsid w:val="7FF01447"/>
    <w:rsid w:val="7FFD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仿宋" w:cs="Times New Roman"/>
      <w:kern w:val="2"/>
      <w:sz w:val="28"/>
      <w:szCs w:val="24"/>
      <w:lang w:val="en-US" w:eastAsia="zh-CN" w:bidi="ar-SA"/>
    </w:rPr>
  </w:style>
  <w:style w:type="paragraph" w:styleId="3">
    <w:name w:val="heading 1"/>
    <w:basedOn w:val="1"/>
    <w:next w:val="1"/>
    <w:qFormat/>
    <w:uiPriority w:val="0"/>
    <w:pPr>
      <w:keepNext/>
      <w:keepLines/>
      <w:spacing w:before="340" w:after="330" w:line="576" w:lineRule="auto"/>
      <w:ind w:left="400" w:leftChars="400"/>
      <w:jc w:val="center"/>
      <w:outlineLvl w:val="0"/>
    </w:pPr>
    <w:rPr>
      <w:b/>
      <w:kern w:val="44"/>
      <w:sz w:val="36"/>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5">
    <w:name w:val="Normal Indent"/>
    <w:basedOn w:val="1"/>
    <w:qFormat/>
    <w:uiPriority w:val="0"/>
    <w:pPr>
      <w:ind w:firstLine="420"/>
    </w:pPr>
    <w:rPr>
      <w:kern w:val="0"/>
      <w:sz w:val="20"/>
    </w:rPr>
  </w:style>
  <w:style w:type="paragraph" w:styleId="8">
    <w:name w:val="annotation text"/>
    <w:basedOn w:val="1"/>
    <w:qFormat/>
    <w:uiPriority w:val="0"/>
    <w:pPr>
      <w:jc w:val="left"/>
    </w:pPr>
  </w:style>
  <w:style w:type="paragraph" w:styleId="9">
    <w:name w:val="Body Text"/>
    <w:basedOn w:val="1"/>
    <w:next w:val="10"/>
    <w:qFormat/>
    <w:uiPriority w:val="0"/>
    <w:pPr>
      <w:tabs>
        <w:tab w:val="left" w:pos="567"/>
      </w:tabs>
      <w:spacing w:before="120" w:line="22" w:lineRule="atLeast"/>
    </w:pPr>
    <w:rPr>
      <w:rFonts w:ascii="宋体" w:hAnsi="宋体"/>
      <w:sz w:val="24"/>
    </w:rPr>
  </w:style>
  <w:style w:type="paragraph" w:styleId="10">
    <w:name w:val="Body Text 2"/>
    <w:basedOn w:val="1"/>
    <w:qFormat/>
    <w:uiPriority w:val="0"/>
    <w:pPr>
      <w:jc w:val="center"/>
    </w:pPr>
    <w:rPr>
      <w:rFonts w:ascii="宋体" w:hAnsi="宋体"/>
      <w:sz w:val="22"/>
      <w:szCs w:val="22"/>
    </w:rPr>
  </w:style>
  <w:style w:type="paragraph" w:styleId="11">
    <w:name w:val="Plain Text"/>
    <w:basedOn w:val="1"/>
    <w:qFormat/>
    <w:uiPriority w:val="0"/>
    <w:rPr>
      <w:rFonts w:ascii="宋体" w:hAnsi="Courier New"/>
      <w:szCs w:val="20"/>
    </w:rPr>
  </w:style>
  <w:style w:type="paragraph" w:styleId="12">
    <w:name w:val="Balloon Text"/>
    <w:basedOn w:val="1"/>
    <w:link w:val="30"/>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6"/>
    <w:next w:val="1"/>
    <w:qFormat/>
    <w:uiPriority w:val="0"/>
    <w:pPr>
      <w:spacing w:before="120" w:after="120"/>
    </w:pPr>
    <w:rPr>
      <w:rFonts w:eastAsia="宋体"/>
      <w:bCs/>
      <w:caps/>
      <w:sz w:val="30"/>
      <w:szCs w:val="30"/>
    </w:rPr>
  </w:style>
  <w:style w:type="paragraph" w:styleId="16">
    <w:name w:val="index 1"/>
    <w:basedOn w:val="1"/>
    <w:next w:val="1"/>
    <w:qFormat/>
    <w:uiPriority w:val="0"/>
    <w:rPr>
      <w:rFonts w:eastAsia="仿宋_GB2312"/>
      <w:b/>
      <w:sz w:val="24"/>
    </w:rPr>
  </w:style>
  <w:style w:type="paragraph" w:styleId="17">
    <w:name w:val="footnote text"/>
    <w:basedOn w:val="1"/>
    <w:qFormat/>
    <w:uiPriority w:val="0"/>
    <w:pPr>
      <w:snapToGrid w:val="0"/>
      <w:jc w:val="left"/>
    </w:pPr>
    <w:rPr>
      <w:sz w:val="18"/>
    </w:rPr>
  </w:style>
  <w:style w:type="paragraph" w:styleId="18">
    <w:name w:val="Normal (Web)"/>
    <w:basedOn w:val="1"/>
    <w:qFormat/>
    <w:uiPriority w:val="0"/>
    <w:pPr>
      <w:spacing w:before="100" w:beforeAutospacing="1" w:after="100" w:afterAutospacing="1"/>
      <w:jc w:val="left"/>
    </w:pPr>
    <w:rPr>
      <w:kern w:val="0"/>
      <w:sz w:val="24"/>
    </w:rPr>
  </w:style>
  <w:style w:type="table" w:styleId="20">
    <w:name w:val="Table Grid"/>
    <w:basedOn w:val="19"/>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Hyperlink"/>
    <w:basedOn w:val="21"/>
    <w:qFormat/>
    <w:uiPriority w:val="0"/>
    <w:rPr>
      <w:color w:val="145CCD"/>
      <w:u w:val="none"/>
    </w:rPr>
  </w:style>
  <w:style w:type="character" w:styleId="24">
    <w:name w:val="annotation reference"/>
    <w:basedOn w:val="21"/>
    <w:qFormat/>
    <w:uiPriority w:val="0"/>
    <w:rPr>
      <w:sz w:val="21"/>
      <w:szCs w:val="21"/>
    </w:rPr>
  </w:style>
  <w:style w:type="character" w:styleId="25">
    <w:name w:val="footnote reference"/>
    <w:basedOn w:val="21"/>
    <w:qFormat/>
    <w:uiPriority w:val="0"/>
    <w:rPr>
      <w:vertAlign w:val="superscript"/>
    </w:rPr>
  </w:style>
  <w:style w:type="paragraph" w:customStyle="1" w:styleId="26">
    <w:name w:val="样式 样式 行距: 1.5 倍行距 + 首行缩进:  2 字符"/>
    <w:basedOn w:val="1"/>
    <w:qFormat/>
    <w:uiPriority w:val="0"/>
    <w:rPr>
      <w:rFonts w:cs="宋体"/>
      <w:sz w:val="24"/>
    </w:rPr>
  </w:style>
  <w:style w:type="paragraph" w:customStyle="1" w:styleId="27">
    <w:name w:val="列出段落1"/>
    <w:basedOn w:val="1"/>
    <w:qFormat/>
    <w:uiPriority w:val="34"/>
    <w:pPr>
      <w:ind w:firstLine="420"/>
    </w:pPr>
    <w:rPr>
      <w:rFonts w:ascii="宋体" w:hAnsi="宋体"/>
      <w:lang w:val="zh-CN"/>
    </w:rPr>
  </w:style>
  <w:style w:type="paragraph" w:customStyle="1" w:styleId="28">
    <w:name w:val="列出段落2"/>
    <w:basedOn w:val="1"/>
    <w:qFormat/>
    <w:uiPriority w:val="34"/>
    <w:pPr>
      <w:ind w:firstLine="420" w:firstLineChars="200"/>
    </w:pPr>
    <w:rPr>
      <w:rFonts w:ascii="Calibri" w:hAnsi="Calibri"/>
      <w:szCs w:val="22"/>
    </w:rPr>
  </w:style>
  <w:style w:type="character" w:customStyle="1" w:styleId="29">
    <w:name w:val="正文文本 字符"/>
    <w:qFormat/>
    <w:uiPriority w:val="0"/>
    <w:rPr>
      <w:rFonts w:ascii="宋体" w:hAnsi="宋体"/>
      <w:kern w:val="2"/>
      <w:sz w:val="24"/>
      <w:szCs w:val="24"/>
    </w:rPr>
  </w:style>
  <w:style w:type="character" w:customStyle="1" w:styleId="30">
    <w:name w:val="批注框文本 Char"/>
    <w:basedOn w:val="21"/>
    <w:link w:val="12"/>
    <w:qFormat/>
    <w:uiPriority w:val="0"/>
    <w:rPr>
      <w:rFonts w:ascii="Times New Roman" w:hAnsi="Times New Roman" w:eastAsia="宋体" w:cs="Times New Roman"/>
      <w:kern w:val="2"/>
      <w:sz w:val="18"/>
      <w:szCs w:val="18"/>
    </w:rPr>
  </w:style>
  <w:style w:type="character" w:customStyle="1" w:styleId="31">
    <w:name w:val="dhxform_info"/>
    <w:basedOn w:val="21"/>
    <w:qFormat/>
    <w:uiPriority w:val="0"/>
    <w:rPr>
      <w:rFonts w:ascii="Tahoma" w:hAnsi="Tahoma" w:eastAsia="Tahoma" w:cs="Tahoma"/>
      <w:color w:val="808080"/>
      <w:sz w:val="12"/>
      <w:szCs w:val="12"/>
    </w:rPr>
  </w:style>
  <w:style w:type="character" w:customStyle="1" w:styleId="32">
    <w:name w:val="space"/>
    <w:basedOn w:val="21"/>
    <w:qFormat/>
    <w:uiPriority w:val="0"/>
  </w:style>
  <w:style w:type="character" w:customStyle="1" w:styleId="33">
    <w:name w:val="dhxform_item_required"/>
    <w:basedOn w:val="21"/>
    <w:qFormat/>
    <w:uiPriority w:val="0"/>
    <w:rPr>
      <w:color w:val="B2B2B2"/>
    </w:rPr>
  </w:style>
  <w:style w:type="character" w:customStyle="1" w:styleId="34">
    <w:name w:val="dhxform_item_required1"/>
    <w:basedOn w:val="21"/>
    <w:qFormat/>
    <w:uiPriority w:val="0"/>
    <w:rPr>
      <w:color w:val="FF0000"/>
    </w:rPr>
  </w:style>
  <w:style w:type="character" w:customStyle="1" w:styleId="35">
    <w:name w:val="dhtmlxcalendar_selected_date"/>
    <w:basedOn w:val="21"/>
    <w:qFormat/>
    <w:uiPriority w:val="0"/>
  </w:style>
  <w:style w:type="character" w:customStyle="1" w:styleId="36">
    <w:name w:val="nav_link"/>
    <w:basedOn w:val="21"/>
    <w:qFormat/>
    <w:uiPriority w:val="0"/>
  </w:style>
  <w:style w:type="character" w:customStyle="1" w:styleId="37">
    <w:name w:val="dhxtabbar_tabs_text_test_dhx_skyblue"/>
    <w:basedOn w:val="21"/>
    <w:qFormat/>
    <w:uiPriority w:val="0"/>
    <w:rPr>
      <w:rFonts w:hint="default" w:ascii="Tahoma" w:hAnsi="Tahoma" w:eastAsia="Tahoma" w:cs="Tahoma"/>
      <w:b/>
      <w:bCs/>
      <w:color w:val="000000"/>
      <w:sz w:val="13"/>
      <w:szCs w:val="13"/>
    </w:rPr>
  </w:style>
  <w:style w:type="character" w:customStyle="1" w:styleId="38">
    <w:name w:val="selectedtreerow8"/>
    <w:basedOn w:val="21"/>
    <w:qFormat/>
    <w:uiPriority w:val="0"/>
  </w:style>
  <w:style w:type="character" w:customStyle="1" w:styleId="39">
    <w:name w:val="selectedtreerow9"/>
    <w:basedOn w:val="21"/>
    <w:qFormat/>
    <w:uiPriority w:val="0"/>
    <w:rPr>
      <w:color w:val="000000"/>
      <w:shd w:val="clear" w:color="auto" w:fill="B5DEFF"/>
    </w:rPr>
  </w:style>
  <w:style w:type="character" w:customStyle="1" w:styleId="40">
    <w:name w:val="selectedtreerow10"/>
    <w:basedOn w:val="21"/>
    <w:qFormat/>
    <w:uiPriority w:val="0"/>
    <w:rPr>
      <w:color w:val="000000"/>
      <w:shd w:val="clear" w:color="auto" w:fill="B5DEFF"/>
    </w:rPr>
  </w:style>
  <w:style w:type="character" w:customStyle="1" w:styleId="41">
    <w:name w:val="selectedtreerow_lor8"/>
    <w:basedOn w:val="21"/>
    <w:qFormat/>
    <w:uiPriority w:val="0"/>
  </w:style>
  <w:style w:type="character" w:customStyle="1" w:styleId="42">
    <w:name w:val="selectedtreerow_lor9"/>
    <w:basedOn w:val="21"/>
    <w:qFormat/>
    <w:uiPriority w:val="0"/>
    <w:rPr>
      <w:color w:val="000000"/>
      <w:shd w:val="clear" w:color="auto" w:fill="B5DEFF"/>
    </w:rPr>
  </w:style>
  <w:style w:type="character" w:customStyle="1" w:styleId="43">
    <w:name w:val="selectedtreerow_lor10"/>
    <w:basedOn w:val="21"/>
    <w:qFormat/>
    <w:uiPriority w:val="0"/>
    <w:rPr>
      <w:color w:val="000000"/>
      <w:shd w:val="clear" w:color="auto" w:fill="B5DEFF"/>
    </w:rPr>
  </w:style>
  <w:style w:type="character" w:customStyle="1" w:styleId="44">
    <w:name w:val="standarttreerow8"/>
    <w:basedOn w:val="21"/>
    <w:qFormat/>
    <w:uiPriority w:val="0"/>
  </w:style>
  <w:style w:type="character" w:customStyle="1" w:styleId="45">
    <w:name w:val="recordsinfoblock"/>
    <w:basedOn w:val="21"/>
    <w:qFormat/>
    <w:uiPriority w:val="0"/>
    <w:rPr>
      <w:rFonts w:ascii="Verdana" w:hAnsi="Verdana" w:cs="Verdana"/>
      <w:sz w:val="14"/>
      <w:szCs w:val="14"/>
    </w:rPr>
  </w:style>
  <w:style w:type="character" w:customStyle="1" w:styleId="46">
    <w:name w:val="selectedtreerow_lor"/>
    <w:basedOn w:val="21"/>
    <w:qFormat/>
    <w:uiPriority w:val="0"/>
  </w:style>
  <w:style w:type="character" w:customStyle="1" w:styleId="47">
    <w:name w:val="selectedtreerow_lor1"/>
    <w:basedOn w:val="21"/>
    <w:qFormat/>
    <w:uiPriority w:val="0"/>
    <w:rPr>
      <w:rFonts w:ascii="Tahoma" w:hAnsi="Tahoma" w:eastAsia="Tahoma" w:cs="Tahoma"/>
      <w:color w:val="000000"/>
      <w:sz w:val="14"/>
      <w:szCs w:val="14"/>
      <w:shd w:val="clear" w:color="auto" w:fill="B5DEFF"/>
    </w:rPr>
  </w:style>
  <w:style w:type="character" w:customStyle="1" w:styleId="48">
    <w:name w:val="selectedtreerow_lor2"/>
    <w:basedOn w:val="21"/>
    <w:qFormat/>
    <w:uiPriority w:val="0"/>
    <w:rPr>
      <w:rFonts w:hint="default" w:ascii="Tahoma" w:hAnsi="Tahoma" w:eastAsia="Tahoma" w:cs="Tahoma"/>
      <w:color w:val="000000"/>
      <w:sz w:val="14"/>
      <w:szCs w:val="14"/>
      <w:shd w:val="clear" w:color="auto" w:fill="B5DEFF"/>
    </w:rPr>
  </w:style>
  <w:style w:type="character" w:customStyle="1" w:styleId="49">
    <w:name w:val="standarttreerow"/>
    <w:basedOn w:val="21"/>
    <w:qFormat/>
    <w:uiPriority w:val="0"/>
    <w:rPr>
      <w:rFonts w:hint="default" w:ascii="Tahoma" w:hAnsi="Tahoma" w:eastAsia="Tahoma" w:cs="Tahoma"/>
      <w:sz w:val="14"/>
      <w:szCs w:val="14"/>
    </w:rPr>
  </w:style>
  <w:style w:type="character" w:customStyle="1" w:styleId="50">
    <w:name w:val="selectedtreerow"/>
    <w:basedOn w:val="21"/>
    <w:qFormat/>
    <w:uiPriority w:val="0"/>
  </w:style>
  <w:style w:type="character" w:customStyle="1" w:styleId="51">
    <w:name w:val="selectedtreerow1"/>
    <w:basedOn w:val="21"/>
    <w:qFormat/>
    <w:uiPriority w:val="0"/>
    <w:rPr>
      <w:rFonts w:hint="default" w:ascii="Tahoma" w:hAnsi="Tahoma" w:eastAsia="Tahoma" w:cs="Tahoma"/>
      <w:color w:val="000000"/>
      <w:sz w:val="14"/>
      <w:szCs w:val="14"/>
      <w:shd w:val="clear" w:color="auto" w:fill="B5DEFF"/>
    </w:rPr>
  </w:style>
  <w:style w:type="character" w:customStyle="1" w:styleId="52">
    <w:name w:val="selectedtreerow2"/>
    <w:basedOn w:val="21"/>
    <w:qFormat/>
    <w:uiPriority w:val="0"/>
    <w:rPr>
      <w:rFonts w:hint="default" w:ascii="Tahoma" w:hAnsi="Tahoma" w:eastAsia="Tahoma" w:cs="Tahoma"/>
      <w:color w:val="000000"/>
      <w:sz w:val="14"/>
      <w:szCs w:val="14"/>
      <w:shd w:val="clear" w:color="auto" w:fill="B5DEFF"/>
    </w:rPr>
  </w:style>
  <w:style w:type="character" w:customStyle="1" w:styleId="53">
    <w:name w:val="selectedtreerow_lor7"/>
    <w:basedOn w:val="21"/>
    <w:qFormat/>
    <w:uiPriority w:val="0"/>
    <w:rPr>
      <w:color w:val="000000"/>
      <w:shd w:val="clear" w:color="auto" w:fill="B5DEFF"/>
    </w:rPr>
  </w:style>
  <w:style w:type="character" w:customStyle="1" w:styleId="54">
    <w:name w:val="selectedtreerow5"/>
    <w:basedOn w:val="21"/>
    <w:qFormat/>
    <w:uiPriority w:val="0"/>
    <w:rPr>
      <w:color w:val="000000"/>
      <w:shd w:val="clear" w:color="auto" w:fill="B5DEFF"/>
    </w:rPr>
  </w:style>
  <w:style w:type="character" w:customStyle="1" w:styleId="55">
    <w:name w:val="selectedtreerow6"/>
    <w:basedOn w:val="21"/>
    <w:qFormat/>
    <w:uiPriority w:val="0"/>
  </w:style>
  <w:style w:type="character" w:customStyle="1" w:styleId="56">
    <w:name w:val="selectedtreerow7"/>
    <w:basedOn w:val="21"/>
    <w:qFormat/>
    <w:uiPriority w:val="0"/>
    <w:rPr>
      <w:color w:val="000000"/>
      <w:shd w:val="clear" w:color="auto" w:fill="B5DEFF"/>
    </w:rPr>
  </w:style>
  <w:style w:type="paragraph" w:customStyle="1" w:styleId="57">
    <w:name w:val="正文首行缩进 21"/>
    <w:basedOn w:val="58"/>
    <w:qFormat/>
    <w:uiPriority w:val="0"/>
    <w:pPr>
      <w:ind w:firstLine="420" w:firstLineChars="200"/>
    </w:pPr>
    <w:rPr>
      <w:rFonts w:ascii="Calibri" w:hAnsi="Calibri" w:eastAsia="微软雅黑" w:cs="Times New Roman"/>
    </w:rPr>
  </w:style>
  <w:style w:type="paragraph" w:customStyle="1" w:styleId="58">
    <w:name w:val="正文文本缩进1"/>
    <w:basedOn w:val="1"/>
    <w:qFormat/>
    <w:uiPriority w:val="0"/>
    <w:pPr>
      <w:spacing w:after="120"/>
      <w:ind w:left="420" w:leftChars="200"/>
    </w:pPr>
    <w:rPr>
      <w:rFonts w:hint="eastAsia" w:ascii="Calibri" w:hAnsi="Calibri" w:eastAsia="微软雅黑"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4682</Words>
  <Characters>26688</Characters>
  <Lines>222</Lines>
  <Paragraphs>62</Paragraphs>
  <TotalTime>0</TotalTime>
  <ScaleCrop>false</ScaleCrop>
  <LinksUpToDate>false</LinksUpToDate>
  <CharactersWithSpaces>31308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2021-07-09T08:07:00Z</dcterms:created>
  <dc:creator>洛洛</dc:creator>
  <cp:lastModifiedBy>清泪无痕</cp:lastModifiedBy>
  <cp:lastPrinted>2022-03-23T09:41:00Z</cp:lastPrinted>
  <dcterms:modified xsi:type="dcterms:W3CDTF">2022-03-24T08:38:05Z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C2E9A982E0614C5683F344C5755F5A9B</vt:lpwstr>
  </property>
</Properties>
</file>