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E6AD" w14:textId="7BAB58BD" w:rsidR="00955C66" w:rsidRPr="00567323" w:rsidRDefault="00955C66" w:rsidP="00955C66">
      <w:pPr>
        <w:spacing w:line="360" w:lineRule="auto"/>
        <w:jc w:val="center"/>
        <w:outlineLvl w:val="0"/>
        <w:rPr>
          <w:rFonts w:ascii="宋体" w:hAnsi="宋体" w:cs="Arial"/>
          <w:b/>
          <w:sz w:val="36"/>
          <w:szCs w:val="36"/>
        </w:rPr>
      </w:pPr>
      <w:bookmarkStart w:id="0" w:name="_Toc146541088"/>
      <w:bookmarkStart w:id="1" w:name="_Hlk117775713"/>
      <w:r w:rsidRPr="00567323">
        <w:rPr>
          <w:rFonts w:ascii="宋体" w:hAnsi="宋体" w:cs="Arial"/>
          <w:b/>
          <w:sz w:val="36"/>
          <w:szCs w:val="36"/>
        </w:rPr>
        <w:t>采购需求</w:t>
      </w:r>
      <w:bookmarkEnd w:id="0"/>
    </w:p>
    <w:p w14:paraId="21BA85C4" w14:textId="77777777" w:rsidR="00955C66" w:rsidRPr="00567323" w:rsidRDefault="00955C66" w:rsidP="00955C66">
      <w:pPr>
        <w:pStyle w:val="a6"/>
        <w:numPr>
          <w:ilvl w:val="0"/>
          <w:numId w:val="1"/>
        </w:numPr>
        <w:tabs>
          <w:tab w:val="left" w:pos="312"/>
        </w:tabs>
        <w:spacing w:line="360" w:lineRule="auto"/>
        <w:ind w:firstLineChars="0"/>
        <w:contextualSpacing/>
        <w:rPr>
          <w:rFonts w:ascii="宋体" w:hAnsi="宋体" w:cs="Arial"/>
          <w:b/>
          <w:sz w:val="24"/>
          <w:szCs w:val="24"/>
        </w:rPr>
      </w:pPr>
      <w:bookmarkStart w:id="2" w:name="_Hlk115353985"/>
      <w:bookmarkStart w:id="3" w:name="_Hlk116664371"/>
      <w:r w:rsidRPr="00567323">
        <w:rPr>
          <w:rFonts w:ascii="宋体" w:hAnsi="宋体" w:cs="Arial"/>
          <w:b/>
          <w:sz w:val="24"/>
          <w:szCs w:val="24"/>
        </w:rPr>
        <w:t>采购标的</w:t>
      </w:r>
    </w:p>
    <w:p w14:paraId="0BAA810E" w14:textId="77777777" w:rsidR="00955C66" w:rsidRPr="00567323" w:rsidRDefault="00955C66" w:rsidP="00955C66">
      <w:pPr>
        <w:spacing w:line="360" w:lineRule="auto"/>
        <w:contextualSpacing/>
        <w:rPr>
          <w:rFonts w:ascii="宋体" w:hAnsi="宋体" w:cs="Arial"/>
          <w:bCs/>
          <w:sz w:val="24"/>
        </w:rPr>
      </w:pPr>
      <w:r w:rsidRPr="00567323">
        <w:rPr>
          <w:rFonts w:ascii="宋体" w:hAnsi="宋体" w:cs="Arial"/>
          <w:bCs/>
          <w:sz w:val="24"/>
        </w:rPr>
        <w:t>1. 采购标的（货物需求一览表或简要服务内容及数量）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16"/>
        <w:gridCol w:w="3622"/>
        <w:gridCol w:w="1125"/>
        <w:gridCol w:w="1496"/>
        <w:gridCol w:w="1263"/>
      </w:tblGrid>
      <w:tr w:rsidR="00955C66" w:rsidRPr="00567323" w14:paraId="29A060F0" w14:textId="77777777" w:rsidTr="00974A7D">
        <w:trPr>
          <w:trHeight w:val="520"/>
        </w:trPr>
        <w:tc>
          <w:tcPr>
            <w:tcW w:w="596" w:type="pct"/>
            <w:shd w:val="clear" w:color="auto" w:fill="FFFFFF" w:themeFill="background1"/>
            <w:vAlign w:val="center"/>
          </w:tcPr>
          <w:p w14:paraId="2725A930" w14:textId="77777777" w:rsidR="00955C66" w:rsidRPr="00567323" w:rsidRDefault="00955C66" w:rsidP="00974A7D">
            <w:pPr>
              <w:widowControl/>
              <w:jc w:val="center"/>
              <w:rPr>
                <w:rFonts w:ascii="宋体" w:hAnsi="宋体" w:cs="Arial"/>
                <w:b/>
                <w:bCs/>
                <w:kern w:val="0"/>
                <w:sz w:val="24"/>
              </w:rPr>
            </w:pPr>
            <w:bookmarkStart w:id="4" w:name="_Hlk110870460"/>
            <w:proofErr w:type="gramStart"/>
            <w:r w:rsidRPr="00567323">
              <w:rPr>
                <w:rFonts w:ascii="宋体" w:hAnsi="宋体" w:cs="Arial"/>
                <w:b/>
                <w:bCs/>
                <w:kern w:val="0"/>
                <w:sz w:val="24"/>
              </w:rPr>
              <w:t>包号</w:t>
            </w:r>
            <w:proofErr w:type="gramEnd"/>
          </w:p>
        </w:tc>
        <w:tc>
          <w:tcPr>
            <w:tcW w:w="2125" w:type="pct"/>
            <w:shd w:val="clear" w:color="auto" w:fill="FFFFFF" w:themeFill="background1"/>
            <w:vAlign w:val="center"/>
          </w:tcPr>
          <w:p w14:paraId="6AD86BA1" w14:textId="77777777" w:rsidR="00955C66" w:rsidRPr="00567323" w:rsidRDefault="00955C66" w:rsidP="00974A7D">
            <w:pPr>
              <w:widowControl/>
              <w:jc w:val="center"/>
              <w:rPr>
                <w:rFonts w:ascii="宋体" w:hAnsi="宋体" w:cs="Arial"/>
                <w:b/>
                <w:bCs/>
                <w:kern w:val="0"/>
                <w:sz w:val="24"/>
              </w:rPr>
            </w:pPr>
            <w:r w:rsidRPr="00567323">
              <w:rPr>
                <w:rFonts w:ascii="宋体" w:hAnsi="宋体" w:cs="Arial"/>
                <w:b/>
                <w:bCs/>
                <w:kern w:val="0"/>
                <w:sz w:val="24"/>
              </w:rPr>
              <w:t>包名称</w:t>
            </w:r>
          </w:p>
        </w:tc>
        <w:tc>
          <w:tcPr>
            <w:tcW w:w="660" w:type="pct"/>
            <w:shd w:val="clear" w:color="auto" w:fill="FFFFFF" w:themeFill="background1"/>
            <w:vAlign w:val="center"/>
          </w:tcPr>
          <w:p w14:paraId="0BA5ED7D" w14:textId="77777777" w:rsidR="00955C66" w:rsidRPr="00567323" w:rsidRDefault="00955C66" w:rsidP="00974A7D">
            <w:pPr>
              <w:widowControl/>
              <w:jc w:val="center"/>
              <w:rPr>
                <w:rFonts w:ascii="宋体" w:hAnsi="宋体" w:cs="Arial"/>
                <w:b/>
                <w:bCs/>
                <w:kern w:val="0"/>
                <w:sz w:val="24"/>
              </w:rPr>
            </w:pPr>
            <w:r w:rsidRPr="00567323">
              <w:rPr>
                <w:rFonts w:ascii="宋体" w:hAnsi="宋体" w:cs="Arial"/>
                <w:b/>
                <w:bCs/>
                <w:kern w:val="0"/>
                <w:sz w:val="24"/>
              </w:rPr>
              <w:t>数量</w:t>
            </w:r>
          </w:p>
        </w:tc>
        <w:tc>
          <w:tcPr>
            <w:tcW w:w="878" w:type="pct"/>
            <w:shd w:val="clear" w:color="auto" w:fill="FFFFFF" w:themeFill="background1"/>
            <w:vAlign w:val="center"/>
          </w:tcPr>
          <w:p w14:paraId="77947A65" w14:textId="77777777" w:rsidR="00955C66" w:rsidRPr="00567323" w:rsidRDefault="00955C66" w:rsidP="00974A7D">
            <w:pPr>
              <w:widowControl/>
              <w:jc w:val="center"/>
              <w:rPr>
                <w:rFonts w:ascii="宋体" w:hAnsi="宋体" w:cs="Arial"/>
                <w:b/>
                <w:bCs/>
                <w:kern w:val="0"/>
                <w:sz w:val="24"/>
              </w:rPr>
            </w:pPr>
            <w:r w:rsidRPr="00567323">
              <w:rPr>
                <w:rFonts w:ascii="宋体" w:hAnsi="宋体" w:cs="Arial"/>
                <w:b/>
                <w:bCs/>
                <w:kern w:val="0"/>
                <w:sz w:val="24"/>
              </w:rPr>
              <w:t>最高限价（万元）</w:t>
            </w:r>
          </w:p>
        </w:tc>
        <w:tc>
          <w:tcPr>
            <w:tcW w:w="741" w:type="pct"/>
            <w:shd w:val="clear" w:color="auto" w:fill="FFFFFF" w:themeFill="background1"/>
            <w:vAlign w:val="center"/>
          </w:tcPr>
          <w:p w14:paraId="1628786B" w14:textId="77777777" w:rsidR="00955C66" w:rsidRPr="00567323" w:rsidRDefault="00955C66" w:rsidP="00974A7D">
            <w:pPr>
              <w:widowControl/>
              <w:jc w:val="center"/>
              <w:rPr>
                <w:rFonts w:ascii="宋体" w:hAnsi="宋体" w:cs="Arial"/>
                <w:b/>
                <w:bCs/>
                <w:kern w:val="0"/>
                <w:sz w:val="24"/>
              </w:rPr>
            </w:pPr>
            <w:r w:rsidRPr="00567323">
              <w:rPr>
                <w:rFonts w:ascii="宋体" w:hAnsi="宋体" w:cs="Arial"/>
                <w:b/>
                <w:bCs/>
                <w:kern w:val="0"/>
                <w:sz w:val="24"/>
              </w:rPr>
              <w:t>是否允许进口</w:t>
            </w:r>
          </w:p>
        </w:tc>
      </w:tr>
      <w:tr w:rsidR="00955C66" w:rsidRPr="00567323" w14:paraId="04DEAEE4" w14:textId="77777777" w:rsidTr="00974A7D">
        <w:trPr>
          <w:trHeight w:val="300"/>
        </w:trPr>
        <w:tc>
          <w:tcPr>
            <w:tcW w:w="596" w:type="pct"/>
            <w:shd w:val="clear" w:color="auto" w:fill="FFFFFF" w:themeFill="background1"/>
            <w:vAlign w:val="center"/>
          </w:tcPr>
          <w:p w14:paraId="08B39648" w14:textId="77777777" w:rsidR="00955C66" w:rsidRPr="00567323" w:rsidRDefault="00955C66" w:rsidP="00974A7D">
            <w:pPr>
              <w:widowControl/>
              <w:jc w:val="center"/>
              <w:rPr>
                <w:rFonts w:ascii="宋体" w:hAnsi="宋体" w:cs="Arial"/>
                <w:kern w:val="0"/>
                <w:sz w:val="24"/>
              </w:rPr>
            </w:pPr>
            <w:r w:rsidRPr="00567323">
              <w:rPr>
                <w:rFonts w:ascii="宋体" w:hAnsi="宋体" w:cs="Arial"/>
                <w:kern w:val="0"/>
                <w:sz w:val="24"/>
              </w:rPr>
              <w:t>1</w:t>
            </w:r>
          </w:p>
        </w:tc>
        <w:tc>
          <w:tcPr>
            <w:tcW w:w="2125" w:type="pct"/>
            <w:shd w:val="clear" w:color="auto" w:fill="FFFFFF" w:themeFill="background1"/>
            <w:vAlign w:val="center"/>
          </w:tcPr>
          <w:p w14:paraId="6C98F962" w14:textId="77777777" w:rsidR="00955C66" w:rsidRPr="00567323" w:rsidRDefault="00955C66" w:rsidP="00974A7D">
            <w:pPr>
              <w:widowControl/>
              <w:jc w:val="center"/>
              <w:rPr>
                <w:rFonts w:ascii="宋体" w:hAnsi="宋体" w:cs="Arial"/>
                <w:kern w:val="0"/>
                <w:sz w:val="24"/>
              </w:rPr>
            </w:pPr>
            <w:r w:rsidRPr="00567323">
              <w:rPr>
                <w:rFonts w:ascii="宋体" w:hAnsi="宋体" w:cs="Arial"/>
                <w:kern w:val="0"/>
                <w:sz w:val="24"/>
              </w:rPr>
              <w:t>激光共聚焦显微镜</w:t>
            </w:r>
          </w:p>
        </w:tc>
        <w:tc>
          <w:tcPr>
            <w:tcW w:w="660" w:type="pct"/>
            <w:shd w:val="clear" w:color="auto" w:fill="FFFFFF" w:themeFill="background1"/>
            <w:vAlign w:val="center"/>
          </w:tcPr>
          <w:p w14:paraId="43A40B67" w14:textId="77777777" w:rsidR="00955C66" w:rsidRPr="00567323" w:rsidRDefault="00955C66" w:rsidP="00974A7D">
            <w:pPr>
              <w:widowControl/>
              <w:jc w:val="center"/>
              <w:rPr>
                <w:rFonts w:ascii="宋体" w:hAnsi="宋体" w:cs="Arial"/>
                <w:kern w:val="0"/>
                <w:sz w:val="24"/>
              </w:rPr>
            </w:pPr>
            <w:r w:rsidRPr="00567323">
              <w:rPr>
                <w:rFonts w:ascii="宋体" w:hAnsi="宋体" w:cs="Arial"/>
                <w:kern w:val="0"/>
                <w:sz w:val="24"/>
              </w:rPr>
              <w:t>1</w:t>
            </w:r>
          </w:p>
        </w:tc>
        <w:tc>
          <w:tcPr>
            <w:tcW w:w="878" w:type="pct"/>
            <w:shd w:val="clear" w:color="auto" w:fill="FFFFFF" w:themeFill="background1"/>
            <w:vAlign w:val="center"/>
          </w:tcPr>
          <w:p w14:paraId="0756505A" w14:textId="77777777" w:rsidR="00955C66" w:rsidRPr="00567323" w:rsidRDefault="00955C66" w:rsidP="00974A7D">
            <w:pPr>
              <w:widowControl/>
              <w:jc w:val="center"/>
              <w:rPr>
                <w:rFonts w:ascii="宋体" w:hAnsi="宋体" w:cs="Arial"/>
                <w:kern w:val="0"/>
                <w:sz w:val="24"/>
              </w:rPr>
            </w:pPr>
            <w:r w:rsidRPr="00567323">
              <w:rPr>
                <w:rFonts w:ascii="宋体" w:hAnsi="宋体" w:cs="Arial"/>
                <w:kern w:val="0"/>
                <w:sz w:val="24"/>
              </w:rPr>
              <w:t>300</w:t>
            </w:r>
          </w:p>
        </w:tc>
        <w:tc>
          <w:tcPr>
            <w:tcW w:w="741" w:type="pct"/>
            <w:shd w:val="clear" w:color="auto" w:fill="FFFFFF" w:themeFill="background1"/>
            <w:vAlign w:val="center"/>
          </w:tcPr>
          <w:p w14:paraId="15554FAF" w14:textId="77777777" w:rsidR="00955C66" w:rsidRPr="00567323" w:rsidRDefault="00955C66" w:rsidP="00974A7D">
            <w:pPr>
              <w:widowControl/>
              <w:jc w:val="center"/>
              <w:rPr>
                <w:rFonts w:ascii="宋体" w:hAnsi="宋体" w:cs="Arial"/>
                <w:kern w:val="0"/>
                <w:sz w:val="24"/>
              </w:rPr>
            </w:pPr>
            <w:r w:rsidRPr="00567323">
              <w:rPr>
                <w:rFonts w:ascii="宋体" w:hAnsi="宋体" w:cs="Arial" w:hint="eastAsia"/>
                <w:kern w:val="0"/>
                <w:sz w:val="24"/>
              </w:rPr>
              <w:t>是</w:t>
            </w:r>
          </w:p>
        </w:tc>
      </w:tr>
    </w:tbl>
    <w:p w14:paraId="6DE80AC9" w14:textId="77777777" w:rsidR="00955C66" w:rsidRPr="00567323" w:rsidRDefault="00955C66" w:rsidP="00955C66">
      <w:pPr>
        <w:spacing w:line="360" w:lineRule="auto"/>
        <w:contextualSpacing/>
        <w:rPr>
          <w:rFonts w:ascii="宋体" w:hAnsi="宋体" w:cs="Arial"/>
          <w:bCs/>
          <w:sz w:val="24"/>
        </w:rPr>
      </w:pPr>
      <w:r w:rsidRPr="00567323">
        <w:rPr>
          <w:rFonts w:ascii="宋体" w:hAnsi="宋体" w:cs="Arial"/>
          <w:bCs/>
          <w:sz w:val="24"/>
        </w:rPr>
        <w:t>2. 项目背景/项目概述（如有）</w:t>
      </w:r>
    </w:p>
    <w:p w14:paraId="79F2B66E" w14:textId="77777777" w:rsidR="00955C66" w:rsidRPr="00567323" w:rsidRDefault="00955C66" w:rsidP="00955C66">
      <w:pPr>
        <w:spacing w:line="360" w:lineRule="auto"/>
        <w:contextualSpacing/>
        <w:rPr>
          <w:rFonts w:ascii="宋体" w:hAnsi="宋体" w:cs="Arial"/>
          <w:bCs/>
          <w:sz w:val="24"/>
        </w:rPr>
      </w:pPr>
      <w:r w:rsidRPr="00567323">
        <w:rPr>
          <w:rFonts w:ascii="宋体" w:hAnsi="宋体" w:cs="Arial"/>
          <w:bCs/>
          <w:sz w:val="24"/>
        </w:rPr>
        <w:t>北京市中医药研究所购置激光共聚焦显微镜系统一批</w:t>
      </w:r>
    </w:p>
    <w:p w14:paraId="6F4D8C13" w14:textId="77777777" w:rsidR="00955C66" w:rsidRPr="00567323" w:rsidRDefault="00955C66" w:rsidP="00955C66">
      <w:pPr>
        <w:pStyle w:val="a6"/>
        <w:numPr>
          <w:ilvl w:val="0"/>
          <w:numId w:val="1"/>
        </w:numPr>
        <w:tabs>
          <w:tab w:val="left" w:pos="312"/>
        </w:tabs>
        <w:spacing w:line="360" w:lineRule="auto"/>
        <w:ind w:firstLineChars="0"/>
        <w:contextualSpacing/>
        <w:rPr>
          <w:rFonts w:ascii="宋体" w:hAnsi="宋体" w:cs="Arial"/>
          <w:b/>
          <w:sz w:val="24"/>
          <w:szCs w:val="24"/>
        </w:rPr>
      </w:pPr>
      <w:bookmarkStart w:id="5" w:name="_Hlk146283850"/>
      <w:bookmarkEnd w:id="4"/>
      <w:r w:rsidRPr="00567323">
        <w:rPr>
          <w:rFonts w:ascii="宋体" w:hAnsi="宋体" w:cs="Arial"/>
          <w:b/>
          <w:sz w:val="24"/>
          <w:szCs w:val="24"/>
        </w:rPr>
        <w:t>商务要求</w:t>
      </w:r>
    </w:p>
    <w:p w14:paraId="0D03A752" w14:textId="77777777" w:rsidR="00955C66" w:rsidRPr="00567323" w:rsidRDefault="00955C66" w:rsidP="00955C66">
      <w:pPr>
        <w:spacing w:line="360" w:lineRule="auto"/>
        <w:contextualSpacing/>
        <w:rPr>
          <w:rFonts w:ascii="宋体" w:hAnsi="宋体" w:cs="Arial"/>
          <w:sz w:val="24"/>
        </w:rPr>
      </w:pPr>
      <w:r w:rsidRPr="00567323">
        <w:rPr>
          <w:rFonts w:ascii="宋体" w:hAnsi="宋体" w:cs="Arial"/>
          <w:sz w:val="24"/>
        </w:rPr>
        <w:t xml:space="preserve">1. 实施的时间和地点： </w:t>
      </w:r>
    </w:p>
    <w:p w14:paraId="6036B65A" w14:textId="77777777" w:rsidR="00955C66" w:rsidRPr="00567323" w:rsidRDefault="00955C66" w:rsidP="00955C66">
      <w:pPr>
        <w:spacing w:line="360" w:lineRule="auto"/>
        <w:contextualSpacing/>
        <w:rPr>
          <w:rFonts w:ascii="宋体" w:hAnsi="宋体" w:cs="Arial"/>
          <w:bCs/>
          <w:sz w:val="24"/>
        </w:rPr>
      </w:pPr>
      <w:r w:rsidRPr="00567323">
        <w:rPr>
          <w:rFonts w:ascii="宋体" w:hAnsi="宋体" w:cs="Arial"/>
          <w:bCs/>
          <w:sz w:val="24"/>
        </w:rPr>
        <w:t>交货时间：</w:t>
      </w:r>
      <w:r w:rsidRPr="00567323">
        <w:rPr>
          <w:rFonts w:ascii="宋体" w:hAnsi="宋体" w:cs="Arial"/>
          <w:sz w:val="24"/>
        </w:rPr>
        <w:t>自合同签订之日起90日内到货。</w:t>
      </w:r>
    </w:p>
    <w:p w14:paraId="2DFE7210" w14:textId="77777777" w:rsidR="00955C66" w:rsidRPr="00567323" w:rsidRDefault="00955C66" w:rsidP="00955C66">
      <w:pPr>
        <w:spacing w:line="360" w:lineRule="auto"/>
        <w:contextualSpacing/>
        <w:rPr>
          <w:rFonts w:ascii="宋体" w:hAnsi="宋体" w:cs="Arial"/>
          <w:bCs/>
          <w:sz w:val="24"/>
        </w:rPr>
      </w:pPr>
      <w:r w:rsidRPr="00567323">
        <w:rPr>
          <w:rFonts w:ascii="宋体" w:hAnsi="宋体" w:cs="Arial"/>
          <w:bCs/>
          <w:sz w:val="24"/>
        </w:rPr>
        <w:t xml:space="preserve">交货地点：采购人指定地点 </w:t>
      </w:r>
    </w:p>
    <w:p w14:paraId="156AA1B6" w14:textId="77777777" w:rsidR="00955C66" w:rsidRPr="00567323" w:rsidRDefault="00955C66" w:rsidP="00955C66">
      <w:pPr>
        <w:spacing w:line="360" w:lineRule="auto"/>
        <w:contextualSpacing/>
        <w:rPr>
          <w:rFonts w:ascii="宋体" w:hAnsi="宋体" w:cs="Arial"/>
          <w:sz w:val="24"/>
        </w:rPr>
      </w:pPr>
      <w:r w:rsidRPr="00567323">
        <w:rPr>
          <w:rFonts w:ascii="宋体" w:hAnsi="宋体" w:cs="Arial"/>
          <w:sz w:val="24"/>
        </w:rPr>
        <w:t>2. 付款条件：中标人以保函形式向买方支付合同金额10%的履约保函，并按买方要求提供预付款担保，该担保期限为合同生效之日起至货物验收合格日止，甲方收到预付款担保后支付100%合同金额；</w:t>
      </w:r>
      <w:r w:rsidRPr="00567323">
        <w:rPr>
          <w:rFonts w:ascii="宋体" w:hAnsi="宋体" w:cs="Arial" w:hint="eastAsia"/>
          <w:sz w:val="24"/>
        </w:rPr>
        <w:t>买方须确保履约保函在货物验收合格之后12个月且双方确认无任何质量问题、双方无任何争议后由买方退还卖方。</w:t>
      </w:r>
      <w:r w:rsidRPr="00567323">
        <w:rPr>
          <w:rFonts w:ascii="宋体" w:hAnsi="宋体" w:cs="Arial"/>
          <w:sz w:val="24"/>
        </w:rPr>
        <w:t xml:space="preserve">（具体以合同最终签署为准）。        </w:t>
      </w:r>
    </w:p>
    <w:p w14:paraId="36CA8B0D" w14:textId="77777777" w:rsidR="00955C66" w:rsidRPr="00567323" w:rsidRDefault="00955C66" w:rsidP="00955C66">
      <w:pPr>
        <w:spacing w:line="360" w:lineRule="auto"/>
        <w:contextualSpacing/>
        <w:rPr>
          <w:rFonts w:ascii="宋体" w:hAnsi="宋体" w:cs="Arial"/>
          <w:sz w:val="24"/>
        </w:rPr>
      </w:pPr>
      <w:r w:rsidRPr="00567323">
        <w:rPr>
          <w:rFonts w:ascii="宋体" w:hAnsi="宋体" w:cs="Arial"/>
          <w:sz w:val="24"/>
        </w:rPr>
        <w:t>4. 售后服务（质保期）：3年</w:t>
      </w:r>
    </w:p>
    <w:p w14:paraId="13453396" w14:textId="77777777" w:rsidR="00955C66" w:rsidRPr="00567323" w:rsidRDefault="00955C66" w:rsidP="00955C66">
      <w:pPr>
        <w:spacing w:line="360" w:lineRule="auto"/>
        <w:contextualSpacing/>
        <w:rPr>
          <w:rFonts w:ascii="宋体" w:hAnsi="宋体" w:cs="Arial"/>
          <w:sz w:val="24"/>
        </w:rPr>
      </w:pPr>
      <w:r w:rsidRPr="00567323">
        <w:rPr>
          <w:rFonts w:ascii="宋体" w:hAnsi="宋体" w:cs="Arial"/>
          <w:sz w:val="24"/>
        </w:rPr>
        <w:t>5. 保险（如适用）：详见合同条款</w:t>
      </w:r>
    </w:p>
    <w:p w14:paraId="60D8CE5E" w14:textId="77777777" w:rsidR="00955C66" w:rsidRPr="00567323" w:rsidRDefault="00955C66" w:rsidP="00955C66">
      <w:pPr>
        <w:spacing w:line="360" w:lineRule="auto"/>
        <w:contextualSpacing/>
        <w:rPr>
          <w:rFonts w:ascii="宋体" w:hAnsi="宋体" w:cs="Arial"/>
          <w:sz w:val="24"/>
        </w:rPr>
      </w:pPr>
      <w:r w:rsidRPr="00567323">
        <w:rPr>
          <w:rFonts w:ascii="宋体" w:hAnsi="宋体" w:cs="Segoe UI Symbol"/>
          <w:bCs/>
          <w:sz w:val="24"/>
        </w:rPr>
        <w:t>★</w:t>
      </w:r>
      <w:r w:rsidRPr="00567323">
        <w:rPr>
          <w:rFonts w:ascii="宋体" w:hAnsi="宋体" w:cs="Arial"/>
          <w:sz w:val="24"/>
        </w:rPr>
        <w:t>6.如投标产品为进口产品投标人为产品代理商时，须提供有效的产品授权，如产品授权为多级授权须保证授权链完整合法有效，提供证明材料。</w:t>
      </w:r>
    </w:p>
    <w:p w14:paraId="7871D3EC" w14:textId="77777777" w:rsidR="00955C66" w:rsidRPr="00567323" w:rsidRDefault="00955C66" w:rsidP="00955C66">
      <w:pPr>
        <w:spacing w:line="360" w:lineRule="auto"/>
        <w:contextualSpacing/>
        <w:rPr>
          <w:rFonts w:ascii="宋体" w:hAnsi="宋体" w:cs="Arial"/>
          <w:sz w:val="24"/>
        </w:rPr>
      </w:pPr>
    </w:p>
    <w:p w14:paraId="41DBF487" w14:textId="77777777" w:rsidR="00955C66" w:rsidRPr="00567323" w:rsidRDefault="00955C66" w:rsidP="00955C66">
      <w:pPr>
        <w:pStyle w:val="a6"/>
        <w:numPr>
          <w:ilvl w:val="0"/>
          <w:numId w:val="1"/>
        </w:numPr>
        <w:tabs>
          <w:tab w:val="left" w:pos="312"/>
        </w:tabs>
        <w:spacing w:line="360" w:lineRule="auto"/>
        <w:ind w:firstLineChars="0"/>
        <w:contextualSpacing/>
        <w:rPr>
          <w:rFonts w:ascii="宋体" w:hAnsi="宋体" w:cs="Arial"/>
          <w:b/>
          <w:sz w:val="24"/>
          <w:szCs w:val="24"/>
        </w:rPr>
      </w:pPr>
      <w:r w:rsidRPr="00567323">
        <w:rPr>
          <w:rFonts w:ascii="宋体" w:hAnsi="宋体" w:cs="Arial"/>
          <w:b/>
          <w:sz w:val="24"/>
          <w:szCs w:val="24"/>
        </w:rPr>
        <w:t>技术要求</w:t>
      </w:r>
    </w:p>
    <w:p w14:paraId="2E40B92F" w14:textId="77777777" w:rsidR="00955C66" w:rsidRPr="00567323" w:rsidRDefault="00955C66" w:rsidP="00955C66">
      <w:pPr>
        <w:spacing w:line="360" w:lineRule="auto"/>
        <w:contextualSpacing/>
        <w:rPr>
          <w:rFonts w:ascii="宋体" w:hAnsi="宋体" w:cs="Arial"/>
          <w:sz w:val="24"/>
        </w:rPr>
      </w:pPr>
      <w:r w:rsidRPr="00567323">
        <w:rPr>
          <w:rFonts w:ascii="宋体" w:hAnsi="宋体" w:cs="Arial"/>
          <w:sz w:val="24"/>
        </w:rPr>
        <w:t>（一）基本要求</w:t>
      </w:r>
    </w:p>
    <w:p w14:paraId="040D0743" w14:textId="77777777" w:rsidR="00955C66" w:rsidRPr="00567323" w:rsidRDefault="00955C66" w:rsidP="00955C66">
      <w:pPr>
        <w:spacing w:line="360" w:lineRule="auto"/>
        <w:contextualSpacing/>
        <w:rPr>
          <w:rFonts w:ascii="宋体" w:hAnsi="宋体" w:cs="Arial"/>
          <w:sz w:val="24"/>
        </w:rPr>
      </w:pPr>
      <w:r w:rsidRPr="00567323">
        <w:rPr>
          <w:rFonts w:ascii="宋体" w:hAnsi="宋体" w:cs="Arial"/>
          <w:sz w:val="24"/>
        </w:rPr>
        <w:t>1. 采购标的需实现的功能或者目标：</w:t>
      </w:r>
    </w:p>
    <w:p w14:paraId="02DC37E3" w14:textId="77777777" w:rsidR="00955C66" w:rsidRPr="00567323" w:rsidRDefault="00955C66" w:rsidP="00955C66">
      <w:pPr>
        <w:spacing w:line="360" w:lineRule="auto"/>
        <w:contextualSpacing/>
        <w:rPr>
          <w:rFonts w:ascii="宋体" w:hAnsi="宋体" w:cs="Arial"/>
          <w:sz w:val="24"/>
        </w:rPr>
      </w:pPr>
      <w:r w:rsidRPr="00567323">
        <w:rPr>
          <w:rFonts w:ascii="宋体" w:hAnsi="宋体" w:cs="Arial"/>
          <w:sz w:val="24"/>
        </w:rPr>
        <w:t>本次招标</w:t>
      </w:r>
      <w:r w:rsidRPr="00567323">
        <w:rPr>
          <w:rFonts w:ascii="宋体" w:hAnsi="宋体" w:cs="Arial"/>
          <w:bCs/>
          <w:sz w:val="24"/>
        </w:rPr>
        <w:t>为北京市中医药研究所购置激光共聚焦显微镜系统</w:t>
      </w:r>
      <w:r w:rsidRPr="00567323">
        <w:rPr>
          <w:rFonts w:ascii="宋体" w:hAnsi="宋体" w:cs="Arial"/>
          <w:sz w:val="24"/>
        </w:rPr>
        <w:t>，投标人应根据招标文件所提出的采购需求，综合考虑产品的适用性。投标人应以技术先进的产品、优良的服务和优惠的价格，充分显示自己的竞争实力。</w:t>
      </w:r>
    </w:p>
    <w:p w14:paraId="5558A8D3"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★2.需执行的国家相关标准、行业标准、地方标准或者其他标准、规范：</w:t>
      </w:r>
    </w:p>
    <w:p w14:paraId="45518AAF"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2.1 提供产品属于医疗器械的，根据产品分类应按《医疗器械监督管理条例》，</w:t>
      </w:r>
      <w:r w:rsidRPr="00567323">
        <w:rPr>
          <w:rFonts w:ascii="宋体" w:hAnsi="宋体" w:cs="Arial"/>
          <w:bCs/>
          <w:sz w:val="24"/>
          <w:szCs w:val="24"/>
        </w:rPr>
        <w:lastRenderedPageBreak/>
        <w:t>办理医疗器械注册证或者办理备案，供应商须提供医疗器械注册证或备案凭证（复印件加盖供应商单位公章）。</w:t>
      </w:r>
    </w:p>
    <w:p w14:paraId="644238DC"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2.2 提供产品属于医疗器械的，中华人民共和国境内制造商应按《医疗器械监督管理条例》办理医疗器械生产许可证或者办理备案。供应商为制造商的须提供医疗器械生产许可证或备案凭证（复印件加盖供应商单位公章），供应商为代理商的须提供医疗器械经营许可证或备案凭证（复印件加盖供应商单位公章）。</w:t>
      </w:r>
    </w:p>
    <w:p w14:paraId="5B8C2F3B"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2.3 提供产品属于辐射或射线类的设备或材料的，需提供辐射安全许可证复印件（不适用的情况除外）（复印件加盖供应商单位公章）。所报产品属于压力容器的，供应商需要根据国家特种设备制造相关管理规定，提供所报产品制造商的特种设备制造许可证（压力容器）（复印件加盖供应商单位公章）。</w:t>
      </w:r>
    </w:p>
    <w:p w14:paraId="2BFCC613"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2.4 提供产品及制造商应符合国家有关部门规定的相应技术、计量、节能、安全和环保法规及标准，如国家有关部门对提供产品或其制造商有强制性规定或要求的，所供产品或其制造商必须符合相应规定或要求，供应商须提供相关证明文件（复印件加盖供应商单位公章）。</w:t>
      </w:r>
    </w:p>
    <w:p w14:paraId="1B478000"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3.为落实政府采购政策需满足的要求：</w:t>
      </w:r>
    </w:p>
    <w:p w14:paraId="21064337"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3.1</w:t>
      </w:r>
      <w:r w:rsidRPr="00567323">
        <w:rPr>
          <w:rFonts w:ascii="宋体" w:hAnsi="宋体" w:cs="Arial"/>
          <w:bCs/>
          <w:sz w:val="24"/>
          <w:szCs w:val="24"/>
        </w:rPr>
        <w:tab/>
        <w:t>中小企业、监狱企业及残疾人福利性单位；</w:t>
      </w:r>
    </w:p>
    <w:p w14:paraId="084D45D6"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3.2</w:t>
      </w:r>
      <w:r w:rsidRPr="00567323">
        <w:rPr>
          <w:rFonts w:ascii="宋体" w:hAnsi="宋体" w:cs="Arial"/>
          <w:bCs/>
          <w:sz w:val="24"/>
          <w:szCs w:val="24"/>
        </w:rPr>
        <w:tab/>
        <w:t>政府采购节能产品、环境标志产品；</w:t>
      </w:r>
    </w:p>
    <w:p w14:paraId="177CE6B4"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具体详见投标人须知。</w:t>
      </w:r>
    </w:p>
    <w:p w14:paraId="2DAB5791" w14:textId="77777777" w:rsidR="00955C66" w:rsidRPr="00567323" w:rsidRDefault="00955C66" w:rsidP="00955C66">
      <w:pPr>
        <w:spacing w:line="360" w:lineRule="auto"/>
        <w:contextualSpacing/>
        <w:rPr>
          <w:rFonts w:ascii="宋体" w:hAnsi="宋体" w:cs="Arial"/>
          <w:sz w:val="24"/>
        </w:rPr>
      </w:pPr>
      <w:bookmarkStart w:id="6" w:name="_Hlk116309730"/>
      <w:bookmarkEnd w:id="5"/>
      <w:r w:rsidRPr="00567323">
        <w:rPr>
          <w:rFonts w:ascii="宋体" w:hAnsi="宋体" w:cs="Arial"/>
          <w:sz w:val="24"/>
        </w:rPr>
        <w:t>（二）采购标的需满足的质量、安全、技术规格、物理特性等要求：</w:t>
      </w:r>
    </w:p>
    <w:p w14:paraId="214B16CA" w14:textId="77777777" w:rsidR="00955C66" w:rsidRPr="00567323" w:rsidRDefault="00955C66" w:rsidP="00955C66">
      <w:pPr>
        <w:spacing w:line="360" w:lineRule="auto"/>
        <w:contextualSpacing/>
        <w:rPr>
          <w:rFonts w:ascii="宋体" w:hAnsi="宋体" w:cs="Arial"/>
          <w:sz w:val="24"/>
        </w:rPr>
      </w:pPr>
      <w:r w:rsidRPr="00567323">
        <w:rPr>
          <w:rFonts w:ascii="宋体" w:hAnsi="宋体" w:cs="Arial"/>
          <w:sz w:val="24"/>
        </w:rPr>
        <w:t xml:space="preserve">1、供应商所提供的部件之间及设备之间的连线或接插件均视为设备内部部件，应包含在相应的配置中。 </w:t>
      </w:r>
    </w:p>
    <w:p w14:paraId="58B6174D" w14:textId="77777777" w:rsidR="00955C66" w:rsidRPr="00567323" w:rsidRDefault="00955C66" w:rsidP="00955C66">
      <w:pPr>
        <w:spacing w:line="360" w:lineRule="auto"/>
        <w:contextualSpacing/>
        <w:rPr>
          <w:rFonts w:ascii="宋体" w:hAnsi="宋体" w:cs="Arial"/>
          <w:sz w:val="24"/>
        </w:rPr>
      </w:pPr>
      <w:r w:rsidRPr="00567323">
        <w:rPr>
          <w:rFonts w:ascii="宋体" w:hAnsi="宋体" w:cs="Arial"/>
          <w:sz w:val="24"/>
        </w:rPr>
        <w:t xml:space="preserve">2、工作条件：除了在技术要求中另有规定外，供应商提供的一切仪器、设备和系统，应符合下列条件： </w:t>
      </w:r>
    </w:p>
    <w:p w14:paraId="5CA8CF98" w14:textId="77777777" w:rsidR="00955C66" w:rsidRPr="00567323" w:rsidRDefault="00955C66" w:rsidP="00955C66">
      <w:pPr>
        <w:spacing w:line="360" w:lineRule="auto"/>
        <w:contextualSpacing/>
        <w:rPr>
          <w:rFonts w:ascii="宋体" w:hAnsi="宋体" w:cs="Arial"/>
          <w:sz w:val="24"/>
        </w:rPr>
      </w:pPr>
      <w:r w:rsidRPr="00567323">
        <w:rPr>
          <w:rFonts w:ascii="宋体" w:hAnsi="宋体" w:cs="Arial"/>
          <w:sz w:val="24"/>
        </w:rPr>
        <w:t>2.1 仪器设备的插头要符合中国电工标准。如不符合，则应提供适合仪器插头的插座，必须要有接地。</w:t>
      </w:r>
    </w:p>
    <w:p w14:paraId="5330E644" w14:textId="77777777" w:rsidR="00955C66" w:rsidRPr="00567323" w:rsidRDefault="00955C66" w:rsidP="00955C66">
      <w:pPr>
        <w:spacing w:line="360" w:lineRule="auto"/>
        <w:contextualSpacing/>
        <w:rPr>
          <w:rFonts w:ascii="宋体" w:hAnsi="宋体" w:cs="Arial"/>
          <w:sz w:val="24"/>
        </w:rPr>
      </w:pPr>
      <w:r w:rsidRPr="00567323">
        <w:rPr>
          <w:rFonts w:ascii="宋体" w:hAnsi="宋体" w:cs="Arial"/>
          <w:sz w:val="24"/>
        </w:rPr>
        <w:t xml:space="preserve">2.2 如果仪器设备需特殊的工作条件（如：水、电源、磁场强度、特殊温度、湿度、震动强度等），供应商应在有关投标文件中加以说明。 </w:t>
      </w:r>
    </w:p>
    <w:p w14:paraId="15FE95B3"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（三）采购标的需满足的服务标准、期限、效率等要求：</w:t>
      </w:r>
    </w:p>
    <w:p w14:paraId="62C1A315"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1、设备的维护及技术支持</w:t>
      </w:r>
    </w:p>
    <w:p w14:paraId="399A392B"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lastRenderedPageBreak/>
        <w:t>1.1经有关部门验收或检测合格后开始计算保修期。</w:t>
      </w:r>
    </w:p>
    <w:p w14:paraId="6C8FE69C"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1.2保修期满后整机每年常规保修费用不超过购置费的5%。</w:t>
      </w:r>
    </w:p>
    <w:p w14:paraId="678ECD28"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1.3免费提供软件升级服务。</w:t>
      </w:r>
    </w:p>
    <w:p w14:paraId="6C615351"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1.4 所有的替代零配件的提供需得到买方的认可。</w:t>
      </w:r>
    </w:p>
    <w:p w14:paraId="6CC637D2"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1.5 在保修期内中标人必须为用户提供技术援助电话，用于用户报告故障。技术援助电话支持应是中文，如电话支持无法解决，投标人应在接到通知后两个工作日内做出响应，并采取行动修理故障。在保修期内除提供上述技术服务外，投标人有责任对其所提供的所有产品提供以下形式的技术服务。</w:t>
      </w:r>
    </w:p>
    <w:p w14:paraId="0B5854A0"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1.5.1 电话咨询：免费提供咨询电话技术支持服务，解答用户的系统使用中遇到的问题，及时提出解决问题的建议和操作方法。</w:t>
      </w:r>
    </w:p>
    <w:p w14:paraId="56B32FCD"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1.5.2 现场响应：自收到用户的服务请求起24小时内。若以上服务形式不能解决问题，投标人应指派技术人员赶赴现场进行故障处理。遇到重大技术问题，投标人应及时组织有关技术人员进行故障排除，并采取相应措施以确保所提交的解决方案可行，同时提出确定的维修方案。</w:t>
      </w:r>
    </w:p>
    <w:p w14:paraId="333DB5B9"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2、培训要求：培训是指涉及产品基本原理、安装、调试、操作使用和保养维修等有关内容的学习。供应商应保证在采购人指定交货地点对每包（品目）最终用户设备操作人员提供终身免费培训。供应商报价时应提供详细的培训方案。培训教员的差旅费、食宿费、培训教材等费用，应计入报价。</w:t>
      </w:r>
    </w:p>
    <w:p w14:paraId="61714369" w14:textId="77777777" w:rsidR="00955C66" w:rsidRPr="00567323" w:rsidRDefault="00955C66" w:rsidP="00955C66">
      <w:pPr>
        <w:pStyle w:val="a6"/>
        <w:spacing w:line="360" w:lineRule="auto"/>
        <w:ind w:firstLineChars="0" w:firstLine="0"/>
        <w:contextualSpacing/>
        <w:rPr>
          <w:rFonts w:ascii="宋体" w:hAnsi="宋体" w:cs="Arial"/>
          <w:bCs/>
          <w:i/>
          <w:iCs/>
          <w:sz w:val="24"/>
          <w:szCs w:val="24"/>
        </w:rPr>
      </w:pPr>
      <w:r w:rsidRPr="00567323">
        <w:rPr>
          <w:rFonts w:ascii="宋体" w:hAnsi="宋体" w:cs="Arial"/>
          <w:bCs/>
          <w:i/>
          <w:iCs/>
          <w:sz w:val="24"/>
          <w:szCs w:val="24"/>
        </w:rPr>
        <w:t>注：上述要求如与</w:t>
      </w:r>
      <w:bookmarkStart w:id="7" w:name="_Hlk116309770"/>
      <w:r w:rsidRPr="00567323">
        <w:rPr>
          <w:rFonts w:ascii="宋体" w:hAnsi="宋体" w:cs="Arial"/>
          <w:bCs/>
          <w:i/>
          <w:iCs/>
          <w:sz w:val="24"/>
          <w:szCs w:val="24"/>
        </w:rPr>
        <w:t>货物技术规格具体要求</w:t>
      </w:r>
      <w:bookmarkEnd w:id="7"/>
      <w:r w:rsidRPr="00567323">
        <w:rPr>
          <w:rFonts w:ascii="宋体" w:hAnsi="宋体" w:cs="Arial"/>
          <w:bCs/>
          <w:i/>
          <w:iCs/>
          <w:sz w:val="24"/>
          <w:szCs w:val="24"/>
        </w:rPr>
        <w:t>以及合同文本冲突则以货物技术规格具体要求以及合同文本要求为准。</w:t>
      </w:r>
    </w:p>
    <w:p w14:paraId="5133FEBE"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（四）采购标的</w:t>
      </w:r>
      <w:proofErr w:type="gramStart"/>
      <w:r w:rsidRPr="00567323">
        <w:rPr>
          <w:rFonts w:ascii="宋体" w:hAnsi="宋体" w:cs="Arial"/>
          <w:bCs/>
          <w:sz w:val="24"/>
          <w:szCs w:val="24"/>
        </w:rPr>
        <w:t>的</w:t>
      </w:r>
      <w:proofErr w:type="gramEnd"/>
      <w:r w:rsidRPr="00567323">
        <w:rPr>
          <w:rFonts w:ascii="宋体" w:hAnsi="宋体" w:cs="Arial"/>
          <w:bCs/>
          <w:sz w:val="24"/>
          <w:szCs w:val="24"/>
        </w:rPr>
        <w:t>其他技术、服务等要求：</w:t>
      </w:r>
    </w:p>
    <w:p w14:paraId="52C09291"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1、投标人在响应采购需求时，应就“货物技术规格具体要求”进行逐条响应，并针对每个设备（至少包含“★”“▲”号或“#”号条款）提供技术支持资料。技术支持资料形式：以制造商公开发布的印刷资料（彩页说明、或加盖制造商公章的技术白皮书（不能是复印件））或检测机构出具的检测报告为准。若制造商公开发布的印刷资料与检测机构出具的检测报告不一致，以检测机构出具的检测报告为准。如投标人未就“货物技术规格具体要求”进行逐条响应或未提供的所投设备的技术支持资料或提供的技术支持资料与所投设备不一致或不能体现招标文件的技术要求的，评标委员会可不予承认，并可认为该技术应答不</w:t>
      </w:r>
      <w:r w:rsidRPr="00567323">
        <w:rPr>
          <w:rFonts w:ascii="宋体" w:hAnsi="宋体" w:cs="Arial"/>
          <w:bCs/>
          <w:sz w:val="24"/>
          <w:szCs w:val="24"/>
        </w:rPr>
        <w:lastRenderedPageBreak/>
        <w:t>符合招标文件要求。由此产生的评标风险，由投标人自行承担。</w:t>
      </w:r>
    </w:p>
    <w:p w14:paraId="40C3B2D2" w14:textId="77777777" w:rsidR="00955C66" w:rsidRPr="00567323" w:rsidRDefault="00955C66" w:rsidP="00955C66">
      <w:pPr>
        <w:pStyle w:val="a6"/>
        <w:spacing w:line="360" w:lineRule="auto"/>
        <w:ind w:firstLineChars="0" w:firstLine="0"/>
        <w:contextualSpacing/>
        <w:rPr>
          <w:rFonts w:ascii="宋体" w:hAnsi="宋体" w:cs="Arial"/>
          <w:bCs/>
          <w:sz w:val="24"/>
          <w:szCs w:val="24"/>
        </w:rPr>
      </w:pPr>
      <w:r w:rsidRPr="00567323">
        <w:rPr>
          <w:rFonts w:ascii="宋体" w:hAnsi="宋体" w:cs="Arial"/>
          <w:bCs/>
          <w:sz w:val="24"/>
          <w:szCs w:val="24"/>
        </w:rPr>
        <w:t>2、对于技术规格要求中标注“★”“▲”号或“#”号（如有）的技术参数，在应答采购需求偏离表时具体到技术支持资料页码及条目号。</w:t>
      </w:r>
    </w:p>
    <w:p w14:paraId="2EAFFC94" w14:textId="77777777" w:rsidR="00955C66" w:rsidRPr="00567323" w:rsidRDefault="00955C66" w:rsidP="00955C66">
      <w:pPr>
        <w:widowControl/>
        <w:spacing w:line="360" w:lineRule="auto"/>
        <w:jc w:val="left"/>
        <w:rPr>
          <w:rFonts w:ascii="宋体" w:hAnsi="宋体" w:cs="Arial"/>
          <w:sz w:val="24"/>
          <w:szCs w:val="22"/>
        </w:rPr>
      </w:pPr>
      <w:r w:rsidRPr="00567323">
        <w:rPr>
          <w:rFonts w:ascii="宋体" w:hAnsi="宋体" w:cs="Arial"/>
          <w:sz w:val="24"/>
        </w:rPr>
        <w:br w:type="page"/>
      </w:r>
    </w:p>
    <w:p w14:paraId="30798EE3" w14:textId="77777777" w:rsidR="00955C66" w:rsidRPr="00567323" w:rsidRDefault="00955C66" w:rsidP="00955C66">
      <w:pPr>
        <w:pStyle w:val="a6"/>
        <w:spacing w:line="360" w:lineRule="auto"/>
        <w:ind w:firstLineChars="0" w:firstLine="0"/>
        <w:contextualSpacing/>
        <w:rPr>
          <w:rFonts w:ascii="宋体" w:hAnsi="宋体" w:cs="Arial"/>
          <w:bCs/>
          <w:sz w:val="24"/>
        </w:rPr>
      </w:pPr>
      <w:r w:rsidRPr="00567323">
        <w:rPr>
          <w:rFonts w:ascii="宋体" w:hAnsi="宋体" w:cs="Arial"/>
          <w:sz w:val="24"/>
        </w:rPr>
        <w:lastRenderedPageBreak/>
        <w:t>（五）</w:t>
      </w:r>
      <w:r w:rsidRPr="00567323">
        <w:rPr>
          <w:rFonts w:ascii="宋体" w:hAnsi="宋体" w:cs="Arial"/>
          <w:bCs/>
          <w:sz w:val="24"/>
        </w:rPr>
        <w:t>货物技术规格具体要求</w:t>
      </w:r>
      <w:bookmarkStart w:id="8" w:name="_Hlk118874770"/>
    </w:p>
    <w:p w14:paraId="426B5B21"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二、技术参数要求</w:t>
      </w:r>
    </w:p>
    <w:p w14:paraId="2B93D176" w14:textId="77777777" w:rsidR="00955C66" w:rsidRPr="00567323" w:rsidRDefault="00955C66" w:rsidP="00955C66">
      <w:pPr>
        <w:tabs>
          <w:tab w:val="left" w:pos="567"/>
        </w:tabs>
        <w:spacing w:line="360" w:lineRule="auto"/>
        <w:rPr>
          <w:rFonts w:ascii="宋体" w:hAnsi="宋体" w:cs="Arial"/>
          <w:sz w:val="24"/>
        </w:rPr>
      </w:pPr>
      <w:r w:rsidRPr="00567323">
        <w:rPr>
          <w:rFonts w:ascii="宋体" w:hAnsi="宋体" w:cs="Arial"/>
          <w:sz w:val="24"/>
        </w:rPr>
        <w:t>1、用途：用于获取清晰的、高质量的以及超高分辨率的共聚焦荧光图像，用于观测固定细胞、活细胞、动植物组织的深层结构、得到清晰锐利的多层Z 平面结构 （光学切片）。</w:t>
      </w:r>
    </w:p>
    <w:p w14:paraId="60D778DA"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2、固体激光器：405nm、488nm、561nm、640nm</w:t>
      </w:r>
    </w:p>
    <w:p w14:paraId="45442CFE"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3、激光器功率最小调节精度≤0.01%</w:t>
      </w:r>
    </w:p>
    <w:p w14:paraId="637EF865"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4、扫描、检测单元与显微镜一体化设计，所有检测器与扫描</w:t>
      </w:r>
      <w:proofErr w:type="gramStart"/>
      <w:r w:rsidRPr="00567323">
        <w:rPr>
          <w:rFonts w:ascii="宋体" w:hAnsi="宋体" w:cs="Arial"/>
          <w:sz w:val="24"/>
        </w:rPr>
        <w:t>头直接</w:t>
      </w:r>
      <w:proofErr w:type="gramEnd"/>
      <w:r w:rsidRPr="00567323">
        <w:rPr>
          <w:rFonts w:ascii="宋体" w:hAnsi="宋体" w:cs="Arial"/>
          <w:sz w:val="24"/>
        </w:rPr>
        <w:t>耦合，无光纤连接。</w:t>
      </w:r>
    </w:p>
    <w:p w14:paraId="190C18A7"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5、扫描</w:t>
      </w:r>
      <w:proofErr w:type="gramStart"/>
      <w:r w:rsidRPr="00567323">
        <w:rPr>
          <w:rFonts w:ascii="宋体" w:hAnsi="宋体" w:cs="Arial"/>
          <w:sz w:val="24"/>
        </w:rPr>
        <w:t>振镜数量</w:t>
      </w:r>
      <w:proofErr w:type="gramEnd"/>
      <w:r w:rsidRPr="00567323">
        <w:rPr>
          <w:rFonts w:ascii="宋体" w:hAnsi="宋体" w:cs="Arial"/>
          <w:sz w:val="24"/>
        </w:rPr>
        <w:t>≤2个。</w:t>
      </w:r>
    </w:p>
    <w:p w14:paraId="001A8FF8"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6、主分光镜：采用≤10°角度入射，背景激光压制效率≥99.9999%。</w:t>
      </w:r>
    </w:p>
    <w:p w14:paraId="1611D3A5"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7、光谱分光：利用可变次级二色分光镜分光或棱镜分光，最小光谱检测范围（光谱分辨率）≤1nm，光谱最小调节步进≤1nm。</w:t>
      </w:r>
    </w:p>
    <w:p w14:paraId="44F11D69"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8、扫描头：绝对线性扫描运动，保证激光在每个点驻留时间相同，适用于任何定量实验，为保证研究数据真实均衡，不接受正弦扫描、共振扫描等非线性扫描方式。</w:t>
      </w:r>
    </w:p>
    <w:p w14:paraId="71021D63" w14:textId="77777777" w:rsidR="00955C66" w:rsidRPr="00567323" w:rsidRDefault="00955C66" w:rsidP="00955C66">
      <w:pPr>
        <w:tabs>
          <w:tab w:val="left" w:pos="567"/>
        </w:tabs>
        <w:spacing w:line="360" w:lineRule="auto"/>
        <w:ind w:left="133" w:hangingChars="56" w:hanging="133"/>
        <w:rPr>
          <w:rFonts w:ascii="宋体" w:hAnsi="宋体" w:cs="Arial"/>
          <w:sz w:val="24"/>
        </w:rPr>
      </w:pPr>
      <w:r w:rsidRPr="00567323">
        <w:rPr>
          <w:rFonts w:ascii="宋体" w:hAnsi="宋体" w:cs="Arial"/>
          <w:spacing w:val="-2"/>
          <w:sz w:val="24"/>
        </w:rPr>
        <w:t>▲</w:t>
      </w:r>
      <w:r w:rsidRPr="00567323">
        <w:rPr>
          <w:rFonts w:ascii="宋体" w:hAnsi="宋体" w:cs="Arial"/>
          <w:sz w:val="24"/>
        </w:rPr>
        <w:t>9、最大扫描分辨率：≥6144 x 6144。</w:t>
      </w:r>
    </w:p>
    <w:p w14:paraId="792E65FC" w14:textId="77777777" w:rsidR="00955C66" w:rsidRPr="00567323" w:rsidRDefault="00955C66" w:rsidP="00955C66">
      <w:pPr>
        <w:tabs>
          <w:tab w:val="left" w:pos="567"/>
        </w:tabs>
        <w:spacing w:line="360" w:lineRule="auto"/>
        <w:ind w:left="133" w:hangingChars="56" w:hanging="133"/>
        <w:rPr>
          <w:rFonts w:ascii="宋体" w:hAnsi="宋体" w:cs="Arial"/>
          <w:sz w:val="24"/>
        </w:rPr>
      </w:pPr>
      <w:r w:rsidRPr="00567323">
        <w:rPr>
          <w:rFonts w:ascii="宋体" w:hAnsi="宋体" w:cs="Arial"/>
          <w:spacing w:val="-2"/>
          <w:sz w:val="24"/>
        </w:rPr>
        <w:t>▲</w:t>
      </w:r>
      <w:r w:rsidRPr="00567323">
        <w:rPr>
          <w:rFonts w:ascii="宋体" w:hAnsi="宋体" w:cs="Arial"/>
          <w:sz w:val="24"/>
        </w:rPr>
        <w:t>10、扫描旋转：扫描视野可连续旋转360°，调节精度0.1°，保证所有朝向的样品均可一次正立成完整像。</w:t>
      </w:r>
    </w:p>
    <w:p w14:paraId="040B5AAE" w14:textId="77777777" w:rsidR="00955C66" w:rsidRPr="00567323" w:rsidRDefault="00955C66" w:rsidP="00955C66">
      <w:pPr>
        <w:tabs>
          <w:tab w:val="left" w:pos="567"/>
        </w:tabs>
        <w:spacing w:line="360" w:lineRule="auto"/>
        <w:ind w:left="133" w:hangingChars="56" w:hanging="133"/>
        <w:rPr>
          <w:rFonts w:ascii="宋体" w:hAnsi="宋体" w:cs="Arial"/>
          <w:sz w:val="24"/>
        </w:rPr>
      </w:pPr>
      <w:r w:rsidRPr="00567323">
        <w:rPr>
          <w:rFonts w:ascii="宋体" w:hAnsi="宋体" w:cs="Arial"/>
          <w:spacing w:val="-2"/>
          <w:sz w:val="24"/>
        </w:rPr>
        <w:t>▲</w:t>
      </w:r>
      <w:r w:rsidRPr="00567323">
        <w:rPr>
          <w:rFonts w:ascii="宋体" w:hAnsi="宋体" w:cs="Arial"/>
          <w:sz w:val="24"/>
        </w:rPr>
        <w:t>11、扫描变倍：可以实现小于1倍的扫描变倍用于扩大视野，最小变倍≤0.45x，且变倍连续可调。</w:t>
      </w:r>
    </w:p>
    <w:p w14:paraId="42A26881" w14:textId="77777777" w:rsidR="00955C66" w:rsidRPr="00567323" w:rsidRDefault="00955C66" w:rsidP="00955C66">
      <w:pPr>
        <w:tabs>
          <w:tab w:val="left" w:pos="567"/>
        </w:tabs>
        <w:spacing w:line="360" w:lineRule="auto"/>
        <w:ind w:left="133" w:hangingChars="56" w:hanging="133"/>
        <w:rPr>
          <w:rFonts w:ascii="宋体" w:hAnsi="宋体" w:cs="Arial"/>
          <w:sz w:val="24"/>
        </w:rPr>
      </w:pPr>
      <w:r w:rsidRPr="00567323">
        <w:rPr>
          <w:rFonts w:ascii="宋体" w:hAnsi="宋体" w:cs="Arial"/>
          <w:spacing w:val="-2"/>
          <w:sz w:val="24"/>
        </w:rPr>
        <w:t>▲</w:t>
      </w:r>
      <w:r w:rsidRPr="00567323">
        <w:rPr>
          <w:rFonts w:ascii="宋体" w:hAnsi="宋体" w:cs="Arial"/>
          <w:sz w:val="24"/>
        </w:rPr>
        <w:t>12、倒置显微镜主机，齐焦距离为国际标准≤45mm。</w:t>
      </w:r>
    </w:p>
    <w:p w14:paraId="6B8FE58B"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13、显微镜内置电动调焦驱动马达，最小调节步进≤10nm。</w:t>
      </w:r>
    </w:p>
    <w:p w14:paraId="0A65E6AF"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14、全电动扫描台，行程≥130 x 100mm，最大速度≥50mm/s。</w:t>
      </w:r>
    </w:p>
    <w:p w14:paraId="024F6B52" w14:textId="77777777" w:rsidR="00955C66" w:rsidRPr="00567323" w:rsidRDefault="00955C66" w:rsidP="00955C66">
      <w:pPr>
        <w:tabs>
          <w:tab w:val="left" w:pos="567"/>
        </w:tabs>
        <w:spacing w:line="360" w:lineRule="auto"/>
        <w:ind w:left="133" w:hangingChars="56" w:hanging="133"/>
        <w:rPr>
          <w:rFonts w:ascii="宋体" w:hAnsi="宋体" w:cs="Arial"/>
          <w:sz w:val="24"/>
        </w:rPr>
      </w:pPr>
      <w:r w:rsidRPr="00567323">
        <w:rPr>
          <w:rFonts w:ascii="宋体" w:hAnsi="宋体" w:cs="Arial"/>
          <w:spacing w:val="-2"/>
          <w:sz w:val="24"/>
        </w:rPr>
        <w:t>▲</w:t>
      </w:r>
      <w:r w:rsidRPr="00567323">
        <w:rPr>
          <w:rFonts w:ascii="宋体" w:hAnsi="宋体" w:cs="Arial"/>
          <w:sz w:val="24"/>
        </w:rPr>
        <w:t>15、物镜：</w:t>
      </w:r>
    </w:p>
    <w:p w14:paraId="3BD4CE8E"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15.1、10x平场复消色差干镜，数值孔径≥0.45。</w:t>
      </w:r>
    </w:p>
    <w:p w14:paraId="6E04E60B"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15.2、20x平场复消色差干镜，数值孔径≥0.8。</w:t>
      </w:r>
    </w:p>
    <w:p w14:paraId="4CFA1747"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15.3、40x平场复消色差干镜，数值孔径≥0.95，同时满足工作距离≥250um。</w:t>
      </w:r>
    </w:p>
    <w:p w14:paraId="315BCC32"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15.4、63x平场复消色差油镜，数值孔径≥1.4，同时满足工作距离≥190um。</w:t>
      </w:r>
    </w:p>
    <w:p w14:paraId="29B565FE"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lastRenderedPageBreak/>
        <w:t>16、全套微分干涉部件（DIC），有与不同数值孔径的物镜一一对应的棱镜。</w:t>
      </w:r>
    </w:p>
    <w:p w14:paraId="2F169438" w14:textId="77777777" w:rsidR="00955C66" w:rsidRPr="00567323" w:rsidRDefault="00955C66" w:rsidP="00955C66">
      <w:pPr>
        <w:pStyle w:val="a3"/>
        <w:spacing w:line="360" w:lineRule="auto"/>
        <w:rPr>
          <w:rFonts w:cs="Arial"/>
        </w:rPr>
      </w:pPr>
      <w:r w:rsidRPr="00567323">
        <w:rPr>
          <w:rFonts w:cs="Arial"/>
        </w:rPr>
        <w:t>17、多功能长工</w:t>
      </w:r>
      <w:proofErr w:type="gramStart"/>
      <w:r w:rsidRPr="00567323">
        <w:rPr>
          <w:rFonts w:cs="Arial"/>
        </w:rPr>
        <w:t>作距离</w:t>
      </w:r>
      <w:proofErr w:type="gramEnd"/>
      <w:r w:rsidRPr="00567323">
        <w:rPr>
          <w:rFonts w:cs="Arial"/>
        </w:rPr>
        <w:t>电动聚光镜，数值孔径≥0.55。</w:t>
      </w:r>
    </w:p>
    <w:p w14:paraId="1041051C" w14:textId="77777777" w:rsidR="00955C66" w:rsidRPr="00567323" w:rsidRDefault="00955C66" w:rsidP="00955C66">
      <w:pPr>
        <w:pStyle w:val="a3"/>
        <w:spacing w:line="360" w:lineRule="auto"/>
        <w:rPr>
          <w:rFonts w:cs="Arial"/>
        </w:rPr>
      </w:pPr>
      <w:r w:rsidRPr="00567323">
        <w:rPr>
          <w:rFonts w:cs="Arial"/>
        </w:rPr>
        <w:t>18、目镜一对：10 x，视场数≥23。</w:t>
      </w:r>
    </w:p>
    <w:p w14:paraId="296DB1B4"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19、智能化光路设置：提供3种光路配置模式，一键自动设置所有的光路。</w:t>
      </w:r>
    </w:p>
    <w:p w14:paraId="70471882"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20、三维采集模块：用于设置及自动获取Z轴三维图像。</w:t>
      </w:r>
    </w:p>
    <w:p w14:paraId="7284366C"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21、时间序列模块：用于设置及自动随时间获取动态图像。</w:t>
      </w:r>
    </w:p>
    <w:p w14:paraId="5528CF89"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22、共定位分析模块：对多通道荧光图像中两个通道之间的共定位进行定量分析。</w:t>
      </w:r>
    </w:p>
    <w:p w14:paraId="19AE8FD1"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23、自动流程调用功能：再次调用存储在每张图像里的所有的拍照参数来重现实验及进行精确对比。</w:t>
      </w:r>
    </w:p>
    <w:p w14:paraId="58CFFE9F"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24、景深扩展模块：用于全景深图像叠加运算和展示。</w:t>
      </w:r>
    </w:p>
    <w:p w14:paraId="3E67EE5B"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25、三维图像处理：3D和4D图像渲染，有4种渲染方式,并可进行不同渲染方式的结合；可实现三维空间的距离和角度测量；自定义式的3D和4D视频制作与导出。</w:t>
      </w:r>
    </w:p>
    <w:p w14:paraId="342FF5AC"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26、交互式漂白，在进行图像采集的同时，通过鼠标点击对指定任意区域进行漂白。适用于主动光活化实验、光转化实验或者快速光漂白实验等。</w:t>
      </w:r>
    </w:p>
    <w:p w14:paraId="2EF08E71"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27、多位点及大视野拼图模块：可对任意形状的预设区域进行拼图扫描以及根据位点列表进行多点成像，支持聚焦校正地图、拼接以及阴影校正。</w:t>
      </w:r>
    </w:p>
    <w:p w14:paraId="5D955F6A"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三、工作站配置：</w:t>
      </w:r>
    </w:p>
    <w:p w14:paraId="467A4198"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1、≥8核处理器。</w:t>
      </w:r>
    </w:p>
    <w:p w14:paraId="5B33471F"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2、≥128GB内存。</w:t>
      </w:r>
    </w:p>
    <w:p w14:paraId="593C6779"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3、≥16GB独立显卡。</w:t>
      </w:r>
    </w:p>
    <w:p w14:paraId="7D5A666B"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4、Windows 10操作系统。</w:t>
      </w:r>
    </w:p>
    <w:p w14:paraId="1018126E" w14:textId="77777777" w:rsidR="00955C66" w:rsidRPr="00567323" w:rsidRDefault="00955C66" w:rsidP="00955C66">
      <w:pPr>
        <w:tabs>
          <w:tab w:val="left" w:pos="567"/>
        </w:tabs>
        <w:spacing w:line="360" w:lineRule="auto"/>
        <w:ind w:left="134" w:hangingChars="56" w:hanging="134"/>
        <w:rPr>
          <w:rFonts w:ascii="宋体" w:hAnsi="宋体" w:cs="Arial"/>
          <w:sz w:val="24"/>
        </w:rPr>
      </w:pPr>
      <w:r w:rsidRPr="00567323">
        <w:rPr>
          <w:rFonts w:ascii="宋体" w:hAnsi="宋体" w:cs="Arial"/>
          <w:sz w:val="24"/>
        </w:rPr>
        <w:t>5、≥27英寸显示器。</w:t>
      </w:r>
    </w:p>
    <w:p w14:paraId="0687CDAC" w14:textId="77777777" w:rsidR="00955C66" w:rsidRPr="00567323" w:rsidRDefault="00955C66" w:rsidP="00955C66">
      <w:pPr>
        <w:pStyle w:val="a6"/>
        <w:spacing w:line="360" w:lineRule="auto"/>
        <w:ind w:firstLineChars="0" w:firstLine="0"/>
        <w:contextualSpacing/>
        <w:rPr>
          <w:rFonts w:ascii="宋体" w:hAnsi="宋体" w:cs="Arial"/>
          <w:bCs/>
          <w:sz w:val="24"/>
        </w:rPr>
      </w:pPr>
    </w:p>
    <w:bookmarkEnd w:id="1"/>
    <w:bookmarkEnd w:id="2"/>
    <w:bookmarkEnd w:id="3"/>
    <w:bookmarkEnd w:id="6"/>
    <w:bookmarkEnd w:id="8"/>
    <w:p w14:paraId="6CE3D64A" w14:textId="14BEED89" w:rsidR="003A2460" w:rsidRPr="00955C66" w:rsidRDefault="003A2460" w:rsidP="00955C66">
      <w:pPr>
        <w:widowControl/>
        <w:jc w:val="left"/>
        <w:rPr>
          <w:rFonts w:ascii="宋体" w:hAnsi="宋体" w:cs="Arial" w:hint="eastAsia"/>
          <w:b/>
          <w:sz w:val="36"/>
          <w:szCs w:val="36"/>
        </w:rPr>
      </w:pPr>
    </w:p>
    <w:sectPr w:rsidR="003A2460" w:rsidRPr="00955C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1098"/>
    <w:multiLevelType w:val="multilevel"/>
    <w:tmpl w:val="13851098"/>
    <w:lvl w:ilvl="0">
      <w:start w:val="1"/>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90800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6054"/>
    <w:rsid w:val="003A2460"/>
    <w:rsid w:val="00955C66"/>
    <w:rsid w:val="009F6054"/>
    <w:rsid w:val="00D26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5DB5"/>
  <w15:chartTrackingRefBased/>
  <w15:docId w15:val="{F8B69593-0310-4145-B533-B84609BC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C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qFormat/>
    <w:rsid w:val="00955C66"/>
    <w:pPr>
      <w:tabs>
        <w:tab w:val="left" w:pos="567"/>
      </w:tabs>
      <w:spacing w:before="120" w:line="22" w:lineRule="atLeast"/>
    </w:pPr>
    <w:rPr>
      <w:rFonts w:ascii="宋体" w:hAnsi="宋体"/>
      <w:sz w:val="24"/>
    </w:rPr>
  </w:style>
  <w:style w:type="character" w:customStyle="1" w:styleId="a4">
    <w:name w:val="正文文本 字符"/>
    <w:basedOn w:val="a0"/>
    <w:link w:val="a3"/>
    <w:qFormat/>
    <w:rsid w:val="00955C66"/>
    <w:rPr>
      <w:rFonts w:ascii="宋体" w:eastAsia="宋体" w:hAnsi="宋体" w:cs="Times New Roman"/>
      <w:sz w:val="24"/>
      <w:szCs w:val="24"/>
    </w:rPr>
  </w:style>
  <w:style w:type="character" w:customStyle="1" w:styleId="a5">
    <w:name w:val="列表段落 字符"/>
    <w:link w:val="a6"/>
    <w:autoRedefine/>
    <w:uiPriority w:val="34"/>
    <w:qFormat/>
    <w:rsid w:val="00955C66"/>
    <w:rPr>
      <w:rFonts w:ascii="Calibri" w:eastAsia="宋体" w:hAnsi="Calibri"/>
    </w:rPr>
  </w:style>
  <w:style w:type="paragraph" w:styleId="a6">
    <w:name w:val="List Paragraph"/>
    <w:basedOn w:val="a"/>
    <w:link w:val="a5"/>
    <w:autoRedefine/>
    <w:uiPriority w:val="34"/>
    <w:qFormat/>
    <w:rsid w:val="00955C66"/>
    <w:pPr>
      <w:ind w:firstLineChars="200" w:firstLine="420"/>
    </w:pPr>
    <w:rPr>
      <w:rFonts w:ascii="Calibri"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Fan</dc:creator>
  <cp:keywords/>
  <dc:description/>
  <cp:lastModifiedBy>fan Fan</cp:lastModifiedBy>
  <cp:revision>2</cp:revision>
  <dcterms:created xsi:type="dcterms:W3CDTF">2024-02-22T06:30:00Z</dcterms:created>
  <dcterms:modified xsi:type="dcterms:W3CDTF">2024-02-22T06:31:00Z</dcterms:modified>
</cp:coreProperties>
</file>