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宋体" w:hAnsi="宋体" w:cs="宋体"/>
          <w:b/>
          <w:bCs/>
          <w:kern w:val="44"/>
          <w:sz w:val="36"/>
          <w:szCs w:val="36"/>
          <w:highlight w:val="none"/>
        </w:rPr>
      </w:pPr>
      <w:r>
        <w:rPr>
          <w:rFonts w:hint="eastAsia" w:ascii="宋体" w:hAnsi="宋体" w:cs="宋体"/>
          <w:b/>
          <w:bCs/>
          <w:kern w:val="44"/>
          <w:sz w:val="36"/>
          <w:szCs w:val="36"/>
          <w:highlight w:val="none"/>
        </w:rPr>
        <w:t>国家文物局考古研究中心科技考古设备购置项目公开招标公告</w:t>
      </w:r>
    </w:p>
    <w:p>
      <w:pPr>
        <w:pBdr>
          <w:top w:val="single" w:color="auto" w:sz="4" w:space="1"/>
          <w:left w:val="single" w:color="auto" w:sz="4" w:space="4"/>
          <w:bottom w:val="single" w:color="auto" w:sz="4" w:space="1"/>
          <w:right w:val="single" w:color="auto" w:sz="4" w:space="4"/>
        </w:pBdr>
        <w:spacing w:line="360" w:lineRule="auto"/>
        <w:ind w:firstLine="480" w:firstLineChars="200"/>
        <w:jc w:val="center"/>
        <w:rPr>
          <w:rFonts w:hint="eastAsia"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highlight w:val="none"/>
        </w:rPr>
      </w:pPr>
      <w:r>
        <w:rPr>
          <w:rFonts w:hint="eastAsia" w:ascii="宋体" w:hAnsi="宋体" w:cs="宋体"/>
          <w:bCs/>
          <w:sz w:val="24"/>
          <w:highlight w:val="none"/>
          <w:u w:val="single"/>
        </w:rPr>
        <w:t>科技考古设备购置项目</w:t>
      </w:r>
      <w:r>
        <w:rPr>
          <w:rFonts w:hint="eastAsia" w:ascii="宋体" w:hAnsi="宋体" w:cs="宋体"/>
          <w:sz w:val="24"/>
          <w:highlight w:val="none"/>
        </w:rPr>
        <w:t>招标项目的潜在投</w:t>
      </w:r>
      <w:bookmarkStart w:id="31" w:name="_GoBack"/>
      <w:bookmarkEnd w:id="31"/>
      <w:r>
        <w:rPr>
          <w:rFonts w:hint="eastAsia" w:ascii="宋体" w:hAnsi="宋体" w:cs="宋体"/>
          <w:sz w:val="24"/>
          <w:highlight w:val="none"/>
        </w:rPr>
        <w:t>标人应在</w:t>
      </w:r>
      <w:r>
        <w:rPr>
          <w:rFonts w:hint="eastAsia" w:ascii="宋体" w:hAnsi="宋体" w:cs="宋体"/>
          <w:sz w:val="24"/>
          <w:highlight w:val="none"/>
          <w:u w:val="single"/>
          <w:lang w:eastAsia="zh-CN"/>
        </w:rPr>
        <w:t>网上购买</w:t>
      </w:r>
      <w:r>
        <w:rPr>
          <w:rFonts w:hint="eastAsia" w:ascii="宋体" w:hAnsi="宋体" w:cs="宋体"/>
          <w:sz w:val="24"/>
          <w:highlight w:val="none"/>
        </w:rPr>
        <w:t>获取招标文件，并于</w:t>
      </w:r>
      <w:r>
        <w:rPr>
          <w:rFonts w:hint="eastAsia" w:ascii="宋体" w:hAnsi="宋体" w:cs="宋体"/>
          <w:sz w:val="24"/>
          <w:highlight w:val="none"/>
          <w:u w:val="single"/>
        </w:rPr>
        <w:t>2022</w:t>
      </w:r>
      <w:r>
        <w:rPr>
          <w:rFonts w:hint="eastAsia" w:ascii="宋体" w:hAnsi="宋体" w:cs="宋体"/>
          <w:bCs/>
          <w:sz w:val="24"/>
          <w:highlight w:val="none"/>
        </w:rPr>
        <w:t>年</w:t>
      </w:r>
      <w:r>
        <w:rPr>
          <w:rFonts w:hint="eastAsia" w:ascii="宋体" w:hAnsi="宋体" w:cs="宋体"/>
          <w:bCs/>
          <w:sz w:val="24"/>
          <w:highlight w:val="none"/>
          <w:u w:val="single"/>
        </w:rPr>
        <w:t xml:space="preserve"> 0</w:t>
      </w:r>
      <w:r>
        <w:rPr>
          <w:rFonts w:hint="eastAsia" w:ascii="宋体" w:hAnsi="宋体" w:cs="宋体"/>
          <w:bCs/>
          <w:sz w:val="24"/>
          <w:highlight w:val="none"/>
          <w:u w:val="single"/>
          <w:lang w:val="en-US" w:eastAsia="zh-CN"/>
        </w:rPr>
        <w:t>6</w:t>
      </w:r>
      <w:r>
        <w:rPr>
          <w:rFonts w:hint="eastAsia" w:ascii="宋体" w:hAnsi="宋体" w:cs="宋体"/>
          <w:bCs/>
          <w:sz w:val="24"/>
          <w:highlight w:val="none"/>
        </w:rPr>
        <w:t>月</w:t>
      </w:r>
      <w:r>
        <w:rPr>
          <w:rFonts w:hint="eastAsia" w:ascii="宋体" w:hAnsi="宋体" w:cs="宋体"/>
          <w:bCs/>
          <w:sz w:val="24"/>
          <w:highlight w:val="none"/>
          <w:u w:val="single"/>
          <w:lang w:val="en-US" w:eastAsia="zh-CN"/>
        </w:rPr>
        <w:t>06</w:t>
      </w:r>
      <w:r>
        <w:rPr>
          <w:rFonts w:hint="eastAsia" w:ascii="宋体" w:hAnsi="宋体" w:cs="宋体"/>
          <w:bCs/>
          <w:sz w:val="24"/>
          <w:highlight w:val="none"/>
        </w:rPr>
        <w:t>日</w:t>
      </w:r>
      <w:r>
        <w:rPr>
          <w:rFonts w:hint="eastAsia" w:ascii="宋体" w:hAnsi="宋体" w:cs="宋体"/>
          <w:bCs/>
          <w:sz w:val="24"/>
          <w:highlight w:val="none"/>
          <w:u w:val="single"/>
        </w:rPr>
        <w:t>14</w:t>
      </w:r>
      <w:r>
        <w:rPr>
          <w:rFonts w:hint="eastAsia" w:ascii="宋体" w:hAnsi="宋体" w:cs="宋体"/>
          <w:bCs/>
          <w:sz w:val="24"/>
          <w:highlight w:val="none"/>
        </w:rPr>
        <w:t>点</w:t>
      </w:r>
      <w:r>
        <w:rPr>
          <w:rFonts w:hint="eastAsia" w:ascii="宋体" w:hAnsi="宋体" w:cs="宋体"/>
          <w:bCs/>
          <w:sz w:val="24"/>
          <w:highlight w:val="none"/>
          <w:u w:val="single"/>
        </w:rPr>
        <w:t>00</w:t>
      </w:r>
      <w:r>
        <w:rPr>
          <w:rFonts w:hint="eastAsia" w:ascii="宋体" w:hAnsi="宋体" w:cs="宋体"/>
          <w:bCs/>
          <w:sz w:val="24"/>
          <w:highlight w:val="none"/>
        </w:rPr>
        <w:t>分（北京时间）前递交投标文件</w:t>
      </w:r>
      <w:r>
        <w:rPr>
          <w:rFonts w:hint="eastAsia" w:ascii="宋体" w:hAnsi="宋体" w:cs="宋体"/>
          <w:sz w:val="24"/>
          <w:highlight w:val="none"/>
        </w:rPr>
        <w:t>。</w:t>
      </w:r>
    </w:p>
    <w:p>
      <w:pPr>
        <w:spacing w:line="360" w:lineRule="auto"/>
        <w:rPr>
          <w:rFonts w:hint="eastAsia" w:ascii="宋体" w:hAnsi="宋体" w:cs="宋体"/>
          <w:b/>
          <w:sz w:val="28"/>
          <w:szCs w:val="28"/>
          <w:highlight w:val="none"/>
        </w:rPr>
      </w:pPr>
      <w:bookmarkStart w:id="0" w:name="_Toc35393790"/>
      <w:bookmarkStart w:id="1" w:name="_Toc28359002"/>
      <w:bookmarkStart w:id="2" w:name="_Toc35393621"/>
      <w:bookmarkStart w:id="3" w:name="_Toc28359079"/>
      <w:bookmarkStart w:id="4" w:name="_Hlk24379207"/>
      <w:r>
        <w:rPr>
          <w:rFonts w:hint="eastAsia" w:ascii="宋体" w:hAnsi="宋体" w:cs="宋体"/>
          <w:b/>
          <w:sz w:val="28"/>
          <w:szCs w:val="28"/>
          <w:highlight w:val="none"/>
        </w:rPr>
        <w:t>一、项目基本情况</w:t>
      </w:r>
      <w:bookmarkEnd w:id="0"/>
      <w:bookmarkEnd w:id="1"/>
      <w:bookmarkEnd w:id="2"/>
      <w:bookmarkEnd w:id="3"/>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项目编号：</w:t>
      </w:r>
      <w:r>
        <w:rPr>
          <w:rFonts w:hint="eastAsia" w:ascii="宋体" w:hAnsi="宋体" w:cs="宋体"/>
          <w:bCs/>
          <w:sz w:val="24"/>
          <w:highlight w:val="none"/>
          <w:u w:val="single"/>
        </w:rPr>
        <w:t>HSBJ22D-063-126</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项目名称：</w:t>
      </w:r>
      <w:r>
        <w:rPr>
          <w:rFonts w:hint="eastAsia" w:ascii="宋体" w:hAnsi="宋体" w:cs="宋体"/>
          <w:bCs/>
          <w:sz w:val="24"/>
          <w:highlight w:val="none"/>
          <w:u w:val="single"/>
        </w:rPr>
        <w:t>科技考古设备购置项目</w:t>
      </w:r>
    </w:p>
    <w:bookmarkEnd w:id="4"/>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预算金额：</w:t>
      </w:r>
      <w:r>
        <w:rPr>
          <w:rFonts w:hint="eastAsia" w:ascii="宋体" w:hAnsi="宋体" w:cs="宋体"/>
          <w:bCs/>
          <w:sz w:val="24"/>
          <w:highlight w:val="none"/>
          <w:u w:val="single"/>
        </w:rPr>
        <w:t>163万元</w:t>
      </w:r>
    </w:p>
    <w:p>
      <w:pPr>
        <w:spacing w:line="360" w:lineRule="auto"/>
        <w:ind w:firstLine="480" w:firstLineChars="200"/>
        <w:rPr>
          <w:rFonts w:hint="eastAsia" w:ascii="宋体" w:hAnsi="宋体" w:cs="宋体"/>
          <w:bCs/>
          <w:sz w:val="24"/>
          <w:highlight w:val="none"/>
        </w:rPr>
      </w:pPr>
      <w:r>
        <w:rPr>
          <w:rFonts w:hint="eastAsia" w:ascii="宋体" w:hAnsi="宋体" w:cs="宋体"/>
          <w:sz w:val="24"/>
          <w:highlight w:val="none"/>
        </w:rPr>
        <w:t>最高限价（如有）：</w:t>
      </w:r>
      <w:r>
        <w:rPr>
          <w:rFonts w:hint="eastAsia" w:ascii="宋体" w:hAnsi="宋体" w:cs="宋体"/>
          <w:bCs/>
          <w:sz w:val="24"/>
          <w:highlight w:val="none"/>
          <w:u w:val="single"/>
        </w:rPr>
        <w:t>163万元</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采购需求：</w:t>
      </w:r>
    </w:p>
    <w:tbl>
      <w:tblPr>
        <w:tblStyle w:val="3"/>
        <w:tblW w:w="87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3068"/>
        <w:gridCol w:w="1520"/>
        <w:gridCol w:w="1689"/>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序号</w:t>
            </w:r>
          </w:p>
        </w:tc>
        <w:tc>
          <w:tcPr>
            <w:tcW w:w="3068"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货物名称</w:t>
            </w:r>
          </w:p>
        </w:tc>
        <w:tc>
          <w:tcPr>
            <w:tcW w:w="1520"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数量</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单位</w:t>
            </w:r>
          </w:p>
        </w:tc>
        <w:tc>
          <w:tcPr>
            <w:tcW w:w="152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是否接受进口产品投标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电子天平</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lang w:val="en-US" w:eastAsia="zh-CN"/>
              </w:rPr>
              <w:t xml:space="preserve">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2</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震荡混匀器</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3</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超纯水机</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4</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超微量电子天平</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5</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水浴锅</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6</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涡旋振荡仪</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7</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专业低温冰箱（4度）</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8</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专业低温冰箱（-20度）</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9</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专业低温冰箱（-80度）</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10</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分析天平</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11</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体视显微镜及成像系统</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12</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光学显微镜</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13</w:t>
            </w:r>
          </w:p>
        </w:tc>
        <w:tc>
          <w:tcPr>
            <w:tcW w:w="3068"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金相显微镜及成像系统</w:t>
            </w:r>
          </w:p>
        </w:tc>
        <w:tc>
          <w:tcPr>
            <w:tcW w:w="1520" w:type="dxa"/>
            <w:noWrap w:val="0"/>
            <w:vAlign w:val="center"/>
          </w:tcPr>
          <w:p>
            <w:pPr>
              <w:widowControl/>
              <w:jc w:val="center"/>
              <w:textAlignment w:val="top"/>
              <w:rPr>
                <w:rFonts w:hint="eastAsia" w:ascii="宋体" w:hAnsi="宋体" w:cs="宋体"/>
                <w:sz w:val="24"/>
                <w:highlight w:val="none"/>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14</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冷冻干燥机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15</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数码单反相机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16</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微单数码相机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5</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17</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马弗炉</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18</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离心机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19</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干燥箱</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20</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液体密度计</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highlight w:val="none"/>
              </w:rPr>
            </w:pPr>
            <w:r>
              <w:rPr>
                <w:rFonts w:hint="eastAsia"/>
                <w:highlight w:val="none"/>
              </w:rPr>
              <w:t>21</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超声波清洗机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22</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数显游标卡尺</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4</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23</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体视显微镜</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24</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卧式冷柜</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2</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25</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低温保存箱</w:t>
            </w:r>
          </w:p>
        </w:tc>
        <w:tc>
          <w:tcPr>
            <w:tcW w:w="1520"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26</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骨骼测量仪</w:t>
            </w:r>
          </w:p>
        </w:tc>
        <w:tc>
          <w:tcPr>
            <w:tcW w:w="1520" w:type="dxa"/>
            <w:noWrap w:val="0"/>
            <w:vAlign w:val="center"/>
          </w:tcPr>
          <w:p>
            <w:pPr>
              <w:widowControl/>
              <w:jc w:val="center"/>
              <w:textAlignment w:val="top"/>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27</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测骨盘</w:t>
            </w:r>
          </w:p>
        </w:tc>
        <w:tc>
          <w:tcPr>
            <w:tcW w:w="1520" w:type="dxa"/>
            <w:noWrap w:val="0"/>
            <w:vAlign w:val="center"/>
          </w:tcPr>
          <w:p>
            <w:pPr>
              <w:widowControl/>
              <w:jc w:val="center"/>
              <w:textAlignment w:val="top"/>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28</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医用检查灯</w:t>
            </w:r>
          </w:p>
        </w:tc>
        <w:tc>
          <w:tcPr>
            <w:tcW w:w="1520" w:type="dxa"/>
            <w:noWrap w:val="0"/>
            <w:vAlign w:val="center"/>
          </w:tcPr>
          <w:p>
            <w:pPr>
              <w:widowControl/>
              <w:jc w:val="center"/>
              <w:textAlignment w:val="top"/>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29</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定颅仪</w:t>
            </w:r>
          </w:p>
        </w:tc>
        <w:tc>
          <w:tcPr>
            <w:tcW w:w="1520" w:type="dxa"/>
            <w:noWrap w:val="0"/>
            <w:vAlign w:val="center"/>
          </w:tcPr>
          <w:p>
            <w:pPr>
              <w:widowControl/>
              <w:jc w:val="center"/>
              <w:textAlignment w:val="top"/>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hint="eastAsia" w:ascii="宋体" w:hAnsi="宋体" w:cs="宋体"/>
                <w:sz w:val="24"/>
                <w:highlight w:val="none"/>
              </w:rPr>
            </w:pPr>
            <w:r>
              <w:rPr>
                <w:rFonts w:hint="eastAsia" w:ascii="宋体" w:hAnsi="宋体" w:cs="宋体"/>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4" w:type="dxa"/>
            <w:noWrap w:val="0"/>
            <w:vAlign w:val="center"/>
          </w:tcPr>
          <w:p>
            <w:pPr>
              <w:jc w:val="center"/>
              <w:rPr>
                <w:rFonts w:ascii="宋体" w:hAnsi="宋体" w:cs="宋体"/>
                <w:sz w:val="24"/>
                <w:highlight w:val="none"/>
              </w:rPr>
            </w:pPr>
            <w:r>
              <w:rPr>
                <w:rFonts w:hint="eastAsia" w:ascii="宋体" w:hAnsi="宋体" w:cs="宋体"/>
                <w:sz w:val="24"/>
                <w:highlight w:val="none"/>
              </w:rPr>
              <w:t>30</w:t>
            </w:r>
          </w:p>
        </w:tc>
        <w:tc>
          <w:tcPr>
            <w:tcW w:w="3068" w:type="dxa"/>
            <w:noWrap w:val="0"/>
            <w:vAlign w:val="center"/>
          </w:tcPr>
          <w:p>
            <w:pPr>
              <w:widowControl/>
              <w:jc w:val="center"/>
              <w:textAlignment w:val="top"/>
              <w:rPr>
                <w:rFonts w:hint="eastAsia" w:ascii="宋体" w:hAnsi="宋体" w:cs="宋体"/>
                <w:kern w:val="0"/>
                <w:szCs w:val="21"/>
                <w:highlight w:val="none"/>
                <w:lang w:bidi="ar"/>
              </w:rPr>
            </w:pPr>
            <w:r>
              <w:rPr>
                <w:rFonts w:hint="eastAsia" w:ascii="宋体" w:hAnsi="宋体" w:cs="宋体"/>
                <w:kern w:val="0"/>
                <w:szCs w:val="21"/>
                <w:highlight w:val="none"/>
                <w:lang w:bidi="ar"/>
              </w:rPr>
              <w:t>震动球磨仪</w:t>
            </w:r>
          </w:p>
        </w:tc>
        <w:tc>
          <w:tcPr>
            <w:tcW w:w="1520" w:type="dxa"/>
            <w:noWrap w:val="0"/>
            <w:vAlign w:val="center"/>
          </w:tcPr>
          <w:p>
            <w:pPr>
              <w:widowControl/>
              <w:jc w:val="center"/>
              <w:textAlignment w:val="top"/>
              <w:rPr>
                <w:rFonts w:ascii="宋体" w:hAnsi="宋体" w:cs="宋体"/>
                <w:kern w:val="0"/>
                <w:szCs w:val="21"/>
                <w:highlight w:val="none"/>
                <w:lang w:bidi="ar"/>
              </w:rPr>
            </w:pPr>
            <w:r>
              <w:rPr>
                <w:rFonts w:hint="eastAsia" w:ascii="宋体" w:hAnsi="宋体" w:cs="宋体"/>
                <w:kern w:val="0"/>
                <w:szCs w:val="21"/>
                <w:highlight w:val="none"/>
                <w:lang w:bidi="ar"/>
              </w:rPr>
              <w:t>1</w:t>
            </w:r>
          </w:p>
        </w:tc>
        <w:tc>
          <w:tcPr>
            <w:tcW w:w="1689" w:type="dxa"/>
            <w:noWrap w:val="0"/>
            <w:vAlign w:val="center"/>
          </w:tcPr>
          <w:p>
            <w:pPr>
              <w:spacing w:line="360" w:lineRule="exact"/>
              <w:jc w:val="center"/>
              <w:rPr>
                <w:rFonts w:hint="eastAsia" w:ascii="宋体" w:hAnsi="宋体" w:cs="宋体"/>
                <w:sz w:val="24"/>
                <w:highlight w:val="none"/>
              </w:rPr>
            </w:pPr>
            <w:r>
              <w:rPr>
                <w:rFonts w:hint="eastAsia" w:ascii="宋体" w:hAnsi="宋体" w:cs="宋体"/>
                <w:sz w:val="24"/>
                <w:highlight w:val="none"/>
              </w:rPr>
              <w:t>台</w:t>
            </w:r>
          </w:p>
        </w:tc>
        <w:tc>
          <w:tcPr>
            <w:tcW w:w="1529" w:type="dxa"/>
            <w:noWrap w:val="0"/>
            <w:vAlign w:val="center"/>
          </w:tcPr>
          <w:p>
            <w:pPr>
              <w:jc w:val="center"/>
              <w:rPr>
                <w:rFonts w:ascii="宋体" w:hAnsi="宋体" w:cs="宋体"/>
                <w:sz w:val="24"/>
                <w:highlight w:val="none"/>
              </w:rPr>
            </w:pPr>
            <w:r>
              <w:rPr>
                <w:rFonts w:hint="eastAsia" w:ascii="宋体" w:hAnsi="宋体" w:cs="宋体"/>
                <w:sz w:val="24"/>
                <w:highlight w:val="none"/>
              </w:rPr>
              <w:t>否</w:t>
            </w:r>
          </w:p>
        </w:tc>
      </w:tr>
    </w:tbl>
    <w:p>
      <w:pPr>
        <w:spacing w:line="360" w:lineRule="auto"/>
        <w:ind w:firstLine="480" w:firstLineChars="200"/>
        <w:rPr>
          <w:rFonts w:hint="eastAsia" w:ascii="宋体" w:hAnsi="宋体" w:cs="宋体"/>
          <w:sz w:val="24"/>
          <w:highlight w:val="none"/>
          <w:u w:val="single"/>
        </w:rPr>
      </w:pPr>
      <w:r>
        <w:rPr>
          <w:rFonts w:hint="eastAsia" w:ascii="宋体" w:hAnsi="宋体" w:cs="宋体"/>
          <w:sz w:val="24"/>
          <w:highlight w:val="none"/>
        </w:rPr>
        <w:t>（详细参数见招标文件第三章采购需求）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合同履行期限：合同签订后120天内</w:t>
      </w:r>
      <w:r>
        <w:rPr>
          <w:rFonts w:hint="eastAsia" w:ascii="宋体" w:hAnsi="宋体" w:cs="宋体"/>
          <w:sz w:val="24"/>
          <w:highlight w:val="none"/>
          <w:lang w:val="en-US" w:eastAsia="zh-CN"/>
        </w:rPr>
        <w:t>交货</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本项目是否接受联合体投标：</w:t>
      </w:r>
      <w:r>
        <w:rPr>
          <w:rFonts w:hint="eastAsia" w:ascii="宋体" w:hAnsi="宋体" w:cs="宋体"/>
          <w:sz w:val="24"/>
          <w:highlight w:val="none"/>
          <w:u w:val="single"/>
        </w:rPr>
        <w:t>否</w:t>
      </w:r>
    </w:p>
    <w:p>
      <w:pPr>
        <w:spacing w:line="360" w:lineRule="auto"/>
        <w:rPr>
          <w:rFonts w:hint="eastAsia" w:ascii="宋体" w:hAnsi="宋体" w:cs="宋体"/>
          <w:b/>
          <w:sz w:val="28"/>
          <w:szCs w:val="28"/>
          <w:highlight w:val="none"/>
        </w:rPr>
      </w:pPr>
      <w:bookmarkStart w:id="5" w:name="_Toc35393791"/>
      <w:bookmarkStart w:id="6" w:name="_Toc28359080"/>
      <w:bookmarkStart w:id="7" w:name="_Toc28359003"/>
      <w:bookmarkStart w:id="8" w:name="_Toc35393622"/>
      <w:r>
        <w:rPr>
          <w:rFonts w:hint="eastAsia" w:ascii="宋体" w:hAnsi="宋体" w:cs="宋体"/>
          <w:b/>
          <w:sz w:val="28"/>
          <w:szCs w:val="28"/>
          <w:highlight w:val="none"/>
        </w:rPr>
        <w:t>二、申请人的资格要求：</w:t>
      </w:r>
      <w:bookmarkEnd w:id="5"/>
      <w:bookmarkEnd w:id="6"/>
      <w:bookmarkEnd w:id="7"/>
      <w:bookmarkEnd w:id="8"/>
    </w:p>
    <w:p>
      <w:pPr>
        <w:spacing w:line="360" w:lineRule="auto"/>
        <w:ind w:firstLine="480" w:firstLineChars="200"/>
        <w:rPr>
          <w:rFonts w:hint="eastAsia"/>
          <w:highlight w:val="none"/>
        </w:rPr>
      </w:pPr>
      <w:r>
        <w:rPr>
          <w:rFonts w:hint="eastAsia" w:ascii="宋体" w:hAnsi="宋体" w:cs="宋体"/>
          <w:sz w:val="24"/>
          <w:highlight w:val="none"/>
        </w:rPr>
        <w:t>1.满足《中华人民共和国政府采购法》第二十二条规定；</w:t>
      </w:r>
    </w:p>
    <w:p>
      <w:pPr>
        <w:spacing w:line="360" w:lineRule="auto"/>
        <w:ind w:firstLine="480" w:firstLineChars="200"/>
        <w:rPr>
          <w:rFonts w:hint="eastAsia" w:ascii="宋体" w:hAnsi="宋体" w:cs="宋体"/>
          <w:sz w:val="24"/>
          <w:highlight w:val="none"/>
        </w:rPr>
      </w:pPr>
      <w:bookmarkStart w:id="9" w:name="_Toc28359004"/>
      <w:bookmarkStart w:id="10" w:name="_Toc28359081"/>
      <w:r>
        <w:rPr>
          <w:rFonts w:hint="eastAsia" w:ascii="宋体" w:hAnsi="宋体" w:cs="宋体"/>
          <w:sz w:val="24"/>
          <w:highlight w:val="none"/>
        </w:rPr>
        <w:t>2.落实政府采购政策需满足的资格要求：</w:t>
      </w:r>
      <w:r>
        <w:rPr>
          <w:rFonts w:hint="eastAsia" w:ascii="宋体" w:hAnsi="宋体" w:cs="宋体"/>
          <w:bCs/>
          <w:sz w:val="24"/>
          <w:highlight w:val="none"/>
          <w:u w:val="single"/>
        </w:rPr>
        <w:t>本项目不属于专门面向中小企业采购的项目</w:t>
      </w:r>
      <w:r>
        <w:rPr>
          <w:rFonts w:hint="eastAsia"/>
          <w:highlight w:val="none"/>
        </w:rPr>
        <w:t>；</w:t>
      </w:r>
    </w:p>
    <w:p>
      <w:pPr>
        <w:spacing w:line="360" w:lineRule="auto"/>
        <w:ind w:firstLine="480" w:firstLineChars="200"/>
        <w:jc w:val="left"/>
        <w:rPr>
          <w:rFonts w:hint="eastAsia" w:ascii="宋体" w:hAnsi="宋体" w:cs="宋体"/>
          <w:sz w:val="24"/>
          <w:highlight w:val="none"/>
        </w:rPr>
      </w:pPr>
      <w:r>
        <w:rPr>
          <w:rFonts w:hint="eastAsia" w:ascii="宋体" w:hAnsi="宋体" w:cs="宋体"/>
          <w:sz w:val="24"/>
          <w:highlight w:val="none"/>
        </w:rPr>
        <w:t>3.本项目的特定资格要求：</w:t>
      </w:r>
    </w:p>
    <w:p>
      <w:pPr>
        <w:tabs>
          <w:tab w:val="left" w:pos="540"/>
        </w:tabs>
        <w:spacing w:line="360" w:lineRule="auto"/>
        <w:ind w:firstLine="720" w:firstLineChars="300"/>
        <w:jc w:val="left"/>
        <w:rPr>
          <w:rFonts w:hint="eastAsia" w:ascii="宋体" w:hAnsi="宋体" w:cs="宋体"/>
          <w:sz w:val="24"/>
          <w:highlight w:val="none"/>
        </w:rPr>
      </w:pPr>
      <w:r>
        <w:rPr>
          <w:rFonts w:hint="eastAsia" w:ascii="宋体" w:hAnsi="宋体" w:cs="宋体"/>
          <w:sz w:val="24"/>
          <w:highlight w:val="none"/>
        </w:rPr>
        <w:t>（1）本项目接受进口产品投标（进口产品是指通过中国海关报关，验放进入中国境内，且产自关境外的产品）；</w:t>
      </w:r>
    </w:p>
    <w:p>
      <w:pPr>
        <w:tabs>
          <w:tab w:val="left" w:pos="540"/>
        </w:tabs>
        <w:spacing w:line="360" w:lineRule="auto"/>
        <w:ind w:firstLine="720" w:firstLineChars="300"/>
        <w:jc w:val="left"/>
        <w:rPr>
          <w:rFonts w:hint="eastAsia" w:ascii="宋体" w:hAnsi="宋体" w:cs="宋体"/>
          <w:sz w:val="24"/>
          <w:highlight w:val="none"/>
        </w:rPr>
      </w:pPr>
      <w:r>
        <w:rPr>
          <w:rFonts w:hint="eastAsia" w:ascii="宋体" w:hAnsi="宋体" w:cs="宋体"/>
          <w:sz w:val="24"/>
          <w:highlight w:val="none"/>
        </w:rPr>
        <w:t>（2）若投标人所报产品为进口产品，则投标人须具有所报进口产品生产厂家或其在国内授权的总代理商出具针对本项目的授权书（</w:t>
      </w:r>
      <w:r>
        <w:rPr>
          <w:rFonts w:hint="eastAsia" w:ascii="宋体" w:hAnsi="宋体" w:cs="宋体"/>
          <w:kern w:val="0"/>
          <w:sz w:val="24"/>
          <w:highlight w:val="none"/>
          <w:lang w:bidi="ar"/>
        </w:rPr>
        <w:t>数码单反相机和微单数码相机除外</w:t>
      </w:r>
      <w:r>
        <w:rPr>
          <w:rFonts w:hint="eastAsia" w:ascii="宋体" w:hAnsi="宋体" w:cs="宋体"/>
          <w:sz w:val="24"/>
          <w:highlight w:val="none"/>
        </w:rPr>
        <w:t>）；</w:t>
      </w:r>
    </w:p>
    <w:p>
      <w:pPr>
        <w:tabs>
          <w:tab w:val="left" w:pos="540"/>
        </w:tabs>
        <w:spacing w:line="360" w:lineRule="auto"/>
        <w:ind w:firstLine="720" w:firstLineChars="300"/>
        <w:jc w:val="left"/>
        <w:rPr>
          <w:rFonts w:hint="eastAsia" w:ascii="宋体" w:hAnsi="宋体" w:cs="宋体"/>
          <w:sz w:val="24"/>
          <w:highlight w:val="none"/>
        </w:rPr>
      </w:pPr>
      <w:r>
        <w:rPr>
          <w:rFonts w:hint="eastAsia" w:ascii="宋体" w:hAnsi="宋体" w:cs="宋体"/>
          <w:sz w:val="24"/>
          <w:highlight w:val="none"/>
        </w:rPr>
        <w:t>（3）单位负责人为同一人或者存在直接控股、管理关系的不同供应商，不得参加同一合同项下的政府采购活动；为本招标项目提供整体设计、规范编制或者项目管理、监理、检测等服务的，不得再参加本项目的投标。</w:t>
      </w:r>
    </w:p>
    <w:p>
      <w:pPr>
        <w:tabs>
          <w:tab w:val="left" w:pos="540"/>
        </w:tabs>
        <w:spacing w:line="360" w:lineRule="auto"/>
        <w:ind w:firstLine="720" w:firstLineChars="300"/>
        <w:jc w:val="left"/>
        <w:rPr>
          <w:rFonts w:hint="eastAsia" w:ascii="宋体" w:hAnsi="宋体" w:cs="宋体"/>
          <w:sz w:val="24"/>
          <w:highlight w:val="none"/>
        </w:rPr>
      </w:pPr>
      <w:r>
        <w:rPr>
          <w:rFonts w:hint="eastAsia" w:ascii="宋体" w:hAnsi="宋体" w:cs="宋体"/>
          <w:sz w:val="24"/>
          <w:highlight w:val="none"/>
        </w:rPr>
        <w:t>（4）依据（财库【2016】125号）文，投标单位被“信用中国”网站、“中国政府采购网”网站列入失信被执行人、重大税收违法案件当事人名单、政府采购严重违法失信行为记录名单的，不得参与本项目的政府采购活动；</w:t>
      </w:r>
    </w:p>
    <w:p>
      <w:pPr>
        <w:spacing w:line="360" w:lineRule="auto"/>
        <w:rPr>
          <w:rFonts w:hint="eastAsia" w:ascii="宋体" w:hAnsi="宋体" w:cs="宋体"/>
          <w:b/>
          <w:sz w:val="28"/>
          <w:szCs w:val="28"/>
          <w:highlight w:val="none"/>
        </w:rPr>
      </w:pPr>
      <w:bookmarkStart w:id="11" w:name="_Toc35393792"/>
      <w:bookmarkStart w:id="12" w:name="_Toc35393623"/>
      <w:r>
        <w:rPr>
          <w:rFonts w:hint="eastAsia" w:ascii="宋体" w:hAnsi="宋体" w:cs="宋体"/>
          <w:b/>
          <w:sz w:val="28"/>
          <w:szCs w:val="28"/>
          <w:highlight w:val="none"/>
        </w:rPr>
        <w:t>三、获取招标文件</w:t>
      </w:r>
      <w:bookmarkEnd w:id="9"/>
      <w:bookmarkEnd w:id="10"/>
      <w:bookmarkEnd w:id="11"/>
      <w:bookmarkEnd w:id="12"/>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u w:val="single"/>
        </w:rPr>
        <w:t>2022</w:t>
      </w:r>
      <w:r>
        <w:rPr>
          <w:rFonts w:hint="eastAsia" w:ascii="宋体" w:hAnsi="宋体" w:cs="宋体"/>
          <w:sz w:val="24"/>
          <w:highlight w:val="none"/>
        </w:rPr>
        <w:t>年</w:t>
      </w:r>
      <w:r>
        <w:rPr>
          <w:rFonts w:hint="eastAsia" w:ascii="宋体" w:hAnsi="宋体" w:cs="宋体"/>
          <w:sz w:val="24"/>
          <w:highlight w:val="none"/>
          <w:u w:val="single"/>
        </w:rPr>
        <w:t>05</w:t>
      </w:r>
      <w:r>
        <w:rPr>
          <w:rFonts w:hint="eastAsia" w:ascii="宋体" w:hAnsi="宋体" w:cs="宋体"/>
          <w:sz w:val="24"/>
          <w:highlight w:val="none"/>
        </w:rPr>
        <w:t>月</w:t>
      </w:r>
      <w:r>
        <w:rPr>
          <w:rFonts w:hint="eastAsia" w:ascii="宋体" w:hAnsi="宋体" w:cs="宋体"/>
          <w:sz w:val="24"/>
          <w:highlight w:val="none"/>
          <w:u w:val="single"/>
          <w:lang w:val="en-US" w:eastAsia="zh-CN"/>
        </w:rPr>
        <w:t>17</w:t>
      </w:r>
      <w:r>
        <w:rPr>
          <w:rFonts w:hint="eastAsia" w:ascii="宋体" w:hAnsi="宋体" w:cs="宋体"/>
          <w:sz w:val="24"/>
          <w:highlight w:val="none"/>
        </w:rPr>
        <w:t>日至</w:t>
      </w:r>
      <w:r>
        <w:rPr>
          <w:rFonts w:hint="eastAsia" w:ascii="宋体" w:hAnsi="宋体" w:cs="宋体"/>
          <w:sz w:val="24"/>
          <w:highlight w:val="none"/>
          <w:u w:val="single"/>
        </w:rPr>
        <w:t>2022</w:t>
      </w:r>
      <w:r>
        <w:rPr>
          <w:rFonts w:hint="eastAsia" w:ascii="宋体" w:hAnsi="宋体" w:cs="宋体"/>
          <w:sz w:val="24"/>
          <w:highlight w:val="none"/>
        </w:rPr>
        <w:t>年</w:t>
      </w:r>
      <w:r>
        <w:rPr>
          <w:rFonts w:hint="eastAsia" w:ascii="宋体" w:hAnsi="宋体" w:cs="宋体"/>
          <w:sz w:val="24"/>
          <w:highlight w:val="none"/>
          <w:u w:val="single"/>
        </w:rPr>
        <w:t>05</w:t>
      </w:r>
      <w:r>
        <w:rPr>
          <w:rFonts w:hint="eastAsia" w:ascii="宋体" w:hAnsi="宋体" w:cs="宋体"/>
          <w:sz w:val="24"/>
          <w:highlight w:val="none"/>
        </w:rPr>
        <w:t>月</w:t>
      </w:r>
      <w:r>
        <w:rPr>
          <w:rFonts w:hint="eastAsia" w:ascii="宋体" w:hAnsi="宋体" w:cs="宋体"/>
          <w:sz w:val="24"/>
          <w:highlight w:val="none"/>
          <w:u w:val="single"/>
          <w:lang w:val="en-US" w:eastAsia="zh-CN"/>
        </w:rPr>
        <w:t>23</w:t>
      </w:r>
      <w:r>
        <w:rPr>
          <w:rFonts w:hint="eastAsia" w:ascii="宋体" w:hAnsi="宋体" w:cs="宋体"/>
          <w:sz w:val="24"/>
          <w:highlight w:val="none"/>
        </w:rPr>
        <w:t>日，每天上午</w:t>
      </w:r>
      <w:r>
        <w:rPr>
          <w:rFonts w:hint="eastAsia" w:ascii="宋体" w:hAnsi="宋体" w:cs="宋体"/>
          <w:sz w:val="24"/>
          <w:highlight w:val="none"/>
          <w:u w:val="single"/>
        </w:rPr>
        <w:t>9:00</w:t>
      </w:r>
      <w:r>
        <w:rPr>
          <w:rFonts w:hint="eastAsia" w:ascii="宋体" w:hAnsi="宋体" w:cs="宋体"/>
          <w:sz w:val="24"/>
          <w:highlight w:val="none"/>
        </w:rPr>
        <w:t>至</w:t>
      </w:r>
      <w:r>
        <w:rPr>
          <w:rFonts w:hint="eastAsia" w:ascii="宋体" w:hAnsi="宋体" w:cs="宋体"/>
          <w:sz w:val="24"/>
          <w:highlight w:val="none"/>
          <w:u w:val="single"/>
        </w:rPr>
        <w:t>11:00</w:t>
      </w:r>
      <w:r>
        <w:rPr>
          <w:rFonts w:hint="eastAsia" w:ascii="宋体" w:hAnsi="宋体" w:cs="宋体"/>
          <w:sz w:val="24"/>
          <w:highlight w:val="none"/>
        </w:rPr>
        <w:t>，下午</w:t>
      </w:r>
      <w:r>
        <w:rPr>
          <w:rFonts w:hint="eastAsia" w:ascii="宋体" w:hAnsi="宋体" w:cs="宋体"/>
          <w:sz w:val="24"/>
          <w:highlight w:val="none"/>
          <w:u w:val="single"/>
        </w:rPr>
        <w:t>14:00</w:t>
      </w:r>
      <w:r>
        <w:rPr>
          <w:rFonts w:hint="eastAsia" w:ascii="宋体" w:hAnsi="宋体" w:cs="宋体"/>
          <w:sz w:val="24"/>
          <w:highlight w:val="none"/>
        </w:rPr>
        <w:t xml:space="preserve">至 </w:t>
      </w:r>
      <w:r>
        <w:rPr>
          <w:rFonts w:hint="eastAsia" w:ascii="宋体" w:hAnsi="宋体" w:cs="宋体"/>
          <w:sz w:val="24"/>
          <w:highlight w:val="none"/>
          <w:u w:val="single"/>
        </w:rPr>
        <w:t>16:00</w:t>
      </w:r>
      <w:r>
        <w:rPr>
          <w:rFonts w:hint="eastAsia" w:ascii="宋体" w:hAnsi="宋体" w:cs="宋体"/>
          <w:sz w:val="24"/>
          <w:highlight w:val="none"/>
        </w:rPr>
        <w:t>（北京时间，法定节假日除外）。</w:t>
      </w:r>
    </w:p>
    <w:p>
      <w:pPr>
        <w:adjustRightInd w:val="0"/>
        <w:snapToGrid w:val="0"/>
        <w:spacing w:line="440" w:lineRule="exact"/>
        <w:ind w:firstLine="540"/>
        <w:rPr>
          <w:rFonts w:hint="eastAsia" w:ascii="宋体" w:hAnsi="宋体" w:cs="宋体"/>
          <w:sz w:val="24"/>
          <w:highlight w:val="none"/>
        </w:rPr>
      </w:pPr>
      <w:r>
        <w:rPr>
          <w:rFonts w:hint="eastAsia" w:ascii="宋体" w:hAnsi="宋体" w:cs="宋体"/>
          <w:sz w:val="24"/>
          <w:highlight w:val="none"/>
        </w:rPr>
        <w:t>方式：</w:t>
      </w:r>
      <w:r>
        <w:rPr>
          <w:rFonts w:hint="eastAsia" w:ascii="宋体" w:hAnsi="宋体" w:cs="宋体"/>
          <w:sz w:val="24"/>
          <w:highlight w:val="none"/>
          <w:lang w:eastAsia="zh-CN"/>
        </w:rPr>
        <w:t>网上</w:t>
      </w:r>
      <w:r>
        <w:rPr>
          <w:rFonts w:hint="eastAsia" w:ascii="宋体" w:hAnsi="宋体" w:cs="宋体"/>
          <w:sz w:val="24"/>
          <w:highlight w:val="none"/>
        </w:rPr>
        <w:t>购买。需提供以下资料：</w:t>
      </w:r>
    </w:p>
    <w:p>
      <w:pPr>
        <w:numPr>
          <w:ilvl w:val="0"/>
          <w:numId w:val="1"/>
        </w:numPr>
        <w:adjustRightInd w:val="0"/>
        <w:snapToGrid w:val="0"/>
        <w:spacing w:line="440" w:lineRule="exact"/>
        <w:ind w:firstLine="540"/>
        <w:rPr>
          <w:rFonts w:hint="eastAsia" w:ascii="宋体" w:hAnsi="宋体" w:eastAsia="宋体" w:cs="宋体"/>
          <w:sz w:val="24"/>
          <w:highlight w:val="none"/>
        </w:rPr>
      </w:pPr>
      <w:bookmarkStart w:id="13" w:name="_Toc28359005"/>
      <w:bookmarkStart w:id="14" w:name="_Toc28359082"/>
      <w:bookmarkStart w:id="15" w:name="_Toc35393793"/>
      <w:bookmarkStart w:id="16" w:name="_Toc35393624"/>
      <w:r>
        <w:rPr>
          <w:rFonts w:hint="eastAsia" w:ascii="宋体" w:hAnsi="宋体" w:eastAsia="宋体" w:cs="宋体"/>
          <w:sz w:val="24"/>
          <w:highlight w:val="none"/>
        </w:rPr>
        <w:t>身份证原件及复印件加盖公章、法定代表人资格证明加盖公章（适用于法定代表人获取招标文件）；</w:t>
      </w:r>
    </w:p>
    <w:p>
      <w:pPr>
        <w:numPr>
          <w:ilvl w:val="0"/>
          <w:numId w:val="1"/>
        </w:numPr>
        <w:adjustRightInd w:val="0"/>
        <w:snapToGrid w:val="0"/>
        <w:spacing w:line="440" w:lineRule="exact"/>
        <w:ind w:left="0" w:leftChars="0" w:firstLine="540" w:firstLineChars="0"/>
        <w:rPr>
          <w:rFonts w:hint="eastAsia" w:ascii="宋体" w:hAnsi="宋体" w:eastAsia="宋体" w:cs="宋体"/>
          <w:sz w:val="24"/>
          <w:highlight w:val="none"/>
        </w:rPr>
      </w:pPr>
      <w:r>
        <w:rPr>
          <w:rFonts w:hint="eastAsia" w:ascii="宋体" w:hAnsi="宋体" w:eastAsia="宋体" w:cs="宋体"/>
          <w:sz w:val="24"/>
          <w:highlight w:val="none"/>
        </w:rPr>
        <w:t>法定代表人授权委托书加盖公章、被委托人的身份证原件及复印件加盖公章（适用于代理人获取招标文件）；</w:t>
      </w:r>
    </w:p>
    <w:p>
      <w:pPr>
        <w:numPr>
          <w:ilvl w:val="0"/>
          <w:numId w:val="1"/>
        </w:numPr>
        <w:adjustRightInd w:val="0"/>
        <w:snapToGrid w:val="0"/>
        <w:spacing w:line="440" w:lineRule="exact"/>
        <w:ind w:left="0" w:leftChars="0" w:firstLine="540" w:firstLineChars="0"/>
        <w:rPr>
          <w:rFonts w:hint="eastAsia" w:ascii="宋体" w:hAnsi="宋体" w:eastAsia="宋体" w:cs="宋体"/>
          <w:sz w:val="24"/>
          <w:highlight w:val="none"/>
        </w:rPr>
      </w:pPr>
      <w:r>
        <w:rPr>
          <w:rFonts w:hint="eastAsia" w:ascii="宋体" w:hAnsi="宋体" w:eastAsia="宋体" w:cs="宋体"/>
          <w:sz w:val="24"/>
          <w:highlight w:val="none"/>
        </w:rPr>
        <w:t>有效《营业执照》复印件加盖公章。售价：</w:t>
      </w: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HYPERLINK "mailto:文件售价人民币300元，招标文件售后不退。以上资料原件扫描后发送至hsjjzxgszbdl@163.com，请在邮件内备注项目名称、投标人名称、联系人及联系方式，并电话通知代理机构确认。审核合格后，代理机构将文件领取登记表及文件费付款方式发送至报名单位，填写后将扫描件及付款截图发送至hsjjzxgszbdl@163.com。代理机构以邮件的形式发送招标文件。未向采购代理机构购买招标文件并登记的潜在投标人均无资格参加投标。"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文件售价人民币300元，招标文件售后不退。</w:t>
      </w:r>
    </w:p>
    <w:p>
      <w:pPr>
        <w:numPr>
          <w:ilvl w:val="0"/>
          <w:numId w:val="0"/>
        </w:numPr>
        <w:adjustRightInd w:val="0"/>
        <w:snapToGrid w:val="0"/>
        <w:spacing w:line="44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以上资料原件扫描后发送至hsjjzxgszbdl@163.com，请在邮件内备注项目名称、投标人名称、联系人及联系方式，并电话通知代理机构确认。审核合格后，代理机构将文件领取登记表及文件费付款方式发送至报名单位，填写后将扫描件及付款截图发送至hsjjzxgszbdl@163.com。代理机构以邮件的形式发送招标文件。未向采购代理机构购买招标文件并登记的潜在投标人均无资格参加投标。</w:t>
      </w:r>
      <w:r>
        <w:rPr>
          <w:rFonts w:hint="eastAsia" w:ascii="宋体" w:hAnsi="宋体" w:eastAsia="宋体" w:cs="宋体"/>
          <w:sz w:val="24"/>
          <w:highlight w:val="none"/>
        </w:rPr>
        <w:fldChar w:fldCharType="end"/>
      </w:r>
    </w:p>
    <w:p>
      <w:pPr>
        <w:numPr>
          <w:ilvl w:val="0"/>
          <w:numId w:val="0"/>
        </w:numPr>
        <w:spacing w:line="360" w:lineRule="auto"/>
        <w:rPr>
          <w:rFonts w:hint="eastAsia" w:ascii="宋体" w:hAnsi="宋体" w:cs="宋体"/>
          <w:b/>
          <w:sz w:val="28"/>
          <w:szCs w:val="28"/>
          <w:highlight w:val="none"/>
        </w:rPr>
      </w:pPr>
      <w:r>
        <w:rPr>
          <w:rFonts w:hint="eastAsia" w:ascii="宋体" w:hAnsi="宋体" w:cs="宋体"/>
          <w:b/>
          <w:sz w:val="28"/>
          <w:szCs w:val="28"/>
          <w:highlight w:val="none"/>
        </w:rPr>
        <w:t>四、提交投标文件</w:t>
      </w:r>
      <w:bookmarkEnd w:id="13"/>
      <w:bookmarkEnd w:id="14"/>
      <w:r>
        <w:rPr>
          <w:rFonts w:hint="eastAsia" w:ascii="宋体" w:hAnsi="宋体" w:cs="宋体"/>
          <w:b/>
          <w:sz w:val="28"/>
          <w:szCs w:val="28"/>
          <w:highlight w:val="none"/>
        </w:rPr>
        <w:t>截止时间、开标时间和地点</w:t>
      </w:r>
      <w:bookmarkEnd w:id="15"/>
      <w:bookmarkEnd w:id="16"/>
    </w:p>
    <w:p>
      <w:pPr>
        <w:spacing w:line="360" w:lineRule="auto"/>
        <w:ind w:firstLine="480" w:firstLineChars="200"/>
        <w:rPr>
          <w:rFonts w:hint="eastAsia" w:ascii="宋体" w:hAnsi="宋体" w:cs="宋体"/>
          <w:bCs/>
          <w:sz w:val="24"/>
          <w:highlight w:val="none"/>
          <w:u w:val="single"/>
        </w:rPr>
      </w:pPr>
      <w:r>
        <w:rPr>
          <w:rFonts w:hint="eastAsia" w:ascii="宋体" w:hAnsi="宋体" w:cs="宋体"/>
          <w:bCs/>
          <w:sz w:val="24"/>
          <w:highlight w:val="none"/>
          <w:u w:val="single"/>
        </w:rPr>
        <w:t>2022</w:t>
      </w:r>
      <w:r>
        <w:rPr>
          <w:rFonts w:hint="eastAsia" w:ascii="宋体" w:hAnsi="宋体" w:cs="宋体"/>
          <w:bCs/>
          <w:sz w:val="24"/>
          <w:highlight w:val="none"/>
        </w:rPr>
        <w:t>年</w:t>
      </w:r>
      <w:r>
        <w:rPr>
          <w:rFonts w:hint="eastAsia" w:ascii="宋体" w:hAnsi="宋体" w:cs="宋体"/>
          <w:bCs/>
          <w:sz w:val="24"/>
          <w:highlight w:val="none"/>
          <w:u w:val="single"/>
        </w:rPr>
        <w:t>0</w:t>
      </w:r>
      <w:r>
        <w:rPr>
          <w:rFonts w:hint="eastAsia" w:ascii="宋体" w:hAnsi="宋体" w:cs="宋体"/>
          <w:bCs/>
          <w:sz w:val="24"/>
          <w:highlight w:val="none"/>
          <w:u w:val="single"/>
          <w:lang w:val="en-US" w:eastAsia="zh-CN"/>
        </w:rPr>
        <w:t>6</w:t>
      </w:r>
      <w:r>
        <w:rPr>
          <w:rFonts w:hint="eastAsia" w:ascii="宋体" w:hAnsi="宋体" w:cs="宋体"/>
          <w:bCs/>
          <w:sz w:val="24"/>
          <w:highlight w:val="none"/>
        </w:rPr>
        <w:t>月</w:t>
      </w:r>
      <w:r>
        <w:rPr>
          <w:rFonts w:hint="eastAsia" w:ascii="宋体" w:hAnsi="宋体" w:cs="宋体"/>
          <w:bCs/>
          <w:sz w:val="24"/>
          <w:highlight w:val="none"/>
          <w:u w:val="single"/>
          <w:lang w:val="en-US" w:eastAsia="zh-CN"/>
        </w:rPr>
        <w:t>06</w:t>
      </w:r>
      <w:r>
        <w:rPr>
          <w:rFonts w:hint="eastAsia" w:ascii="宋体" w:hAnsi="宋体" w:cs="宋体"/>
          <w:bCs/>
          <w:sz w:val="24"/>
          <w:highlight w:val="none"/>
        </w:rPr>
        <w:t>日</w:t>
      </w:r>
      <w:r>
        <w:rPr>
          <w:rFonts w:hint="eastAsia" w:ascii="宋体" w:hAnsi="宋体" w:cs="宋体"/>
          <w:bCs/>
          <w:sz w:val="24"/>
          <w:highlight w:val="none"/>
          <w:u w:val="single"/>
        </w:rPr>
        <w:t>14</w:t>
      </w:r>
      <w:r>
        <w:rPr>
          <w:rFonts w:hint="eastAsia" w:ascii="宋体" w:hAnsi="宋体" w:cs="宋体"/>
          <w:bCs/>
          <w:sz w:val="24"/>
          <w:highlight w:val="none"/>
        </w:rPr>
        <w:t>点</w:t>
      </w:r>
      <w:r>
        <w:rPr>
          <w:rFonts w:hint="eastAsia" w:ascii="宋体" w:hAnsi="宋体" w:cs="宋体"/>
          <w:bCs/>
          <w:sz w:val="24"/>
          <w:highlight w:val="none"/>
          <w:u w:val="single"/>
          <w:lang w:val="en-US" w:eastAsia="zh-CN"/>
        </w:rPr>
        <w:t>00</w:t>
      </w:r>
      <w:r>
        <w:rPr>
          <w:rFonts w:hint="eastAsia" w:ascii="宋体" w:hAnsi="宋体" w:cs="宋体"/>
          <w:bCs/>
          <w:sz w:val="24"/>
          <w:highlight w:val="none"/>
        </w:rPr>
        <w:t>分（北京时间）</w:t>
      </w:r>
    </w:p>
    <w:p>
      <w:pPr>
        <w:spacing w:line="360" w:lineRule="auto"/>
        <w:ind w:firstLine="480" w:firstLineChars="200"/>
        <w:rPr>
          <w:rFonts w:hint="eastAsia" w:ascii="宋体" w:hAnsi="宋体" w:cs="宋体"/>
          <w:bCs/>
          <w:sz w:val="24"/>
          <w:highlight w:val="none"/>
          <w:u w:val="single"/>
        </w:rPr>
      </w:pPr>
      <w:r>
        <w:rPr>
          <w:rFonts w:hint="eastAsia" w:ascii="宋体" w:hAnsi="宋体" w:cs="宋体"/>
          <w:sz w:val="24"/>
          <w:highlight w:val="none"/>
        </w:rPr>
        <w:t>地点：</w:t>
      </w:r>
      <w:r>
        <w:rPr>
          <w:rFonts w:hint="eastAsia" w:ascii="宋体" w:hAnsi="宋体" w:cs="宋体"/>
          <w:sz w:val="24"/>
          <w:highlight w:val="none"/>
          <w:u w:val="single"/>
        </w:rPr>
        <w:t>北京市西城区新街口外大街8号金丰和商务苑C座六层会议室</w:t>
      </w:r>
    </w:p>
    <w:p>
      <w:pPr>
        <w:spacing w:line="360" w:lineRule="auto"/>
        <w:rPr>
          <w:rFonts w:hint="eastAsia" w:ascii="宋体" w:hAnsi="宋体" w:cs="宋体"/>
          <w:b/>
          <w:sz w:val="28"/>
          <w:szCs w:val="28"/>
          <w:highlight w:val="none"/>
        </w:rPr>
      </w:pPr>
      <w:bookmarkStart w:id="17" w:name="_Toc28359084"/>
      <w:bookmarkStart w:id="18" w:name="_Toc35393794"/>
      <w:bookmarkStart w:id="19" w:name="_Toc35393625"/>
      <w:bookmarkStart w:id="20" w:name="_Toc28359007"/>
      <w:r>
        <w:rPr>
          <w:rFonts w:hint="eastAsia" w:ascii="宋体" w:hAnsi="宋体" w:cs="宋体"/>
          <w:b/>
          <w:sz w:val="28"/>
          <w:szCs w:val="28"/>
          <w:highlight w:val="none"/>
        </w:rPr>
        <w:t>五、公告期限</w:t>
      </w:r>
      <w:bookmarkEnd w:id="17"/>
      <w:bookmarkEnd w:id="18"/>
      <w:bookmarkEnd w:id="19"/>
      <w:bookmarkEnd w:id="20"/>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自本公告发布之日起5个工作日。</w:t>
      </w:r>
    </w:p>
    <w:p>
      <w:pPr>
        <w:spacing w:line="360" w:lineRule="auto"/>
        <w:rPr>
          <w:rFonts w:hint="eastAsia" w:ascii="宋体" w:hAnsi="宋体" w:cs="宋体"/>
          <w:b/>
          <w:sz w:val="28"/>
          <w:szCs w:val="28"/>
          <w:highlight w:val="none"/>
        </w:rPr>
      </w:pPr>
      <w:bookmarkStart w:id="21" w:name="_Toc35393795"/>
      <w:bookmarkStart w:id="22" w:name="_Toc35393626"/>
      <w:r>
        <w:rPr>
          <w:rFonts w:hint="eastAsia" w:ascii="宋体" w:hAnsi="宋体" w:cs="宋体"/>
          <w:b/>
          <w:sz w:val="28"/>
          <w:szCs w:val="28"/>
          <w:highlight w:val="none"/>
        </w:rPr>
        <w:t>六、其他补充事宜</w:t>
      </w:r>
      <w:bookmarkEnd w:id="21"/>
      <w:bookmarkEnd w:id="22"/>
    </w:p>
    <w:p>
      <w:pPr>
        <w:pStyle w:val="5"/>
        <w:spacing w:line="360" w:lineRule="auto"/>
        <w:ind w:left="495" w:firstLine="240" w:firstLineChars="100"/>
        <w:rPr>
          <w:rFonts w:hint="eastAsia" w:ascii="宋体" w:hAnsi="宋体" w:cs="宋体"/>
          <w:bCs/>
          <w:sz w:val="24"/>
          <w:highlight w:val="none"/>
          <w:u w:val="single"/>
        </w:rPr>
      </w:pPr>
      <w:r>
        <w:rPr>
          <w:rFonts w:hint="eastAsia" w:ascii="宋体" w:hAnsi="宋体" w:cs="宋体"/>
          <w:sz w:val="24"/>
          <w:szCs w:val="24"/>
          <w:highlight w:val="none"/>
        </w:rPr>
        <w:t>1、本项目需要落实的政府采购政策：</w:t>
      </w:r>
      <w:r>
        <w:rPr>
          <w:rFonts w:hint="eastAsia" w:ascii="宋体" w:hAnsi="宋体" w:cs="宋体"/>
          <w:bCs/>
          <w:sz w:val="24"/>
          <w:highlight w:val="none"/>
          <w:u w:val="single"/>
        </w:rPr>
        <w:t>节约能源、保护环境、扶持不发达地区和少数民族地区、促进中小企业发展、支持监狱企业发展、促进残疾人就业等政府采购政策。</w:t>
      </w:r>
    </w:p>
    <w:p>
      <w:pPr>
        <w:spacing w:line="360" w:lineRule="auto"/>
        <w:rPr>
          <w:rFonts w:hint="eastAsia" w:ascii="宋体" w:hAnsi="宋体" w:cs="宋体"/>
          <w:b/>
          <w:sz w:val="28"/>
          <w:szCs w:val="28"/>
          <w:highlight w:val="none"/>
        </w:rPr>
      </w:pPr>
      <w:bookmarkStart w:id="23" w:name="_Toc28359085"/>
      <w:bookmarkStart w:id="24" w:name="_Toc35393627"/>
      <w:bookmarkStart w:id="25" w:name="_Toc35393796"/>
      <w:bookmarkStart w:id="26" w:name="_Toc28359008"/>
      <w:r>
        <w:rPr>
          <w:rFonts w:hint="eastAsia" w:ascii="宋体" w:hAnsi="宋体" w:cs="宋体"/>
          <w:b/>
          <w:sz w:val="28"/>
          <w:szCs w:val="28"/>
          <w:highlight w:val="none"/>
        </w:rPr>
        <w:t>七、对本次招标提出询问，请按以下方式联系</w:t>
      </w:r>
      <w:bookmarkEnd w:id="23"/>
      <w:bookmarkEnd w:id="24"/>
      <w:bookmarkEnd w:id="25"/>
      <w:bookmarkEnd w:id="26"/>
    </w:p>
    <w:p>
      <w:pPr>
        <w:widowControl/>
        <w:spacing w:line="360" w:lineRule="auto"/>
        <w:jc w:val="left"/>
        <w:rPr>
          <w:rFonts w:hint="eastAsia" w:ascii="宋体" w:hAnsi="宋体" w:cs="宋体"/>
          <w:sz w:val="24"/>
          <w:highlight w:val="none"/>
        </w:rPr>
      </w:pPr>
      <w:r>
        <w:rPr>
          <w:rFonts w:hint="eastAsia" w:ascii="宋体" w:hAnsi="宋体" w:cs="宋体"/>
          <w:sz w:val="24"/>
          <w:highlight w:val="none"/>
        </w:rPr>
        <w:t>　　　1.采购人信息</w:t>
      </w:r>
    </w:p>
    <w:p>
      <w:pPr>
        <w:spacing w:line="360" w:lineRule="auto"/>
        <w:ind w:left="1079" w:leftChars="371" w:hanging="300" w:hangingChars="125"/>
        <w:jc w:val="left"/>
        <w:rPr>
          <w:rFonts w:hint="eastAsia"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u w:val="single"/>
        </w:rPr>
        <w:t xml:space="preserve">国家文物局考古研究中心 </w:t>
      </w:r>
    </w:p>
    <w:p>
      <w:pPr>
        <w:spacing w:line="360" w:lineRule="auto"/>
        <w:ind w:left="1079" w:leftChars="371" w:hanging="300" w:hangingChars="125"/>
        <w:jc w:val="left"/>
        <w:rPr>
          <w:rFonts w:hint="eastAsia" w:ascii="宋体" w:hAnsi="宋体" w:cs="宋体"/>
          <w:sz w:val="24"/>
          <w:highlight w:val="none"/>
          <w:u w:val="single"/>
        </w:rPr>
      </w:pPr>
      <w:r>
        <w:rPr>
          <w:rFonts w:hint="eastAsia" w:ascii="宋体" w:hAnsi="宋体" w:cs="宋体"/>
          <w:sz w:val="24"/>
          <w:highlight w:val="none"/>
        </w:rPr>
        <w:t>地址：</w:t>
      </w:r>
      <w:r>
        <w:rPr>
          <w:rFonts w:hint="eastAsia" w:ascii="宋体" w:hAnsi="宋体" w:cs="宋体"/>
          <w:sz w:val="24"/>
          <w:highlight w:val="none"/>
          <w:u w:val="single"/>
        </w:rPr>
        <w:t>北京市朝阳区砖角楼南里甲21号</w:t>
      </w:r>
    </w:p>
    <w:p>
      <w:pPr>
        <w:spacing w:line="360" w:lineRule="auto"/>
        <w:ind w:left="1079" w:leftChars="371" w:hanging="300" w:hangingChars="125"/>
        <w:jc w:val="left"/>
        <w:rPr>
          <w:rFonts w:hint="eastAsia" w:ascii="宋体" w:hAnsi="宋体" w:eastAsia="宋体" w:cs="宋体"/>
          <w:sz w:val="24"/>
          <w:highlight w:val="none"/>
          <w:u w:val="single"/>
          <w:lang w:eastAsia="zh-CN"/>
        </w:rPr>
      </w:pPr>
      <w:r>
        <w:rPr>
          <w:rFonts w:hint="eastAsia" w:ascii="宋体" w:hAnsi="宋体" w:cs="宋体"/>
          <w:sz w:val="24"/>
          <w:highlight w:val="none"/>
        </w:rPr>
        <w:t>联系方式：</w:t>
      </w:r>
      <w:r>
        <w:rPr>
          <w:rFonts w:hint="eastAsia" w:ascii="宋体" w:hAnsi="宋体" w:cs="宋体"/>
          <w:sz w:val="24"/>
          <w:highlight w:val="none"/>
          <w:u w:val="single"/>
        </w:rPr>
        <w:t>王昊老师</w:t>
      </w:r>
      <w:bookmarkStart w:id="27" w:name="_Toc28359009"/>
      <w:bookmarkStart w:id="28" w:name="_Toc28359086"/>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13426270349</w:t>
      </w:r>
    </w:p>
    <w:p>
      <w:pPr>
        <w:spacing w:line="360" w:lineRule="auto"/>
        <w:ind w:left="1079" w:leftChars="371" w:hanging="300" w:hangingChars="125"/>
        <w:jc w:val="left"/>
        <w:rPr>
          <w:rFonts w:hint="eastAsia" w:ascii="宋体" w:hAnsi="宋体" w:cs="宋体"/>
          <w:sz w:val="24"/>
          <w:highlight w:val="none"/>
        </w:rPr>
      </w:pPr>
      <w:r>
        <w:rPr>
          <w:rFonts w:hint="eastAsia" w:ascii="宋体" w:hAnsi="宋体" w:cs="宋体"/>
          <w:sz w:val="24"/>
          <w:highlight w:val="none"/>
        </w:rPr>
        <w:t>2.采购代理机构信息</w:t>
      </w:r>
      <w:bookmarkEnd w:id="27"/>
      <w:bookmarkEnd w:id="28"/>
    </w:p>
    <w:p>
      <w:pPr>
        <w:spacing w:line="360" w:lineRule="auto"/>
        <w:ind w:firstLine="720" w:firstLineChars="300"/>
        <w:rPr>
          <w:rFonts w:hint="eastAsia"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u w:val="single"/>
        </w:rPr>
        <w:t>北京华审金建国际工程项目管理有限公司</w:t>
      </w:r>
    </w:p>
    <w:p>
      <w:pPr>
        <w:spacing w:line="360" w:lineRule="auto"/>
        <w:ind w:firstLine="720" w:firstLineChars="300"/>
        <w:rPr>
          <w:rFonts w:hint="eastAsia" w:ascii="宋体" w:hAnsi="宋体" w:cs="宋体"/>
          <w:sz w:val="24"/>
          <w:highlight w:val="none"/>
        </w:rPr>
      </w:pPr>
      <w:r>
        <w:rPr>
          <w:rFonts w:hint="eastAsia" w:ascii="宋体" w:hAnsi="宋体" w:cs="宋体"/>
          <w:sz w:val="24"/>
          <w:highlight w:val="none"/>
        </w:rPr>
        <w:t>地　址：</w:t>
      </w:r>
      <w:r>
        <w:rPr>
          <w:rFonts w:hint="eastAsia" w:ascii="宋体" w:hAnsi="宋体" w:cs="宋体"/>
          <w:sz w:val="24"/>
          <w:highlight w:val="none"/>
          <w:u w:val="single"/>
        </w:rPr>
        <w:t>北京市西城区新街口外大街8号金丰和商务苑C座607室</w:t>
      </w:r>
    </w:p>
    <w:p>
      <w:pPr>
        <w:spacing w:line="360" w:lineRule="auto"/>
        <w:ind w:firstLine="720" w:firstLineChars="300"/>
        <w:rPr>
          <w:rFonts w:hint="eastAsia" w:ascii="宋体" w:hAnsi="宋体" w:cs="宋体"/>
          <w:sz w:val="24"/>
          <w:highlight w:val="none"/>
          <w:u w:val="single"/>
        </w:rPr>
      </w:pPr>
      <w:r>
        <w:rPr>
          <w:rFonts w:hint="eastAsia" w:ascii="宋体" w:hAnsi="宋体" w:cs="宋体"/>
          <w:sz w:val="24"/>
          <w:highlight w:val="none"/>
        </w:rPr>
        <w:t>联系方式：</w:t>
      </w:r>
      <w:bookmarkStart w:id="29" w:name="_Toc28359010"/>
      <w:bookmarkStart w:id="30" w:name="_Toc28359087"/>
      <w:r>
        <w:rPr>
          <w:rFonts w:hint="eastAsia" w:ascii="宋体" w:hAnsi="宋体" w:cs="宋体"/>
          <w:sz w:val="24"/>
          <w:highlight w:val="none"/>
          <w:u w:val="single"/>
          <w:lang w:eastAsia="zh-CN"/>
        </w:rPr>
        <w:t>刘雅彤</w:t>
      </w:r>
      <w:r>
        <w:rPr>
          <w:rFonts w:hint="eastAsia" w:ascii="宋体" w:hAnsi="宋体" w:cs="宋体"/>
          <w:sz w:val="24"/>
          <w:highlight w:val="none"/>
          <w:u w:val="single"/>
        </w:rPr>
        <w:t>/15601312135</w:t>
      </w:r>
    </w:p>
    <w:p>
      <w:pPr>
        <w:spacing w:line="360" w:lineRule="auto"/>
        <w:ind w:firstLine="720" w:firstLineChars="300"/>
        <w:rPr>
          <w:rFonts w:hint="eastAsia" w:ascii="宋体" w:hAnsi="宋体" w:cs="宋体"/>
          <w:sz w:val="24"/>
          <w:highlight w:val="none"/>
        </w:rPr>
      </w:pPr>
      <w:r>
        <w:rPr>
          <w:rFonts w:hint="eastAsia" w:ascii="宋体" w:hAnsi="宋体" w:cs="宋体"/>
          <w:sz w:val="24"/>
          <w:highlight w:val="none"/>
        </w:rPr>
        <w:t>3.项目联系方式</w:t>
      </w:r>
      <w:bookmarkEnd w:id="29"/>
      <w:bookmarkEnd w:id="30"/>
    </w:p>
    <w:p>
      <w:pPr>
        <w:spacing w:line="360" w:lineRule="auto"/>
        <w:ind w:firstLine="720" w:firstLineChars="300"/>
        <w:rPr>
          <w:rFonts w:hint="eastAsia" w:ascii="宋体" w:hAnsi="宋体" w:eastAsia="宋体" w:cs="宋体"/>
          <w:sz w:val="24"/>
          <w:highlight w:val="none"/>
          <w:lang w:eastAsia="zh-CN"/>
        </w:rPr>
      </w:pPr>
      <w:r>
        <w:rPr>
          <w:rFonts w:hint="eastAsia" w:ascii="宋体" w:hAnsi="宋体" w:cs="宋体"/>
          <w:sz w:val="24"/>
          <w:highlight w:val="none"/>
        </w:rPr>
        <w:t>项目联系人：</w:t>
      </w:r>
      <w:r>
        <w:rPr>
          <w:rFonts w:hint="eastAsia" w:ascii="宋体" w:hAnsi="宋体" w:cs="宋体"/>
          <w:sz w:val="24"/>
          <w:highlight w:val="none"/>
          <w:u w:val="single"/>
          <w:lang w:eastAsia="zh-CN"/>
        </w:rPr>
        <w:t>刘雅彤</w:t>
      </w:r>
    </w:p>
    <w:p>
      <w:pPr>
        <w:spacing w:line="360" w:lineRule="auto"/>
        <w:ind w:firstLine="720" w:firstLineChars="300"/>
        <w:rPr>
          <w:rFonts w:hint="eastAsia" w:ascii="宋体" w:hAnsi="宋体" w:cs="宋体"/>
          <w:sz w:val="24"/>
          <w:highlight w:val="none"/>
          <w:u w:val="single"/>
        </w:rPr>
      </w:pPr>
      <w:r>
        <w:rPr>
          <w:rFonts w:hint="eastAsia" w:ascii="宋体" w:hAnsi="宋体" w:cs="宋体"/>
          <w:sz w:val="24"/>
          <w:highlight w:val="none"/>
        </w:rPr>
        <w:t>电　话：</w:t>
      </w:r>
      <w:r>
        <w:rPr>
          <w:rFonts w:hint="eastAsia" w:ascii="宋体" w:hAnsi="宋体" w:cs="宋体"/>
          <w:sz w:val="24"/>
          <w:highlight w:val="none"/>
          <w:u w:val="single"/>
        </w:rPr>
        <w:t>15601312135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B616D"/>
    <w:multiLevelType w:val="singleLevel"/>
    <w:tmpl w:val="3ACB61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60C6E"/>
    <w:rsid w:val="3D560C6E"/>
    <w:rsid w:val="63A91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0"/>
    </w:rPr>
  </w:style>
  <w:style w:type="paragraph" w:styleId="5">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2022-05-16T08:52:00Z</dcterms:created>
  <dc:creator>吉</dc:creator>
  <cp:lastModifiedBy>吉</cp:lastModifiedBy>
  <dcterms:modified xsi:type="dcterms:W3CDTF">2022-05-16T09:17:49Z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B73E250791D94A7EB79D1F5E4B658B4E</vt:lpwstr>
  </property>
</Properties>
</file>