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outlineLvl w:val="0"/>
        <w:rPr>
          <w:rFonts w:hint="default" w:ascii="Times New Roman" w:hAnsi="Times New Roman" w:eastAsia="仿宋" w:cs="Times New Roman"/>
          <w:b/>
          <w:bCs/>
          <w:sz w:val="28"/>
          <w:szCs w:val="28"/>
        </w:rPr>
      </w:pPr>
      <w:bookmarkStart w:id="0" w:name="_Toc399769483"/>
      <w:bookmarkStart w:id="1" w:name="_Toc31460"/>
      <w:bookmarkStart w:id="2" w:name="_Toc73427775"/>
      <w:bookmarkStart w:id="3" w:name="_Toc495677413"/>
      <w:bookmarkStart w:id="4" w:name="_Toc37675290"/>
      <w:bookmarkStart w:id="5" w:name="_Toc10917"/>
      <w:bookmarkStart w:id="6" w:name="_Toc87063333"/>
      <w:r>
        <w:rPr>
          <w:rFonts w:hint="default" w:ascii="Times New Roman" w:hAnsi="Times New Roman" w:eastAsia="仿宋" w:cs="Times New Roman"/>
          <w:b/>
          <w:bCs/>
          <w:sz w:val="28"/>
          <w:szCs w:val="28"/>
        </w:rPr>
        <w:t>中心亦庄检验站建设、技改和科技冬奥项目配套设备购置安全用仪器采购项目（第8、10包）</w:t>
      </w:r>
      <w:r>
        <w:rPr>
          <w:rFonts w:hint="eastAsia" w:eastAsia="仿宋" w:cs="Times New Roman"/>
          <w:b/>
          <w:bCs/>
          <w:sz w:val="28"/>
          <w:szCs w:val="28"/>
          <w:lang w:val="en-US" w:eastAsia="zh-CN"/>
        </w:rPr>
        <w:t>招标公告</w:t>
      </w:r>
      <w:bookmarkEnd w:id="0"/>
      <w:bookmarkEnd w:id="1"/>
      <w:bookmarkEnd w:id="2"/>
      <w:bookmarkEnd w:id="3"/>
      <w:bookmarkEnd w:id="4"/>
      <w:bookmarkEnd w:id="5"/>
      <w:bookmarkEnd w:id="6"/>
    </w:p>
    <w:p>
      <w:pPr>
        <w:pBdr>
          <w:top w:val="single" w:color="auto" w:sz="4" w:space="1"/>
          <w:left w:val="single" w:color="auto" w:sz="4" w:space="4"/>
          <w:bottom w:val="single" w:color="auto" w:sz="4" w:space="1"/>
          <w:right w:val="single" w:color="auto" w:sz="4" w:space="4"/>
        </w:pBdr>
        <w:spacing w:line="360" w:lineRule="auto"/>
        <w:ind w:firstLine="482" w:firstLineChars="200"/>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u w:val="single"/>
        </w:rPr>
        <w:t>中心亦庄检验站建设、技改和科技冬奥项目配套设备购置安全用仪器采购项目（第8、10包）</w:t>
      </w:r>
      <w:r>
        <w:rPr>
          <w:rFonts w:hint="default" w:ascii="Times New Roman" w:hAnsi="Times New Roman" w:eastAsia="仿宋" w:cs="Times New Roman"/>
          <w:sz w:val="24"/>
          <w:szCs w:val="24"/>
        </w:rPr>
        <w:t>的潜在投标人应在按照规定办理CA数字认证证书（北京一证通数字证书）后，自招标公告发布之日起持投标人自身数字证书登录北京市政府采购电子交易平台（http://zbcg-bjzc.zhongcy.cn/bjczj-portal-site/index.html）免费获取电子版招标文件，并于</w:t>
      </w:r>
      <w:r>
        <w:rPr>
          <w:rFonts w:hint="default" w:ascii="Times New Roman" w:hAnsi="Times New Roman" w:eastAsia="仿宋" w:cs="Times New Roman"/>
          <w:color w:val="auto"/>
          <w:sz w:val="24"/>
          <w:szCs w:val="24"/>
          <w:u w:val="single"/>
        </w:rPr>
        <w:t>2021年</w:t>
      </w:r>
      <w:bookmarkStart w:id="7" w:name="_Hlk89287658"/>
      <w:r>
        <w:rPr>
          <w:rFonts w:hint="default" w:ascii="Times New Roman" w:hAnsi="Times New Roman" w:eastAsia="仿宋" w:cs="Times New Roman"/>
          <w:color w:val="auto"/>
          <w:sz w:val="24"/>
          <w:szCs w:val="24"/>
          <w:u w:val="single"/>
        </w:rPr>
        <w:t>12月24日9时30分</w:t>
      </w:r>
      <w:bookmarkEnd w:id="7"/>
      <w:r>
        <w:rPr>
          <w:rFonts w:hint="default" w:ascii="Times New Roman" w:hAnsi="Times New Roman" w:eastAsia="仿宋" w:cs="Times New Roman"/>
          <w:bCs/>
          <w:sz w:val="24"/>
          <w:szCs w:val="24"/>
        </w:rPr>
        <w:t>（北京时间）前递交投标文件</w:t>
      </w:r>
      <w:r>
        <w:rPr>
          <w:rFonts w:hint="default" w:ascii="Times New Roman" w:hAnsi="Times New Roman" w:eastAsia="仿宋" w:cs="Times New Roman"/>
          <w:sz w:val="24"/>
          <w:szCs w:val="24"/>
        </w:rPr>
        <w:t>。</w:t>
      </w:r>
    </w:p>
    <w:p>
      <w:pPr>
        <w:spacing w:line="360" w:lineRule="auto"/>
        <w:rPr>
          <w:rFonts w:hint="default" w:ascii="Times New Roman" w:hAnsi="Times New Roman" w:eastAsia="仿宋" w:cs="Times New Roman"/>
          <w:sz w:val="24"/>
          <w:szCs w:val="24"/>
        </w:rPr>
      </w:pPr>
    </w:p>
    <w:p>
      <w:pPr>
        <w:pStyle w:val="2"/>
        <w:spacing w:before="0" w:after="0" w:line="360" w:lineRule="auto"/>
        <w:rPr>
          <w:rFonts w:hint="default" w:ascii="Times New Roman" w:hAnsi="Times New Roman" w:eastAsia="仿宋" w:cs="Times New Roman"/>
          <w:bCs w:val="0"/>
          <w:sz w:val="24"/>
          <w:szCs w:val="24"/>
        </w:rPr>
      </w:pPr>
      <w:bookmarkStart w:id="8" w:name="_Toc35393621"/>
      <w:bookmarkStart w:id="9" w:name="_Toc35393790"/>
      <w:bookmarkStart w:id="10" w:name="_Toc7334"/>
      <w:bookmarkStart w:id="11" w:name="_Toc3820"/>
      <w:bookmarkStart w:id="12" w:name="_Toc28359002"/>
      <w:bookmarkStart w:id="13" w:name="_Toc28359079"/>
      <w:bookmarkStart w:id="14" w:name="_Hlk24379207"/>
      <w:r>
        <w:rPr>
          <w:rFonts w:hint="default" w:ascii="Times New Roman" w:hAnsi="Times New Roman" w:eastAsia="仿宋" w:cs="Times New Roman"/>
          <w:bCs w:val="0"/>
          <w:sz w:val="24"/>
          <w:szCs w:val="24"/>
        </w:rPr>
        <w:t>一、项目基本情况</w:t>
      </w:r>
      <w:bookmarkEnd w:id="8"/>
      <w:bookmarkEnd w:id="9"/>
      <w:bookmarkEnd w:id="10"/>
      <w:bookmarkEnd w:id="11"/>
      <w:bookmarkEnd w:id="12"/>
      <w:bookmarkEnd w:id="13"/>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项目编号：BJJQ-2021-967</w:t>
      </w:r>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项目名称：中心亦庄检验站建设、技改和科技冬奥项目配套设备购置安全用仪器采购项目（第8、10包）</w:t>
      </w:r>
    </w:p>
    <w:bookmarkEnd w:id="14"/>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预算金额：</w:t>
      </w:r>
      <w:bookmarkStart w:id="15" w:name="_Hlk88040887"/>
      <w:r>
        <w:rPr>
          <w:rFonts w:hint="default" w:ascii="Times New Roman" w:hAnsi="Times New Roman" w:eastAsia="仿宋" w:cs="Times New Roman"/>
          <w:sz w:val="24"/>
          <w:szCs w:val="24"/>
        </w:rPr>
        <w:t>人民币668.509772万元</w:t>
      </w:r>
      <w:bookmarkEnd w:id="15"/>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采购需求：为</w:t>
      </w:r>
      <w:bookmarkStart w:id="16" w:name="_Hlk89287616"/>
      <w:r>
        <w:rPr>
          <w:rFonts w:hint="default" w:ascii="Times New Roman" w:hAnsi="Times New Roman" w:eastAsia="仿宋" w:cs="Times New Roman"/>
          <w:sz w:val="24"/>
          <w:szCs w:val="24"/>
        </w:rPr>
        <w:t>中心亦庄检验站建设、技改和科技冬奥项目配套设备购置安全用仪器采购项目</w:t>
      </w:r>
      <w:bookmarkEnd w:id="16"/>
      <w:r>
        <w:rPr>
          <w:rFonts w:hint="default" w:ascii="Times New Roman" w:hAnsi="Times New Roman" w:eastAsia="仿宋" w:cs="Times New Roman"/>
          <w:sz w:val="24"/>
          <w:szCs w:val="24"/>
        </w:rPr>
        <w:t>提供优质的产品和服务。</w:t>
      </w:r>
    </w:p>
    <w:tbl>
      <w:tblPr>
        <w:tblStyle w:val="5"/>
        <w:tblW w:w="10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1388"/>
        <w:gridCol w:w="2681"/>
        <w:gridCol w:w="751"/>
        <w:gridCol w:w="1273"/>
        <w:gridCol w:w="1394"/>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8" w:type="dxa"/>
            <w:vAlign w:val="center"/>
          </w:tcPr>
          <w:p>
            <w:pPr>
              <w:spacing w:line="360" w:lineRule="auto"/>
              <w:jc w:val="center"/>
              <w:rPr>
                <w:rFonts w:hint="default" w:ascii="Times New Roman" w:hAnsi="Times New Roman" w:eastAsia="仿宋" w:cs="Times New Roman"/>
                <w:b/>
                <w:bCs/>
                <w:sz w:val="24"/>
                <w:szCs w:val="24"/>
              </w:rPr>
            </w:pPr>
            <w:bookmarkStart w:id="17" w:name="_Hlk88040892"/>
            <w:r>
              <w:rPr>
                <w:rFonts w:hint="default" w:ascii="Times New Roman" w:hAnsi="Times New Roman" w:eastAsia="仿宋" w:cs="Times New Roman"/>
                <w:b/>
                <w:bCs/>
                <w:sz w:val="24"/>
                <w:szCs w:val="24"/>
              </w:rPr>
              <w:t>分包号</w:t>
            </w:r>
          </w:p>
        </w:tc>
        <w:tc>
          <w:tcPr>
            <w:tcW w:w="1388" w:type="dxa"/>
            <w:vAlign w:val="center"/>
          </w:tcPr>
          <w:p>
            <w:pPr>
              <w:spacing w:line="360" w:lineRule="auto"/>
              <w:jc w:val="center"/>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分包项目编号</w:t>
            </w:r>
          </w:p>
        </w:tc>
        <w:tc>
          <w:tcPr>
            <w:tcW w:w="2681" w:type="dxa"/>
            <w:vAlign w:val="center"/>
          </w:tcPr>
          <w:p>
            <w:pPr>
              <w:spacing w:line="360" w:lineRule="auto"/>
              <w:jc w:val="center"/>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标的名称</w:t>
            </w:r>
          </w:p>
        </w:tc>
        <w:tc>
          <w:tcPr>
            <w:tcW w:w="751" w:type="dxa"/>
            <w:vAlign w:val="center"/>
          </w:tcPr>
          <w:p>
            <w:pPr>
              <w:spacing w:line="360" w:lineRule="auto"/>
              <w:jc w:val="center"/>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数量</w:t>
            </w:r>
          </w:p>
        </w:tc>
        <w:tc>
          <w:tcPr>
            <w:tcW w:w="1273" w:type="dxa"/>
            <w:vAlign w:val="center"/>
          </w:tcPr>
          <w:p>
            <w:pPr>
              <w:spacing w:line="360" w:lineRule="auto"/>
              <w:jc w:val="center"/>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是否允许采购进口产品</w:t>
            </w:r>
          </w:p>
        </w:tc>
        <w:tc>
          <w:tcPr>
            <w:tcW w:w="1394" w:type="dxa"/>
            <w:vAlign w:val="center"/>
          </w:tcPr>
          <w:p>
            <w:pPr>
              <w:spacing w:line="360" w:lineRule="auto"/>
              <w:jc w:val="center"/>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简要技术规格或服务要求</w:t>
            </w:r>
          </w:p>
        </w:tc>
        <w:tc>
          <w:tcPr>
            <w:tcW w:w="1481" w:type="dxa"/>
            <w:vAlign w:val="center"/>
          </w:tcPr>
          <w:p>
            <w:pPr>
              <w:spacing w:line="360" w:lineRule="auto"/>
              <w:jc w:val="center"/>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分包预算</w:t>
            </w:r>
          </w:p>
          <w:p>
            <w:pPr>
              <w:spacing w:line="360" w:lineRule="auto"/>
              <w:jc w:val="center"/>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金额</w:t>
            </w:r>
          </w:p>
          <w:p>
            <w:pPr>
              <w:spacing w:line="360" w:lineRule="auto"/>
              <w:jc w:val="center"/>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8" w:type="dxa"/>
            <w:vMerge w:val="restart"/>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第8包</w:t>
            </w:r>
          </w:p>
        </w:tc>
        <w:tc>
          <w:tcPr>
            <w:tcW w:w="1388" w:type="dxa"/>
            <w:vMerge w:val="restart"/>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BJJQ-2021-967-08</w:t>
            </w:r>
          </w:p>
        </w:tc>
        <w:tc>
          <w:tcPr>
            <w:tcW w:w="2681" w:type="dxa"/>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b/>
                <w:bCs/>
                <w:sz w:val="24"/>
                <w:szCs w:val="24"/>
              </w:rPr>
              <w:t>便携式溶解氧分析仪（核心产品）</w:t>
            </w:r>
          </w:p>
        </w:tc>
        <w:tc>
          <w:tcPr>
            <w:tcW w:w="751" w:type="dxa"/>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4台</w:t>
            </w:r>
          </w:p>
        </w:tc>
        <w:tc>
          <w:tcPr>
            <w:tcW w:w="1273" w:type="dxa"/>
            <w:vMerge w:val="restart"/>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否</w:t>
            </w:r>
          </w:p>
        </w:tc>
        <w:tc>
          <w:tcPr>
            <w:tcW w:w="1394" w:type="dxa"/>
            <w:vMerge w:val="restart"/>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详见招标文件第四章采购需求</w:t>
            </w:r>
          </w:p>
        </w:tc>
        <w:tc>
          <w:tcPr>
            <w:tcW w:w="1481" w:type="dxa"/>
            <w:vMerge w:val="restart"/>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56.703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8" w:type="dxa"/>
            <w:vMerge w:val="continue"/>
            <w:vAlign w:val="center"/>
          </w:tcPr>
          <w:p>
            <w:pPr>
              <w:spacing w:line="360" w:lineRule="auto"/>
              <w:jc w:val="center"/>
              <w:rPr>
                <w:rFonts w:hint="default" w:ascii="Times New Roman" w:hAnsi="Times New Roman" w:eastAsia="仿宋" w:cs="Times New Roman"/>
                <w:sz w:val="24"/>
                <w:szCs w:val="24"/>
              </w:rPr>
            </w:pPr>
          </w:p>
        </w:tc>
        <w:tc>
          <w:tcPr>
            <w:tcW w:w="1388" w:type="dxa"/>
            <w:vMerge w:val="continue"/>
            <w:vAlign w:val="center"/>
          </w:tcPr>
          <w:p>
            <w:pPr>
              <w:spacing w:line="360" w:lineRule="auto"/>
              <w:jc w:val="center"/>
              <w:rPr>
                <w:rFonts w:hint="default" w:ascii="Times New Roman" w:hAnsi="Times New Roman" w:eastAsia="仿宋" w:cs="Times New Roman"/>
                <w:sz w:val="24"/>
                <w:szCs w:val="24"/>
              </w:rPr>
            </w:pPr>
          </w:p>
        </w:tc>
        <w:tc>
          <w:tcPr>
            <w:tcW w:w="2681" w:type="dxa"/>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台式钠度计</w:t>
            </w:r>
          </w:p>
        </w:tc>
        <w:tc>
          <w:tcPr>
            <w:tcW w:w="751" w:type="dxa"/>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3台</w:t>
            </w:r>
          </w:p>
        </w:tc>
        <w:tc>
          <w:tcPr>
            <w:tcW w:w="1273" w:type="dxa"/>
            <w:vMerge w:val="continue"/>
            <w:vAlign w:val="center"/>
          </w:tcPr>
          <w:p>
            <w:pPr>
              <w:spacing w:line="360" w:lineRule="auto"/>
              <w:jc w:val="center"/>
              <w:rPr>
                <w:rFonts w:hint="default" w:ascii="Times New Roman" w:hAnsi="Times New Roman" w:eastAsia="仿宋" w:cs="Times New Roman"/>
                <w:sz w:val="24"/>
                <w:szCs w:val="24"/>
              </w:rPr>
            </w:pPr>
          </w:p>
        </w:tc>
        <w:tc>
          <w:tcPr>
            <w:tcW w:w="1394" w:type="dxa"/>
            <w:vMerge w:val="continue"/>
            <w:vAlign w:val="center"/>
          </w:tcPr>
          <w:p>
            <w:pPr>
              <w:spacing w:line="360" w:lineRule="auto"/>
              <w:jc w:val="center"/>
              <w:rPr>
                <w:rFonts w:hint="default" w:ascii="Times New Roman" w:hAnsi="Times New Roman" w:eastAsia="仿宋" w:cs="Times New Roman"/>
                <w:sz w:val="24"/>
                <w:szCs w:val="24"/>
              </w:rPr>
            </w:pPr>
          </w:p>
        </w:tc>
        <w:tc>
          <w:tcPr>
            <w:tcW w:w="1481" w:type="dxa"/>
            <w:vMerge w:val="continue"/>
            <w:vAlign w:val="center"/>
          </w:tcPr>
          <w:p>
            <w:pPr>
              <w:spacing w:line="360" w:lineRule="auto"/>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8" w:type="dxa"/>
            <w:vMerge w:val="continue"/>
            <w:vAlign w:val="center"/>
          </w:tcPr>
          <w:p>
            <w:pPr>
              <w:spacing w:line="360" w:lineRule="auto"/>
              <w:jc w:val="center"/>
              <w:rPr>
                <w:rFonts w:hint="default" w:ascii="Times New Roman" w:hAnsi="Times New Roman" w:eastAsia="仿宋" w:cs="Times New Roman"/>
                <w:sz w:val="24"/>
                <w:szCs w:val="24"/>
              </w:rPr>
            </w:pPr>
          </w:p>
        </w:tc>
        <w:tc>
          <w:tcPr>
            <w:tcW w:w="1388" w:type="dxa"/>
            <w:vMerge w:val="continue"/>
            <w:vAlign w:val="center"/>
          </w:tcPr>
          <w:p>
            <w:pPr>
              <w:spacing w:line="360" w:lineRule="auto"/>
              <w:jc w:val="center"/>
              <w:rPr>
                <w:rFonts w:hint="default" w:ascii="Times New Roman" w:hAnsi="Times New Roman" w:eastAsia="仿宋" w:cs="Times New Roman"/>
                <w:sz w:val="24"/>
                <w:szCs w:val="24"/>
              </w:rPr>
            </w:pPr>
          </w:p>
        </w:tc>
        <w:tc>
          <w:tcPr>
            <w:tcW w:w="2681" w:type="dxa"/>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浊度分析仪</w:t>
            </w:r>
          </w:p>
        </w:tc>
        <w:tc>
          <w:tcPr>
            <w:tcW w:w="751" w:type="dxa"/>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3台</w:t>
            </w:r>
          </w:p>
        </w:tc>
        <w:tc>
          <w:tcPr>
            <w:tcW w:w="1273" w:type="dxa"/>
            <w:vMerge w:val="continue"/>
            <w:vAlign w:val="center"/>
          </w:tcPr>
          <w:p>
            <w:pPr>
              <w:spacing w:line="360" w:lineRule="auto"/>
              <w:jc w:val="center"/>
              <w:rPr>
                <w:rFonts w:hint="default" w:ascii="Times New Roman" w:hAnsi="Times New Roman" w:eastAsia="仿宋" w:cs="Times New Roman"/>
                <w:sz w:val="24"/>
                <w:szCs w:val="24"/>
              </w:rPr>
            </w:pPr>
          </w:p>
        </w:tc>
        <w:tc>
          <w:tcPr>
            <w:tcW w:w="1394" w:type="dxa"/>
            <w:vMerge w:val="continue"/>
            <w:vAlign w:val="center"/>
          </w:tcPr>
          <w:p>
            <w:pPr>
              <w:spacing w:line="360" w:lineRule="auto"/>
              <w:jc w:val="center"/>
              <w:rPr>
                <w:rFonts w:hint="default" w:ascii="Times New Roman" w:hAnsi="Times New Roman" w:eastAsia="仿宋" w:cs="Times New Roman"/>
                <w:sz w:val="24"/>
                <w:szCs w:val="24"/>
              </w:rPr>
            </w:pPr>
          </w:p>
        </w:tc>
        <w:tc>
          <w:tcPr>
            <w:tcW w:w="1481" w:type="dxa"/>
            <w:vMerge w:val="continue"/>
            <w:vAlign w:val="center"/>
          </w:tcPr>
          <w:p>
            <w:pPr>
              <w:spacing w:line="360" w:lineRule="auto"/>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8" w:type="dxa"/>
            <w:vMerge w:val="continue"/>
            <w:vAlign w:val="center"/>
          </w:tcPr>
          <w:p>
            <w:pPr>
              <w:spacing w:line="360" w:lineRule="auto"/>
              <w:jc w:val="center"/>
              <w:rPr>
                <w:rFonts w:hint="default" w:ascii="Times New Roman" w:hAnsi="Times New Roman" w:eastAsia="仿宋" w:cs="Times New Roman"/>
                <w:sz w:val="24"/>
                <w:szCs w:val="24"/>
              </w:rPr>
            </w:pPr>
          </w:p>
        </w:tc>
        <w:tc>
          <w:tcPr>
            <w:tcW w:w="1388" w:type="dxa"/>
            <w:vMerge w:val="continue"/>
            <w:vAlign w:val="center"/>
          </w:tcPr>
          <w:p>
            <w:pPr>
              <w:spacing w:line="360" w:lineRule="auto"/>
              <w:jc w:val="center"/>
              <w:rPr>
                <w:rFonts w:hint="default" w:ascii="Times New Roman" w:hAnsi="Times New Roman" w:eastAsia="仿宋" w:cs="Times New Roman"/>
                <w:sz w:val="24"/>
                <w:szCs w:val="24"/>
              </w:rPr>
            </w:pPr>
          </w:p>
        </w:tc>
        <w:tc>
          <w:tcPr>
            <w:tcW w:w="2681" w:type="dxa"/>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便携式电导率分析仪</w:t>
            </w:r>
          </w:p>
        </w:tc>
        <w:tc>
          <w:tcPr>
            <w:tcW w:w="751" w:type="dxa"/>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1台</w:t>
            </w:r>
          </w:p>
        </w:tc>
        <w:tc>
          <w:tcPr>
            <w:tcW w:w="1273" w:type="dxa"/>
            <w:vMerge w:val="continue"/>
            <w:vAlign w:val="center"/>
          </w:tcPr>
          <w:p>
            <w:pPr>
              <w:spacing w:line="360" w:lineRule="auto"/>
              <w:jc w:val="center"/>
              <w:rPr>
                <w:rFonts w:hint="default" w:ascii="Times New Roman" w:hAnsi="Times New Roman" w:eastAsia="仿宋" w:cs="Times New Roman"/>
                <w:sz w:val="24"/>
                <w:szCs w:val="24"/>
              </w:rPr>
            </w:pPr>
          </w:p>
        </w:tc>
        <w:tc>
          <w:tcPr>
            <w:tcW w:w="1394" w:type="dxa"/>
            <w:vMerge w:val="continue"/>
            <w:vAlign w:val="center"/>
          </w:tcPr>
          <w:p>
            <w:pPr>
              <w:spacing w:line="360" w:lineRule="auto"/>
              <w:jc w:val="center"/>
              <w:rPr>
                <w:rFonts w:hint="default" w:ascii="Times New Roman" w:hAnsi="Times New Roman" w:eastAsia="仿宋" w:cs="Times New Roman"/>
                <w:sz w:val="24"/>
                <w:szCs w:val="24"/>
              </w:rPr>
            </w:pPr>
          </w:p>
        </w:tc>
        <w:tc>
          <w:tcPr>
            <w:tcW w:w="1481" w:type="dxa"/>
            <w:vMerge w:val="continue"/>
            <w:vAlign w:val="center"/>
          </w:tcPr>
          <w:p>
            <w:pPr>
              <w:spacing w:line="360" w:lineRule="auto"/>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8" w:type="dxa"/>
            <w:vMerge w:val="continue"/>
            <w:vAlign w:val="center"/>
          </w:tcPr>
          <w:p>
            <w:pPr>
              <w:spacing w:line="360" w:lineRule="auto"/>
              <w:jc w:val="center"/>
              <w:rPr>
                <w:rFonts w:hint="default" w:ascii="Times New Roman" w:hAnsi="Times New Roman" w:eastAsia="仿宋" w:cs="Times New Roman"/>
                <w:sz w:val="24"/>
                <w:szCs w:val="24"/>
              </w:rPr>
            </w:pPr>
          </w:p>
        </w:tc>
        <w:tc>
          <w:tcPr>
            <w:tcW w:w="1388" w:type="dxa"/>
            <w:vMerge w:val="continue"/>
            <w:vAlign w:val="center"/>
          </w:tcPr>
          <w:p>
            <w:pPr>
              <w:spacing w:line="360" w:lineRule="auto"/>
              <w:jc w:val="center"/>
              <w:rPr>
                <w:rFonts w:hint="default" w:ascii="Times New Roman" w:hAnsi="Times New Roman" w:eastAsia="仿宋" w:cs="Times New Roman"/>
                <w:sz w:val="24"/>
                <w:szCs w:val="24"/>
              </w:rPr>
            </w:pPr>
          </w:p>
        </w:tc>
        <w:tc>
          <w:tcPr>
            <w:tcW w:w="2681" w:type="dxa"/>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全不锈钢离子交换柱</w:t>
            </w:r>
          </w:p>
        </w:tc>
        <w:tc>
          <w:tcPr>
            <w:tcW w:w="751" w:type="dxa"/>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1根</w:t>
            </w:r>
          </w:p>
        </w:tc>
        <w:tc>
          <w:tcPr>
            <w:tcW w:w="1273" w:type="dxa"/>
            <w:vMerge w:val="continue"/>
            <w:vAlign w:val="center"/>
          </w:tcPr>
          <w:p>
            <w:pPr>
              <w:spacing w:line="360" w:lineRule="auto"/>
              <w:jc w:val="center"/>
              <w:rPr>
                <w:rFonts w:hint="default" w:ascii="Times New Roman" w:hAnsi="Times New Roman" w:eastAsia="仿宋" w:cs="Times New Roman"/>
                <w:sz w:val="24"/>
                <w:szCs w:val="24"/>
              </w:rPr>
            </w:pPr>
          </w:p>
        </w:tc>
        <w:tc>
          <w:tcPr>
            <w:tcW w:w="1394" w:type="dxa"/>
            <w:vMerge w:val="continue"/>
            <w:vAlign w:val="center"/>
          </w:tcPr>
          <w:p>
            <w:pPr>
              <w:spacing w:line="360" w:lineRule="auto"/>
              <w:jc w:val="center"/>
              <w:rPr>
                <w:rFonts w:hint="default" w:ascii="Times New Roman" w:hAnsi="Times New Roman" w:eastAsia="仿宋" w:cs="Times New Roman"/>
                <w:sz w:val="24"/>
                <w:szCs w:val="24"/>
              </w:rPr>
            </w:pPr>
          </w:p>
        </w:tc>
        <w:tc>
          <w:tcPr>
            <w:tcW w:w="1481" w:type="dxa"/>
            <w:vMerge w:val="continue"/>
            <w:vAlign w:val="center"/>
          </w:tcPr>
          <w:p>
            <w:pPr>
              <w:spacing w:line="360" w:lineRule="auto"/>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8" w:type="dxa"/>
            <w:vMerge w:val="continue"/>
            <w:vAlign w:val="center"/>
          </w:tcPr>
          <w:p>
            <w:pPr>
              <w:spacing w:line="360" w:lineRule="auto"/>
              <w:jc w:val="center"/>
              <w:rPr>
                <w:rFonts w:hint="default" w:ascii="Times New Roman" w:hAnsi="Times New Roman" w:eastAsia="仿宋" w:cs="Times New Roman"/>
                <w:sz w:val="24"/>
                <w:szCs w:val="24"/>
              </w:rPr>
            </w:pPr>
          </w:p>
        </w:tc>
        <w:tc>
          <w:tcPr>
            <w:tcW w:w="1388" w:type="dxa"/>
            <w:vMerge w:val="continue"/>
            <w:vAlign w:val="center"/>
          </w:tcPr>
          <w:p>
            <w:pPr>
              <w:spacing w:line="360" w:lineRule="auto"/>
              <w:jc w:val="center"/>
              <w:rPr>
                <w:rFonts w:hint="default" w:ascii="Times New Roman" w:hAnsi="Times New Roman" w:eastAsia="仿宋" w:cs="Times New Roman"/>
                <w:sz w:val="24"/>
                <w:szCs w:val="24"/>
              </w:rPr>
            </w:pPr>
          </w:p>
        </w:tc>
        <w:tc>
          <w:tcPr>
            <w:tcW w:w="2681" w:type="dxa"/>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台式ph计</w:t>
            </w:r>
          </w:p>
        </w:tc>
        <w:tc>
          <w:tcPr>
            <w:tcW w:w="751" w:type="dxa"/>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3台</w:t>
            </w:r>
          </w:p>
        </w:tc>
        <w:tc>
          <w:tcPr>
            <w:tcW w:w="1273" w:type="dxa"/>
            <w:vMerge w:val="continue"/>
            <w:vAlign w:val="center"/>
          </w:tcPr>
          <w:p>
            <w:pPr>
              <w:spacing w:line="360" w:lineRule="auto"/>
              <w:jc w:val="center"/>
              <w:rPr>
                <w:rFonts w:hint="default" w:ascii="Times New Roman" w:hAnsi="Times New Roman" w:eastAsia="仿宋" w:cs="Times New Roman"/>
                <w:sz w:val="24"/>
                <w:szCs w:val="24"/>
              </w:rPr>
            </w:pPr>
          </w:p>
        </w:tc>
        <w:tc>
          <w:tcPr>
            <w:tcW w:w="1394" w:type="dxa"/>
            <w:vMerge w:val="continue"/>
            <w:vAlign w:val="center"/>
          </w:tcPr>
          <w:p>
            <w:pPr>
              <w:spacing w:line="360" w:lineRule="auto"/>
              <w:jc w:val="center"/>
              <w:rPr>
                <w:rFonts w:hint="default" w:ascii="Times New Roman" w:hAnsi="Times New Roman" w:eastAsia="仿宋" w:cs="Times New Roman"/>
                <w:sz w:val="24"/>
                <w:szCs w:val="24"/>
              </w:rPr>
            </w:pPr>
          </w:p>
        </w:tc>
        <w:tc>
          <w:tcPr>
            <w:tcW w:w="1481" w:type="dxa"/>
            <w:vMerge w:val="continue"/>
            <w:vAlign w:val="center"/>
          </w:tcPr>
          <w:p>
            <w:pPr>
              <w:spacing w:line="360" w:lineRule="auto"/>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8" w:type="dxa"/>
            <w:vMerge w:val="continue"/>
            <w:vAlign w:val="center"/>
          </w:tcPr>
          <w:p>
            <w:pPr>
              <w:spacing w:line="360" w:lineRule="auto"/>
              <w:jc w:val="center"/>
              <w:rPr>
                <w:rFonts w:hint="default" w:ascii="Times New Roman" w:hAnsi="Times New Roman" w:eastAsia="仿宋" w:cs="Times New Roman"/>
                <w:sz w:val="24"/>
                <w:szCs w:val="24"/>
              </w:rPr>
            </w:pPr>
          </w:p>
        </w:tc>
        <w:tc>
          <w:tcPr>
            <w:tcW w:w="1388" w:type="dxa"/>
            <w:vMerge w:val="continue"/>
            <w:vAlign w:val="center"/>
          </w:tcPr>
          <w:p>
            <w:pPr>
              <w:spacing w:line="360" w:lineRule="auto"/>
              <w:jc w:val="center"/>
              <w:rPr>
                <w:rFonts w:hint="default" w:ascii="Times New Roman" w:hAnsi="Times New Roman" w:eastAsia="仿宋" w:cs="Times New Roman"/>
                <w:sz w:val="24"/>
                <w:szCs w:val="24"/>
              </w:rPr>
            </w:pPr>
          </w:p>
        </w:tc>
        <w:tc>
          <w:tcPr>
            <w:tcW w:w="2681" w:type="dxa"/>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台式电导率仪</w:t>
            </w:r>
          </w:p>
        </w:tc>
        <w:tc>
          <w:tcPr>
            <w:tcW w:w="751" w:type="dxa"/>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3台</w:t>
            </w:r>
          </w:p>
        </w:tc>
        <w:tc>
          <w:tcPr>
            <w:tcW w:w="1273" w:type="dxa"/>
            <w:vMerge w:val="continue"/>
            <w:vAlign w:val="center"/>
          </w:tcPr>
          <w:p>
            <w:pPr>
              <w:spacing w:line="360" w:lineRule="auto"/>
              <w:jc w:val="center"/>
              <w:rPr>
                <w:rFonts w:hint="default" w:ascii="Times New Roman" w:hAnsi="Times New Roman" w:eastAsia="仿宋" w:cs="Times New Roman"/>
                <w:sz w:val="24"/>
                <w:szCs w:val="24"/>
              </w:rPr>
            </w:pPr>
          </w:p>
        </w:tc>
        <w:tc>
          <w:tcPr>
            <w:tcW w:w="1394" w:type="dxa"/>
            <w:vMerge w:val="continue"/>
            <w:vAlign w:val="center"/>
          </w:tcPr>
          <w:p>
            <w:pPr>
              <w:spacing w:line="360" w:lineRule="auto"/>
              <w:jc w:val="center"/>
              <w:rPr>
                <w:rFonts w:hint="default" w:ascii="Times New Roman" w:hAnsi="Times New Roman" w:eastAsia="仿宋" w:cs="Times New Roman"/>
                <w:sz w:val="24"/>
                <w:szCs w:val="24"/>
              </w:rPr>
            </w:pPr>
          </w:p>
        </w:tc>
        <w:tc>
          <w:tcPr>
            <w:tcW w:w="1481" w:type="dxa"/>
            <w:vMerge w:val="continue"/>
            <w:vAlign w:val="center"/>
          </w:tcPr>
          <w:p>
            <w:pPr>
              <w:spacing w:line="360" w:lineRule="auto"/>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8" w:type="dxa"/>
            <w:vMerge w:val="continue"/>
            <w:vAlign w:val="center"/>
          </w:tcPr>
          <w:p>
            <w:pPr>
              <w:spacing w:line="360" w:lineRule="auto"/>
              <w:jc w:val="center"/>
              <w:rPr>
                <w:rFonts w:hint="default" w:ascii="Times New Roman" w:hAnsi="Times New Roman" w:eastAsia="仿宋" w:cs="Times New Roman"/>
                <w:sz w:val="24"/>
                <w:szCs w:val="24"/>
              </w:rPr>
            </w:pPr>
          </w:p>
        </w:tc>
        <w:tc>
          <w:tcPr>
            <w:tcW w:w="1388" w:type="dxa"/>
            <w:vMerge w:val="continue"/>
            <w:vAlign w:val="center"/>
          </w:tcPr>
          <w:p>
            <w:pPr>
              <w:spacing w:line="360" w:lineRule="auto"/>
              <w:jc w:val="center"/>
              <w:rPr>
                <w:rFonts w:hint="default" w:ascii="Times New Roman" w:hAnsi="Times New Roman" w:eastAsia="仿宋" w:cs="Times New Roman"/>
                <w:sz w:val="24"/>
                <w:szCs w:val="24"/>
              </w:rPr>
            </w:pPr>
          </w:p>
        </w:tc>
        <w:tc>
          <w:tcPr>
            <w:tcW w:w="2681" w:type="dxa"/>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纯水机</w:t>
            </w:r>
          </w:p>
        </w:tc>
        <w:tc>
          <w:tcPr>
            <w:tcW w:w="751" w:type="dxa"/>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2台</w:t>
            </w:r>
          </w:p>
        </w:tc>
        <w:tc>
          <w:tcPr>
            <w:tcW w:w="1273" w:type="dxa"/>
            <w:vMerge w:val="continue"/>
            <w:vAlign w:val="center"/>
          </w:tcPr>
          <w:p>
            <w:pPr>
              <w:spacing w:line="360" w:lineRule="auto"/>
              <w:jc w:val="center"/>
              <w:rPr>
                <w:rFonts w:hint="default" w:ascii="Times New Roman" w:hAnsi="Times New Roman" w:eastAsia="仿宋" w:cs="Times New Roman"/>
                <w:sz w:val="24"/>
                <w:szCs w:val="24"/>
              </w:rPr>
            </w:pPr>
          </w:p>
        </w:tc>
        <w:tc>
          <w:tcPr>
            <w:tcW w:w="1394" w:type="dxa"/>
            <w:vMerge w:val="continue"/>
            <w:vAlign w:val="center"/>
          </w:tcPr>
          <w:p>
            <w:pPr>
              <w:spacing w:line="360" w:lineRule="auto"/>
              <w:jc w:val="center"/>
              <w:rPr>
                <w:rFonts w:hint="default" w:ascii="Times New Roman" w:hAnsi="Times New Roman" w:eastAsia="仿宋" w:cs="Times New Roman"/>
                <w:sz w:val="24"/>
                <w:szCs w:val="24"/>
              </w:rPr>
            </w:pPr>
          </w:p>
        </w:tc>
        <w:tc>
          <w:tcPr>
            <w:tcW w:w="1481" w:type="dxa"/>
            <w:vMerge w:val="continue"/>
            <w:vAlign w:val="center"/>
          </w:tcPr>
          <w:p>
            <w:pPr>
              <w:spacing w:line="360" w:lineRule="auto"/>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8" w:type="dxa"/>
            <w:vMerge w:val="continue"/>
            <w:vAlign w:val="center"/>
          </w:tcPr>
          <w:p>
            <w:pPr>
              <w:spacing w:line="360" w:lineRule="auto"/>
              <w:jc w:val="center"/>
              <w:rPr>
                <w:rFonts w:hint="default" w:ascii="Times New Roman" w:hAnsi="Times New Roman" w:eastAsia="仿宋" w:cs="Times New Roman"/>
                <w:sz w:val="24"/>
                <w:szCs w:val="24"/>
              </w:rPr>
            </w:pPr>
          </w:p>
        </w:tc>
        <w:tc>
          <w:tcPr>
            <w:tcW w:w="1388" w:type="dxa"/>
            <w:vMerge w:val="continue"/>
            <w:vAlign w:val="center"/>
          </w:tcPr>
          <w:p>
            <w:pPr>
              <w:spacing w:line="360" w:lineRule="auto"/>
              <w:jc w:val="center"/>
              <w:rPr>
                <w:rFonts w:hint="default" w:ascii="Times New Roman" w:hAnsi="Times New Roman" w:eastAsia="仿宋" w:cs="Times New Roman"/>
                <w:sz w:val="24"/>
                <w:szCs w:val="24"/>
              </w:rPr>
            </w:pPr>
          </w:p>
        </w:tc>
        <w:tc>
          <w:tcPr>
            <w:tcW w:w="2681" w:type="dxa"/>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铁含量分析仪</w:t>
            </w:r>
          </w:p>
        </w:tc>
        <w:tc>
          <w:tcPr>
            <w:tcW w:w="751" w:type="dxa"/>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1台</w:t>
            </w:r>
          </w:p>
        </w:tc>
        <w:tc>
          <w:tcPr>
            <w:tcW w:w="1273" w:type="dxa"/>
            <w:vMerge w:val="continue"/>
            <w:vAlign w:val="center"/>
          </w:tcPr>
          <w:p>
            <w:pPr>
              <w:spacing w:line="360" w:lineRule="auto"/>
              <w:jc w:val="center"/>
              <w:rPr>
                <w:rFonts w:hint="default" w:ascii="Times New Roman" w:hAnsi="Times New Roman" w:eastAsia="仿宋" w:cs="Times New Roman"/>
                <w:sz w:val="24"/>
                <w:szCs w:val="24"/>
              </w:rPr>
            </w:pPr>
          </w:p>
        </w:tc>
        <w:tc>
          <w:tcPr>
            <w:tcW w:w="1394" w:type="dxa"/>
            <w:vMerge w:val="continue"/>
            <w:vAlign w:val="center"/>
          </w:tcPr>
          <w:p>
            <w:pPr>
              <w:spacing w:line="360" w:lineRule="auto"/>
              <w:jc w:val="center"/>
              <w:rPr>
                <w:rFonts w:hint="default" w:ascii="Times New Roman" w:hAnsi="Times New Roman" w:eastAsia="仿宋" w:cs="Times New Roman"/>
                <w:sz w:val="24"/>
                <w:szCs w:val="24"/>
              </w:rPr>
            </w:pPr>
          </w:p>
        </w:tc>
        <w:tc>
          <w:tcPr>
            <w:tcW w:w="1481" w:type="dxa"/>
            <w:vMerge w:val="continue"/>
            <w:vAlign w:val="center"/>
          </w:tcPr>
          <w:p>
            <w:pPr>
              <w:spacing w:line="360" w:lineRule="auto"/>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8" w:type="dxa"/>
            <w:vMerge w:val="continue"/>
            <w:vAlign w:val="center"/>
          </w:tcPr>
          <w:p>
            <w:pPr>
              <w:spacing w:line="360" w:lineRule="auto"/>
              <w:jc w:val="center"/>
              <w:rPr>
                <w:rFonts w:hint="default" w:ascii="Times New Roman" w:hAnsi="Times New Roman" w:eastAsia="仿宋" w:cs="Times New Roman"/>
                <w:sz w:val="24"/>
                <w:szCs w:val="24"/>
              </w:rPr>
            </w:pPr>
          </w:p>
        </w:tc>
        <w:tc>
          <w:tcPr>
            <w:tcW w:w="1388" w:type="dxa"/>
            <w:vMerge w:val="continue"/>
            <w:vAlign w:val="center"/>
          </w:tcPr>
          <w:p>
            <w:pPr>
              <w:spacing w:line="360" w:lineRule="auto"/>
              <w:jc w:val="center"/>
              <w:rPr>
                <w:rFonts w:hint="default" w:ascii="Times New Roman" w:hAnsi="Times New Roman" w:eastAsia="仿宋" w:cs="Times New Roman"/>
                <w:sz w:val="24"/>
                <w:szCs w:val="24"/>
              </w:rPr>
            </w:pPr>
          </w:p>
        </w:tc>
        <w:tc>
          <w:tcPr>
            <w:tcW w:w="2681" w:type="dxa"/>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硅酸根分析仪</w:t>
            </w:r>
          </w:p>
        </w:tc>
        <w:tc>
          <w:tcPr>
            <w:tcW w:w="751" w:type="dxa"/>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1台</w:t>
            </w:r>
          </w:p>
        </w:tc>
        <w:tc>
          <w:tcPr>
            <w:tcW w:w="1273" w:type="dxa"/>
            <w:vMerge w:val="continue"/>
            <w:vAlign w:val="center"/>
          </w:tcPr>
          <w:p>
            <w:pPr>
              <w:spacing w:line="360" w:lineRule="auto"/>
              <w:jc w:val="center"/>
              <w:rPr>
                <w:rFonts w:hint="default" w:ascii="Times New Roman" w:hAnsi="Times New Roman" w:eastAsia="仿宋" w:cs="Times New Roman"/>
                <w:sz w:val="24"/>
                <w:szCs w:val="24"/>
              </w:rPr>
            </w:pPr>
          </w:p>
        </w:tc>
        <w:tc>
          <w:tcPr>
            <w:tcW w:w="1394" w:type="dxa"/>
            <w:vMerge w:val="continue"/>
            <w:vAlign w:val="center"/>
          </w:tcPr>
          <w:p>
            <w:pPr>
              <w:spacing w:line="360" w:lineRule="auto"/>
              <w:jc w:val="center"/>
              <w:rPr>
                <w:rFonts w:hint="default" w:ascii="Times New Roman" w:hAnsi="Times New Roman" w:eastAsia="仿宋" w:cs="Times New Roman"/>
                <w:sz w:val="24"/>
                <w:szCs w:val="24"/>
              </w:rPr>
            </w:pPr>
          </w:p>
        </w:tc>
        <w:tc>
          <w:tcPr>
            <w:tcW w:w="1481" w:type="dxa"/>
            <w:vMerge w:val="continue"/>
            <w:vAlign w:val="center"/>
          </w:tcPr>
          <w:p>
            <w:pPr>
              <w:spacing w:line="360" w:lineRule="auto"/>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8" w:type="dxa"/>
            <w:vMerge w:val="continue"/>
            <w:vAlign w:val="center"/>
          </w:tcPr>
          <w:p>
            <w:pPr>
              <w:spacing w:line="360" w:lineRule="auto"/>
              <w:jc w:val="center"/>
              <w:rPr>
                <w:rFonts w:hint="default" w:ascii="Times New Roman" w:hAnsi="Times New Roman" w:eastAsia="仿宋" w:cs="Times New Roman"/>
                <w:sz w:val="24"/>
                <w:szCs w:val="24"/>
              </w:rPr>
            </w:pPr>
          </w:p>
        </w:tc>
        <w:tc>
          <w:tcPr>
            <w:tcW w:w="1388" w:type="dxa"/>
            <w:vMerge w:val="continue"/>
            <w:vAlign w:val="center"/>
          </w:tcPr>
          <w:p>
            <w:pPr>
              <w:spacing w:line="360" w:lineRule="auto"/>
              <w:jc w:val="center"/>
              <w:rPr>
                <w:rFonts w:hint="default" w:ascii="Times New Roman" w:hAnsi="Times New Roman" w:eastAsia="仿宋" w:cs="Times New Roman"/>
                <w:sz w:val="24"/>
                <w:szCs w:val="24"/>
              </w:rPr>
            </w:pPr>
          </w:p>
        </w:tc>
        <w:tc>
          <w:tcPr>
            <w:tcW w:w="2681" w:type="dxa"/>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磷酸根分析仪</w:t>
            </w:r>
          </w:p>
        </w:tc>
        <w:tc>
          <w:tcPr>
            <w:tcW w:w="751" w:type="dxa"/>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1台</w:t>
            </w:r>
          </w:p>
        </w:tc>
        <w:tc>
          <w:tcPr>
            <w:tcW w:w="1273" w:type="dxa"/>
            <w:vMerge w:val="continue"/>
            <w:vAlign w:val="center"/>
          </w:tcPr>
          <w:p>
            <w:pPr>
              <w:spacing w:line="360" w:lineRule="auto"/>
              <w:jc w:val="center"/>
              <w:rPr>
                <w:rFonts w:hint="default" w:ascii="Times New Roman" w:hAnsi="Times New Roman" w:eastAsia="仿宋" w:cs="Times New Roman"/>
                <w:sz w:val="24"/>
                <w:szCs w:val="24"/>
              </w:rPr>
            </w:pPr>
          </w:p>
        </w:tc>
        <w:tc>
          <w:tcPr>
            <w:tcW w:w="1394" w:type="dxa"/>
            <w:vMerge w:val="continue"/>
            <w:vAlign w:val="center"/>
          </w:tcPr>
          <w:p>
            <w:pPr>
              <w:spacing w:line="360" w:lineRule="auto"/>
              <w:jc w:val="center"/>
              <w:rPr>
                <w:rFonts w:hint="default" w:ascii="Times New Roman" w:hAnsi="Times New Roman" w:eastAsia="仿宋" w:cs="Times New Roman"/>
                <w:sz w:val="24"/>
                <w:szCs w:val="24"/>
              </w:rPr>
            </w:pPr>
          </w:p>
        </w:tc>
        <w:tc>
          <w:tcPr>
            <w:tcW w:w="1481" w:type="dxa"/>
            <w:vMerge w:val="continue"/>
            <w:vAlign w:val="center"/>
          </w:tcPr>
          <w:p>
            <w:pPr>
              <w:spacing w:line="360" w:lineRule="auto"/>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8" w:type="dxa"/>
            <w:vMerge w:val="continue"/>
            <w:vAlign w:val="center"/>
          </w:tcPr>
          <w:p>
            <w:pPr>
              <w:spacing w:line="360" w:lineRule="auto"/>
              <w:jc w:val="center"/>
              <w:rPr>
                <w:rFonts w:hint="default" w:ascii="Times New Roman" w:hAnsi="Times New Roman" w:eastAsia="仿宋" w:cs="Times New Roman"/>
                <w:sz w:val="24"/>
                <w:szCs w:val="24"/>
              </w:rPr>
            </w:pPr>
          </w:p>
        </w:tc>
        <w:tc>
          <w:tcPr>
            <w:tcW w:w="1388" w:type="dxa"/>
            <w:vMerge w:val="continue"/>
            <w:vAlign w:val="center"/>
          </w:tcPr>
          <w:p>
            <w:pPr>
              <w:spacing w:line="360" w:lineRule="auto"/>
              <w:jc w:val="center"/>
              <w:rPr>
                <w:rFonts w:hint="default" w:ascii="Times New Roman" w:hAnsi="Times New Roman" w:eastAsia="仿宋" w:cs="Times New Roman"/>
                <w:sz w:val="24"/>
                <w:szCs w:val="24"/>
              </w:rPr>
            </w:pPr>
          </w:p>
        </w:tc>
        <w:tc>
          <w:tcPr>
            <w:tcW w:w="2681" w:type="dxa"/>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铜含量分析仪</w:t>
            </w:r>
          </w:p>
        </w:tc>
        <w:tc>
          <w:tcPr>
            <w:tcW w:w="751" w:type="dxa"/>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1台</w:t>
            </w:r>
          </w:p>
        </w:tc>
        <w:tc>
          <w:tcPr>
            <w:tcW w:w="1273" w:type="dxa"/>
            <w:vMerge w:val="continue"/>
            <w:vAlign w:val="center"/>
          </w:tcPr>
          <w:p>
            <w:pPr>
              <w:spacing w:line="360" w:lineRule="auto"/>
              <w:jc w:val="center"/>
              <w:rPr>
                <w:rFonts w:hint="default" w:ascii="Times New Roman" w:hAnsi="Times New Roman" w:eastAsia="仿宋" w:cs="Times New Roman"/>
                <w:sz w:val="24"/>
                <w:szCs w:val="24"/>
              </w:rPr>
            </w:pPr>
          </w:p>
        </w:tc>
        <w:tc>
          <w:tcPr>
            <w:tcW w:w="1394" w:type="dxa"/>
            <w:vMerge w:val="continue"/>
            <w:vAlign w:val="center"/>
          </w:tcPr>
          <w:p>
            <w:pPr>
              <w:spacing w:line="360" w:lineRule="auto"/>
              <w:jc w:val="center"/>
              <w:rPr>
                <w:rFonts w:hint="default" w:ascii="Times New Roman" w:hAnsi="Times New Roman" w:eastAsia="仿宋" w:cs="Times New Roman"/>
                <w:sz w:val="24"/>
                <w:szCs w:val="24"/>
              </w:rPr>
            </w:pPr>
          </w:p>
        </w:tc>
        <w:tc>
          <w:tcPr>
            <w:tcW w:w="1481" w:type="dxa"/>
            <w:vMerge w:val="continue"/>
            <w:vAlign w:val="center"/>
          </w:tcPr>
          <w:p>
            <w:pPr>
              <w:spacing w:line="360" w:lineRule="auto"/>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8" w:type="dxa"/>
            <w:vMerge w:val="continue"/>
            <w:vAlign w:val="center"/>
          </w:tcPr>
          <w:p>
            <w:pPr>
              <w:spacing w:line="360" w:lineRule="auto"/>
              <w:jc w:val="center"/>
              <w:rPr>
                <w:rFonts w:hint="default" w:ascii="Times New Roman" w:hAnsi="Times New Roman" w:eastAsia="仿宋" w:cs="Times New Roman"/>
                <w:sz w:val="24"/>
                <w:szCs w:val="24"/>
              </w:rPr>
            </w:pPr>
          </w:p>
        </w:tc>
        <w:tc>
          <w:tcPr>
            <w:tcW w:w="1388" w:type="dxa"/>
            <w:vMerge w:val="continue"/>
            <w:vAlign w:val="center"/>
          </w:tcPr>
          <w:p>
            <w:pPr>
              <w:spacing w:line="360" w:lineRule="auto"/>
              <w:jc w:val="center"/>
              <w:rPr>
                <w:rFonts w:hint="default" w:ascii="Times New Roman" w:hAnsi="Times New Roman" w:eastAsia="仿宋" w:cs="Times New Roman"/>
                <w:sz w:val="24"/>
                <w:szCs w:val="24"/>
              </w:rPr>
            </w:pPr>
          </w:p>
        </w:tc>
        <w:tc>
          <w:tcPr>
            <w:tcW w:w="2681" w:type="dxa"/>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红外分光测油仪</w:t>
            </w:r>
          </w:p>
        </w:tc>
        <w:tc>
          <w:tcPr>
            <w:tcW w:w="751" w:type="dxa"/>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1台</w:t>
            </w:r>
          </w:p>
        </w:tc>
        <w:tc>
          <w:tcPr>
            <w:tcW w:w="1273" w:type="dxa"/>
            <w:vMerge w:val="continue"/>
            <w:vAlign w:val="center"/>
          </w:tcPr>
          <w:p>
            <w:pPr>
              <w:spacing w:line="360" w:lineRule="auto"/>
              <w:jc w:val="center"/>
              <w:rPr>
                <w:rFonts w:hint="default" w:ascii="Times New Roman" w:hAnsi="Times New Roman" w:eastAsia="仿宋" w:cs="Times New Roman"/>
                <w:sz w:val="24"/>
                <w:szCs w:val="24"/>
              </w:rPr>
            </w:pPr>
          </w:p>
        </w:tc>
        <w:tc>
          <w:tcPr>
            <w:tcW w:w="1394" w:type="dxa"/>
            <w:vMerge w:val="continue"/>
            <w:vAlign w:val="center"/>
          </w:tcPr>
          <w:p>
            <w:pPr>
              <w:spacing w:line="360" w:lineRule="auto"/>
              <w:jc w:val="center"/>
              <w:rPr>
                <w:rFonts w:hint="default" w:ascii="Times New Roman" w:hAnsi="Times New Roman" w:eastAsia="仿宋" w:cs="Times New Roman"/>
                <w:sz w:val="24"/>
                <w:szCs w:val="24"/>
              </w:rPr>
            </w:pPr>
          </w:p>
        </w:tc>
        <w:tc>
          <w:tcPr>
            <w:tcW w:w="1481" w:type="dxa"/>
            <w:vMerge w:val="continue"/>
            <w:vAlign w:val="center"/>
          </w:tcPr>
          <w:p>
            <w:pPr>
              <w:spacing w:line="360" w:lineRule="auto"/>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8" w:type="dxa"/>
            <w:vMerge w:val="continue"/>
            <w:vAlign w:val="center"/>
          </w:tcPr>
          <w:p>
            <w:pPr>
              <w:spacing w:line="360" w:lineRule="auto"/>
              <w:jc w:val="center"/>
              <w:rPr>
                <w:rFonts w:hint="default" w:ascii="Times New Roman" w:hAnsi="Times New Roman" w:eastAsia="仿宋" w:cs="Times New Roman"/>
                <w:sz w:val="24"/>
                <w:szCs w:val="24"/>
              </w:rPr>
            </w:pPr>
          </w:p>
        </w:tc>
        <w:tc>
          <w:tcPr>
            <w:tcW w:w="1388" w:type="dxa"/>
            <w:vMerge w:val="continue"/>
            <w:vAlign w:val="center"/>
          </w:tcPr>
          <w:p>
            <w:pPr>
              <w:spacing w:line="360" w:lineRule="auto"/>
              <w:jc w:val="center"/>
              <w:rPr>
                <w:rFonts w:hint="default" w:ascii="Times New Roman" w:hAnsi="Times New Roman" w:eastAsia="仿宋" w:cs="Times New Roman"/>
                <w:sz w:val="24"/>
                <w:szCs w:val="24"/>
              </w:rPr>
            </w:pPr>
          </w:p>
        </w:tc>
        <w:tc>
          <w:tcPr>
            <w:tcW w:w="2681" w:type="dxa"/>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恒温干燥箱</w:t>
            </w:r>
          </w:p>
        </w:tc>
        <w:tc>
          <w:tcPr>
            <w:tcW w:w="751" w:type="dxa"/>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2台</w:t>
            </w:r>
          </w:p>
        </w:tc>
        <w:tc>
          <w:tcPr>
            <w:tcW w:w="1273" w:type="dxa"/>
            <w:vMerge w:val="continue"/>
            <w:vAlign w:val="center"/>
          </w:tcPr>
          <w:p>
            <w:pPr>
              <w:spacing w:line="360" w:lineRule="auto"/>
              <w:jc w:val="center"/>
              <w:rPr>
                <w:rFonts w:hint="default" w:ascii="Times New Roman" w:hAnsi="Times New Roman" w:eastAsia="仿宋" w:cs="Times New Roman"/>
                <w:sz w:val="24"/>
                <w:szCs w:val="24"/>
              </w:rPr>
            </w:pPr>
          </w:p>
        </w:tc>
        <w:tc>
          <w:tcPr>
            <w:tcW w:w="1394" w:type="dxa"/>
            <w:vMerge w:val="continue"/>
            <w:vAlign w:val="center"/>
          </w:tcPr>
          <w:p>
            <w:pPr>
              <w:spacing w:line="360" w:lineRule="auto"/>
              <w:jc w:val="center"/>
              <w:rPr>
                <w:rFonts w:hint="default" w:ascii="Times New Roman" w:hAnsi="Times New Roman" w:eastAsia="仿宋" w:cs="Times New Roman"/>
                <w:sz w:val="24"/>
                <w:szCs w:val="24"/>
              </w:rPr>
            </w:pPr>
          </w:p>
        </w:tc>
        <w:tc>
          <w:tcPr>
            <w:tcW w:w="1481" w:type="dxa"/>
            <w:vMerge w:val="continue"/>
            <w:vAlign w:val="center"/>
          </w:tcPr>
          <w:p>
            <w:pPr>
              <w:spacing w:line="360" w:lineRule="auto"/>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8" w:type="dxa"/>
            <w:vMerge w:val="continue"/>
            <w:vAlign w:val="center"/>
          </w:tcPr>
          <w:p>
            <w:pPr>
              <w:spacing w:line="360" w:lineRule="auto"/>
              <w:jc w:val="center"/>
              <w:rPr>
                <w:rFonts w:hint="default" w:ascii="Times New Roman" w:hAnsi="Times New Roman" w:eastAsia="仿宋" w:cs="Times New Roman"/>
                <w:sz w:val="24"/>
                <w:szCs w:val="24"/>
              </w:rPr>
            </w:pPr>
          </w:p>
        </w:tc>
        <w:tc>
          <w:tcPr>
            <w:tcW w:w="1388" w:type="dxa"/>
            <w:vMerge w:val="continue"/>
            <w:vAlign w:val="center"/>
          </w:tcPr>
          <w:p>
            <w:pPr>
              <w:spacing w:line="360" w:lineRule="auto"/>
              <w:jc w:val="center"/>
              <w:rPr>
                <w:rFonts w:hint="default" w:ascii="Times New Roman" w:hAnsi="Times New Roman" w:eastAsia="仿宋" w:cs="Times New Roman"/>
                <w:sz w:val="24"/>
                <w:szCs w:val="24"/>
              </w:rPr>
            </w:pPr>
          </w:p>
        </w:tc>
        <w:tc>
          <w:tcPr>
            <w:tcW w:w="2681" w:type="dxa"/>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马弗炉</w:t>
            </w:r>
          </w:p>
        </w:tc>
        <w:tc>
          <w:tcPr>
            <w:tcW w:w="751" w:type="dxa"/>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2台</w:t>
            </w:r>
          </w:p>
        </w:tc>
        <w:tc>
          <w:tcPr>
            <w:tcW w:w="1273" w:type="dxa"/>
            <w:vMerge w:val="continue"/>
            <w:vAlign w:val="center"/>
          </w:tcPr>
          <w:p>
            <w:pPr>
              <w:spacing w:line="360" w:lineRule="auto"/>
              <w:jc w:val="center"/>
              <w:rPr>
                <w:rFonts w:hint="default" w:ascii="Times New Roman" w:hAnsi="Times New Roman" w:eastAsia="仿宋" w:cs="Times New Roman"/>
                <w:sz w:val="24"/>
                <w:szCs w:val="24"/>
              </w:rPr>
            </w:pPr>
          </w:p>
        </w:tc>
        <w:tc>
          <w:tcPr>
            <w:tcW w:w="1394" w:type="dxa"/>
            <w:vMerge w:val="continue"/>
            <w:vAlign w:val="center"/>
          </w:tcPr>
          <w:p>
            <w:pPr>
              <w:spacing w:line="360" w:lineRule="auto"/>
              <w:jc w:val="center"/>
              <w:rPr>
                <w:rFonts w:hint="default" w:ascii="Times New Roman" w:hAnsi="Times New Roman" w:eastAsia="仿宋" w:cs="Times New Roman"/>
                <w:sz w:val="24"/>
                <w:szCs w:val="24"/>
              </w:rPr>
            </w:pPr>
          </w:p>
        </w:tc>
        <w:tc>
          <w:tcPr>
            <w:tcW w:w="1481" w:type="dxa"/>
            <w:vMerge w:val="continue"/>
            <w:vAlign w:val="center"/>
          </w:tcPr>
          <w:p>
            <w:pPr>
              <w:spacing w:line="360" w:lineRule="auto"/>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8" w:type="dxa"/>
            <w:vMerge w:val="continue"/>
            <w:vAlign w:val="center"/>
          </w:tcPr>
          <w:p>
            <w:pPr>
              <w:spacing w:line="360" w:lineRule="auto"/>
              <w:jc w:val="center"/>
              <w:rPr>
                <w:rFonts w:hint="default" w:ascii="Times New Roman" w:hAnsi="Times New Roman" w:eastAsia="仿宋" w:cs="Times New Roman"/>
                <w:sz w:val="24"/>
                <w:szCs w:val="24"/>
              </w:rPr>
            </w:pPr>
          </w:p>
        </w:tc>
        <w:tc>
          <w:tcPr>
            <w:tcW w:w="1388" w:type="dxa"/>
            <w:vMerge w:val="continue"/>
            <w:vAlign w:val="center"/>
          </w:tcPr>
          <w:p>
            <w:pPr>
              <w:spacing w:line="360" w:lineRule="auto"/>
              <w:jc w:val="center"/>
              <w:rPr>
                <w:rFonts w:hint="default" w:ascii="Times New Roman" w:hAnsi="Times New Roman" w:eastAsia="仿宋" w:cs="Times New Roman"/>
                <w:sz w:val="24"/>
                <w:szCs w:val="24"/>
              </w:rPr>
            </w:pPr>
          </w:p>
        </w:tc>
        <w:tc>
          <w:tcPr>
            <w:tcW w:w="2681" w:type="dxa"/>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电炉子</w:t>
            </w:r>
          </w:p>
        </w:tc>
        <w:tc>
          <w:tcPr>
            <w:tcW w:w="751" w:type="dxa"/>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2台</w:t>
            </w:r>
          </w:p>
        </w:tc>
        <w:tc>
          <w:tcPr>
            <w:tcW w:w="1273" w:type="dxa"/>
            <w:vMerge w:val="continue"/>
            <w:vAlign w:val="center"/>
          </w:tcPr>
          <w:p>
            <w:pPr>
              <w:spacing w:line="360" w:lineRule="auto"/>
              <w:jc w:val="center"/>
              <w:rPr>
                <w:rFonts w:hint="default" w:ascii="Times New Roman" w:hAnsi="Times New Roman" w:eastAsia="仿宋" w:cs="Times New Roman"/>
                <w:sz w:val="24"/>
                <w:szCs w:val="24"/>
              </w:rPr>
            </w:pPr>
          </w:p>
        </w:tc>
        <w:tc>
          <w:tcPr>
            <w:tcW w:w="1394" w:type="dxa"/>
            <w:vMerge w:val="continue"/>
            <w:vAlign w:val="center"/>
          </w:tcPr>
          <w:p>
            <w:pPr>
              <w:spacing w:line="360" w:lineRule="auto"/>
              <w:jc w:val="center"/>
              <w:rPr>
                <w:rFonts w:hint="default" w:ascii="Times New Roman" w:hAnsi="Times New Roman" w:eastAsia="仿宋" w:cs="Times New Roman"/>
                <w:sz w:val="24"/>
                <w:szCs w:val="24"/>
              </w:rPr>
            </w:pPr>
          </w:p>
        </w:tc>
        <w:tc>
          <w:tcPr>
            <w:tcW w:w="1481" w:type="dxa"/>
            <w:vMerge w:val="continue"/>
            <w:vAlign w:val="center"/>
          </w:tcPr>
          <w:p>
            <w:pPr>
              <w:spacing w:line="360" w:lineRule="auto"/>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8" w:type="dxa"/>
            <w:vMerge w:val="continue"/>
            <w:vAlign w:val="center"/>
          </w:tcPr>
          <w:p>
            <w:pPr>
              <w:spacing w:line="360" w:lineRule="auto"/>
              <w:jc w:val="center"/>
              <w:rPr>
                <w:rFonts w:hint="default" w:ascii="Times New Roman" w:hAnsi="Times New Roman" w:eastAsia="仿宋" w:cs="Times New Roman"/>
                <w:sz w:val="24"/>
                <w:szCs w:val="24"/>
              </w:rPr>
            </w:pPr>
          </w:p>
        </w:tc>
        <w:tc>
          <w:tcPr>
            <w:tcW w:w="1388" w:type="dxa"/>
            <w:vMerge w:val="continue"/>
            <w:vAlign w:val="center"/>
          </w:tcPr>
          <w:p>
            <w:pPr>
              <w:spacing w:line="360" w:lineRule="auto"/>
              <w:jc w:val="center"/>
              <w:rPr>
                <w:rFonts w:hint="default" w:ascii="Times New Roman" w:hAnsi="Times New Roman" w:eastAsia="仿宋" w:cs="Times New Roman"/>
                <w:sz w:val="24"/>
                <w:szCs w:val="24"/>
              </w:rPr>
            </w:pPr>
          </w:p>
        </w:tc>
        <w:tc>
          <w:tcPr>
            <w:tcW w:w="2681" w:type="dxa"/>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冰箱（冷藏装置）</w:t>
            </w:r>
          </w:p>
        </w:tc>
        <w:tc>
          <w:tcPr>
            <w:tcW w:w="751" w:type="dxa"/>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2台</w:t>
            </w:r>
          </w:p>
        </w:tc>
        <w:tc>
          <w:tcPr>
            <w:tcW w:w="1273" w:type="dxa"/>
            <w:vMerge w:val="continue"/>
            <w:vAlign w:val="center"/>
          </w:tcPr>
          <w:p>
            <w:pPr>
              <w:spacing w:line="360" w:lineRule="auto"/>
              <w:jc w:val="center"/>
              <w:rPr>
                <w:rFonts w:hint="default" w:ascii="Times New Roman" w:hAnsi="Times New Roman" w:eastAsia="仿宋" w:cs="Times New Roman"/>
                <w:sz w:val="24"/>
                <w:szCs w:val="24"/>
              </w:rPr>
            </w:pPr>
          </w:p>
        </w:tc>
        <w:tc>
          <w:tcPr>
            <w:tcW w:w="1394" w:type="dxa"/>
            <w:vMerge w:val="continue"/>
            <w:vAlign w:val="center"/>
          </w:tcPr>
          <w:p>
            <w:pPr>
              <w:spacing w:line="360" w:lineRule="auto"/>
              <w:jc w:val="center"/>
              <w:rPr>
                <w:rFonts w:hint="default" w:ascii="Times New Roman" w:hAnsi="Times New Roman" w:eastAsia="仿宋" w:cs="Times New Roman"/>
                <w:sz w:val="24"/>
                <w:szCs w:val="24"/>
              </w:rPr>
            </w:pPr>
          </w:p>
        </w:tc>
        <w:tc>
          <w:tcPr>
            <w:tcW w:w="1481" w:type="dxa"/>
            <w:vMerge w:val="continue"/>
            <w:vAlign w:val="center"/>
          </w:tcPr>
          <w:p>
            <w:pPr>
              <w:spacing w:line="360" w:lineRule="auto"/>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8" w:type="dxa"/>
            <w:vMerge w:val="continue"/>
            <w:vAlign w:val="center"/>
          </w:tcPr>
          <w:p>
            <w:pPr>
              <w:spacing w:line="360" w:lineRule="auto"/>
              <w:jc w:val="center"/>
              <w:rPr>
                <w:rFonts w:hint="default" w:ascii="Times New Roman" w:hAnsi="Times New Roman" w:eastAsia="仿宋" w:cs="Times New Roman"/>
                <w:sz w:val="24"/>
                <w:szCs w:val="24"/>
              </w:rPr>
            </w:pPr>
          </w:p>
        </w:tc>
        <w:tc>
          <w:tcPr>
            <w:tcW w:w="1388" w:type="dxa"/>
            <w:vMerge w:val="continue"/>
            <w:vAlign w:val="center"/>
          </w:tcPr>
          <w:p>
            <w:pPr>
              <w:spacing w:line="360" w:lineRule="auto"/>
              <w:jc w:val="center"/>
              <w:rPr>
                <w:rFonts w:hint="default" w:ascii="Times New Roman" w:hAnsi="Times New Roman" w:eastAsia="仿宋" w:cs="Times New Roman"/>
                <w:sz w:val="24"/>
                <w:szCs w:val="24"/>
              </w:rPr>
            </w:pPr>
          </w:p>
        </w:tc>
        <w:tc>
          <w:tcPr>
            <w:tcW w:w="2681" w:type="dxa"/>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天平</w:t>
            </w:r>
          </w:p>
        </w:tc>
        <w:tc>
          <w:tcPr>
            <w:tcW w:w="751" w:type="dxa"/>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1台</w:t>
            </w:r>
          </w:p>
        </w:tc>
        <w:tc>
          <w:tcPr>
            <w:tcW w:w="1273" w:type="dxa"/>
            <w:vMerge w:val="continue"/>
            <w:vAlign w:val="center"/>
          </w:tcPr>
          <w:p>
            <w:pPr>
              <w:spacing w:line="360" w:lineRule="auto"/>
              <w:jc w:val="center"/>
              <w:rPr>
                <w:rFonts w:hint="default" w:ascii="Times New Roman" w:hAnsi="Times New Roman" w:eastAsia="仿宋" w:cs="Times New Roman"/>
                <w:sz w:val="24"/>
                <w:szCs w:val="24"/>
              </w:rPr>
            </w:pPr>
          </w:p>
        </w:tc>
        <w:tc>
          <w:tcPr>
            <w:tcW w:w="1394" w:type="dxa"/>
            <w:vMerge w:val="continue"/>
            <w:vAlign w:val="center"/>
          </w:tcPr>
          <w:p>
            <w:pPr>
              <w:spacing w:line="360" w:lineRule="auto"/>
              <w:jc w:val="center"/>
              <w:rPr>
                <w:rFonts w:hint="default" w:ascii="Times New Roman" w:hAnsi="Times New Roman" w:eastAsia="仿宋" w:cs="Times New Roman"/>
                <w:sz w:val="24"/>
                <w:szCs w:val="24"/>
              </w:rPr>
            </w:pPr>
          </w:p>
        </w:tc>
        <w:tc>
          <w:tcPr>
            <w:tcW w:w="1481" w:type="dxa"/>
            <w:vMerge w:val="continue"/>
            <w:vAlign w:val="center"/>
          </w:tcPr>
          <w:p>
            <w:pPr>
              <w:spacing w:line="360" w:lineRule="auto"/>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8" w:type="dxa"/>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第10包</w:t>
            </w:r>
          </w:p>
        </w:tc>
        <w:tc>
          <w:tcPr>
            <w:tcW w:w="1388" w:type="dxa"/>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BJJQ-2021-967-10</w:t>
            </w:r>
          </w:p>
        </w:tc>
        <w:tc>
          <w:tcPr>
            <w:tcW w:w="2681" w:type="dxa"/>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高速数码双色印刷系统</w:t>
            </w:r>
          </w:p>
        </w:tc>
        <w:tc>
          <w:tcPr>
            <w:tcW w:w="751" w:type="dxa"/>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1套</w:t>
            </w:r>
          </w:p>
        </w:tc>
        <w:tc>
          <w:tcPr>
            <w:tcW w:w="1273" w:type="dxa"/>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否</w:t>
            </w:r>
          </w:p>
        </w:tc>
        <w:tc>
          <w:tcPr>
            <w:tcW w:w="1394" w:type="dxa"/>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详见招标文件第四章采购需求</w:t>
            </w:r>
          </w:p>
        </w:tc>
        <w:tc>
          <w:tcPr>
            <w:tcW w:w="1481" w:type="dxa"/>
            <w:vAlign w:val="center"/>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16" w:type="dxa"/>
            <w:gridSpan w:val="7"/>
            <w:vAlign w:val="center"/>
          </w:tcPr>
          <w:p>
            <w:pPr>
              <w:spacing w:line="360" w:lineRule="auto"/>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注：“包”为最小的投标单位，投标人可以投一包，也可以投多包，但不得仅对一个分包内部分品种进行投标。</w:t>
            </w:r>
          </w:p>
        </w:tc>
      </w:tr>
      <w:bookmarkEnd w:id="17"/>
    </w:tbl>
    <w:p>
      <w:pPr>
        <w:spacing w:line="360" w:lineRule="auto"/>
        <w:ind w:firstLine="480" w:firstLineChars="200"/>
        <w:rPr>
          <w:rFonts w:hint="default" w:ascii="Times New Roman" w:hAnsi="Times New Roman" w:eastAsia="仿宋" w:cs="Times New Roman"/>
          <w:sz w:val="24"/>
          <w:szCs w:val="24"/>
          <w:u w:val="single"/>
        </w:rPr>
      </w:pPr>
      <w:r>
        <w:rPr>
          <w:rFonts w:hint="default" w:ascii="Times New Roman" w:hAnsi="Times New Roman" w:eastAsia="仿宋" w:cs="Times New Roman"/>
          <w:sz w:val="24"/>
          <w:szCs w:val="24"/>
        </w:rPr>
        <w:t>合同履行期限：详见招标文件第四章采购需求</w:t>
      </w:r>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本项目</w:t>
      </w:r>
      <w:r>
        <w:rPr>
          <w:rFonts w:hint="default" w:ascii="Times New Roman" w:hAnsi="Times New Roman" w:eastAsia="仿宋" w:cs="Times New Roman"/>
          <w:b/>
          <w:bCs/>
          <w:sz w:val="24"/>
          <w:szCs w:val="24"/>
          <w:u w:val="single"/>
        </w:rPr>
        <w:t>不接受</w:t>
      </w:r>
      <w:r>
        <w:rPr>
          <w:rFonts w:hint="default" w:ascii="Times New Roman" w:hAnsi="Times New Roman" w:eastAsia="仿宋" w:cs="Times New Roman"/>
          <w:sz w:val="24"/>
          <w:szCs w:val="24"/>
        </w:rPr>
        <w:t>联合体投标。</w:t>
      </w:r>
    </w:p>
    <w:p>
      <w:pPr>
        <w:pStyle w:val="2"/>
        <w:spacing w:before="0" w:after="0" w:line="360" w:lineRule="auto"/>
        <w:rPr>
          <w:rFonts w:hint="default" w:ascii="Times New Roman" w:hAnsi="Times New Roman" w:eastAsia="仿宋" w:cs="Times New Roman"/>
          <w:bCs w:val="0"/>
          <w:sz w:val="24"/>
          <w:szCs w:val="24"/>
        </w:rPr>
      </w:pPr>
      <w:bookmarkStart w:id="18" w:name="_Toc28359003"/>
      <w:bookmarkStart w:id="19" w:name="_Toc35393791"/>
      <w:bookmarkStart w:id="20" w:name="_Toc11156"/>
      <w:bookmarkStart w:id="21" w:name="_Toc31221"/>
      <w:bookmarkStart w:id="22" w:name="_Toc28359080"/>
      <w:bookmarkStart w:id="23" w:name="_Toc35393622"/>
      <w:r>
        <w:rPr>
          <w:rFonts w:hint="default" w:ascii="Times New Roman" w:hAnsi="Times New Roman" w:eastAsia="仿宋" w:cs="Times New Roman"/>
          <w:bCs w:val="0"/>
          <w:sz w:val="24"/>
          <w:szCs w:val="24"/>
        </w:rPr>
        <w:t>二、申请人的资格要求：</w:t>
      </w:r>
      <w:bookmarkEnd w:id="18"/>
      <w:bookmarkEnd w:id="19"/>
      <w:bookmarkEnd w:id="20"/>
      <w:bookmarkEnd w:id="21"/>
      <w:bookmarkEnd w:id="22"/>
      <w:bookmarkEnd w:id="23"/>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 满足《中华人民共和国政府采购法》第二十二条规定；</w:t>
      </w:r>
    </w:p>
    <w:p>
      <w:pPr>
        <w:spacing w:line="360" w:lineRule="auto"/>
        <w:ind w:firstLine="480" w:firstLineChars="200"/>
        <w:rPr>
          <w:rFonts w:hint="default" w:ascii="Times New Roman" w:hAnsi="Times New Roman" w:eastAsia="仿宋" w:cs="Times New Roman"/>
          <w:sz w:val="24"/>
          <w:szCs w:val="24"/>
        </w:rPr>
      </w:pPr>
      <w:bookmarkStart w:id="24" w:name="_Toc28359081"/>
      <w:bookmarkStart w:id="25" w:name="_Toc28359004"/>
      <w:r>
        <w:rPr>
          <w:rFonts w:hint="default" w:ascii="Times New Roman" w:hAnsi="Times New Roman" w:eastAsia="仿宋" w:cs="Times New Roman"/>
          <w:sz w:val="24"/>
          <w:szCs w:val="24"/>
        </w:rPr>
        <w:t>2. 落实政府采购政策需满足的资格要求：</w:t>
      </w:r>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2.1本采购项目</w:t>
      </w:r>
      <w:r>
        <w:rPr>
          <w:rFonts w:hint="default" w:ascii="Times New Roman" w:hAnsi="Times New Roman" w:eastAsia="仿宋" w:cs="Times New Roman"/>
          <w:b/>
          <w:sz w:val="24"/>
          <w:szCs w:val="24"/>
        </w:rPr>
        <w:t>第8、10包整体专门面向中小企业采购</w:t>
      </w:r>
      <w:r>
        <w:rPr>
          <w:rFonts w:hint="default" w:ascii="Times New Roman" w:hAnsi="Times New Roman" w:eastAsia="仿宋" w:cs="Times New Roman"/>
          <w:sz w:val="24"/>
          <w:szCs w:val="24"/>
        </w:rPr>
        <w:t>，供应商应提供由中小企业（或监狱企业，或残疾人福利性单位，或符合中小企业划分标准的个体工商户）制造或承接的货物或者服务。</w:t>
      </w:r>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2.2投标人不得被列入失信被执行人、重大税收违法案件当事人名单、政府采购严重违法失信行为记录名单。</w:t>
      </w:r>
    </w:p>
    <w:p>
      <w:pPr>
        <w:spacing w:line="360" w:lineRule="auto"/>
        <w:ind w:firstLine="424" w:firstLineChars="177"/>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3.本项目的特定资格要求：无。</w:t>
      </w:r>
    </w:p>
    <w:p>
      <w:pPr>
        <w:pStyle w:val="2"/>
        <w:spacing w:before="0" w:after="0" w:line="360" w:lineRule="auto"/>
        <w:rPr>
          <w:rFonts w:hint="default" w:ascii="Times New Roman" w:hAnsi="Times New Roman" w:eastAsia="仿宋" w:cs="Times New Roman"/>
          <w:bCs w:val="0"/>
          <w:sz w:val="24"/>
          <w:szCs w:val="24"/>
        </w:rPr>
      </w:pPr>
      <w:bookmarkStart w:id="26" w:name="_Toc28069"/>
      <w:bookmarkStart w:id="27" w:name="_Toc35393623"/>
      <w:bookmarkStart w:id="28" w:name="_Toc6087"/>
      <w:bookmarkStart w:id="29" w:name="_Toc35393792"/>
      <w:r>
        <w:rPr>
          <w:rFonts w:hint="default" w:ascii="Times New Roman" w:hAnsi="Times New Roman" w:eastAsia="仿宋" w:cs="Times New Roman"/>
          <w:bCs w:val="0"/>
          <w:sz w:val="24"/>
          <w:szCs w:val="24"/>
        </w:rPr>
        <w:t>三、获取招标文件</w:t>
      </w:r>
      <w:bookmarkEnd w:id="24"/>
      <w:bookmarkEnd w:id="25"/>
      <w:bookmarkEnd w:id="26"/>
      <w:bookmarkEnd w:id="27"/>
      <w:bookmarkEnd w:id="28"/>
      <w:bookmarkEnd w:id="29"/>
    </w:p>
    <w:p>
      <w:pPr>
        <w:spacing w:line="360" w:lineRule="auto"/>
        <w:ind w:firstLine="54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时间：</w:t>
      </w:r>
      <w:r>
        <w:rPr>
          <w:rFonts w:hint="default" w:ascii="Times New Roman" w:hAnsi="Times New Roman" w:eastAsia="仿宋" w:cs="Times New Roman"/>
          <w:bCs/>
          <w:sz w:val="24"/>
          <w:szCs w:val="24"/>
        </w:rPr>
        <w:t>2021</w:t>
      </w:r>
      <w:r>
        <w:rPr>
          <w:rFonts w:hint="default" w:ascii="Times New Roman" w:hAnsi="Times New Roman" w:eastAsia="仿宋" w:cs="Times New Roman"/>
          <w:sz w:val="24"/>
          <w:szCs w:val="24"/>
        </w:rPr>
        <w:t>年</w:t>
      </w:r>
      <w:r>
        <w:rPr>
          <w:rFonts w:hint="default" w:ascii="Times New Roman" w:hAnsi="Times New Roman" w:eastAsia="仿宋" w:cs="Times New Roman"/>
          <w:color w:val="auto"/>
          <w:sz w:val="24"/>
          <w:szCs w:val="24"/>
          <w:highlight w:val="none"/>
        </w:rPr>
        <w:t>12月</w:t>
      </w:r>
      <w:r>
        <w:rPr>
          <w:rFonts w:hint="eastAsia" w:eastAsia="仿宋" w:cs="Times New Roman"/>
          <w:color w:val="auto"/>
          <w:sz w:val="24"/>
          <w:szCs w:val="24"/>
          <w:highlight w:val="none"/>
          <w:lang w:val="en-US" w:eastAsia="zh-CN"/>
        </w:rPr>
        <w:t>0</w:t>
      </w:r>
      <w:r>
        <w:rPr>
          <w:rFonts w:hint="default" w:ascii="Times New Roman" w:hAnsi="Times New Roman" w:eastAsia="仿宋" w:cs="Times New Roman"/>
          <w:color w:val="auto"/>
          <w:sz w:val="24"/>
          <w:szCs w:val="24"/>
          <w:highlight w:val="none"/>
        </w:rPr>
        <w:t>2日至</w:t>
      </w:r>
      <w:r>
        <w:rPr>
          <w:rFonts w:hint="default" w:ascii="Times New Roman" w:hAnsi="Times New Roman" w:eastAsia="仿宋" w:cs="Times New Roman"/>
          <w:bCs/>
          <w:color w:val="auto"/>
          <w:sz w:val="24"/>
          <w:szCs w:val="24"/>
          <w:highlight w:val="none"/>
        </w:rPr>
        <w:t>2021</w:t>
      </w:r>
      <w:r>
        <w:rPr>
          <w:rFonts w:hint="default" w:ascii="Times New Roman" w:hAnsi="Times New Roman" w:eastAsia="仿宋" w:cs="Times New Roman"/>
          <w:color w:val="auto"/>
          <w:sz w:val="24"/>
          <w:szCs w:val="24"/>
          <w:highlight w:val="none"/>
        </w:rPr>
        <w:t>年12月</w:t>
      </w:r>
      <w:r>
        <w:rPr>
          <w:rFonts w:hint="eastAsia" w:eastAsia="仿宋" w:cs="Times New Roman"/>
          <w:color w:val="auto"/>
          <w:sz w:val="24"/>
          <w:szCs w:val="24"/>
          <w:highlight w:val="none"/>
          <w:lang w:val="en-US" w:eastAsia="zh-CN"/>
        </w:rPr>
        <w:t>0</w:t>
      </w:r>
      <w:r>
        <w:rPr>
          <w:rFonts w:hint="default" w:ascii="Times New Roman" w:hAnsi="Times New Roman" w:eastAsia="仿宋" w:cs="Times New Roman"/>
          <w:color w:val="auto"/>
          <w:sz w:val="24"/>
          <w:szCs w:val="24"/>
          <w:highlight w:val="none"/>
        </w:rPr>
        <w:t>9日</w:t>
      </w:r>
      <w:r>
        <w:rPr>
          <w:rFonts w:hint="default" w:ascii="Times New Roman" w:hAnsi="Times New Roman" w:eastAsia="仿宋" w:cs="Times New Roman"/>
          <w:sz w:val="24"/>
          <w:szCs w:val="24"/>
        </w:rPr>
        <w:t>，每天上午09:00至12:00，下午12:00至17:00（北京时间，法定节假日除外）</w:t>
      </w:r>
    </w:p>
    <w:p>
      <w:pPr>
        <w:spacing w:line="360" w:lineRule="auto"/>
        <w:ind w:firstLine="540"/>
        <w:rPr>
          <w:rFonts w:hint="default" w:ascii="Times New Roman" w:hAnsi="Times New Roman" w:eastAsia="仿宋" w:cs="Times New Roman"/>
          <w:sz w:val="24"/>
          <w:szCs w:val="24"/>
          <w:u w:val="single"/>
        </w:rPr>
      </w:pPr>
      <w:r>
        <w:rPr>
          <w:rFonts w:hint="default" w:ascii="Times New Roman" w:hAnsi="Times New Roman" w:eastAsia="仿宋" w:cs="Times New Roman"/>
          <w:sz w:val="24"/>
          <w:szCs w:val="24"/>
        </w:rPr>
        <w:t>地点：投标人按照规定办理CA数字认证证书（北京一证通数字证书）后，自招标公告发布之日起持投标人自身数字证书登录北京市政府采购电子交易平台免费下载电子版招标文件。</w:t>
      </w:r>
    </w:p>
    <w:p>
      <w:pPr>
        <w:spacing w:line="360" w:lineRule="auto"/>
        <w:ind w:firstLine="54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方式：线上下载。</w:t>
      </w:r>
    </w:p>
    <w:p>
      <w:pPr>
        <w:spacing w:line="360" w:lineRule="auto"/>
        <w:ind w:firstLine="54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1、投标人按照规定办理CA认证证书（北京一证通数字证书），详见北京市政府采购电子交易平台查阅“用户指南”—“操作指南”—“市场主体CA办理操作流程指引”，按照程序要求办理。</w:t>
      </w:r>
    </w:p>
    <w:p>
      <w:pPr>
        <w:spacing w:line="360" w:lineRule="auto"/>
        <w:ind w:firstLine="54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2、于北京市政府采购电子交易平台“用户指南”—“操作指南”—“市场主体注册入库操作流程指引”进行自助注册绑定。</w:t>
      </w:r>
    </w:p>
    <w:p>
      <w:pPr>
        <w:spacing w:line="360" w:lineRule="auto"/>
        <w:ind w:firstLine="54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3、自招标公告发布之日起持自身数字证书登录北京市政府采购电子交易平台免费获取电子版招标文件。</w:t>
      </w:r>
    </w:p>
    <w:p>
      <w:pPr>
        <w:spacing w:line="360" w:lineRule="auto"/>
        <w:ind w:firstLine="54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4、未按上述获取方式和期限下载招标文件的投标人无资格参加本次投标。</w:t>
      </w:r>
    </w:p>
    <w:p>
      <w:pPr>
        <w:spacing w:line="360" w:lineRule="auto"/>
        <w:ind w:firstLine="54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5、证书驱动下载：</w:t>
      </w:r>
    </w:p>
    <w:p>
      <w:pPr>
        <w:spacing w:line="360" w:lineRule="auto"/>
        <w:ind w:firstLine="54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于北京市政府采购电子交易平台“用户指南”—“工具下载”—“招标采购系统文件驱动安装包”下载相关驱动。</w:t>
      </w:r>
    </w:p>
    <w:p>
      <w:pPr>
        <w:spacing w:line="360" w:lineRule="auto"/>
        <w:ind w:firstLine="54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CA认证证书服务热线 010-58511086</w:t>
      </w:r>
    </w:p>
    <w:p>
      <w:pPr>
        <w:spacing w:line="360" w:lineRule="auto"/>
        <w:ind w:firstLine="54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技术支持服务热线 010-86483801</w:t>
      </w:r>
    </w:p>
    <w:p>
      <w:pPr>
        <w:spacing w:line="360" w:lineRule="auto"/>
        <w:ind w:firstLine="540"/>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注意：</w:t>
      </w:r>
      <w:r>
        <w:rPr>
          <w:rFonts w:hint="eastAsia" w:eastAsia="仿宋" w:cs="Times New Roman"/>
          <w:b/>
          <w:bCs/>
          <w:sz w:val="24"/>
          <w:szCs w:val="24"/>
          <w:lang w:eastAsia="zh-CN"/>
        </w:rPr>
        <w:t>（</w:t>
      </w:r>
      <w:r>
        <w:rPr>
          <w:rFonts w:hint="eastAsia" w:eastAsia="仿宋" w:cs="Times New Roman"/>
          <w:b/>
          <w:bCs/>
          <w:sz w:val="24"/>
          <w:szCs w:val="24"/>
          <w:lang w:val="en-US" w:eastAsia="zh-CN"/>
        </w:rPr>
        <w:t>1</w:t>
      </w:r>
      <w:r>
        <w:rPr>
          <w:rFonts w:hint="eastAsia" w:eastAsia="仿宋" w:cs="Times New Roman"/>
          <w:b/>
          <w:bCs/>
          <w:sz w:val="24"/>
          <w:szCs w:val="24"/>
          <w:lang w:eastAsia="zh-CN"/>
        </w:rPr>
        <w:t>）</w:t>
      </w:r>
      <w:r>
        <w:rPr>
          <w:rFonts w:hint="default" w:ascii="Times New Roman" w:hAnsi="Times New Roman" w:eastAsia="仿宋" w:cs="Times New Roman"/>
          <w:b/>
          <w:bCs/>
          <w:sz w:val="24"/>
          <w:szCs w:val="24"/>
        </w:rPr>
        <w:t>本项目采用政府采购电子化招标（线上线下相结合形式），请投标人认真学习北京市政府采购电子交易平台发布的相关操作指引、演示视频等，核实数字认证证书情况确认是否符合本项目电子化招标要求。</w:t>
      </w:r>
    </w:p>
    <w:p>
      <w:pPr>
        <w:pageBreakBefore w:val="0"/>
        <w:wordWrap/>
        <w:topLinePunct w:val="0"/>
        <w:bidi w:val="0"/>
        <w:spacing w:line="360" w:lineRule="auto"/>
        <w:ind w:firstLine="540"/>
        <w:rPr>
          <w:rFonts w:hint="default" w:ascii="Times New Roman" w:hAnsi="Times New Roman" w:eastAsia="仿宋" w:cs="Times New Roman"/>
          <w:b/>
          <w:bCs/>
          <w:sz w:val="24"/>
          <w:szCs w:val="24"/>
        </w:rPr>
      </w:pPr>
      <w:r>
        <w:rPr>
          <w:rFonts w:hint="eastAsia" w:eastAsia="仿宋" w:cs="Times New Roman"/>
          <w:b/>
          <w:bCs/>
          <w:sz w:val="24"/>
          <w:szCs w:val="24"/>
          <w:lang w:val="en-US" w:eastAsia="zh-CN"/>
        </w:rPr>
        <w:t>（2）</w:t>
      </w:r>
      <w:r>
        <w:rPr>
          <w:rFonts w:hint="default" w:ascii="Times New Roman" w:hAnsi="Times New Roman" w:eastAsia="仿宋" w:cs="Times New Roman"/>
          <w:b/>
          <w:bCs/>
          <w:sz w:val="24"/>
          <w:szCs w:val="24"/>
        </w:rPr>
        <w:t>投标人在北京市政府采购电子交易平台成功下载招标文件后，请扫描以下二维码，录入详细信息。</w:t>
      </w:r>
    </w:p>
    <w:p>
      <w:pPr>
        <w:pageBreakBefore w:val="0"/>
        <w:wordWrap/>
        <w:topLinePunct w:val="0"/>
        <w:bidi w:val="0"/>
        <w:spacing w:line="360" w:lineRule="auto"/>
        <w:ind w:firstLine="540"/>
        <w:jc w:val="center"/>
        <w:rPr>
          <w:rFonts w:hint="eastAsia"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drawing>
          <wp:inline distT="0" distB="0" distL="114300" distR="114300">
            <wp:extent cx="1094740" cy="1480185"/>
            <wp:effectExtent l="0" t="0" r="2540" b="13335"/>
            <wp:docPr id="1" name="图片 1" descr="报名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报名二维码"/>
                    <pic:cNvPicPr>
                      <a:picLocks noChangeAspect="1"/>
                    </pic:cNvPicPr>
                  </pic:nvPicPr>
                  <pic:blipFill>
                    <a:blip r:embed="rId4"/>
                    <a:stretch>
                      <a:fillRect/>
                    </a:stretch>
                  </pic:blipFill>
                  <pic:spPr>
                    <a:xfrm>
                      <a:off x="0" y="0"/>
                      <a:ext cx="1094740" cy="1480185"/>
                    </a:xfrm>
                    <a:prstGeom prst="rect">
                      <a:avLst/>
                    </a:prstGeom>
                  </pic:spPr>
                </pic:pic>
              </a:graphicData>
            </a:graphic>
          </wp:inline>
        </w:drawing>
      </w:r>
    </w:p>
    <w:p>
      <w:pPr>
        <w:pageBreakBefore w:val="0"/>
        <w:wordWrap/>
        <w:topLinePunct w:val="0"/>
        <w:bidi w:val="0"/>
        <w:spacing w:line="360" w:lineRule="auto"/>
        <w:ind w:firstLine="540"/>
        <w:jc w:val="both"/>
        <w:rPr>
          <w:rFonts w:hint="default" w:ascii="Times New Roman" w:hAnsi="Times New Roman" w:eastAsia="仿宋" w:cs="Times New Roman"/>
          <w:b/>
          <w:bCs/>
          <w:sz w:val="24"/>
          <w:szCs w:val="24"/>
        </w:rPr>
      </w:pPr>
      <w:bookmarkStart w:id="57" w:name="_GoBack"/>
      <w:bookmarkEnd w:id="57"/>
      <w:r>
        <w:rPr>
          <w:rFonts w:hint="default" w:ascii="Times New Roman" w:hAnsi="Times New Roman" w:eastAsia="仿宋" w:cs="Times New Roman"/>
          <w:sz w:val="24"/>
          <w:szCs w:val="24"/>
        </w:rPr>
        <w:t>售价：0元。</w:t>
      </w:r>
    </w:p>
    <w:p>
      <w:pPr>
        <w:pStyle w:val="2"/>
        <w:spacing w:before="0" w:after="0" w:line="360" w:lineRule="auto"/>
        <w:rPr>
          <w:rFonts w:hint="default" w:ascii="Times New Roman" w:hAnsi="Times New Roman" w:eastAsia="仿宋" w:cs="Times New Roman"/>
          <w:bCs w:val="0"/>
          <w:sz w:val="24"/>
          <w:szCs w:val="24"/>
        </w:rPr>
      </w:pPr>
      <w:bookmarkStart w:id="30" w:name="_Toc28359005"/>
      <w:bookmarkStart w:id="31" w:name="_Toc28359082"/>
      <w:bookmarkStart w:id="32" w:name="_Toc35393793"/>
      <w:bookmarkStart w:id="33" w:name="_Toc24584"/>
      <w:bookmarkStart w:id="34" w:name="_Toc35393624"/>
      <w:bookmarkStart w:id="35" w:name="_Toc28162"/>
      <w:r>
        <w:rPr>
          <w:rFonts w:hint="default" w:ascii="Times New Roman" w:hAnsi="Times New Roman" w:eastAsia="仿宋" w:cs="Times New Roman"/>
          <w:bCs w:val="0"/>
          <w:sz w:val="24"/>
          <w:szCs w:val="24"/>
        </w:rPr>
        <w:t>四、提交投标文件</w:t>
      </w:r>
      <w:bookmarkEnd w:id="30"/>
      <w:bookmarkEnd w:id="31"/>
      <w:r>
        <w:rPr>
          <w:rFonts w:hint="default" w:ascii="Times New Roman" w:hAnsi="Times New Roman" w:eastAsia="仿宋" w:cs="Times New Roman"/>
          <w:bCs w:val="0"/>
          <w:sz w:val="24"/>
          <w:szCs w:val="24"/>
        </w:rPr>
        <w:t>截止时间、开标时间和地点</w:t>
      </w:r>
      <w:bookmarkEnd w:id="32"/>
      <w:bookmarkEnd w:id="33"/>
      <w:bookmarkEnd w:id="34"/>
      <w:bookmarkEnd w:id="35"/>
    </w:p>
    <w:p>
      <w:pPr>
        <w:pageBreakBefore w:val="0"/>
        <w:wordWrap/>
        <w:topLinePunct w:val="0"/>
        <w:bidi w:val="0"/>
        <w:spacing w:line="360" w:lineRule="auto"/>
        <w:ind w:firstLine="480" w:firstLineChars="200"/>
        <w:rPr>
          <w:rFonts w:hint="default" w:ascii="Times New Roman" w:hAnsi="Times New Roman" w:eastAsia="仿宋" w:cs="Times New Roman"/>
          <w:bCs/>
          <w:sz w:val="24"/>
          <w:szCs w:val="24"/>
          <w:u w:val="single"/>
        </w:rPr>
      </w:pPr>
      <w:r>
        <w:rPr>
          <w:rFonts w:hint="default" w:ascii="Times New Roman" w:hAnsi="Times New Roman" w:eastAsia="仿宋" w:cs="Times New Roman"/>
          <w:bCs/>
          <w:sz w:val="24"/>
          <w:szCs w:val="24"/>
        </w:rPr>
        <w:t>时间：2021</w:t>
      </w:r>
      <w:r>
        <w:rPr>
          <w:rFonts w:hint="default" w:ascii="Times New Roman" w:hAnsi="Times New Roman" w:eastAsia="仿宋" w:cs="Times New Roman"/>
          <w:sz w:val="24"/>
          <w:szCs w:val="24"/>
        </w:rPr>
        <w:t>年</w:t>
      </w:r>
      <w:r>
        <w:rPr>
          <w:rFonts w:hint="default" w:ascii="Times New Roman" w:hAnsi="Times New Roman" w:eastAsia="仿宋" w:cs="Times New Roman"/>
          <w:color w:val="auto"/>
          <w:sz w:val="24"/>
          <w:szCs w:val="24"/>
        </w:rPr>
        <w:t>12月24日9</w:t>
      </w:r>
      <w:r>
        <w:rPr>
          <w:rFonts w:hint="default" w:ascii="Times New Roman" w:hAnsi="Times New Roman" w:eastAsia="仿宋" w:cs="Times New Roman"/>
          <w:bCs/>
          <w:color w:val="auto"/>
          <w:sz w:val="24"/>
          <w:szCs w:val="24"/>
        </w:rPr>
        <w:t>时</w:t>
      </w:r>
      <w:r>
        <w:rPr>
          <w:rFonts w:hint="default" w:ascii="Times New Roman" w:hAnsi="Times New Roman" w:eastAsia="仿宋" w:cs="Times New Roman"/>
          <w:color w:val="auto"/>
          <w:sz w:val="24"/>
          <w:szCs w:val="24"/>
        </w:rPr>
        <w:t>30</w:t>
      </w:r>
      <w:r>
        <w:rPr>
          <w:rFonts w:hint="default" w:ascii="Times New Roman" w:hAnsi="Times New Roman" w:eastAsia="仿宋" w:cs="Times New Roman"/>
          <w:bCs/>
          <w:color w:val="auto"/>
          <w:sz w:val="24"/>
          <w:szCs w:val="24"/>
        </w:rPr>
        <w:t>分</w:t>
      </w:r>
      <w:r>
        <w:rPr>
          <w:rFonts w:hint="default" w:ascii="Times New Roman" w:hAnsi="Times New Roman" w:eastAsia="仿宋" w:cs="Times New Roman"/>
          <w:bCs/>
          <w:sz w:val="24"/>
          <w:szCs w:val="24"/>
        </w:rPr>
        <w:t>（北京时间）</w:t>
      </w:r>
    </w:p>
    <w:p>
      <w:pPr>
        <w:spacing w:line="360" w:lineRule="auto"/>
        <w:ind w:firstLine="480" w:firstLineChars="200"/>
        <w:rPr>
          <w:rFonts w:hint="default" w:ascii="Times New Roman" w:hAnsi="Times New Roman" w:eastAsia="仿宋" w:cs="Times New Roman"/>
          <w:bCs/>
          <w:sz w:val="24"/>
          <w:szCs w:val="24"/>
          <w:u w:val="single"/>
        </w:rPr>
      </w:pPr>
      <w:r>
        <w:rPr>
          <w:rFonts w:hint="default" w:ascii="Times New Roman" w:hAnsi="Times New Roman" w:eastAsia="仿宋" w:cs="Times New Roman"/>
          <w:sz w:val="24"/>
          <w:szCs w:val="24"/>
        </w:rPr>
        <w:t>地点：北京市东城区朝内大街南竹杆胡同6号北京INN 3号楼</w:t>
      </w:r>
      <w:r>
        <w:rPr>
          <w:rFonts w:hint="default" w:ascii="Times New Roman" w:hAnsi="Times New Roman" w:eastAsia="仿宋" w:cs="Times New Roman"/>
          <w:color w:val="auto"/>
          <w:sz w:val="24"/>
          <w:szCs w:val="24"/>
        </w:rPr>
        <w:t>10层</w:t>
      </w:r>
      <w:r>
        <w:rPr>
          <w:rFonts w:hint="default" w:ascii="Times New Roman" w:hAnsi="Times New Roman" w:eastAsia="仿宋" w:cs="Times New Roman"/>
          <w:sz w:val="24"/>
          <w:szCs w:val="24"/>
        </w:rPr>
        <w:t>会议室（地铁2号线、6号线，朝阳门站H口出，向南200米）</w:t>
      </w:r>
    </w:p>
    <w:p>
      <w:pPr>
        <w:pStyle w:val="2"/>
        <w:spacing w:before="0" w:after="0" w:line="360" w:lineRule="auto"/>
        <w:rPr>
          <w:rFonts w:hint="default" w:ascii="Times New Roman" w:hAnsi="Times New Roman" w:eastAsia="仿宋" w:cs="Times New Roman"/>
          <w:bCs w:val="0"/>
          <w:sz w:val="24"/>
          <w:szCs w:val="24"/>
        </w:rPr>
      </w:pPr>
      <w:bookmarkStart w:id="36" w:name="_Toc7436"/>
      <w:bookmarkStart w:id="37" w:name="_Toc35393625"/>
      <w:bookmarkStart w:id="38" w:name="_Toc28359007"/>
      <w:bookmarkStart w:id="39" w:name="_Toc35393794"/>
      <w:bookmarkStart w:id="40" w:name="_Toc10605"/>
      <w:bookmarkStart w:id="41" w:name="_Toc28359084"/>
      <w:r>
        <w:rPr>
          <w:rFonts w:hint="default" w:ascii="Times New Roman" w:hAnsi="Times New Roman" w:eastAsia="仿宋" w:cs="Times New Roman"/>
          <w:bCs w:val="0"/>
          <w:sz w:val="24"/>
          <w:szCs w:val="24"/>
        </w:rPr>
        <w:t>五、公告期限</w:t>
      </w:r>
      <w:bookmarkEnd w:id="36"/>
      <w:bookmarkEnd w:id="37"/>
      <w:bookmarkEnd w:id="38"/>
      <w:bookmarkEnd w:id="39"/>
      <w:bookmarkEnd w:id="40"/>
      <w:bookmarkEnd w:id="41"/>
    </w:p>
    <w:p>
      <w:pPr>
        <w:spacing w:line="360" w:lineRule="auto"/>
        <w:ind w:firstLine="480" w:firstLineChars="20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自本公告发布之日起5个工作日。</w:t>
      </w:r>
    </w:p>
    <w:p>
      <w:pPr>
        <w:pStyle w:val="2"/>
        <w:spacing w:before="0" w:after="0" w:line="360" w:lineRule="auto"/>
        <w:rPr>
          <w:rFonts w:hint="default" w:ascii="Times New Roman" w:hAnsi="Times New Roman" w:eastAsia="仿宋" w:cs="Times New Roman"/>
          <w:bCs w:val="0"/>
          <w:sz w:val="24"/>
          <w:szCs w:val="24"/>
        </w:rPr>
      </w:pPr>
      <w:bookmarkStart w:id="42" w:name="_Toc5449"/>
      <w:bookmarkStart w:id="43" w:name="_Toc35393626"/>
      <w:bookmarkStart w:id="44" w:name="_Toc35393795"/>
      <w:bookmarkStart w:id="45" w:name="_Toc12204"/>
      <w:r>
        <w:rPr>
          <w:rFonts w:hint="default" w:ascii="Times New Roman" w:hAnsi="Times New Roman" w:eastAsia="仿宋" w:cs="Times New Roman"/>
          <w:bCs w:val="0"/>
          <w:sz w:val="24"/>
          <w:szCs w:val="24"/>
        </w:rPr>
        <w:t>六、其他补充事宜</w:t>
      </w:r>
      <w:bookmarkEnd w:id="42"/>
      <w:bookmarkEnd w:id="43"/>
      <w:bookmarkEnd w:id="44"/>
      <w:bookmarkEnd w:id="45"/>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6.1进口产品规定：依据财政部关于印发《政府采购进口产品管理办法》的通知（财库〔2007〕119号）的规定，本项目不允许进口产品参加投标。</w:t>
      </w:r>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6.2采购项目需要落实的政府采购政策：</w:t>
      </w:r>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（1）节能产品强制采购</w:t>
      </w:r>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（2）节能产品、环境标志产品优先采购</w:t>
      </w:r>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（3）政府采购促进中小企业发展</w:t>
      </w:r>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（4）政府采购支持监狱企业发展</w:t>
      </w:r>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（5）政府采购促进残疾人就业</w:t>
      </w:r>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（6）进口产品管理</w:t>
      </w:r>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6.3本公告同时在中国政府采购网（http://www.ccgp.gov.cn）、北京市政府采购网（http://www.ccgp-beijing.gov.cn/）以及北京汇诚金桥国际招标咨询有限公司网站（http://www.hcjq.net/）发布。</w:t>
      </w:r>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6.4中小微企业、监狱企业、残疾人福利性单位的文件依据：（1）、关于印发《政府采购促进中小企业发展管理办法》的通知（财库〔2020〕46号）、《关于印发中小企业划型标准规定的通知》（工信部联企业〔2011〕300号）；（2）、关于政府采购支持监狱企业发展有关问题的通知（财库〔2014〕68号）；（3）、关于促进残疾人就业政府采购政策的通知（财库〔2017〕141号）。</w:t>
      </w:r>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6.5采购代理机构项目编号：BJJQ-2021-967</w:t>
      </w:r>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6.6采购代理机构项目联系邮箱：yw03@hcjq.net</w:t>
      </w:r>
    </w:p>
    <w:p>
      <w:pPr>
        <w:pStyle w:val="2"/>
        <w:spacing w:before="0" w:after="0" w:line="360" w:lineRule="auto"/>
        <w:rPr>
          <w:rFonts w:hint="default" w:ascii="Times New Roman" w:hAnsi="Times New Roman" w:eastAsia="仿宋" w:cs="Times New Roman"/>
          <w:bCs w:val="0"/>
          <w:sz w:val="24"/>
          <w:szCs w:val="24"/>
        </w:rPr>
      </w:pPr>
      <w:bookmarkStart w:id="46" w:name="_Toc35393627"/>
      <w:bookmarkStart w:id="47" w:name="_Toc28359085"/>
      <w:bookmarkStart w:id="48" w:name="_Toc35393796"/>
      <w:bookmarkStart w:id="49" w:name="_Toc18484"/>
      <w:bookmarkStart w:id="50" w:name="_Toc28359008"/>
      <w:bookmarkStart w:id="51" w:name="_Toc11787"/>
      <w:r>
        <w:rPr>
          <w:rFonts w:hint="default" w:ascii="Times New Roman" w:hAnsi="Times New Roman" w:eastAsia="仿宋" w:cs="Times New Roman"/>
          <w:bCs w:val="0"/>
          <w:sz w:val="24"/>
          <w:szCs w:val="24"/>
        </w:rPr>
        <w:t>七、对本次招标提出询问，请按以下方式联系。</w:t>
      </w:r>
      <w:bookmarkEnd w:id="46"/>
      <w:bookmarkEnd w:id="47"/>
      <w:bookmarkEnd w:id="48"/>
      <w:bookmarkEnd w:id="49"/>
      <w:bookmarkEnd w:id="50"/>
      <w:bookmarkEnd w:id="51"/>
    </w:p>
    <w:p>
      <w:pPr>
        <w:widowControl/>
        <w:spacing w:line="360" w:lineRule="auto"/>
        <w:ind w:firstLine="480" w:firstLineChars="20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 采购人信息</w:t>
      </w:r>
    </w:p>
    <w:p>
      <w:pPr>
        <w:spacing w:line="360" w:lineRule="auto"/>
        <w:ind w:firstLine="480" w:firstLineChars="20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名称：北京市特种设备检测中心</w:t>
      </w:r>
    </w:p>
    <w:p>
      <w:pPr>
        <w:spacing w:line="360" w:lineRule="auto"/>
        <w:ind w:firstLine="480" w:firstLineChars="200"/>
        <w:jc w:val="left"/>
        <w:rPr>
          <w:rFonts w:hint="default" w:ascii="Times New Roman" w:hAnsi="Times New Roman" w:eastAsia="仿宋" w:cs="Times New Roman"/>
          <w:sz w:val="24"/>
          <w:szCs w:val="24"/>
        </w:rPr>
      </w:pPr>
      <w:bookmarkStart w:id="52" w:name="_Hlk89288165"/>
      <w:r>
        <w:rPr>
          <w:rFonts w:hint="default" w:ascii="Times New Roman" w:hAnsi="Times New Roman" w:eastAsia="仿宋" w:cs="Times New Roman"/>
          <w:sz w:val="24"/>
          <w:szCs w:val="24"/>
        </w:rPr>
        <w:t>地址：北京市朝阳区惠新东街3号</w:t>
      </w:r>
    </w:p>
    <w:p>
      <w:pPr>
        <w:spacing w:line="360" w:lineRule="auto"/>
        <w:ind w:firstLine="480" w:firstLineChars="20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联系方式：010-</w:t>
      </w:r>
      <w:bookmarkStart w:id="53" w:name="_Toc28359009"/>
      <w:bookmarkStart w:id="54" w:name="_Toc28359086"/>
      <w:r>
        <w:rPr>
          <w:rFonts w:hint="default" w:ascii="Times New Roman" w:hAnsi="Times New Roman" w:eastAsia="仿宋" w:cs="Times New Roman"/>
          <w:sz w:val="24"/>
          <w:szCs w:val="24"/>
        </w:rPr>
        <w:t>57520677</w:t>
      </w:r>
    </w:p>
    <w:bookmarkEnd w:id="52"/>
    <w:p>
      <w:pPr>
        <w:numPr>
          <w:ilvl w:val="0"/>
          <w:numId w:val="1"/>
        </w:numPr>
        <w:spacing w:line="360" w:lineRule="auto"/>
        <w:ind w:firstLine="480" w:firstLineChars="20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采购代理机构信息</w:t>
      </w:r>
      <w:bookmarkEnd w:id="53"/>
      <w:bookmarkEnd w:id="54"/>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名称：北京汇诚金桥国际招标有限公司</w:t>
      </w:r>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地址：北京市东城区朝内大街南竹杆胡同6号北京INN3号楼9层</w:t>
      </w:r>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联系方式：</w:t>
      </w:r>
      <w:bookmarkStart w:id="55" w:name="_Toc28359010"/>
      <w:bookmarkStart w:id="56" w:name="_Toc28359087"/>
      <w:r>
        <w:rPr>
          <w:rFonts w:hint="default" w:ascii="Times New Roman" w:hAnsi="Times New Roman" w:eastAsia="仿宋" w:cs="Times New Roman"/>
          <w:sz w:val="24"/>
          <w:szCs w:val="24"/>
        </w:rPr>
        <w:t>010-65244483、65173825（前台：010-65910924）</w:t>
      </w:r>
    </w:p>
    <w:p>
      <w:pPr>
        <w:numPr>
          <w:ilvl w:val="0"/>
          <w:numId w:val="1"/>
        </w:num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项目联系方式</w:t>
      </w:r>
      <w:bookmarkEnd w:id="55"/>
      <w:bookmarkEnd w:id="56"/>
    </w:p>
    <w:p>
      <w:pPr>
        <w:pStyle w:val="4"/>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项目联系人：王秋凌、李辰</w:t>
      </w:r>
    </w:p>
    <w:p>
      <w:pPr>
        <w:pStyle w:val="4"/>
        <w:spacing w:line="360" w:lineRule="auto"/>
        <w:ind w:firstLine="480" w:firstLineChars="200"/>
      </w:pPr>
      <w:r>
        <w:rPr>
          <w:rFonts w:hint="default" w:ascii="Times New Roman" w:hAnsi="Times New Roman" w:eastAsia="仿宋" w:cs="Times New Roman"/>
          <w:sz w:val="24"/>
          <w:szCs w:val="24"/>
        </w:rPr>
        <w:t>电话：010-65244483、65173825（前台：010-65910924）</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376F39"/>
    <w:multiLevelType w:val="singleLevel"/>
    <w:tmpl w:val="C3376F39"/>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B120C8"/>
    <w:rsid w:val="0DCE0EC0"/>
    <w:rsid w:val="0FBC00A7"/>
    <w:rsid w:val="10215344"/>
    <w:rsid w:val="4317509A"/>
    <w:rsid w:val="4B12398A"/>
    <w:rsid w:val="7E7F3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Plain Text"/>
    <w:basedOn w:val="1"/>
    <w:qFormat/>
    <w:uiPriority w:val="99"/>
    <w:rPr>
      <w:rFonts w:ascii="宋体" w:hAnsi="Courier Ne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2021-12-02T01:37:00Z</dcterms:created>
  <dc:creator>q5</dc:creator>
  <cp:lastModifiedBy>李辰</cp:lastModifiedBy>
  <cp:lastPrinted>2021-12-02T05:49:42Z</cp:lastPrinted>
  <dcterms:modified xsi:type="dcterms:W3CDTF">2021-12-02T06:07:27Z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DAB29D1E237543B9B0A3B581246CC6C8</vt:lpwstr>
  </property>
</Properties>
</file>