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left"/>
        <w:rPr>
          <w:rFonts w:ascii="宋体" w:hAnsi="宋体" w:eastAsia="宋体" w:cs="宋体"/>
          <w:color w:val="404040"/>
          <w:kern w:val="0"/>
          <w:szCs w:val="21"/>
        </w:rPr>
      </w:pPr>
      <w:r>
        <w:rPr>
          <w:color w:val="404040"/>
          <w:szCs w:val="21"/>
        </w:rPr>
        <w:t>*</w:t>
      </w:r>
      <w:r>
        <w:rPr>
          <w:rFonts w:ascii="宋体" w:hAnsi="宋体" w:eastAsia="宋体" w:cs="宋体"/>
          <w:color w:val="404040"/>
          <w:kern w:val="0"/>
          <w:szCs w:val="21"/>
        </w:rPr>
        <w:t>项目名称：</w:t>
      </w:r>
      <w:r>
        <w:rPr>
          <w:rFonts w:hint="eastAsia" w:ascii="宋体" w:hAnsi="宋体" w:eastAsia="宋体" w:cs="宋体"/>
          <w:color w:val="404040"/>
          <w:kern w:val="0"/>
          <w:szCs w:val="21"/>
        </w:rPr>
        <w:t>2022年冬奥会和冬残奥会食品安全保证检验检测仪器设备配置项目（第二批第二部分）【重新招标】</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*机构项目编号：TC190S9ZF</w:t>
      </w:r>
    </w:p>
    <w:p>
      <w:pPr>
        <w:widowControl/>
        <w:shd w:val="clear" w:color="auto" w:fill="FFFFFF"/>
        <w:spacing w:line="450" w:lineRule="atLeast"/>
        <w:jc w:val="left"/>
        <w:rPr>
          <w:rFonts w:hint="eastAsia" w:ascii="宋体" w:hAnsi="宋体" w:eastAsia="宋体" w:cs="宋体"/>
          <w:color w:val="404040"/>
          <w:kern w:val="0"/>
          <w:szCs w:val="21"/>
          <w:lang w:eastAsia="zh-CN"/>
        </w:rPr>
      </w:pPr>
      <w:r>
        <w:rPr>
          <w:rFonts w:ascii="宋体" w:hAnsi="宋体" w:eastAsia="宋体" w:cs="宋体"/>
          <w:color w:val="404040"/>
          <w:kern w:val="0"/>
          <w:szCs w:val="21"/>
        </w:rPr>
        <w:t>*项目联系人：</w:t>
      </w:r>
      <w:r>
        <w:rPr>
          <w:rFonts w:hint="eastAsia" w:ascii="宋体" w:hAnsi="宋体" w:eastAsia="宋体" w:cs="宋体"/>
          <w:color w:val="404040"/>
          <w:kern w:val="0"/>
          <w:szCs w:val="21"/>
        </w:rPr>
        <w:t>王先生、</w:t>
      </w:r>
      <w:r>
        <w:rPr>
          <w:rFonts w:hint="eastAsia" w:ascii="宋体" w:hAnsi="宋体" w:eastAsia="宋体" w:cs="宋体"/>
          <w:color w:val="404040"/>
          <w:kern w:val="0"/>
          <w:szCs w:val="21"/>
          <w:lang w:val="en-US" w:eastAsia="zh-CN"/>
        </w:rPr>
        <w:t>王女士</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*项目联系电话：</w:t>
      </w:r>
      <w:r>
        <w:rPr>
          <w:rFonts w:hint="eastAsia" w:ascii="宋体" w:hAnsi="宋体" w:eastAsia="宋体" w:cs="宋体"/>
          <w:color w:val="404040"/>
          <w:kern w:val="0"/>
          <w:szCs w:val="21"/>
        </w:rPr>
        <w:t>010-62101080</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*行政区域：北京</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*采购单位：</w:t>
      </w:r>
      <w:r>
        <w:rPr>
          <w:rFonts w:hint="eastAsia" w:ascii="宋体" w:hAnsi="宋体" w:eastAsia="宋体" w:cs="宋体"/>
          <w:color w:val="404040"/>
          <w:kern w:val="0"/>
          <w:szCs w:val="21"/>
        </w:rPr>
        <w:t>北京市食品安全监控和风险评估中心（北京市食品检验所）</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*采购单位联系方式：</w:t>
      </w:r>
      <w:r>
        <w:rPr>
          <w:rFonts w:hint="eastAsia" w:ascii="宋体" w:hAnsi="宋体" w:eastAsia="宋体" w:cs="宋体"/>
          <w:color w:val="404040"/>
          <w:kern w:val="0"/>
          <w:szCs w:val="21"/>
        </w:rPr>
        <w:t xml:space="preserve">孙老师 010- 82479315 </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*采购单位联系地址：</w:t>
      </w:r>
      <w:r>
        <w:rPr>
          <w:rFonts w:hint="eastAsia" w:ascii="宋体" w:hAnsi="宋体" w:eastAsia="宋体" w:cs="宋体"/>
          <w:color w:val="404040"/>
          <w:kern w:val="0"/>
          <w:szCs w:val="21"/>
        </w:rPr>
        <w:t>北京市海淀区丰德东路17号</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*代理机构名称：中招国际招标有限公司</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*代理机构联系方式：</w:t>
      </w:r>
      <w:r>
        <w:rPr>
          <w:rFonts w:hint="eastAsia" w:ascii="宋体" w:hAnsi="宋体" w:eastAsia="宋体" w:cs="宋体"/>
          <w:color w:val="404040"/>
          <w:kern w:val="0"/>
          <w:szCs w:val="21"/>
        </w:rPr>
        <w:t>010-62101080</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*代理机构联系地址：</w:t>
      </w:r>
      <w:r>
        <w:rPr>
          <w:rFonts w:hint="eastAsia" w:ascii="宋体" w:hAnsi="宋体" w:eastAsia="宋体" w:cs="宋体"/>
          <w:color w:val="404040"/>
          <w:kern w:val="0"/>
          <w:szCs w:val="21"/>
        </w:rPr>
        <w:t>北京市海淀区学院南路中关村资本大厦</w:t>
      </w:r>
    </w:p>
    <w:p>
      <w:pPr>
        <w:widowControl/>
        <w:shd w:val="clear" w:color="auto" w:fill="FFFFFF"/>
        <w:spacing w:line="450" w:lineRule="atLeast"/>
        <w:jc w:val="left"/>
        <w:rPr>
          <w:rFonts w:ascii="宋体" w:hAnsi="宋体" w:eastAsia="宋体" w:cs="宋体"/>
          <w:color w:val="404040"/>
          <w:kern w:val="0"/>
          <w:szCs w:val="21"/>
        </w:rPr>
      </w:pPr>
      <w:r>
        <w:rPr>
          <w:rFonts w:ascii="宋体" w:hAnsi="宋体" w:eastAsia="宋体" w:cs="宋体"/>
          <w:color w:val="404040"/>
          <w:kern w:val="0"/>
          <w:szCs w:val="21"/>
        </w:rPr>
        <w:t>*采购品目：</w:t>
      </w:r>
      <w:r>
        <w:rPr>
          <w:rFonts w:hint="eastAsia" w:ascii="宋体" w:hAnsi="宋体" w:eastAsia="宋体" w:cs="宋体"/>
          <w:color w:val="404040"/>
          <w:kern w:val="0"/>
          <w:szCs w:val="21"/>
        </w:rPr>
        <w:t xml:space="preserve"> B090116 食品检测仪(参见</w:t>
      </w:r>
      <w:r>
        <w:rPr>
          <w:rFonts w:ascii="宋体" w:hAnsi="宋体" w:eastAsia="宋体" w:cs="宋体"/>
          <w:color w:val="404040"/>
          <w:kern w:val="0"/>
          <w:szCs w:val="21"/>
        </w:rPr>
        <w:t>政府采购品目分类</w:t>
      </w:r>
      <w:r>
        <w:rPr>
          <w:rFonts w:hint="eastAsia" w:ascii="宋体" w:hAnsi="宋体" w:eastAsia="宋体" w:cs="宋体"/>
          <w:color w:val="404040"/>
          <w:kern w:val="0"/>
          <w:szCs w:val="21"/>
        </w:rPr>
        <w:t>)</w:t>
      </w:r>
    </w:p>
    <w:p>
      <w:pPr>
        <w:rPr>
          <w:color w:val="404040"/>
          <w:szCs w:val="21"/>
        </w:rPr>
      </w:pPr>
      <w:r>
        <w:rPr>
          <w:color w:val="404040"/>
          <w:szCs w:val="21"/>
        </w:rPr>
        <w:t>*行业划分：</w:t>
      </w:r>
      <w:r>
        <w:rPr>
          <w:rFonts w:hint="eastAsia"/>
          <w:color w:val="404040"/>
          <w:szCs w:val="21"/>
        </w:rPr>
        <w:t>Q</w:t>
      </w:r>
    </w:p>
    <w:p>
      <w:pPr>
        <w:widowControl/>
        <w:jc w:val="left"/>
        <w:rPr>
          <w:rFonts w:ascii="宋体" w:hAnsi="宋体" w:eastAsia="宋体" w:cs="宋体"/>
          <w:kern w:val="0"/>
          <w:szCs w:val="21"/>
        </w:rPr>
      </w:pPr>
      <w:r>
        <w:rPr>
          <w:rFonts w:ascii="宋体" w:hAnsi="宋体" w:eastAsia="宋体" w:cs="宋体"/>
          <w:kern w:val="0"/>
          <w:szCs w:val="21"/>
        </w:rPr>
        <w:drawing>
          <wp:inline distT="0" distB="0" distL="0" distR="0">
            <wp:extent cx="4667250" cy="3434715"/>
            <wp:effectExtent l="0" t="0" r="0" b="0"/>
            <wp:docPr id="9" name="图片 9" descr="C:\Users\xr\Documents\Tencent Files\93008370\Image\C2C\9UJ2V92FWY$3Z7AVTXYRU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xr\Documents\Tencent Files\93008370\Image\C2C\9UJ2V92FWY$3Z7AVTXYRUQ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667250" cy="3434715"/>
                    </a:xfrm>
                    <a:prstGeom prst="rect">
                      <a:avLst/>
                    </a:prstGeom>
                    <a:noFill/>
                    <a:ln>
                      <a:noFill/>
                    </a:ln>
                  </pic:spPr>
                </pic:pic>
              </a:graphicData>
            </a:graphic>
          </wp:inline>
        </w:drawing>
      </w:r>
    </w:p>
    <w:p>
      <w:pPr>
        <w:widowControl/>
        <w:jc w:val="left"/>
        <w:rPr>
          <w:rFonts w:ascii="宋体" w:hAnsi="宋体" w:eastAsia="宋体" w:cs="宋体"/>
          <w:kern w:val="0"/>
          <w:szCs w:val="21"/>
        </w:rPr>
      </w:pPr>
      <w:r>
        <w:rPr>
          <w:rFonts w:ascii="宋体" w:hAnsi="宋体" w:eastAsia="宋体" w:cs="宋体"/>
          <w:kern w:val="0"/>
          <w:szCs w:val="21"/>
        </w:rPr>
        <w:drawing>
          <wp:inline distT="0" distB="0" distL="0" distR="0">
            <wp:extent cx="4714875" cy="3689350"/>
            <wp:effectExtent l="0" t="0" r="9525" b="6350"/>
            <wp:docPr id="2" name="图片 2" descr="C:\Users\xr\Documents\Tencent Files\93008370\Image\C2C\{~VGDJSZDME$_D)T$QX{6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r\Documents\Tencent Files\93008370\Image\C2C\{~VGDJSZDME$_D)T$QX{6P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14875" cy="3689350"/>
                    </a:xfrm>
                    <a:prstGeom prst="rect">
                      <a:avLst/>
                    </a:prstGeom>
                    <a:noFill/>
                    <a:ln>
                      <a:noFill/>
                    </a:ln>
                  </pic:spPr>
                </pic:pic>
              </a:graphicData>
            </a:graphic>
          </wp:inline>
        </w:drawing>
      </w:r>
    </w:p>
    <w:p>
      <w:pPr>
        <w:widowControl/>
        <w:jc w:val="left"/>
        <w:rPr>
          <w:color w:val="404040"/>
          <w:szCs w:val="21"/>
        </w:rPr>
      </w:pPr>
      <w:r>
        <w:rPr>
          <w:color w:val="404040"/>
          <w:szCs w:val="21"/>
        </w:rPr>
        <w:t>*预算金额：</w:t>
      </w:r>
      <w:r>
        <w:rPr>
          <w:rFonts w:hint="eastAsia"/>
          <w:color w:val="404040"/>
          <w:szCs w:val="21"/>
        </w:rPr>
        <w:t>2082.5</w:t>
      </w:r>
      <w:r>
        <w:rPr>
          <w:color w:val="404040"/>
          <w:szCs w:val="21"/>
        </w:rPr>
        <w:t>单位：万元（人民币）</w:t>
      </w:r>
    </w:p>
    <w:p>
      <w:pPr>
        <w:widowControl/>
        <w:jc w:val="left"/>
        <w:rPr>
          <w:color w:val="404040"/>
          <w:szCs w:val="21"/>
        </w:rPr>
      </w:pPr>
      <w:r>
        <w:rPr>
          <w:color w:val="404040"/>
          <w:szCs w:val="21"/>
        </w:rPr>
        <w:t>*投标截止时间</w:t>
      </w:r>
      <w:r>
        <w:rPr>
          <w:rFonts w:hint="eastAsia"/>
          <w:color w:val="404040"/>
          <w:szCs w:val="21"/>
        </w:rPr>
        <w:t>:2019年1</w:t>
      </w:r>
      <w:r>
        <w:rPr>
          <w:color w:val="404040"/>
          <w:szCs w:val="21"/>
        </w:rPr>
        <w:t>1</w:t>
      </w:r>
      <w:r>
        <w:rPr>
          <w:rFonts w:hint="eastAsia"/>
          <w:color w:val="404040"/>
          <w:szCs w:val="21"/>
        </w:rPr>
        <w:t>月</w:t>
      </w:r>
      <w:r>
        <w:rPr>
          <w:rFonts w:hint="eastAsia"/>
          <w:color w:val="404040"/>
          <w:szCs w:val="21"/>
          <w:lang w:val="en-US" w:eastAsia="zh-CN"/>
        </w:rPr>
        <w:t>11</w:t>
      </w:r>
      <w:r>
        <w:rPr>
          <w:rFonts w:hint="eastAsia"/>
          <w:color w:val="404040"/>
          <w:szCs w:val="21"/>
        </w:rPr>
        <w:t>日9：30时</w:t>
      </w:r>
    </w:p>
    <w:p>
      <w:pPr>
        <w:widowControl/>
        <w:jc w:val="left"/>
        <w:rPr>
          <w:color w:val="404040"/>
          <w:szCs w:val="21"/>
        </w:rPr>
      </w:pPr>
      <w:r>
        <w:rPr>
          <w:color w:val="404040"/>
          <w:szCs w:val="21"/>
        </w:rPr>
        <w:t>*开标时间：</w:t>
      </w:r>
      <w:r>
        <w:rPr>
          <w:rFonts w:hint="eastAsia"/>
          <w:color w:val="404040"/>
          <w:szCs w:val="21"/>
        </w:rPr>
        <w:t>2019年1</w:t>
      </w:r>
      <w:r>
        <w:rPr>
          <w:color w:val="404040"/>
          <w:szCs w:val="21"/>
        </w:rPr>
        <w:t>1</w:t>
      </w:r>
      <w:r>
        <w:rPr>
          <w:rFonts w:hint="eastAsia"/>
          <w:color w:val="404040"/>
          <w:szCs w:val="21"/>
        </w:rPr>
        <w:t>月</w:t>
      </w:r>
      <w:r>
        <w:rPr>
          <w:rFonts w:hint="eastAsia"/>
          <w:color w:val="404040"/>
          <w:szCs w:val="21"/>
          <w:lang w:val="en-US" w:eastAsia="zh-CN"/>
        </w:rPr>
        <w:t>11</w:t>
      </w:r>
      <w:r>
        <w:rPr>
          <w:rFonts w:hint="eastAsia"/>
          <w:color w:val="404040"/>
          <w:szCs w:val="21"/>
        </w:rPr>
        <w:t>日9：30时（北京时间）</w:t>
      </w:r>
    </w:p>
    <w:p>
      <w:pPr>
        <w:widowControl/>
        <w:jc w:val="left"/>
        <w:rPr>
          <w:color w:val="404040"/>
          <w:szCs w:val="21"/>
        </w:rPr>
      </w:pPr>
      <w:r>
        <w:rPr>
          <w:color w:val="404040"/>
          <w:szCs w:val="21"/>
        </w:rPr>
        <w:t>*获取招标文件时间：</w:t>
      </w:r>
      <w:r>
        <w:rPr>
          <w:rFonts w:hint="eastAsia"/>
          <w:color w:val="404040"/>
          <w:szCs w:val="21"/>
        </w:rPr>
        <w:t>2019年</w:t>
      </w:r>
      <w:r>
        <w:rPr>
          <w:color w:val="404040"/>
          <w:szCs w:val="21"/>
        </w:rPr>
        <w:t>10</w:t>
      </w:r>
      <w:r>
        <w:rPr>
          <w:rFonts w:hint="eastAsia"/>
          <w:color w:val="404040"/>
          <w:szCs w:val="21"/>
        </w:rPr>
        <w:t>月</w:t>
      </w:r>
      <w:r>
        <w:rPr>
          <w:rFonts w:hint="eastAsia"/>
          <w:color w:val="404040"/>
          <w:szCs w:val="21"/>
          <w:lang w:val="en-US" w:eastAsia="zh-CN"/>
        </w:rPr>
        <w:t>21</w:t>
      </w:r>
      <w:r>
        <w:rPr>
          <w:rFonts w:hint="eastAsia"/>
          <w:color w:val="404040"/>
          <w:szCs w:val="21"/>
        </w:rPr>
        <w:t>日至2019年</w:t>
      </w:r>
      <w:r>
        <w:rPr>
          <w:color w:val="404040"/>
          <w:szCs w:val="21"/>
        </w:rPr>
        <w:t>10</w:t>
      </w:r>
      <w:r>
        <w:rPr>
          <w:rFonts w:hint="eastAsia"/>
          <w:color w:val="404040"/>
          <w:szCs w:val="21"/>
        </w:rPr>
        <w:t>月</w:t>
      </w:r>
      <w:r>
        <w:rPr>
          <w:color w:val="404040"/>
          <w:szCs w:val="21"/>
        </w:rPr>
        <w:t>2</w:t>
      </w:r>
      <w:r>
        <w:rPr>
          <w:rFonts w:hint="eastAsia"/>
          <w:color w:val="404040"/>
          <w:szCs w:val="21"/>
          <w:lang w:val="en-US" w:eastAsia="zh-CN"/>
        </w:rPr>
        <w:t>8</w:t>
      </w:r>
      <w:r>
        <w:rPr>
          <w:rFonts w:hint="eastAsia"/>
          <w:color w:val="404040"/>
          <w:szCs w:val="21"/>
        </w:rPr>
        <w:t>日 (节假日除外)，上午9:00至11:00；下午1:30至4:30（北京时间）</w:t>
      </w:r>
    </w:p>
    <w:p>
      <w:pPr>
        <w:widowControl/>
        <w:jc w:val="left"/>
        <w:rPr>
          <w:color w:val="404040"/>
          <w:szCs w:val="21"/>
        </w:rPr>
      </w:pPr>
      <w:r>
        <w:rPr>
          <w:color w:val="404040"/>
          <w:szCs w:val="21"/>
        </w:rPr>
        <w:t>*获取招标文件的地点：</w:t>
      </w:r>
      <w:r>
        <w:rPr>
          <w:rFonts w:hint="eastAsia"/>
          <w:color w:val="404040"/>
          <w:szCs w:val="21"/>
        </w:rPr>
        <w:t>线上报名</w:t>
      </w:r>
      <w:bookmarkStart w:id="0" w:name="_GoBack"/>
      <w:bookmarkEnd w:id="0"/>
    </w:p>
    <w:p>
      <w:pPr>
        <w:widowControl/>
        <w:jc w:val="left"/>
        <w:rPr>
          <w:color w:val="404040"/>
          <w:szCs w:val="21"/>
        </w:rPr>
      </w:pPr>
      <w:r>
        <w:rPr>
          <w:color w:val="404040"/>
          <w:szCs w:val="21"/>
        </w:rPr>
        <w:t>*获取招标文件的方式或事项：</w:t>
      </w:r>
      <w:r>
        <w:rPr>
          <w:rFonts w:hint="eastAsia"/>
          <w:color w:val="404040"/>
          <w:szCs w:val="21"/>
        </w:rPr>
        <w:t>本项目只接受网上报名；请满足条件的供应商登录中招联合招标采购平台（http://www.365trade.com.cn）或在中招国际招标有限公司网站主页进行免费注册，并上传营业执照、与相关的资料和法定代表人授权书，审核通过后购买并下载（发售）招标文件，招标文件售后不退。</w:t>
      </w:r>
    </w:p>
    <w:p>
      <w:pPr>
        <w:widowControl/>
        <w:jc w:val="left"/>
        <w:rPr>
          <w:color w:val="404040"/>
          <w:szCs w:val="21"/>
        </w:rPr>
      </w:pPr>
      <w:r>
        <w:rPr>
          <w:color w:val="404040"/>
          <w:szCs w:val="21"/>
        </w:rPr>
        <w:t>*招标文件售价：</w:t>
      </w:r>
      <w:r>
        <w:rPr>
          <w:rFonts w:hint="eastAsia"/>
          <w:color w:val="404040"/>
          <w:szCs w:val="21"/>
        </w:rPr>
        <w:t>200元/包</w:t>
      </w:r>
    </w:p>
    <w:p>
      <w:pPr>
        <w:widowControl/>
        <w:jc w:val="left"/>
        <w:rPr>
          <w:color w:val="404040"/>
          <w:szCs w:val="21"/>
        </w:rPr>
      </w:pPr>
      <w:r>
        <w:rPr>
          <w:color w:val="404040"/>
          <w:szCs w:val="21"/>
        </w:rPr>
        <w:t>*开标地点：</w:t>
      </w:r>
      <w:r>
        <w:rPr>
          <w:rFonts w:hint="eastAsia"/>
          <w:color w:val="404040"/>
          <w:szCs w:val="21"/>
        </w:rPr>
        <w:t>北京市海淀区学院南路中关村资本大厦6层</w:t>
      </w:r>
      <w:r>
        <w:rPr>
          <w:rFonts w:hint="eastAsia"/>
          <w:color w:val="404040"/>
          <w:szCs w:val="21"/>
          <w:lang w:val="en-US" w:eastAsia="zh-CN"/>
        </w:rPr>
        <w:t>第九</w:t>
      </w:r>
      <w:r>
        <w:rPr>
          <w:rFonts w:hint="eastAsia"/>
          <w:color w:val="404040"/>
          <w:szCs w:val="21"/>
        </w:rPr>
        <w:t>会议室</w:t>
      </w:r>
      <w:r>
        <w:rPr>
          <w:color w:val="404040"/>
          <w:szCs w:val="21"/>
        </w:rPr>
        <w:t>。</w:t>
      </w:r>
      <w:r>
        <w:rPr>
          <w:rFonts w:hint="eastAsia"/>
          <w:color w:val="404040"/>
          <w:szCs w:val="21"/>
        </w:rPr>
        <w:t>（如有变更另行通知）</w:t>
      </w:r>
    </w:p>
    <w:p>
      <w:pPr>
        <w:widowControl/>
        <w:jc w:val="left"/>
        <w:rPr>
          <w:color w:val="404040"/>
          <w:szCs w:val="21"/>
        </w:rPr>
      </w:pPr>
      <w:r>
        <w:rPr>
          <w:color w:val="404040"/>
          <w:szCs w:val="21"/>
        </w:rPr>
        <w:t>*投标人的资格要求：</w:t>
      </w:r>
    </w:p>
    <w:p>
      <w:pPr>
        <w:rPr>
          <w:color w:val="404040"/>
          <w:szCs w:val="21"/>
        </w:rPr>
      </w:pPr>
      <w:r>
        <w:rPr>
          <w:rFonts w:hint="eastAsia"/>
          <w:color w:val="404040"/>
          <w:szCs w:val="21"/>
        </w:rPr>
        <w:t>投标单位资格条件</w:t>
      </w:r>
    </w:p>
    <w:p>
      <w:pPr>
        <w:rPr>
          <w:color w:val="404040"/>
          <w:szCs w:val="21"/>
        </w:rPr>
      </w:pPr>
      <w:r>
        <w:rPr>
          <w:rFonts w:hint="eastAsia"/>
          <w:color w:val="404040"/>
          <w:szCs w:val="21"/>
        </w:rPr>
        <w:t>（1）投标人须符合《政府采购法》第二十二条规定：</w:t>
      </w:r>
    </w:p>
    <w:p>
      <w:pPr>
        <w:rPr>
          <w:color w:val="404040"/>
          <w:szCs w:val="21"/>
        </w:rPr>
      </w:pPr>
      <w:r>
        <w:rPr>
          <w:rFonts w:hint="eastAsia"/>
          <w:color w:val="404040"/>
          <w:szCs w:val="21"/>
        </w:rPr>
        <w:t>A.中华人民共和国境内具有独立承担民事责任能力的供应商，包括法人、其他组织或自然人；</w:t>
      </w:r>
    </w:p>
    <w:p>
      <w:pPr>
        <w:rPr>
          <w:color w:val="404040"/>
          <w:szCs w:val="21"/>
        </w:rPr>
      </w:pPr>
      <w:r>
        <w:rPr>
          <w:rFonts w:hint="eastAsia"/>
          <w:color w:val="404040"/>
          <w:szCs w:val="21"/>
        </w:rPr>
        <w:t>B.具有良好的商业信誉和健全的财务会计制度；</w:t>
      </w:r>
    </w:p>
    <w:p>
      <w:pPr>
        <w:rPr>
          <w:color w:val="404040"/>
          <w:szCs w:val="21"/>
        </w:rPr>
      </w:pPr>
      <w:r>
        <w:rPr>
          <w:rFonts w:hint="eastAsia"/>
          <w:color w:val="404040"/>
          <w:szCs w:val="21"/>
        </w:rPr>
        <w:t>C.具有履行合同所必需的设备和专业技术能力；</w:t>
      </w:r>
    </w:p>
    <w:p>
      <w:pPr>
        <w:rPr>
          <w:color w:val="404040"/>
          <w:szCs w:val="21"/>
        </w:rPr>
      </w:pPr>
      <w:r>
        <w:rPr>
          <w:rFonts w:hint="eastAsia"/>
          <w:color w:val="404040"/>
          <w:szCs w:val="21"/>
        </w:rPr>
        <w:t>D.有依法缴纳税收和社会保障资金的良好记录；</w:t>
      </w:r>
    </w:p>
    <w:p>
      <w:pPr>
        <w:rPr>
          <w:color w:val="404040"/>
          <w:szCs w:val="21"/>
        </w:rPr>
      </w:pPr>
      <w:r>
        <w:rPr>
          <w:rFonts w:hint="eastAsia"/>
          <w:color w:val="404040"/>
          <w:szCs w:val="21"/>
        </w:rPr>
        <w:t>E.参加本次政府采购活动前三年内，在经营活动中没有重大违法记录；</w:t>
      </w:r>
    </w:p>
    <w:p>
      <w:pPr>
        <w:rPr>
          <w:color w:val="404040"/>
          <w:szCs w:val="21"/>
        </w:rPr>
      </w:pPr>
      <w:r>
        <w:rPr>
          <w:rFonts w:hint="eastAsia"/>
          <w:color w:val="404040"/>
          <w:szCs w:val="21"/>
        </w:rPr>
        <w:t>F．法律、行政法规规定的其他条件；</w:t>
      </w:r>
    </w:p>
    <w:p>
      <w:pPr>
        <w:rPr>
          <w:color w:val="404040"/>
          <w:szCs w:val="21"/>
        </w:rPr>
      </w:pPr>
      <w:r>
        <w:rPr>
          <w:rFonts w:hint="eastAsia"/>
          <w:color w:val="404040"/>
          <w:szCs w:val="21"/>
        </w:rPr>
        <w:t>（2）本项目接受进口产品投标（进口产品是指通过中国海关报关验放进入中国境内且产自关境外的产品），详见“第八章 货物需求一览表及技术规格”，若代理商投标须提供制造商针对本项目的授权书；</w:t>
      </w:r>
    </w:p>
    <w:p>
      <w:pPr>
        <w:rPr>
          <w:color w:val="404040"/>
          <w:szCs w:val="21"/>
        </w:rPr>
      </w:pPr>
      <w:r>
        <w:rPr>
          <w:rFonts w:hint="eastAsia"/>
          <w:color w:val="404040"/>
          <w:szCs w:val="21"/>
        </w:rPr>
        <w:t>（3）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p>
    <w:p>
      <w:pPr>
        <w:rPr>
          <w:color w:val="404040"/>
          <w:szCs w:val="21"/>
        </w:rPr>
      </w:pPr>
      <w:r>
        <w:rPr>
          <w:rFonts w:hint="eastAsia"/>
          <w:color w:val="404040"/>
          <w:szCs w:val="21"/>
        </w:rPr>
        <w:t>（4）若投标产品须进行强检，投标人应依国家法规规定提供强检及计量证书：负责设备首次计量、质控等安装后检测，并取得相关证照，提供复印件（原件备查）；</w:t>
      </w:r>
    </w:p>
    <w:p>
      <w:pPr>
        <w:rPr>
          <w:color w:val="404040"/>
          <w:szCs w:val="21"/>
        </w:rPr>
      </w:pPr>
      <w:r>
        <w:rPr>
          <w:rFonts w:hint="eastAsia"/>
          <w:color w:val="404040"/>
          <w:szCs w:val="21"/>
        </w:rPr>
        <w:t>（5）投标人必须购买招标文件并登记备案，否则没有资格参加本项目的投标；</w:t>
      </w:r>
    </w:p>
    <w:p>
      <w:pPr>
        <w:rPr>
          <w:color w:val="404040"/>
          <w:szCs w:val="21"/>
        </w:rPr>
      </w:pPr>
      <w:r>
        <w:rPr>
          <w:rFonts w:hint="eastAsia"/>
          <w:color w:val="404040"/>
          <w:szCs w:val="21"/>
        </w:rPr>
        <w:t>（6）本次投标不接受联合体投标。</w:t>
      </w:r>
    </w:p>
    <w:p>
      <w:pPr>
        <w:rPr>
          <w:color w:val="404040"/>
          <w:szCs w:val="21"/>
        </w:rPr>
      </w:pPr>
      <w:r>
        <w:rPr>
          <w:rFonts w:hint="eastAsia"/>
          <w:color w:val="404040"/>
          <w:szCs w:val="21"/>
        </w:rPr>
        <w:t>*注：以上资格条件供应商必须满足，否则将取消其投标资格。</w:t>
      </w:r>
    </w:p>
    <w:p>
      <w:pPr>
        <w:rPr>
          <w:color w:val="404040"/>
          <w:szCs w:val="21"/>
        </w:rPr>
      </w:pPr>
    </w:p>
    <w:p>
      <w:pPr>
        <w:rPr>
          <w:color w:val="404040"/>
          <w:szCs w:val="21"/>
        </w:rPr>
      </w:pPr>
      <w:r>
        <w:rPr>
          <w:rFonts w:hint="eastAsia"/>
          <w:color w:val="404040"/>
          <w:szCs w:val="21"/>
        </w:rPr>
        <w:t>项目信息：</w:t>
      </w:r>
    </w:p>
    <w:tbl>
      <w:tblPr>
        <w:tblStyle w:val="7"/>
        <w:tblW w:w="8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10"/>
        <w:gridCol w:w="2385"/>
        <w:gridCol w:w="699"/>
        <w:gridCol w:w="1056"/>
        <w:gridCol w:w="1470"/>
        <w:gridCol w:w="79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496" w:type="dxa"/>
            <w:vAlign w:val="center"/>
          </w:tcPr>
          <w:p>
            <w:pPr>
              <w:widowControl/>
              <w:jc w:val="center"/>
              <w:rPr>
                <w:rFonts w:ascii="宋体" w:hAnsi="宋体" w:cs="宋体"/>
                <w:b/>
                <w:bCs/>
                <w:kern w:val="0"/>
                <w:sz w:val="22"/>
              </w:rPr>
            </w:pPr>
            <w:r>
              <w:rPr>
                <w:rFonts w:hint="eastAsia" w:ascii="宋体" w:hAnsi="宋体" w:cs="宋体"/>
                <w:b/>
                <w:bCs/>
                <w:kern w:val="0"/>
                <w:sz w:val="22"/>
              </w:rPr>
              <w:t>包号</w:t>
            </w:r>
          </w:p>
        </w:tc>
        <w:tc>
          <w:tcPr>
            <w:tcW w:w="810" w:type="dxa"/>
            <w:vAlign w:val="center"/>
          </w:tcPr>
          <w:p>
            <w:pPr>
              <w:widowControl/>
              <w:jc w:val="center"/>
              <w:rPr>
                <w:rFonts w:ascii="宋体" w:hAnsi="宋体" w:cs="宋体"/>
                <w:b/>
                <w:bCs/>
                <w:kern w:val="0"/>
                <w:sz w:val="22"/>
              </w:rPr>
            </w:pPr>
            <w:r>
              <w:rPr>
                <w:rFonts w:hint="eastAsia" w:ascii="宋体" w:hAnsi="宋体" w:cs="宋体"/>
                <w:b/>
                <w:bCs/>
                <w:kern w:val="0"/>
                <w:sz w:val="22"/>
              </w:rPr>
              <w:t>设备编号</w:t>
            </w:r>
          </w:p>
        </w:tc>
        <w:tc>
          <w:tcPr>
            <w:tcW w:w="2385" w:type="dxa"/>
            <w:vAlign w:val="center"/>
          </w:tcPr>
          <w:p>
            <w:pPr>
              <w:widowControl/>
              <w:jc w:val="center"/>
              <w:rPr>
                <w:rFonts w:ascii="宋体" w:hAnsi="宋体" w:cs="宋体"/>
                <w:b/>
                <w:bCs/>
                <w:kern w:val="0"/>
                <w:sz w:val="22"/>
              </w:rPr>
            </w:pPr>
            <w:r>
              <w:rPr>
                <w:rFonts w:hint="eastAsia" w:ascii="宋体" w:hAnsi="宋体" w:cs="宋体"/>
                <w:b/>
                <w:bCs/>
                <w:kern w:val="0"/>
                <w:sz w:val="22"/>
              </w:rPr>
              <w:t>设备名称</w:t>
            </w:r>
          </w:p>
        </w:tc>
        <w:tc>
          <w:tcPr>
            <w:tcW w:w="699" w:type="dxa"/>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1056" w:type="dxa"/>
            <w:vAlign w:val="center"/>
          </w:tcPr>
          <w:p>
            <w:pPr>
              <w:widowControl/>
              <w:jc w:val="center"/>
              <w:rPr>
                <w:rFonts w:ascii="宋体" w:hAnsi="宋体" w:cs="宋体"/>
                <w:b/>
                <w:bCs/>
                <w:kern w:val="0"/>
                <w:sz w:val="22"/>
              </w:rPr>
            </w:pPr>
            <w:r>
              <w:rPr>
                <w:rFonts w:hint="eastAsia" w:ascii="宋体" w:hAnsi="宋体" w:cs="宋体"/>
                <w:b/>
                <w:bCs/>
                <w:kern w:val="0"/>
                <w:sz w:val="22"/>
              </w:rPr>
              <w:t>分包控制价</w:t>
            </w:r>
          </w:p>
          <w:p>
            <w:pPr>
              <w:jc w:val="center"/>
              <w:rPr>
                <w:rFonts w:ascii="宋体" w:hAnsi="宋体" w:cs="宋体"/>
                <w:b/>
                <w:bCs/>
                <w:kern w:val="0"/>
                <w:sz w:val="22"/>
              </w:rPr>
            </w:pPr>
            <w:r>
              <w:rPr>
                <w:rFonts w:hint="eastAsia" w:ascii="宋体" w:hAnsi="宋体" w:cs="宋体"/>
                <w:b/>
                <w:bCs/>
                <w:kern w:val="0"/>
                <w:sz w:val="22"/>
              </w:rPr>
              <w:t>（元）</w:t>
            </w:r>
          </w:p>
        </w:tc>
        <w:tc>
          <w:tcPr>
            <w:tcW w:w="1470" w:type="dxa"/>
            <w:vAlign w:val="center"/>
          </w:tcPr>
          <w:p>
            <w:pPr>
              <w:widowControl/>
              <w:jc w:val="center"/>
              <w:rPr>
                <w:rFonts w:ascii="宋体" w:hAnsi="宋体" w:cs="宋体"/>
                <w:b/>
                <w:bCs/>
                <w:kern w:val="0"/>
                <w:sz w:val="22"/>
              </w:rPr>
            </w:pPr>
            <w:r>
              <w:rPr>
                <w:rFonts w:hint="eastAsia" w:ascii="宋体" w:hAnsi="宋体" w:cs="宋体"/>
                <w:b/>
                <w:bCs/>
                <w:kern w:val="0"/>
                <w:sz w:val="22"/>
              </w:rPr>
              <w:t>是否接受进口（进口/国内）</w:t>
            </w:r>
          </w:p>
        </w:tc>
        <w:tc>
          <w:tcPr>
            <w:tcW w:w="795" w:type="dxa"/>
            <w:vAlign w:val="center"/>
          </w:tcPr>
          <w:p>
            <w:pPr>
              <w:widowControl/>
              <w:jc w:val="center"/>
              <w:rPr>
                <w:rFonts w:ascii="宋体" w:hAnsi="宋体" w:cs="宋体"/>
                <w:b/>
                <w:bCs/>
                <w:kern w:val="0"/>
                <w:sz w:val="22"/>
              </w:rPr>
            </w:pPr>
            <w:r>
              <w:rPr>
                <w:rFonts w:hint="eastAsia" w:ascii="宋体" w:hAnsi="宋体" w:cs="宋体"/>
                <w:b/>
                <w:bCs/>
                <w:kern w:val="0"/>
                <w:sz w:val="22"/>
              </w:rPr>
              <w:t>是否免税</w:t>
            </w:r>
          </w:p>
        </w:tc>
        <w:tc>
          <w:tcPr>
            <w:tcW w:w="870" w:type="dxa"/>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restart"/>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1</w:t>
            </w: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1-1</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三重串联四级杆质谱仪</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1</w:t>
            </w:r>
          </w:p>
        </w:tc>
        <w:tc>
          <w:tcPr>
            <w:tcW w:w="1056" w:type="dxa"/>
            <w:vMerge w:val="restart"/>
            <w:vAlign w:val="center"/>
          </w:tcPr>
          <w:p>
            <w:pPr>
              <w:widowControl/>
              <w:jc w:val="right"/>
              <w:rPr>
                <w:rFonts w:ascii="Segoe UI" w:hAnsi="Segoe UI" w:cs="Segoe UI"/>
                <w:kern w:val="0"/>
                <w:sz w:val="22"/>
              </w:rPr>
            </w:pPr>
            <w:r>
              <w:rPr>
                <w:rFonts w:hint="eastAsia" w:ascii="Segoe UI" w:hAnsi="Segoe UI" w:cs="Segoe UI"/>
                <w:kern w:val="0"/>
                <w:sz w:val="22"/>
              </w:rPr>
              <w:t>5315000</w:t>
            </w: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1-2</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高效液相色谱仪</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1</w:t>
            </w:r>
          </w:p>
        </w:tc>
        <w:tc>
          <w:tcPr>
            <w:tcW w:w="1056" w:type="dxa"/>
            <w:vMerge w:val="continue"/>
            <w:vAlign w:val="center"/>
          </w:tcPr>
          <w:p>
            <w:pPr>
              <w:widowControl/>
              <w:jc w:val="right"/>
              <w:rPr>
                <w:rFonts w:ascii="Segoe UI" w:hAnsi="Segoe UI"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1-3</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二维液相色谱仪</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1</w:t>
            </w:r>
          </w:p>
        </w:tc>
        <w:tc>
          <w:tcPr>
            <w:tcW w:w="1056" w:type="dxa"/>
            <w:vMerge w:val="continue"/>
            <w:vAlign w:val="center"/>
          </w:tcPr>
          <w:p>
            <w:pPr>
              <w:widowControl/>
              <w:jc w:val="right"/>
              <w:rPr>
                <w:rFonts w:ascii="Segoe UI" w:hAnsi="Segoe UI"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1-4</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超高效液相色谱仪</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1</w:t>
            </w:r>
          </w:p>
        </w:tc>
        <w:tc>
          <w:tcPr>
            <w:tcW w:w="1056" w:type="dxa"/>
            <w:vMerge w:val="continue"/>
            <w:vAlign w:val="center"/>
          </w:tcPr>
          <w:p>
            <w:pPr>
              <w:widowControl/>
              <w:jc w:val="right"/>
              <w:rPr>
                <w:rFonts w:ascii="Segoe UI" w:hAnsi="Segoe UI"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1-5</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超声波清洗器</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6</w:t>
            </w:r>
          </w:p>
        </w:tc>
        <w:tc>
          <w:tcPr>
            <w:tcW w:w="1056" w:type="dxa"/>
            <w:vMerge w:val="continue"/>
            <w:vAlign w:val="center"/>
          </w:tcPr>
          <w:p>
            <w:pPr>
              <w:widowControl/>
              <w:jc w:val="right"/>
              <w:rPr>
                <w:rFonts w:ascii="Segoe UI" w:hAnsi="Segoe UI"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1-6</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超声波清洗器</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2</w:t>
            </w:r>
          </w:p>
        </w:tc>
        <w:tc>
          <w:tcPr>
            <w:tcW w:w="1056" w:type="dxa"/>
            <w:vMerge w:val="continue"/>
            <w:vAlign w:val="center"/>
          </w:tcPr>
          <w:p>
            <w:pPr>
              <w:widowControl/>
              <w:jc w:val="right"/>
              <w:rPr>
                <w:rFonts w:ascii="Segoe UI" w:hAnsi="Segoe UI"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Layout w:type="fixed"/>
          <w:tblCellMar>
            <w:top w:w="0" w:type="dxa"/>
            <w:left w:w="108" w:type="dxa"/>
            <w:bottom w:w="0" w:type="dxa"/>
            <w:right w:w="108" w:type="dxa"/>
          </w:tblCellMar>
        </w:tblPrEx>
        <w:trPr>
          <w:trHeight w:val="660" w:hRule="atLeast"/>
          <w:jc w:val="center"/>
        </w:trPr>
        <w:tc>
          <w:tcPr>
            <w:tcW w:w="496" w:type="dxa"/>
            <w:vMerge w:val="continue"/>
            <w:vAlign w:val="center"/>
          </w:tcPr>
          <w:p>
            <w:pPr>
              <w:widowControl/>
              <w:jc w:val="left"/>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1-7</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水蒸气蒸馏仪</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1</w:t>
            </w:r>
          </w:p>
        </w:tc>
        <w:tc>
          <w:tcPr>
            <w:tcW w:w="1056" w:type="dxa"/>
            <w:vMerge w:val="continue"/>
            <w:vAlign w:val="center"/>
          </w:tcPr>
          <w:p>
            <w:pPr>
              <w:jc w:val="right"/>
              <w:rPr>
                <w:rFonts w:ascii="Segoe UI" w:hAnsi="Segoe UI" w:eastAsia="等线"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否</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496" w:type="dxa"/>
            <w:vMerge w:val="restart"/>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2</w:t>
            </w: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2-1</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三重串联四级杆质谱仪</w:t>
            </w:r>
          </w:p>
        </w:tc>
        <w:tc>
          <w:tcPr>
            <w:tcW w:w="699" w:type="dxa"/>
            <w:noWrap/>
            <w:vAlign w:val="center"/>
          </w:tcPr>
          <w:p>
            <w:pPr>
              <w:widowControl/>
              <w:jc w:val="center"/>
              <w:rPr>
                <w:rFonts w:ascii="等线" w:hAnsi="等线" w:eastAsia="等线" w:cs="宋体"/>
                <w:kern w:val="0"/>
                <w:sz w:val="22"/>
              </w:rPr>
            </w:pPr>
            <w:r>
              <w:rPr>
                <w:rFonts w:ascii="宋体" w:hAnsi="宋体"/>
                <w:kern w:val="0"/>
                <w:sz w:val="24"/>
              </w:rPr>
              <w:t>1</w:t>
            </w:r>
          </w:p>
        </w:tc>
        <w:tc>
          <w:tcPr>
            <w:tcW w:w="1056" w:type="dxa"/>
            <w:vMerge w:val="restart"/>
            <w:vAlign w:val="center"/>
          </w:tcPr>
          <w:p>
            <w:pPr>
              <w:jc w:val="right"/>
              <w:rPr>
                <w:rFonts w:ascii="Segoe UI" w:hAnsi="Segoe UI" w:eastAsia="等线" w:cs="Segoe UI"/>
                <w:kern w:val="0"/>
                <w:sz w:val="22"/>
              </w:rPr>
            </w:pPr>
            <w:r>
              <w:rPr>
                <w:rFonts w:hint="eastAsia" w:ascii="Segoe UI" w:hAnsi="Segoe UI" w:eastAsia="等线" w:cs="Segoe UI"/>
                <w:kern w:val="0"/>
                <w:sz w:val="22"/>
              </w:rPr>
              <w:t>5150000</w:t>
            </w:r>
          </w:p>
        </w:tc>
        <w:tc>
          <w:tcPr>
            <w:tcW w:w="1470" w:type="dxa"/>
            <w:vAlign w:val="center"/>
          </w:tcPr>
          <w:p>
            <w:pPr>
              <w:jc w:val="center"/>
              <w:rPr>
                <w:rFonts w:ascii="Segoe UI" w:hAnsi="Segoe UI" w:eastAsia="等线" w:cs="Segoe UI"/>
                <w:sz w:val="22"/>
              </w:rPr>
            </w:pPr>
            <w:r>
              <w:rPr>
                <w:rFonts w:hint="eastAsia" w:ascii="宋体" w:hAnsi="宋体"/>
                <w:kern w:val="0"/>
                <w:sz w:val="24"/>
              </w:rPr>
              <w:t>是</w:t>
            </w:r>
          </w:p>
        </w:tc>
        <w:tc>
          <w:tcPr>
            <w:tcW w:w="795" w:type="dxa"/>
            <w:noWrap/>
            <w:vAlign w:val="center"/>
          </w:tcPr>
          <w:p>
            <w:pPr>
              <w:widowControl/>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2-2</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气相色谱仪</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continue"/>
            <w:vAlign w:val="center"/>
          </w:tcPr>
          <w:p>
            <w:pPr>
              <w:widowControl/>
              <w:jc w:val="right"/>
              <w:rPr>
                <w:rFonts w:ascii="Segoe UI" w:hAnsi="Segoe UI"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2-3</w:t>
            </w:r>
          </w:p>
        </w:tc>
        <w:tc>
          <w:tcPr>
            <w:tcW w:w="2385" w:type="dxa"/>
            <w:vAlign w:val="center"/>
          </w:tcPr>
          <w:p>
            <w:pPr>
              <w:widowControl/>
              <w:jc w:val="left"/>
              <w:rPr>
                <w:rFonts w:ascii="Segoe UI" w:hAnsi="Segoe UI" w:eastAsia="等线" w:cs="Segoe UI"/>
                <w:kern w:val="0"/>
                <w:sz w:val="22"/>
              </w:rPr>
            </w:pPr>
            <w:r>
              <w:rPr>
                <w:rFonts w:hint="eastAsia" w:ascii="宋体" w:hAnsi="宋体" w:cs="宋体"/>
                <w:kern w:val="0"/>
                <w:sz w:val="24"/>
              </w:rPr>
              <w:t>脉冲场凝胶电泳仪配件</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continue"/>
            <w:vAlign w:val="center"/>
          </w:tcPr>
          <w:p>
            <w:pPr>
              <w:widowControl/>
              <w:jc w:val="right"/>
              <w:rPr>
                <w:rFonts w:ascii="Segoe UI" w:hAnsi="Segoe UI"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restart"/>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3</w:t>
            </w: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3-1</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超高效液相色谱质谱联用系统</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restart"/>
            <w:vAlign w:val="center"/>
          </w:tcPr>
          <w:p>
            <w:pPr>
              <w:widowControl/>
              <w:jc w:val="right"/>
              <w:rPr>
                <w:rFonts w:ascii="Segoe UI" w:hAnsi="Segoe UI" w:cs="Segoe UI"/>
                <w:kern w:val="0"/>
                <w:sz w:val="22"/>
              </w:rPr>
            </w:pPr>
            <w:r>
              <w:rPr>
                <w:rFonts w:hint="eastAsia" w:ascii="Segoe UI" w:hAnsi="Segoe UI" w:cs="Segoe UI"/>
                <w:kern w:val="0"/>
                <w:sz w:val="22"/>
              </w:rPr>
              <w:t>4980000</w:t>
            </w: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3-2</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高效液相色谱仪</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continue"/>
            <w:vAlign w:val="center"/>
          </w:tcPr>
          <w:p>
            <w:pPr>
              <w:jc w:val="right"/>
              <w:rPr>
                <w:rFonts w:ascii="Segoe UI" w:hAnsi="Segoe UI" w:eastAsia="等线"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3-3</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均质仪</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continue"/>
            <w:vAlign w:val="center"/>
          </w:tcPr>
          <w:p>
            <w:pPr>
              <w:jc w:val="right"/>
              <w:rPr>
                <w:rFonts w:ascii="Segoe UI" w:hAnsi="Segoe UI" w:eastAsia="等线"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Layout w:type="fixed"/>
          <w:tblCellMar>
            <w:top w:w="0" w:type="dxa"/>
            <w:left w:w="108" w:type="dxa"/>
            <w:bottom w:w="0" w:type="dxa"/>
            <w:right w:w="108" w:type="dxa"/>
          </w:tblCellMar>
        </w:tblPrEx>
        <w:trPr>
          <w:trHeight w:val="660" w:hRule="atLeast"/>
          <w:jc w:val="center"/>
        </w:trPr>
        <w:tc>
          <w:tcPr>
            <w:tcW w:w="496" w:type="dxa"/>
            <w:vMerge w:val="restart"/>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4</w:t>
            </w: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4-1</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三重串联四级杆质谱仪</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restart"/>
            <w:vAlign w:val="center"/>
          </w:tcPr>
          <w:p>
            <w:pPr>
              <w:jc w:val="right"/>
              <w:rPr>
                <w:rFonts w:ascii="Segoe UI" w:hAnsi="Segoe UI" w:eastAsia="等线" w:cs="Segoe UI"/>
                <w:kern w:val="0"/>
                <w:sz w:val="22"/>
              </w:rPr>
            </w:pPr>
            <w:r>
              <w:rPr>
                <w:rFonts w:hint="eastAsia" w:ascii="Segoe UI" w:hAnsi="Segoe UI" w:eastAsia="等线" w:cs="Segoe UI"/>
                <w:kern w:val="0"/>
                <w:sz w:val="22"/>
              </w:rPr>
              <w:t>5380000</w:t>
            </w: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4-2</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制备液相色谱仪</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2</w:t>
            </w:r>
          </w:p>
        </w:tc>
        <w:tc>
          <w:tcPr>
            <w:tcW w:w="1056" w:type="dxa"/>
            <w:vMerge w:val="continue"/>
            <w:vAlign w:val="center"/>
          </w:tcPr>
          <w:p>
            <w:pPr>
              <w:jc w:val="right"/>
              <w:rPr>
                <w:rFonts w:ascii="Segoe UI" w:hAnsi="Segoe UI" w:eastAsia="等线"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4-3</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高效液相色谱仪</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continue"/>
            <w:vAlign w:val="center"/>
          </w:tcPr>
          <w:p>
            <w:pPr>
              <w:jc w:val="right"/>
              <w:rPr>
                <w:rFonts w:ascii="Segoe UI" w:hAnsi="Segoe UI" w:eastAsia="等线"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96" w:type="dxa"/>
            <w:vMerge w:val="continue"/>
            <w:noWrap/>
            <w:vAlign w:val="center"/>
          </w:tcPr>
          <w:p>
            <w:pPr>
              <w:widowControl/>
              <w:jc w:val="center"/>
              <w:rPr>
                <w:rFonts w:ascii="等线" w:hAnsi="等线" w:eastAsia="等线" w:cs="宋体"/>
                <w:kern w:val="0"/>
                <w:sz w:val="22"/>
              </w:rPr>
            </w:pPr>
          </w:p>
        </w:tc>
        <w:tc>
          <w:tcPr>
            <w:tcW w:w="810" w:type="dxa"/>
            <w:noWrap/>
            <w:vAlign w:val="center"/>
          </w:tcPr>
          <w:p>
            <w:pPr>
              <w:widowControl/>
              <w:jc w:val="left"/>
              <w:rPr>
                <w:rFonts w:ascii="等线" w:hAnsi="等线" w:eastAsia="等线" w:cs="宋体"/>
                <w:kern w:val="0"/>
                <w:sz w:val="22"/>
              </w:rPr>
            </w:pPr>
            <w:r>
              <w:rPr>
                <w:rFonts w:hint="eastAsia" w:ascii="等线" w:hAnsi="等线" w:eastAsia="等线" w:cs="宋体"/>
                <w:kern w:val="0"/>
                <w:sz w:val="22"/>
              </w:rPr>
              <w:t>4-4</w:t>
            </w:r>
          </w:p>
        </w:tc>
        <w:tc>
          <w:tcPr>
            <w:tcW w:w="2385" w:type="dxa"/>
            <w:vAlign w:val="center"/>
          </w:tcPr>
          <w:p>
            <w:pPr>
              <w:widowControl/>
              <w:jc w:val="left"/>
              <w:rPr>
                <w:rFonts w:ascii="Segoe UI" w:hAnsi="Segoe UI" w:eastAsia="等线" w:cs="Segoe UI"/>
                <w:kern w:val="0"/>
                <w:sz w:val="22"/>
              </w:rPr>
            </w:pPr>
            <w:r>
              <w:rPr>
                <w:rFonts w:hint="eastAsia" w:ascii="宋体" w:hAnsi="宋体"/>
                <w:kern w:val="0"/>
                <w:sz w:val="24"/>
              </w:rPr>
              <w:t>超速离心机</w:t>
            </w:r>
          </w:p>
        </w:tc>
        <w:tc>
          <w:tcPr>
            <w:tcW w:w="699" w:type="dxa"/>
            <w:vAlign w:val="center"/>
          </w:tcPr>
          <w:p>
            <w:pPr>
              <w:widowControl/>
              <w:jc w:val="center"/>
              <w:rPr>
                <w:rFonts w:ascii="Segoe UI" w:hAnsi="Segoe UI" w:eastAsia="等线" w:cs="Segoe UI"/>
                <w:kern w:val="0"/>
                <w:sz w:val="22"/>
              </w:rPr>
            </w:pPr>
            <w:r>
              <w:rPr>
                <w:rFonts w:ascii="宋体" w:hAnsi="宋体"/>
                <w:kern w:val="0"/>
                <w:sz w:val="24"/>
              </w:rPr>
              <w:t>1</w:t>
            </w:r>
          </w:p>
        </w:tc>
        <w:tc>
          <w:tcPr>
            <w:tcW w:w="1056" w:type="dxa"/>
            <w:vMerge w:val="continue"/>
            <w:vAlign w:val="center"/>
          </w:tcPr>
          <w:p>
            <w:pPr>
              <w:jc w:val="right"/>
              <w:rPr>
                <w:rFonts w:ascii="Segoe UI" w:hAnsi="Segoe UI" w:eastAsia="等线" w:cs="Segoe UI"/>
                <w:kern w:val="0"/>
                <w:sz w:val="22"/>
              </w:rPr>
            </w:pPr>
          </w:p>
        </w:tc>
        <w:tc>
          <w:tcPr>
            <w:tcW w:w="1470" w:type="dxa"/>
            <w:vAlign w:val="center"/>
          </w:tcPr>
          <w:p>
            <w:pPr>
              <w:widowControl/>
              <w:jc w:val="center"/>
              <w:rPr>
                <w:rFonts w:ascii="Segoe UI" w:hAnsi="Segoe UI" w:eastAsia="等线" w:cs="Segoe UI"/>
                <w:kern w:val="0"/>
                <w:sz w:val="22"/>
              </w:rPr>
            </w:pPr>
            <w:r>
              <w:rPr>
                <w:rFonts w:hint="eastAsia" w:ascii="宋体" w:hAnsi="宋体"/>
                <w:kern w:val="0"/>
                <w:sz w:val="24"/>
              </w:rPr>
              <w:t>是</w:t>
            </w:r>
          </w:p>
        </w:tc>
        <w:tc>
          <w:tcPr>
            <w:tcW w:w="795" w:type="dxa"/>
            <w:noWrap/>
          </w:tcPr>
          <w:p>
            <w:pPr>
              <w:widowControl/>
              <w:jc w:val="left"/>
              <w:rPr>
                <w:rFonts w:ascii="等线" w:hAnsi="等线" w:eastAsia="等线" w:cs="宋体"/>
                <w:kern w:val="0"/>
                <w:sz w:val="22"/>
              </w:rPr>
            </w:pPr>
            <w:r>
              <w:rPr>
                <w:rFonts w:hint="eastAsia" w:ascii="等线" w:hAnsi="等线" w:eastAsia="等线" w:cs="宋体"/>
                <w:kern w:val="0"/>
                <w:sz w:val="22"/>
              </w:rPr>
              <w:t>否</w:t>
            </w:r>
          </w:p>
        </w:tc>
        <w:tc>
          <w:tcPr>
            <w:tcW w:w="870" w:type="dxa"/>
            <w:noWrap/>
            <w:vAlign w:val="center"/>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581" w:type="dxa"/>
            <w:gridSpan w:val="8"/>
            <w:noWrap/>
            <w:vAlign w:val="center"/>
          </w:tcPr>
          <w:p>
            <w:pPr>
              <w:widowControl/>
              <w:jc w:val="left"/>
              <w:rPr>
                <w:rFonts w:ascii="等线" w:hAnsi="等线" w:eastAsia="等线" w:cs="宋体"/>
                <w:b/>
                <w:bCs/>
                <w:kern w:val="0"/>
                <w:sz w:val="22"/>
              </w:rPr>
            </w:pPr>
            <w:r>
              <w:rPr>
                <w:rFonts w:hint="eastAsia" w:ascii="等线" w:hAnsi="等线" w:eastAsia="等线" w:cs="宋体"/>
                <w:b/>
                <w:bCs/>
                <w:kern w:val="0"/>
                <w:sz w:val="26"/>
                <w:szCs w:val="26"/>
              </w:rPr>
              <w:t>详见技术规格及要求87号令第十一条</w:t>
            </w:r>
          </w:p>
        </w:tc>
      </w:tr>
    </w:tbl>
    <w:p>
      <w:pPr>
        <w:rPr>
          <w:color w:val="404040"/>
          <w:szCs w:val="21"/>
        </w:rPr>
      </w:pPr>
    </w:p>
    <w:p>
      <w:pPr>
        <w:rPr>
          <w:color w:val="404040"/>
          <w:szCs w:val="21"/>
        </w:rPr>
      </w:pPr>
      <w:r>
        <w:rPr>
          <w:rFonts w:hint="eastAsia"/>
          <w:color w:val="404040"/>
          <w:szCs w:val="21"/>
        </w:rPr>
        <w:t>*采购项目需要落实的政府采购政策：《中华人民共和国政府采购法》（主席令第68号）、《关于中国环境标志产品政府采购实施的意见》（财库[2006]90号）、《国务院办公厅关于建立政府强制采购节能产品制度的通知》（国办发【2007】51号）、《关于开展政府采购信用担保试点工作的通知》（财库【2011】124号）、《关于印发《政府采购促进中小企业发展暂行办法》的通知》（财库【2011】181号）、《财政部、司法部关于政府采购支持监狱企业发展有关问题的通知》（财库【2014】68号、《三部门联合发布关于促进残疾人就业政府采购政策的通知》（财库〔2017〕141号）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2"/>
    <w:rsid w:val="00076DFB"/>
    <w:rsid w:val="00094F61"/>
    <w:rsid w:val="00160D26"/>
    <w:rsid w:val="00190CC3"/>
    <w:rsid w:val="002A0E6C"/>
    <w:rsid w:val="00326ADA"/>
    <w:rsid w:val="003F20B2"/>
    <w:rsid w:val="004A5D8E"/>
    <w:rsid w:val="0051561D"/>
    <w:rsid w:val="00534DDD"/>
    <w:rsid w:val="006A129A"/>
    <w:rsid w:val="0078487F"/>
    <w:rsid w:val="007C168C"/>
    <w:rsid w:val="008A4358"/>
    <w:rsid w:val="008D738B"/>
    <w:rsid w:val="00944080"/>
    <w:rsid w:val="00A75088"/>
    <w:rsid w:val="00B05122"/>
    <w:rsid w:val="00C900D9"/>
    <w:rsid w:val="00D66779"/>
    <w:rsid w:val="00EA4544"/>
    <w:rsid w:val="00ED47AA"/>
    <w:rsid w:val="00F338C6"/>
    <w:rsid w:val="00F93BBA"/>
    <w:rsid w:val="00FD1213"/>
    <w:rsid w:val="05A86CD4"/>
    <w:rsid w:val="0A017D83"/>
    <w:rsid w:val="0D9675D9"/>
    <w:rsid w:val="106025CF"/>
    <w:rsid w:val="16634294"/>
    <w:rsid w:val="168163EA"/>
    <w:rsid w:val="174E6617"/>
    <w:rsid w:val="17862E4B"/>
    <w:rsid w:val="24A61D99"/>
    <w:rsid w:val="27EE0466"/>
    <w:rsid w:val="2A77491A"/>
    <w:rsid w:val="31C43257"/>
    <w:rsid w:val="34166C6A"/>
    <w:rsid w:val="361148A0"/>
    <w:rsid w:val="370921C7"/>
    <w:rsid w:val="371C6FF1"/>
    <w:rsid w:val="437708BD"/>
    <w:rsid w:val="439229DF"/>
    <w:rsid w:val="49142AB3"/>
    <w:rsid w:val="4AC82D89"/>
    <w:rsid w:val="4BD333D1"/>
    <w:rsid w:val="5214595C"/>
    <w:rsid w:val="5D7260C1"/>
    <w:rsid w:val="65923575"/>
    <w:rsid w:val="6D680761"/>
    <w:rsid w:val="754149B2"/>
    <w:rsid w:val="7C03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9">
    <w:name w:val="FollowedHyperlink"/>
    <w:basedOn w:val="8"/>
    <w:semiHidden/>
    <w:unhideWhenUsed/>
    <w:qFormat/>
    <w:uiPriority w:val="99"/>
    <w:rPr>
      <w:color w:val="954F72"/>
      <w:u w:val="single"/>
    </w:rPr>
  </w:style>
  <w:style w:type="character" w:styleId="10">
    <w:name w:val="Hyperlink"/>
    <w:basedOn w:val="8"/>
    <w:semiHidden/>
    <w:unhideWhenUsed/>
    <w:qFormat/>
    <w:uiPriority w:val="99"/>
    <w:rPr>
      <w:color w:val="0000FF"/>
      <w:u w:val="single"/>
    </w:rPr>
  </w:style>
  <w:style w:type="character" w:customStyle="1" w:styleId="11">
    <w:name w:val="textbox1"/>
    <w:basedOn w:val="8"/>
    <w:qFormat/>
    <w:uiPriority w:val="0"/>
    <w:rPr>
      <w:bdr w:val="single" w:color="DDDDDD" w:sz="6" w:space="0"/>
      <w:shd w:val="clear" w:color="auto" w:fill="FFFFFF"/>
    </w:rPr>
  </w:style>
  <w:style w:type="character" w:customStyle="1" w:styleId="12">
    <w:name w:val="批注框文本 字符"/>
    <w:basedOn w:val="8"/>
    <w:link w:val="3"/>
    <w:semiHidden/>
    <w:qFormat/>
    <w:uiPriority w:val="99"/>
    <w:rPr>
      <w:sz w:val="18"/>
      <w:szCs w:val="18"/>
    </w:rPr>
  </w:style>
  <w:style w:type="character" w:customStyle="1" w:styleId="13">
    <w:name w:val="页眉 字符"/>
    <w:basedOn w:val="8"/>
    <w:link w:val="5"/>
    <w:qFormat/>
    <w:uiPriority w:val="99"/>
    <w:rPr>
      <w:kern w:val="2"/>
      <w:sz w:val="18"/>
      <w:szCs w:val="18"/>
    </w:rPr>
  </w:style>
  <w:style w:type="character" w:customStyle="1" w:styleId="14">
    <w:name w:val="页脚 字符"/>
    <w:basedOn w:val="8"/>
    <w:link w:val="4"/>
    <w:qFormat/>
    <w:uiPriority w:val="99"/>
    <w:rPr>
      <w:kern w:val="2"/>
      <w:sz w:val="18"/>
      <w:szCs w:val="18"/>
    </w:rPr>
  </w:style>
  <w:style w:type="paragraph" w:customStyle="1" w:styleId="15">
    <w:name w:val="列出段落11"/>
    <w:basedOn w:val="1"/>
    <w:qFormat/>
    <w:uiPriority w:val="0"/>
    <w:pPr>
      <w:ind w:firstLine="420" w:firstLineChars="200"/>
    </w:p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308</Words>
  <Characters>1757</Characters>
  <Lines>14</Lines>
  <Paragraphs>4</Paragraphs>
  <TotalTime>32</TotalTime>
  <ScaleCrop>false</ScaleCrop>
  <LinksUpToDate>false</LinksUpToDate>
  <CharactersWithSpaces>2061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2018-07-12T02:47:00Z</dcterms:created>
  <dc:creator>xr</dc:creator>
  <cp:lastModifiedBy>柏涛</cp:lastModifiedBy>
  <dcterms:modified xsi:type="dcterms:W3CDTF">2019-10-21T01:34:16Z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