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1" w:rsidRDefault="004F5911" w:rsidP="004F5911">
      <w:pPr>
        <w:spacing w:before="120"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技术规格及要求</w:t>
      </w:r>
    </w:p>
    <w:p w:rsidR="004F5911" w:rsidRDefault="004F5911" w:rsidP="004F5911">
      <w:pPr>
        <w:rPr>
          <w:rFonts w:ascii="仿宋_GB2312" w:eastAsia="仿宋_GB2312"/>
        </w:rPr>
      </w:pPr>
    </w:p>
    <w:p w:rsidR="004F5911" w:rsidRDefault="004F5911" w:rsidP="004F591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一、参数需求</w:t>
      </w:r>
    </w:p>
    <w:p w:rsidR="004F5911" w:rsidRDefault="004F5911" w:rsidP="004F5911">
      <w:pPr>
        <w:rPr>
          <w:rFonts w:ascii="仿宋_GB2312" w:eastAsia="仿宋_GB2312"/>
          <w:b/>
          <w:sz w:val="24"/>
        </w:rPr>
      </w:pP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第一包：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（1）、台式扫描电子显微镜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1、放大倍率：电子放大100,000倍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★2、背散射电子探测器分辨率：优于 10nm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3、加速电压： 5kV-20kV连续可调，束斑直径大小可连续可调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★4、灯丝材料：CeB6,灯丝单根寿命：&gt;1500h；灯丝仓与电子仓、样品仓三仓分离，观察绝缘体不影响灯丝寿命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★5、预抽真空时间：小于30s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★6、真空技术：且有真空分级技术,低真空观测灯丝寿命不受影响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7、样品台移动控制方式：自动样品台控制，高清屏操作界面配合样品，具有X、Y坐标回位功能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8、图像观测导航界面：光学导航界面与电子导航界面，电子光学导航；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9、检测信号：高灵敏度背散射电子探测器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10、从开始载样到成像时间≤30s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11、观察模式：全面模式(形貌和成份)、形貌模式A（3D）、形貌模式B（3D）针对已保存图片，选中保存图片，即可一键还原到原来位置，并还原图片原有参数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12、图像格式：jpg，tiff，bmp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13、图像分辨率： 456x456；684x684；1024x1024；2048x2048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14、真空系统：隔膜泵，涡轮分子泵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15、软件平台：对病毒免疫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16、数据存储：移动硬盘或者电脑、网络存储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17、防震设计：对放置环境无特殊要求，无需额外的减震装置，可以随意搬至现场进行检测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18、远程检测：具有终身免费远程诊断功能，通过联网专业工程师可随时远程诊断，低维修成本，提高响应效率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19、集成能谱EDS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20、探测器类型：硅漂移探测器（SDD）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21、探测器晶体活性面积≥20mm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2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22、冷却方式：无液氮 Peltier 效应制冷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23、能量分辨率：&lt;135eV（Mn Kα）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24、元素探测范围：B（5）-Am（95）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25、元素分析：自动和手动元素确认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26、能谱谱线拟合方式：反卷积拟合方式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27、可拓展软件系统：纤维测量系统，全景拼图功能，颗粒测量系统，孔径测量系统，3D粗糙度测量系统；</w:t>
      </w:r>
    </w:p>
    <w:p w:rsidR="004F5911" w:rsidRDefault="004F5911" w:rsidP="004F5911">
      <w:pPr>
        <w:rPr>
          <w:rFonts w:ascii="仿宋_GB2312" w:eastAsia="仿宋_GB2312"/>
          <w:sz w:val="24"/>
        </w:rPr>
      </w:pPr>
    </w:p>
    <w:p w:rsidR="004F5911" w:rsidRDefault="004F5911" w:rsidP="004F5911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（2）、</w:t>
      </w:r>
      <w:r>
        <w:rPr>
          <w:rFonts w:ascii="仿宋_GB2312" w:eastAsia="仿宋_GB2312" w:hint="eastAsia"/>
          <w:b/>
          <w:sz w:val="24"/>
        </w:rPr>
        <w:t>超景深三维视频显微镜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1、载物台和镜头支架要求：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镜头支架可以倾斜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倾斜角度：可带动镜头左侧≥50°倾斜，右侧≥80°倾斜，倾斜角度可实时显示，并对倾斜角度能够自动读取。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1.2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载物台可以旋转：可作正负90°旋转；无需移动样品直接观察任意位置图像。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1.3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XY样品台采用电动马达驱动，有透射照明。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1.4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支架Z轴采用电动马达驱动：5相步进马达，分辨率≥0.1</w:t>
      </w:r>
      <w:r>
        <w:rPr>
          <w:rFonts w:ascii="仿宋_GB2312" w:eastAsia="仿宋_GB2312" w:hint="eastAsia"/>
          <w:color w:val="000000"/>
          <w:sz w:val="24"/>
        </w:rPr>
        <w:t>μ</w:t>
      </w:r>
      <w:r>
        <w:rPr>
          <w:rFonts w:ascii="仿宋_GB2312" w:eastAsia="仿宋_GB2312" w:hint="eastAsia"/>
          <w:sz w:val="24"/>
        </w:rPr>
        <w:t>m（typ），移动速度≥17mm/秒，移动量≥48mm；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1.5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载物台载重要求至少5公斤。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镜头参数：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2.1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放大倍率20-2000X, 单个镜头直接实现倍率切换，不可通过拔插更换镜头组完成。工作距离20mm以上，倍率可以自动识别。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2.2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放大倍率100-1000X, 视场范围：3.8-0.38mm（对角线）20mm以上，倍率可以自动识别。明场暗场可以一键自动切换。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★2.3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手持便携观测功能:具有手持照明适配器,可对被测物进行接触式观测，最大可以1000倍手持观测的便携式操作；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2.4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20倍时最大物理景深≥30mm；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3、图像采集传感器：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3.1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手持式1/1.8英寸高清CMOS系统，物理像素211万，手持缆线长度不低于2m；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3.2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最高拍摄帧率≥45帧/秒。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4、软件功能参数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4.1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HDR功能，可显示16bit，65536个灰度等级图像，并且在HDR状态下可以进行景深合成和图像拼接功能；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4.2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具有简单模式，初学者可根据指示直接操作，并设有按键，可一键式操作；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4.3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自动消除晕光和消除环行光晕功能，针对反光物体可以消除反光，并且在消除晕光同时可以进行景深合成；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★4.4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最适图像功能：一键式显示9个种类图像模式，供用户选择使用，并在控制器上设有“最适图像”按键；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4.5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在倾斜镜头观察的同时，可进行景深合成功能合成后图像可以进行2D及3D测量；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4.6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抽取条件再现功能：自动保存目标物拍摄条件，拍摄其他样品时可直接抽取调用。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4.7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全方位多功能照明功能：只需按下按键，即可瞬间获取来自各个方向的照明数据，一键式操作，在遥控器上有“全方位多功能照明”按键；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★</w:t>
      </w:r>
      <w:r>
        <w:rPr>
          <w:rFonts w:ascii="仿宋_GB2312" w:eastAsia="仿宋_GB2312" w:hint="eastAsia"/>
          <w:sz w:val="24"/>
        </w:rPr>
        <w:t>4.8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实时深度合成功能：按下按键，只需移动电动XY平台，即可瞬间进行全幅对焦，一键式操作，在遥控器上有“实时深度合成”按键。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5、测量功能参数：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5.1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2D测量功能：任意两点间距离，半径，直径，同心度，交叉线，垂线，平行线，角度，计数功能，可以标注刻度尺，宽范围测量功能；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★5.2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RGB颜色测量功能；2点间高度差直测功能；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5.3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3D测量功能：3D轮廓测量；3D彩色/标尺显示高度功能；2点间高度差测量功能；截面轮廓测量；截面轮廓最高点、最低点的自动选取；3D体积测量，3D面之间的距离测量，3D面之间的角度；3D照明模拟功能。</w:t>
      </w:r>
    </w:p>
    <w:p w:rsidR="004F5911" w:rsidRDefault="004F5911" w:rsidP="004F591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6、照明方式</w:t>
      </w:r>
    </w:p>
    <w:p w:rsidR="004F5911" w:rsidRDefault="004F5911" w:rsidP="004F591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高亮度LED冷光源照明。</w:t>
      </w:r>
    </w:p>
    <w:p w:rsidR="004F5911" w:rsidRDefault="004F5911" w:rsidP="004F5911">
      <w:pPr>
        <w:rPr>
          <w:rFonts w:ascii="仿宋_GB2312" w:eastAsia="仿宋_GB2312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（3）、三维激光扫描仪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★1、扫描距离：不小于300m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2、激光发射频率：大于950000点/秒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★3、扫描精度：精度不低于1mm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4、扫描视角范围：不小于垂直300°，水平360°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5、通信传输：支持无线数据传输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6、扫描技术：相位式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7、GNSS：集成GPS或GLONASS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8、指南针：内置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9、IP等级：IP54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10、影像获取：内置、同轴、HDR相机，像素不低于一亿六千万像素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11、激光等级：I级，人眼安全级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12、角精度补偿：可实现现场测角精度校准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13、操作控制：内置触控显示屏，无需外接笔记本电脑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14、配准：支持无需标靶全自动拼接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15、数据存储：不小于30G的内置存储单元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16、倾角传感器：双轴倾角传感器，补偿范围±2°,补偿精度0.005°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、软件功能：自动搜索参考球和棋盘纸目标；通过基于“俯视图”的配准或“云对云”配准方法来实现无靶标扫描定位。对象标识，方便手动识别球体、黑白参考目标、圆形参考目标、平面和平板；具备在线检索功能，以实现参考点的自动对应。在三维视图中一次编辑多个扫描图像；具有多个用户界面和项目历史记录的项目数据库；层级结构；图形项目视图，用于管理所有现有的扫描项目；可显示扫描位置可用于视角选择并可通过单击切换到其它扫描作业；支持空间视图的 3D 鼠标操作功能。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第二包：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sz w:val="24"/>
        </w:rPr>
        <w:t>（4）</w:t>
      </w:r>
      <w:r>
        <w:rPr>
          <w:rFonts w:ascii="仿宋_GB2312" w:eastAsia="仿宋_GB2312" w:hint="eastAsia"/>
          <w:b/>
          <w:color w:val="000000"/>
          <w:sz w:val="24"/>
        </w:rPr>
        <w:t>扫描电子显微镜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1、工作条件要求: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1.1、电源电压: 230V (+6%, -10%)，50Hz (± 1%)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1.2、工作温度: 温度15~25</w:t>
      </w:r>
      <w:r w:rsidRPr="0095605C">
        <w:rPr>
          <w:rFonts w:ascii="仿宋_GB2312" w:eastAsia="仿宋_GB2312" w:hint="eastAsia"/>
          <w:sz w:val="24"/>
        </w:rPr>
        <w:sym w:font="Symbol" w:char="F0B0"/>
      </w:r>
      <w:r w:rsidRPr="0095605C">
        <w:rPr>
          <w:rFonts w:ascii="仿宋_GB2312" w:eastAsia="仿宋_GB2312" w:hint="eastAsia"/>
          <w:color w:val="000000"/>
          <w:sz w:val="24"/>
        </w:rPr>
        <w:t>C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1.3、相对湿度: &lt; 80% (无冷凝)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1.4、噪音: &lt; 68dBC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1.5、残余交流磁场:</w:t>
      </w:r>
      <w:r w:rsidRPr="0095605C">
        <w:rPr>
          <w:rFonts w:ascii="仿宋_GB2312" w:eastAsia="仿宋_GB2312" w:hint="eastAsia"/>
          <w:color w:val="000000"/>
          <w:sz w:val="24"/>
        </w:rPr>
        <w:tab/>
      </w:r>
    </w:p>
    <w:p w:rsidR="004F5911" w:rsidRPr="0095605C" w:rsidRDefault="004F5911" w:rsidP="004F5911">
      <w:pPr>
        <w:spacing w:line="360" w:lineRule="auto"/>
        <w:ind w:firstLineChars="100" w:firstLine="240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&lt; 100nT (非同步频率，水平X/Y方向)</w:t>
      </w:r>
    </w:p>
    <w:p w:rsidR="004F5911" w:rsidRPr="0095605C" w:rsidRDefault="004F5911" w:rsidP="004F5911">
      <w:pPr>
        <w:spacing w:line="360" w:lineRule="auto"/>
        <w:ind w:firstLineChars="100" w:firstLine="240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&lt; 300nT (同步频率，水平X/Y方向)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1.6、安装条件: 接地电阻≤ 0.1欧姆 (欧洲标准)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1.7、仪器运行的持久性: 仪器必须可连续使用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2、设备用途:</w:t>
      </w:r>
    </w:p>
    <w:p w:rsidR="004F5911" w:rsidRDefault="004F5911" w:rsidP="004F5911">
      <w:pPr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扫描电镜 (SEM) 广泛地应用于金属材料和无机非金属材料 (化学、化工、石油、地质矿物学、橡胶、纺织、水泥、玻璃纤维) 等检验和研究。在材料科学、金属材料、陶瓷材料、半导体材料、不导电材料、含水含油材料、多孔材</w:t>
      </w:r>
      <w:r w:rsidRPr="0095605C">
        <w:rPr>
          <w:rFonts w:ascii="仿宋_GB2312" w:eastAsia="仿宋_GB2312" w:hint="eastAsia"/>
          <w:color w:val="000000"/>
          <w:sz w:val="24"/>
        </w:rPr>
        <w:lastRenderedPageBreak/>
        <w:t>料、化学材料等领域，进行材料的微观形貌、组织、成分分析。各种材料的形貌组织观察，材料断口分析和失效分析，材料实时微区成分分析，元素定量、定性成分分析，快速的多元素面扫描和线扫描分部测量，晶体/晶粒的相鉴定，晶粒尺寸、形状分析，晶体、晶粒取向测量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3、扫描电子显微镜技术规格要求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3.1、电子光学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3.1.1、高性能电子光学镜筒，双阳极热发射电子枪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3.1.2、固定式物镜光阑，使用方便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3.1.3、加速电压: 200 V - 30 kV, 10V 步进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3.1.4、束流: 不低于2 </w:t>
      </w:r>
      <w:r>
        <w:rPr>
          <w:rFonts w:eastAsia="仿宋_GB2312" w:hint="eastAsia"/>
          <w:color w:val="000000"/>
          <w:sz w:val="24"/>
        </w:rPr>
        <w:t>µ</w:t>
      </w:r>
      <w:r>
        <w:rPr>
          <w:rFonts w:ascii="仿宋_GB2312" w:eastAsia="仿宋_GB2312" w:hint="eastAsia"/>
          <w:color w:val="000000"/>
          <w:sz w:val="24"/>
        </w:rPr>
        <w:t>A 并连续可调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3.1.5、放大倍数: 6x – 1,000,000x (误差≤ 3%)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3.2、分辨率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★3.2.1、二次电子 (SE) 成像: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高真空模式: 30kV 时 3.0 nm；3kV 时 8.0 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低真空模式: 30kV 时 3.0 nm；3kV 时 10.0 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环境真空模式 (ESEM): 30kV 时 3.0nm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3.2.2、背散射电子 (BSE) 成像: 30kV 时 4.0 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3.3、样品室真空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★3.3.1、穿过透镜的压差真空系统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3.3.2、高真空模式: &lt; 6×10</w:t>
      </w:r>
      <w:r>
        <w:rPr>
          <w:rFonts w:ascii="仿宋_GB2312" w:eastAsia="仿宋_GB2312" w:hint="eastAsia"/>
          <w:color w:val="000000"/>
          <w:sz w:val="24"/>
          <w:vertAlign w:val="superscript"/>
        </w:rPr>
        <w:t>-4</w:t>
      </w:r>
      <w:r>
        <w:rPr>
          <w:rFonts w:ascii="仿宋_GB2312" w:eastAsia="仿宋_GB2312" w:hint="eastAsia"/>
          <w:color w:val="000000"/>
          <w:sz w:val="24"/>
        </w:rPr>
        <w:t>Pa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3.3.3、低真空模式: 10Pa~130Pa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★3.3.4、环境真空模式: 10Pa~2600Pa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3.3.5、换样时间: 高真空模式≤ 150秒；低真空及环境真空模式≤ 270秒 (标准测试程序)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3.3.6、真空系统：配备1个涡轮分子泵并配备1个机械泵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3.4、探测器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3.4.1、1个高真空模式二次电子探头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3.4.2、1个大视场低真空模式气体二次电子探头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3.4.3、1个环境真空模式气体二次电子探头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3.4.4、1个高灵敏度，低电压固体背散射电子探头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3.4.5、1个样品室红外CCD相机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3.5、样品室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★3.5.1、左右内径或长宽</w:t>
      </w:r>
      <w:r>
        <w:rPr>
          <w:rFonts w:ascii="仿宋_GB2312" w:eastAsia="仿宋_GB2312" w:hAnsi="Arial" w:cs="Arial" w:hint="eastAsia"/>
          <w:color w:val="000000"/>
          <w:sz w:val="24"/>
        </w:rPr>
        <w:t>≥</w:t>
      </w:r>
      <w:r>
        <w:rPr>
          <w:rFonts w:ascii="仿宋_GB2312" w:eastAsia="仿宋_GB2312" w:hint="eastAsia"/>
          <w:color w:val="000000"/>
          <w:sz w:val="24"/>
        </w:rPr>
        <w:t>360 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3.5.2、分析工作距离≥ 10 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3.5.3、10个探测器 / 附件接口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3.5.4、EDS采集角: 35°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3.5.5、5轴马达，全对中样品台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★3.5.6、马达移动范围：X ≥150mm, Y ≥ 150mm, Z ≥65mm, 倾斜–5° to +70°, 连续旋转 360°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3.5.7、重复精度≤2</w:t>
      </w:r>
      <w:r>
        <w:rPr>
          <w:rFonts w:eastAsia="仿宋_GB2312" w:hint="eastAsia"/>
          <w:color w:val="000000"/>
          <w:sz w:val="24"/>
        </w:rPr>
        <w:t>µ</w:t>
      </w:r>
      <w:r>
        <w:rPr>
          <w:rFonts w:ascii="仿宋_GB2312" w:eastAsia="仿宋_GB2312" w:hint="eastAsia"/>
          <w:color w:val="000000"/>
          <w:sz w:val="24"/>
        </w:rPr>
        <w:t>m (X/Y方向)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3.6、系统控制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3.6.1、32位图形用户界面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3.6.2、Windows 操作系统，键盘，光电鼠标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3.6.3、19”LCD 液晶显示器，分辨率 1280 x 1024 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3.6.4、控制和操作计算机系统，最低配置: CPU/Intel Core 2 Duo 2.83GHz，内存/2GB，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硬盘/500GB；16x DVD-RW读可写光驱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3.6.5、基于以太网架构的数据传输系统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</w:t>
      </w:r>
      <w:r>
        <w:rPr>
          <w:rFonts w:ascii="仿宋_GB2312" w:eastAsia="仿宋_GB2312" w:hint="eastAsia"/>
          <w:color w:val="000000"/>
          <w:sz w:val="24"/>
        </w:rPr>
        <w:tab/>
        <w:t>图像显示与处理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3.7.1、最大像素 4096 x 3536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3.7.2、图像文件格式:  TIFF (8位或 16位), BMP 或 JPEG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3.7.3、自动记录数字电影: (.avi) 功能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3.7.4、单幅图像显示或 4 幅图像同时显示 (四活动窗口)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3.7.5、实时或静态按彩色或按灰度等级信号混合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3.7.6、256帧平均或积分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3.8、标准应用软件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3.8.1、智能扫描技术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3.8.2、样品图像导航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3.8.3、直方图及图像测量软件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3.8.4、鼠标拖曳式放大及对中功能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3.8.5、数字动画生成工具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3.9、能谱仪技术指标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3.9.1、能谱探测器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★3.9.1.1、探头类型：电制冷半导体硅漂移探测器，晶体活区面积不小于65mm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2</w:t>
      </w:r>
      <w:r>
        <w:rPr>
          <w:rFonts w:ascii="仿宋_GB2312" w:eastAsia="仿宋_GB2312" w:hint="eastAsia"/>
          <w:color w:val="000000"/>
          <w:sz w:val="24"/>
        </w:rPr>
        <w:t>，实际窗口面积不小于50 mm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2</w:t>
      </w:r>
      <w:r>
        <w:rPr>
          <w:rFonts w:ascii="仿宋_GB2312" w:eastAsia="仿宋_GB2312" w:hint="eastAsia"/>
          <w:color w:val="000000"/>
          <w:sz w:val="24"/>
        </w:rPr>
        <w:t>，确保在小束流条件下实现纳米尺度的成分分析;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3.9.1.2、马达控制探头自动伸缩定位，可以在软件中设定，确保分析不同样品或断口样品时可以获得完全相同的采集效率，保证数据重现性和可比性；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3.9.1.3、可分析元素范围：Be4~Cf98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3.9.1.4、能量分辨率(20000CPS)：Mn-Ka优于127eV；C-Ka优于56eV；F-Ka优于65eV；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3.9.1.5、采用圆形晶体，场效应管独立封装，避免电势相互干扰造成的使用寿命缩短；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3.9.2、谱仪硬件结构：采用分立式模块化的硬件设计和1394通讯协议，热稳定性好，升级和维修方便；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3.9.3、免维护性：探头采用帕尔贴制冷，无风扇或者循环水，处理器等单独分立设计，确保突然断电对系统无任何影响，降低维修维护成本；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★3.9.4、图像系统：具有高性能的图像系统，在能谱和EBSD一体化平台上实现能谱的采集与定量分析、线扫描及全息面扫描（包含常规面分布、定量面分布和快速面分布、快速智能面分布等），全息面扫描（存储样品每一扫描位置的能谱图，用户而后可以在离线状态下从图像上的任何位置创建谱线、线扫描和面分布图）清晰度优于4096×4096；电子数字图像最大清晰度：8192x8192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3.9.5、能谱标准应用软件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3.9.5.1、背景扣除：采用高帽法数字滤波技术，人为误差小，元素种类的多少不会影响扣除结果，数据可以直接比较；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3.9.5.2、定性分析：可自动和手动进行谱峰识别，并具有检验重叠峰识别准确性的可见峰剥离技术；具有零峰（起始峰）设计以避免环境温度对峰位的影响；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3.9.5.3、定量分析：提供虚拟标样数据库或者实体标样，系统自动有效修正元素之间的相互吸收，确保不用任何经验因子也能得到准确结果；谱峰稳定，数据重现性好，不需要多元素校准峰位；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★3.9.5.4、定量结果显示：提供归一化结果和非归一化高级定量结果，直接和探针或者化学分析结果比较；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3.9.5.5、低电压功能：具备低电压下的专用标样数据库，可以在5KV或者更低电压下进行能谱仪定性定量分析；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3.9.5.6、软件界面：中英文任意切换的导航器用户界面，所有应用软件在同一个平台上打开；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3.9.6、升级的64位最新软件包：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3.9.6.1、64位主程序，实现多线程控制，可以同时进行采集和分析等多项任务。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3.9.6.2、实现多账户分级管理模式，实现网络远程控制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3.9.6.3、智能分析功能，自动读取电镜的信心和样品台位置，可提示现行硬件状态；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3.9.7、计算机等：进口品牌计算机工作站，最低配置: CPU/Intel Cure 2 Duo 2.4GHz ，内存/32GB，硬盘1TB；8x DVD-RW读可写光驱；27”平板液晶显示器；操作系统及应用软件，原装进口的实验台，和电镜操作台一体化风格。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4、产品配置符合如下要求: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4.1、扫描电子显微镜一套，包括: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4.1.1、扫描电子显微镜基本单元</w:t>
      </w:r>
      <w:r>
        <w:rPr>
          <w:rFonts w:ascii="仿宋_GB2312" w:eastAsia="仿宋_GB2312" w:hint="eastAsia"/>
          <w:color w:val="000000"/>
          <w:sz w:val="24"/>
        </w:rPr>
        <w:tab/>
        <w:t>1台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4.1.2、必备电镜控制器和显示器，工作台</w:t>
      </w:r>
      <w:r>
        <w:rPr>
          <w:rFonts w:ascii="仿宋_GB2312" w:eastAsia="仿宋_GB2312" w:hint="eastAsia"/>
          <w:color w:val="000000"/>
          <w:sz w:val="24"/>
        </w:rPr>
        <w:tab/>
        <w:t>1套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4.1.3、保证设备正常运行和保养所需的标准备品备件、专用工具</w:t>
      </w:r>
      <w:r>
        <w:rPr>
          <w:rFonts w:ascii="仿宋_GB2312" w:eastAsia="仿宋_GB2312" w:hint="eastAsia"/>
          <w:color w:val="000000"/>
          <w:sz w:val="24"/>
        </w:rPr>
        <w:tab/>
        <w:t>1套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4.2、能谱仪系统一套，包括: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4.2.1、电制冷能谱仪探头</w:t>
      </w:r>
      <w:r>
        <w:rPr>
          <w:rFonts w:ascii="仿宋_GB2312" w:eastAsia="仿宋_GB2312" w:hint="eastAsia"/>
          <w:color w:val="000000"/>
          <w:sz w:val="24"/>
        </w:rPr>
        <w:tab/>
        <w:t>1对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4.2.2、能谱仪集成控制套件</w:t>
      </w:r>
      <w:r>
        <w:rPr>
          <w:rFonts w:ascii="仿宋_GB2312" w:eastAsia="仿宋_GB2312" w:hint="eastAsia"/>
          <w:color w:val="000000"/>
          <w:sz w:val="24"/>
        </w:rPr>
        <w:tab/>
        <w:t>1套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5、技术文件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5.1、中标人应在签订合同后，提供仪器的预安装要求说明书。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5.2、中标人应在交货时，随机提供仪器操作，软件使用，和维护的说明书。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5.3、中标人应随机提供电子版说明书。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5.4、中标人应随机提供完整的产品验收说明书。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6、离子溅射仪1台：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6.1、样品仓尺寸： 120 x 120mm（高），高强度不锈钢结构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6.2、样品台：可放置12个标准SEM样品座，高度可在 60mm内调节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6.3、溅镀优点：基于微处理器反馈控制，远程电流/电压感应；提供真空安全联锁装置，最大180A，配有过流保护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6.4、溅射控制：微处理器控制，安全互锁，可调，最大电流40mA，程序化数字控制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6.5、溅射头：低电压平面磁控管，靶材更换快速，环绕暗区护罩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6.6、模拟计量：真空 Atm-0.001mb  电流: 0-200A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6.7、控制方式：全自动喷镀控制，自动卸真空自动进气功能，带有“暂停”控制的数字定时器（0－300s），自动放气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（5）、X射线荧光光谱仪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1、应用范围：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1.1、该仪器主要应用于物质宏观和微区元素成分定性与定量分析。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2、工作条件：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2.1、光谱仪：90~260 VAC / 47~63 Hz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2.2、真空泵：开关转换90~132 VAC / 50~60 Hz，180~254 VAC / 50~60 Hz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2.3、功率：1800 VA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2.4、温度：+5 ~ 35°C（最大温度波动：稳定工作下每小时~3°C)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2.5、环境湿度：20 ~ 80% RH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3、技术规格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3.1、样品仓：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3.1.1、样品正立放置的样品仓：直径360 mm，深310 mm。可在常压和低真空状态下检测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3.1.2、样品台行程：100 mm x 100 mm x 100 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3.1.3、高精度压电马达控制的X/Y运行，以保证线、面扫描的快速、平稳及定位准确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3.1.4 、样品台精度：±2 μm（XY轴），±10 μm（Z轴）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★3.1.5、样品仓配置具有两种放大倍率及数字图像放大CCD，10倍率和100倍率，以便于定位和不同区域大小的测量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3.2、X射线激发源光学系统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★3.2.1、同时安装使用3种尺寸的X射线束斑照射，分别为300μm，1mm和2mm，方便不同样品的需求并转换方便，无需拆卸更换。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3.2.2、X射线最小微聚焦斑达300μm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★3.2.3、光学系统塔轮设计，三种X射线束斑与光学CCD可随时切换，激发源于观察系统同轴，实现垂直X射线束斑照射。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3.2.4、具有光幕与机械保护传感器，保护探测器不于样品相撞。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3.3、能谱仪探测器系统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3.3.1、分析元素范围：Na11~U92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3.3.2、能谱探测器：场效应管(FET)内置的高速 SDD芯片，晶体有效检测面积30mm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2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3.3.3、能量分辨率(Mn-Ka)：优于140eV，在30,000cps下。严格依照ISO15632国际标准测量。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3.3.4、可处理最大计数率:850,000CPS，最大输出计数率&gt;350,000CPS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3.4、分析系统：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3.4.1、具有激光焦面指示器。便于光洁表面或透明材料的聚焦定位，并保护样品及仪器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3.4.2、工作距离≥6mm。允许样品具有一定粗糙度。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★3.4.3、除可进行点的定性定量分析（包括自动多点及线性、矩阵的多点分析）外，还可以进行跨视域的线、面分布分析。最大线扫描长度近100 mm，最大面分布图近100 mm x 80 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3.4.4、大视野扫描分析时，通过软件蒙太奇方法将10×和100×的视频画面自动组合完成。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3.5、软件功能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3.5.1、具有无标样法、标样法和痕量元素的多种定量计算方法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3.5.2、具有全信息谱分布图和元素侦探器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3.5.3、全面的定性分析软件，包括谱线采集与显示，自动峰标定。定量分析：基本参数法无标样分析及多标样模式。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4、产品配置要求：</w:t>
      </w:r>
      <w:r>
        <w:rPr>
          <w:rFonts w:ascii="仿宋_GB2312" w:eastAsia="仿宋_GB2312" w:hint="eastAsia"/>
          <w:color w:val="000000"/>
          <w:sz w:val="24"/>
        </w:rPr>
        <w:tab/>
      </w:r>
      <w:r>
        <w:rPr>
          <w:rFonts w:ascii="仿宋_GB2312" w:eastAsia="仿宋_GB2312" w:hint="eastAsia"/>
          <w:color w:val="000000"/>
          <w:sz w:val="24"/>
        </w:rPr>
        <w:tab/>
      </w:r>
      <w:r>
        <w:rPr>
          <w:rFonts w:ascii="仿宋_GB2312" w:eastAsia="仿宋_GB2312" w:hint="eastAsia"/>
          <w:color w:val="000000"/>
          <w:sz w:val="24"/>
        </w:rPr>
        <w:tab/>
      </w:r>
      <w:r>
        <w:rPr>
          <w:rFonts w:ascii="仿宋_GB2312" w:eastAsia="仿宋_GB2312" w:hint="eastAsia"/>
          <w:color w:val="000000"/>
          <w:sz w:val="24"/>
        </w:rPr>
        <w:tab/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4.1、微聚焦 X射线荧光能谱仪   1台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4.2、其它保证仪器设备的正常运行和常规保养所需的附件、专用工具和消耗品。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技术文件：中标人应提供全套、完整的技术资料，包括仪器说明书、操作手册、维修说明、结构图、电路总框图、各单元框图及详细电路图等。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（6）、热膨胀仪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1、温度范围：最高工作温度1600℃；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★2、位移系统：独立的光学解码高解析位移测量系统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3、升降温速率：0～50℃/min可调；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4、恒温温度精度：±0.1℃；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★5、样品长度0.01mm～50mm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★6、测试范围：±5000μm；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★7、全量程位移分辨率≤2nm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8、样品尺寸：长度20～50mm；直径：5～10mm。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9、温度校正：C-DTA多点熔点法校正，不少于5中金属标准样品。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24"/>
        </w:rPr>
        <w:t>（7）、</w:t>
      </w:r>
      <w:r>
        <w:rPr>
          <w:rFonts w:ascii="仿宋_GB2312" w:eastAsia="仿宋_GB2312" w:hint="eastAsia"/>
          <w:b/>
          <w:color w:val="000000"/>
          <w:sz w:val="24"/>
        </w:rPr>
        <w:t>普通体视显微镜</w:t>
      </w:r>
    </w:p>
    <w:p w:rsidR="004F5911" w:rsidRPr="00B0424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B04241">
        <w:rPr>
          <w:rFonts w:ascii="仿宋_GB2312" w:eastAsia="仿宋_GB2312" w:hint="eastAsia"/>
          <w:color w:val="000000"/>
          <w:sz w:val="24"/>
        </w:rPr>
        <w:t>1、光学变倍比：</w:t>
      </w:r>
      <w:r>
        <w:rPr>
          <w:rFonts w:ascii="仿宋_GB2312" w:eastAsia="仿宋_GB2312" w:hint="eastAsia"/>
          <w:color w:val="000000"/>
          <w:sz w:val="24"/>
        </w:rPr>
        <w:t>0.67-5</w:t>
      </w:r>
      <w:r w:rsidRPr="00B04241">
        <w:rPr>
          <w:rFonts w:ascii="仿宋_GB2312" w:eastAsia="仿宋_GB2312" w:hint="eastAsia"/>
          <w:color w:val="000000"/>
          <w:sz w:val="24"/>
        </w:rPr>
        <w:t>X；</w:t>
      </w:r>
    </w:p>
    <w:p w:rsidR="004F5911" w:rsidRPr="00B0424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B04241">
        <w:rPr>
          <w:rFonts w:ascii="仿宋_GB2312" w:eastAsia="仿宋_GB2312" w:hint="eastAsia"/>
          <w:color w:val="000000"/>
          <w:sz w:val="24"/>
        </w:rPr>
        <w:t>2、总放大倍数不小于100x；</w:t>
      </w:r>
    </w:p>
    <w:p w:rsidR="004F5911" w:rsidRPr="00B0424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B04241">
        <w:rPr>
          <w:rFonts w:ascii="仿宋_GB2312" w:eastAsia="仿宋_GB2312" w:hint="eastAsia"/>
          <w:color w:val="000000"/>
          <w:sz w:val="24"/>
        </w:rPr>
        <w:t>3、全镜及配件无铅；</w:t>
      </w:r>
    </w:p>
    <w:p w:rsidR="004F5911" w:rsidRPr="00B0424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B04241">
        <w:rPr>
          <w:rFonts w:ascii="仿宋_GB2312" w:eastAsia="仿宋_GB2312" w:hint="eastAsia"/>
          <w:color w:val="000000"/>
          <w:sz w:val="24"/>
        </w:rPr>
        <w:t>4、环形LED灯源，冷光；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B04241">
        <w:rPr>
          <w:rFonts w:ascii="仿宋_GB2312" w:eastAsia="仿宋_GB2312" w:hint="eastAsia"/>
          <w:color w:val="000000"/>
          <w:sz w:val="24"/>
        </w:rPr>
        <w:t>5、可扩展性：有外接口，可外接摄像拍照等设备≥200万像素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（8）、镶嵌机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、电源：</w:t>
      </w:r>
      <w:r>
        <w:rPr>
          <w:rFonts w:ascii="仿宋_GB2312" w:eastAsia="仿宋_GB2312" w:hint="eastAsia"/>
          <w:sz w:val="24"/>
        </w:rPr>
        <w:t>220V   50Hz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、功率</w:t>
      </w:r>
      <w:r>
        <w:rPr>
          <w:rFonts w:ascii="仿宋_GB2312" w:eastAsia="仿宋_GB2312" w:hint="eastAsia"/>
          <w:sz w:val="24"/>
        </w:rPr>
        <w:t>≤650W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、温度调节范围：</w:t>
      </w:r>
      <w:r>
        <w:rPr>
          <w:rFonts w:ascii="仿宋_GB2312" w:eastAsia="仿宋_GB2312" w:hint="eastAsia"/>
          <w:sz w:val="24"/>
        </w:rPr>
        <w:t>100-180</w:t>
      </w:r>
      <w:r>
        <w:rPr>
          <w:rFonts w:ascii="仿宋_GB2312" w:eastAsia="仿宋_GB2312" w:hAnsi="宋体" w:hint="eastAsia"/>
          <w:sz w:val="24"/>
        </w:rPr>
        <w:t>℃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、镶嵌规格</w:t>
      </w:r>
      <w:r>
        <w:rPr>
          <w:rFonts w:ascii="仿宋_GB2312" w:eastAsia="仿宋_GB2312" w:hint="eastAsia"/>
          <w:sz w:val="24"/>
        </w:rPr>
        <w:t>≥Φ22mm×15mm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5</w:t>
      </w:r>
      <w:r>
        <w:rPr>
          <w:rFonts w:ascii="仿宋_GB2312" w:eastAsia="仿宋_GB2312" w:hAnsi="宋体" w:hint="eastAsia"/>
          <w:sz w:val="24"/>
        </w:rPr>
        <w:t>、使用环境：海拔高度不超过</w:t>
      </w:r>
      <w:r>
        <w:rPr>
          <w:rFonts w:ascii="仿宋_GB2312" w:eastAsia="仿宋_GB2312" w:hint="eastAsia"/>
          <w:sz w:val="24"/>
        </w:rPr>
        <w:t>1000m</w:t>
      </w:r>
      <w:r>
        <w:rPr>
          <w:rFonts w:ascii="仿宋_GB2312" w:eastAsia="仿宋_GB2312" w:hAnsi="宋体" w:hint="eastAsia"/>
          <w:sz w:val="24"/>
        </w:rPr>
        <w:t>；周围介质温度不超过</w:t>
      </w:r>
      <w:r>
        <w:rPr>
          <w:rFonts w:ascii="仿宋_GB2312" w:eastAsia="仿宋_GB2312" w:hint="eastAsia"/>
          <w:sz w:val="24"/>
        </w:rPr>
        <w:t>40</w:t>
      </w:r>
      <w:r>
        <w:rPr>
          <w:rFonts w:ascii="仿宋_GB2312" w:eastAsia="仿宋_GB2312" w:hAnsi="宋体" w:hint="eastAsia"/>
          <w:sz w:val="24"/>
        </w:rPr>
        <w:t>℃，不低于</w:t>
      </w:r>
      <w:r>
        <w:rPr>
          <w:rFonts w:ascii="仿宋_GB2312" w:eastAsia="仿宋_GB2312" w:hint="eastAsia"/>
          <w:sz w:val="24"/>
        </w:rPr>
        <w:t>-10</w:t>
      </w:r>
      <w:r>
        <w:rPr>
          <w:rFonts w:ascii="仿宋_GB2312" w:eastAsia="仿宋_GB2312" w:hAnsi="宋体" w:hint="eastAsia"/>
          <w:sz w:val="24"/>
        </w:rPr>
        <w:t>℃；空气相对湿度不大于</w:t>
      </w:r>
      <w:r>
        <w:rPr>
          <w:rFonts w:ascii="仿宋_GB2312" w:eastAsia="仿宋_GB2312" w:hint="eastAsia"/>
          <w:sz w:val="24"/>
        </w:rPr>
        <w:t>85%</w:t>
      </w:r>
      <w:r>
        <w:rPr>
          <w:rFonts w:ascii="仿宋_GB2312" w:eastAsia="仿宋_GB2312" w:hAnsi="宋体" w:hint="eastAsia"/>
          <w:sz w:val="24"/>
        </w:rPr>
        <w:t xml:space="preserve">（在　</w:t>
      </w:r>
      <w:r>
        <w:rPr>
          <w:rFonts w:ascii="仿宋_GB2312" w:eastAsia="仿宋_GB2312" w:hint="eastAsia"/>
          <w:sz w:val="24"/>
        </w:rPr>
        <w:t xml:space="preserve"> 20</w:t>
      </w:r>
      <w:r>
        <w:rPr>
          <w:rFonts w:ascii="仿宋_GB2312" w:eastAsia="仿宋_GB2312" w:hAnsi="宋体" w:hint="eastAsia"/>
          <w:sz w:val="24"/>
        </w:rPr>
        <w:t>℃时）；无明显的振动和颠簸；无导电尘埃、爆炸性气体及能严重破坏金属和绝缘的腐蚀性气体。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</w:t>
      </w:r>
      <w:r>
        <w:rPr>
          <w:rFonts w:ascii="仿宋_GB2312" w:eastAsia="仿宋_GB2312" w:hAnsi="宋体" w:hint="eastAsia"/>
          <w:color w:val="000000"/>
          <w:sz w:val="24"/>
        </w:rPr>
        <w:t>、电木粉</w:t>
      </w:r>
      <w:r>
        <w:rPr>
          <w:rFonts w:ascii="仿宋_GB2312" w:eastAsia="仿宋_GB2312" w:hint="eastAsia"/>
          <w:color w:val="000000"/>
          <w:sz w:val="24"/>
        </w:rPr>
        <w:t>10</w:t>
      </w:r>
      <w:r>
        <w:rPr>
          <w:rFonts w:ascii="仿宋_GB2312" w:eastAsia="仿宋_GB2312" w:hAnsi="宋体" w:hint="eastAsia"/>
          <w:color w:val="000000"/>
          <w:sz w:val="24"/>
        </w:rPr>
        <w:t>瓶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（9）、超声波清洗机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、仪器尺寸</w:t>
      </w:r>
      <w:r>
        <w:rPr>
          <w:rFonts w:ascii="仿宋_GB2312" w:eastAsia="仿宋_GB2312" w:hint="eastAsia"/>
          <w:kern w:val="0"/>
          <w:sz w:val="24"/>
        </w:rPr>
        <w:t>≤320</w:t>
      </w:r>
      <w:r>
        <w:rPr>
          <w:rFonts w:ascii="仿宋_GB2312" w:eastAsia="仿宋_GB2312"/>
          <w:kern w:val="0"/>
          <w:sz w:val="24"/>
        </w:rPr>
        <w:t>*</w:t>
      </w:r>
      <w:r>
        <w:rPr>
          <w:rFonts w:ascii="仿宋_GB2312" w:eastAsia="仿宋_GB2312" w:hint="eastAsia"/>
          <w:kern w:val="0"/>
          <w:sz w:val="24"/>
        </w:rPr>
        <w:t>264</w:t>
      </w:r>
      <w:r>
        <w:rPr>
          <w:rFonts w:ascii="仿宋_GB2312" w:eastAsia="仿宋_GB2312"/>
          <w:kern w:val="0"/>
          <w:sz w:val="24"/>
        </w:rPr>
        <w:t>*</w:t>
      </w:r>
      <w:r>
        <w:rPr>
          <w:rFonts w:ascii="仿宋_GB2312" w:eastAsia="仿宋_GB2312" w:hint="eastAsia"/>
          <w:kern w:val="0"/>
          <w:sz w:val="24"/>
        </w:rPr>
        <w:t>340(mm)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、清洗槽内尺寸</w:t>
      </w:r>
      <w:r>
        <w:rPr>
          <w:rFonts w:ascii="仿宋_GB2312" w:eastAsia="仿宋_GB2312" w:hint="eastAsia"/>
          <w:kern w:val="0"/>
          <w:sz w:val="24"/>
        </w:rPr>
        <w:t>≥300*240*150(mm)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、容量</w:t>
      </w:r>
      <w:r>
        <w:rPr>
          <w:rFonts w:ascii="仿宋_GB2312" w:eastAsia="仿宋_GB2312" w:hint="eastAsia"/>
          <w:kern w:val="0"/>
          <w:sz w:val="24"/>
        </w:rPr>
        <w:t>≥10L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4</w:t>
      </w:r>
      <w:r>
        <w:rPr>
          <w:rFonts w:ascii="仿宋_GB2312" w:eastAsia="仿宋_GB2312" w:hAnsi="宋体" w:hint="eastAsia"/>
          <w:kern w:val="0"/>
          <w:sz w:val="24"/>
        </w:rPr>
        <w:t>、超声频率</w:t>
      </w:r>
      <w:r>
        <w:rPr>
          <w:rFonts w:ascii="仿宋_GB2312" w:eastAsia="仿宋_GB2312" w:hint="eastAsia"/>
          <w:kern w:val="0"/>
          <w:sz w:val="24"/>
        </w:rPr>
        <w:t>≥40kHz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5</w:t>
      </w:r>
      <w:r>
        <w:rPr>
          <w:rFonts w:ascii="仿宋_GB2312" w:eastAsia="仿宋_GB2312" w:hAnsi="宋体" w:hint="eastAsia"/>
          <w:kern w:val="0"/>
          <w:sz w:val="24"/>
        </w:rPr>
        <w:t>、超声功率</w:t>
      </w:r>
      <w:r>
        <w:rPr>
          <w:rFonts w:ascii="仿宋_GB2312" w:eastAsia="仿宋_GB2312" w:hint="eastAsia"/>
          <w:kern w:val="0"/>
          <w:sz w:val="24"/>
        </w:rPr>
        <w:t>≥300W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6</w:t>
      </w:r>
      <w:r>
        <w:rPr>
          <w:rFonts w:ascii="仿宋_GB2312" w:eastAsia="仿宋_GB2312" w:hAnsi="宋体" w:hint="eastAsia"/>
          <w:kern w:val="0"/>
          <w:sz w:val="24"/>
        </w:rPr>
        <w:t>、功率可调：</w:t>
      </w:r>
      <w:r>
        <w:rPr>
          <w:rFonts w:ascii="仿宋_GB2312" w:eastAsia="仿宋_GB2312" w:hint="eastAsia"/>
          <w:kern w:val="0"/>
          <w:sz w:val="24"/>
        </w:rPr>
        <w:t>40-100%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7</w:t>
      </w:r>
      <w:r>
        <w:rPr>
          <w:rFonts w:ascii="仿宋_GB2312" w:eastAsia="仿宋_GB2312" w:hAnsi="宋体" w:hint="eastAsia"/>
          <w:kern w:val="0"/>
          <w:sz w:val="24"/>
        </w:rPr>
        <w:t>、进水液位：</w:t>
      </w:r>
      <w:r>
        <w:rPr>
          <w:rFonts w:ascii="仿宋_GB2312" w:eastAsia="仿宋_GB2312" w:hint="eastAsia"/>
          <w:kern w:val="0"/>
          <w:sz w:val="24"/>
        </w:rPr>
        <w:t>1-120mm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Ansi="宋体" w:hint="eastAsia"/>
          <w:kern w:val="0"/>
          <w:sz w:val="24"/>
        </w:rPr>
        <w:t>、加热功率</w:t>
      </w:r>
      <w:r>
        <w:rPr>
          <w:rFonts w:ascii="仿宋_GB2312" w:eastAsia="仿宋_GB2312" w:hint="eastAsia"/>
          <w:kern w:val="0"/>
          <w:sz w:val="24"/>
        </w:rPr>
        <w:t>≥400W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9</w:t>
      </w:r>
      <w:r>
        <w:rPr>
          <w:rFonts w:ascii="仿宋_GB2312" w:eastAsia="仿宋_GB2312" w:hAnsi="宋体" w:hint="eastAsia"/>
          <w:kern w:val="0"/>
          <w:sz w:val="24"/>
        </w:rPr>
        <w:t>、温度可调：</w:t>
      </w:r>
      <w:r>
        <w:rPr>
          <w:rFonts w:ascii="仿宋_GB2312" w:eastAsia="仿宋_GB2312" w:hint="eastAsia"/>
          <w:kern w:val="0"/>
          <w:sz w:val="24"/>
        </w:rPr>
        <w:t>10-80</w:t>
      </w:r>
      <w:r>
        <w:rPr>
          <w:rFonts w:ascii="仿宋_GB2312" w:eastAsia="仿宋_GB2312" w:hAnsi="宋体" w:hint="eastAsia"/>
          <w:kern w:val="0"/>
          <w:sz w:val="24"/>
        </w:rPr>
        <w:t>℃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10</w:t>
      </w:r>
      <w:r>
        <w:rPr>
          <w:rFonts w:ascii="仿宋_GB2312" w:eastAsia="仿宋_GB2312" w:hAnsi="宋体" w:hint="eastAsia"/>
          <w:kern w:val="0"/>
          <w:sz w:val="24"/>
        </w:rPr>
        <w:t>、时间可调：</w:t>
      </w:r>
      <w:r>
        <w:rPr>
          <w:rFonts w:ascii="仿宋_GB2312" w:eastAsia="仿宋_GB2312" w:hint="eastAsia"/>
          <w:kern w:val="0"/>
          <w:sz w:val="24"/>
        </w:rPr>
        <w:t>1-480min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11</w:t>
      </w:r>
      <w:r>
        <w:rPr>
          <w:rFonts w:ascii="仿宋_GB2312" w:eastAsia="仿宋_GB2312" w:hAnsi="宋体" w:hint="eastAsia"/>
          <w:kern w:val="0"/>
          <w:sz w:val="24"/>
        </w:rPr>
        <w:t>、累计时间</w:t>
      </w:r>
      <w:r>
        <w:rPr>
          <w:rFonts w:ascii="仿宋_GB2312" w:eastAsia="仿宋_GB2312" w:hint="eastAsia"/>
          <w:kern w:val="0"/>
          <w:sz w:val="24"/>
        </w:rPr>
        <w:t>≥999999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12</w:t>
      </w:r>
      <w:r>
        <w:rPr>
          <w:rFonts w:ascii="仿宋_GB2312" w:eastAsia="仿宋_GB2312" w:hAnsi="宋体" w:hint="eastAsia"/>
          <w:kern w:val="0"/>
          <w:sz w:val="24"/>
        </w:rPr>
        <w:t>、网架：塑料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13</w:t>
      </w:r>
      <w:r>
        <w:rPr>
          <w:rFonts w:ascii="仿宋_GB2312" w:eastAsia="仿宋_GB2312" w:hAnsi="宋体" w:hint="eastAsia"/>
          <w:kern w:val="0"/>
          <w:sz w:val="24"/>
        </w:rPr>
        <w:t>、降音盖：有</w:t>
      </w:r>
    </w:p>
    <w:p w:rsidR="004F5911" w:rsidRDefault="004F5911" w:rsidP="004F5911">
      <w:pPr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14</w:t>
      </w:r>
      <w:r>
        <w:rPr>
          <w:rFonts w:ascii="仿宋_GB2312" w:eastAsia="仿宋_GB2312" w:hAnsi="宋体" w:hint="eastAsia"/>
          <w:kern w:val="0"/>
          <w:sz w:val="24"/>
        </w:rPr>
        <w:t>、排水：有</w:t>
      </w:r>
    </w:p>
    <w:p w:rsidR="004F5911" w:rsidRDefault="004F5911" w:rsidP="004F5911">
      <w:pPr>
        <w:rPr>
          <w:rFonts w:ascii="仿宋_GB2312" w:eastAsia="仿宋_GB2312" w:hAnsi="宋体"/>
          <w:kern w:val="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kern w:val="0"/>
          <w:sz w:val="24"/>
        </w:rPr>
        <w:t>（10）、</w:t>
      </w:r>
      <w:r>
        <w:rPr>
          <w:rFonts w:ascii="仿宋_GB2312" w:eastAsia="仿宋_GB2312" w:hint="eastAsia"/>
          <w:b/>
          <w:color w:val="000000"/>
          <w:sz w:val="24"/>
        </w:rPr>
        <w:t>磨抛机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、电源：</w:t>
      </w:r>
      <w:r>
        <w:rPr>
          <w:rFonts w:ascii="仿宋_GB2312" w:eastAsia="仿宋_GB2312" w:hint="eastAsia"/>
          <w:sz w:val="24"/>
        </w:rPr>
        <w:t>110V/220V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、磨抛盘转速：</w:t>
      </w:r>
      <w:r>
        <w:rPr>
          <w:rFonts w:ascii="仿宋_GB2312" w:eastAsia="仿宋_GB2312" w:hint="eastAsia"/>
          <w:sz w:val="24"/>
        </w:rPr>
        <w:t>50rpm-600rpm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、磨抛盘</w:t>
      </w:r>
      <w:r>
        <w:rPr>
          <w:rFonts w:ascii="仿宋_GB2312" w:eastAsia="仿宋_GB2312" w:hint="eastAsia"/>
          <w:sz w:val="24"/>
        </w:rPr>
        <w:t>≥Φ200mm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、磁力片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片；研抛底片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片；砂纸（</w:t>
      </w:r>
      <w:r>
        <w:rPr>
          <w:rFonts w:ascii="仿宋_GB2312" w:eastAsia="仿宋_GB2312" w:hint="eastAsia"/>
          <w:sz w:val="24"/>
        </w:rPr>
        <w:t>240#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400#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800#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1500#</w:t>
      </w:r>
      <w:r>
        <w:rPr>
          <w:rFonts w:ascii="仿宋_GB2312" w:eastAsia="仿宋_GB2312" w:hAnsi="宋体" w:hint="eastAsia"/>
          <w:sz w:val="24"/>
        </w:rPr>
        <w:t>）各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片；抛光垫（磨砂革、合成革）各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片；研磨膏（</w:t>
      </w:r>
      <w:r>
        <w:rPr>
          <w:rFonts w:ascii="仿宋_GB2312" w:eastAsia="仿宋_GB2312" w:hint="eastAsia"/>
          <w:sz w:val="24"/>
        </w:rPr>
        <w:t>W2.5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支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</w:t>
      </w:r>
      <w:r>
        <w:rPr>
          <w:rFonts w:ascii="仿宋_GB2312" w:eastAsia="仿宋_GB2312" w:hAnsi="宋体" w:hint="eastAsia"/>
          <w:color w:val="000000"/>
          <w:sz w:val="24"/>
        </w:rPr>
        <w:t>、研磨剂</w:t>
      </w:r>
      <w:r>
        <w:rPr>
          <w:rFonts w:ascii="仿宋_GB2312" w:eastAsia="仿宋_GB2312" w:hint="eastAsia"/>
          <w:color w:val="000000"/>
          <w:sz w:val="24"/>
        </w:rPr>
        <w:t>20</w:t>
      </w:r>
      <w:r>
        <w:rPr>
          <w:rFonts w:ascii="仿宋_GB2312" w:eastAsia="仿宋_GB2312" w:hAnsi="宋体" w:hint="eastAsia"/>
          <w:color w:val="000000"/>
          <w:sz w:val="24"/>
        </w:rPr>
        <w:t>组、砂纸</w:t>
      </w:r>
      <w:r>
        <w:rPr>
          <w:rFonts w:ascii="仿宋_GB2312" w:eastAsia="仿宋_GB2312" w:hint="eastAsia"/>
          <w:color w:val="000000"/>
          <w:sz w:val="24"/>
        </w:rPr>
        <w:t>100</w:t>
      </w:r>
      <w:r>
        <w:rPr>
          <w:rFonts w:ascii="仿宋_GB2312" w:eastAsia="仿宋_GB2312" w:hAnsi="宋体" w:hint="eastAsia"/>
          <w:color w:val="000000"/>
          <w:sz w:val="24"/>
        </w:rPr>
        <w:t>张、磨抛织物</w:t>
      </w:r>
      <w:r>
        <w:rPr>
          <w:rFonts w:ascii="仿宋_GB2312" w:eastAsia="仿宋_GB2312" w:hint="eastAsia"/>
          <w:color w:val="000000"/>
          <w:sz w:val="24"/>
        </w:rPr>
        <w:t>20</w:t>
      </w:r>
      <w:r>
        <w:rPr>
          <w:rFonts w:ascii="仿宋_GB2312" w:eastAsia="仿宋_GB2312" w:hAnsi="宋体" w:hint="eastAsia"/>
          <w:color w:val="000000"/>
          <w:sz w:val="24"/>
        </w:rPr>
        <w:t>张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（11）、</w:t>
      </w:r>
      <w:r>
        <w:rPr>
          <w:rFonts w:ascii="仿宋_GB2312" w:eastAsia="仿宋_GB2312" w:hint="eastAsia"/>
          <w:b/>
          <w:color w:val="000000"/>
          <w:sz w:val="24"/>
        </w:rPr>
        <w:t>切割机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、电源：</w:t>
      </w:r>
      <w:r>
        <w:rPr>
          <w:rFonts w:ascii="仿宋_GB2312" w:eastAsia="仿宋_GB2312" w:hint="eastAsia"/>
          <w:color w:val="000000"/>
          <w:sz w:val="24"/>
        </w:rPr>
        <w:t>110V/220V  60/50Hz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 w:hAnsi="宋体" w:hint="eastAsia"/>
          <w:color w:val="000000"/>
          <w:sz w:val="24"/>
        </w:rPr>
        <w:t>、输入功率</w:t>
      </w:r>
      <w:r>
        <w:rPr>
          <w:rFonts w:ascii="仿宋_GB2312" w:eastAsia="仿宋_GB2312" w:hint="eastAsia"/>
          <w:color w:val="000000"/>
          <w:sz w:val="24"/>
        </w:rPr>
        <w:t>≤120W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、锯条周长</w:t>
      </w:r>
      <w:r>
        <w:rPr>
          <w:rFonts w:ascii="仿宋_GB2312" w:eastAsia="仿宋_GB2312" w:hint="eastAsia"/>
          <w:color w:val="000000"/>
          <w:sz w:val="24"/>
        </w:rPr>
        <w:t>≥945mm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、锯口宽度</w:t>
      </w:r>
      <w:r>
        <w:rPr>
          <w:rFonts w:ascii="仿宋_GB2312" w:eastAsia="仿宋_GB2312" w:hint="eastAsia"/>
          <w:color w:val="000000"/>
          <w:sz w:val="24"/>
        </w:rPr>
        <w:t>≤1mm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</w:t>
      </w:r>
      <w:r>
        <w:rPr>
          <w:rFonts w:ascii="仿宋_GB2312" w:eastAsia="仿宋_GB2312" w:hAnsi="宋体" w:hint="eastAsia"/>
          <w:color w:val="000000"/>
          <w:sz w:val="24"/>
        </w:rPr>
        <w:t>、切割厚度</w:t>
      </w:r>
      <w:r>
        <w:rPr>
          <w:rFonts w:ascii="仿宋_GB2312" w:eastAsia="仿宋_GB2312" w:hint="eastAsia"/>
          <w:color w:val="000000"/>
          <w:sz w:val="24"/>
        </w:rPr>
        <w:t>≤30mm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</w:t>
      </w:r>
      <w:r>
        <w:rPr>
          <w:rFonts w:ascii="仿宋_GB2312" w:eastAsia="仿宋_GB2312" w:hAnsi="宋体" w:hint="eastAsia"/>
          <w:color w:val="000000"/>
          <w:sz w:val="24"/>
        </w:rPr>
        <w:t>、工作台尺寸</w:t>
      </w:r>
      <w:r>
        <w:rPr>
          <w:rFonts w:ascii="仿宋_GB2312" w:eastAsia="仿宋_GB2312" w:hint="eastAsia"/>
          <w:color w:val="000000"/>
          <w:sz w:val="24"/>
        </w:rPr>
        <w:t>≥300mm×250mm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</w:t>
      </w:r>
      <w:r>
        <w:rPr>
          <w:rFonts w:ascii="仿宋_GB2312" w:eastAsia="仿宋_GB2312" w:hAnsi="宋体" w:hint="eastAsia"/>
          <w:color w:val="000000"/>
          <w:sz w:val="24"/>
        </w:rPr>
        <w:t>、配件：切割靠尺</w:t>
      </w: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个；金刚石带锯条</w:t>
      </w: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条；水盒</w:t>
      </w: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个；水泵</w:t>
      </w: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个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（12）、</w:t>
      </w:r>
      <w:r>
        <w:rPr>
          <w:rFonts w:ascii="仿宋_GB2312" w:eastAsia="仿宋_GB2312" w:hint="eastAsia"/>
          <w:b/>
          <w:color w:val="000000"/>
          <w:sz w:val="24"/>
        </w:rPr>
        <w:t>大型航拍设备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1.飞行载重≥6000g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2.悬停精度≥垂直：±0.5m，水平：±1.5m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旋转角速度</w:t>
      </w:r>
      <w:r w:rsidRPr="00CE469A">
        <w:rPr>
          <w:rFonts w:ascii="仿宋_GB2312" w:eastAsia="仿宋_GB2312" w:hint="eastAsia"/>
          <w:color w:val="000000"/>
          <w:sz w:val="24"/>
        </w:rPr>
        <w:tab/>
        <w:t>俯仰轴：300°/s，航向轴：150°/s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3.最大上升速度≥5m/s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4.最大下降速度≥3m/s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5.最大水平飞行速度≥65km/h（无风环境）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6.最大飞行海拔高度≥2500m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7.对称电机轴距≥1133mm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8.产品尺寸≥1668*1518*727mm（螺旋桨、机臂、GPS支架均展开，带起落架）</w:t>
      </w:r>
    </w:p>
    <w:p w:rsidR="004F5911" w:rsidRPr="00CE469A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9.电池容量≥4500mAh</w:t>
      </w:r>
    </w:p>
    <w:p w:rsidR="004F5911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CE469A">
        <w:rPr>
          <w:rFonts w:ascii="仿宋_GB2312" w:eastAsia="仿宋_GB2312" w:hint="eastAsia"/>
          <w:color w:val="000000"/>
          <w:sz w:val="24"/>
        </w:rPr>
        <w:t>10.配件：X5R相机1个，云台1个，TB48S电池2组，遥控器，设备箱，处理数据工作站1台，培训1次。</w:t>
      </w:r>
    </w:p>
    <w:p w:rsidR="004F5911" w:rsidRDefault="004F5911" w:rsidP="004F5911">
      <w:pPr>
        <w:rPr>
          <w:rFonts w:ascii="仿宋_GB2312" w:eastAsia="仿宋_GB2312" w:hAnsi="宋体"/>
          <w:bCs/>
          <w:color w:val="000000"/>
          <w:kern w:val="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（13）、小型航拍设备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1.悬停精度：垂直：±0.1m（视觉定位正常工作时）；±0.5m（GPS定位正常工作时）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2.水平≥±0.3m（视觉定位正常工作时）；±1.5m（GPS定位正常工作时）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lastRenderedPageBreak/>
        <w:t>3.旋转角速度：最大旋转角速度：250°/s（运动模式）；150°/s（姿态模式）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4.最大上升速度≥6m/s（运动模式）；5m/s（定位模式）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5.最大下降速度≥4m/s（运动模式）；3m/s（定位模式）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6.最大水平飞行速度：72km/h（运动模式）；58km/h（姿态模式）；50km/h（定位模式）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7.最大飞行海拔高度：6000m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8.飞行时间≥30分钟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9.轴距≥350mm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10.镜头：FOV84°；8.8mm/24mm（35mm格式等效）；光圈f/2.8-f/11，带自动对焦（对焦距离1m-无穷远）</w:t>
      </w:r>
    </w:p>
    <w:p w:rsidR="004F5911" w:rsidRPr="0095605C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11.电池容量≥5870mAh</w:t>
      </w:r>
    </w:p>
    <w:p w:rsidR="004F5911" w:rsidRDefault="004F5911" w:rsidP="004F5911">
      <w:pPr>
        <w:spacing w:line="360" w:lineRule="auto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12.</w:t>
      </w:r>
      <w:r w:rsidRPr="0095605C">
        <w:rPr>
          <w:rFonts w:ascii="仿宋_GB2312" w:eastAsia="仿宋_GB2312"/>
          <w:color w:val="000000"/>
          <w:sz w:val="24"/>
        </w:rPr>
        <w:t>配置</w:t>
      </w:r>
      <w:r w:rsidRPr="0095605C">
        <w:rPr>
          <w:rFonts w:ascii="仿宋_GB2312" w:eastAsia="仿宋_GB2312" w:hint="eastAsia"/>
          <w:color w:val="000000"/>
          <w:sz w:val="24"/>
        </w:rPr>
        <w:t>：</w:t>
      </w:r>
      <w:r w:rsidRPr="0095605C">
        <w:rPr>
          <w:rFonts w:ascii="仿宋_GB2312" w:eastAsia="仿宋_GB2312"/>
          <w:color w:val="000000"/>
          <w:sz w:val="24"/>
        </w:rPr>
        <w:t>主机，摄像头1个，遥控器</w:t>
      </w:r>
      <w:r w:rsidRPr="0095605C">
        <w:rPr>
          <w:rFonts w:ascii="仿宋_GB2312" w:eastAsia="仿宋_GB2312" w:hint="eastAsia"/>
          <w:color w:val="000000"/>
          <w:sz w:val="24"/>
        </w:rPr>
        <w:t>1个</w:t>
      </w:r>
      <w:r w:rsidRPr="0095605C">
        <w:rPr>
          <w:rFonts w:ascii="仿宋_GB2312" w:eastAsia="仿宋_GB2312"/>
          <w:color w:val="000000"/>
          <w:sz w:val="24"/>
        </w:rPr>
        <w:t>，电池4组，云台锁扣1个， Micro SD卡1个(16G)，设备箱1个。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（14）、手持GPS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1、操作系统：</w:t>
      </w:r>
      <w:r>
        <w:rPr>
          <w:rFonts w:ascii="仿宋_GB2312" w:eastAsia="仿宋_GB2312" w:hint="eastAsia"/>
          <w:color w:val="000000"/>
          <w:sz w:val="24"/>
        </w:rPr>
        <w:t>Windows Mobile 6.5</w:t>
      </w:r>
      <w:r>
        <w:rPr>
          <w:rFonts w:ascii="仿宋_GB2312" w:eastAsia="仿宋_GB2312" w:hAnsi="宋体" w:hint="eastAsia"/>
          <w:color w:val="000000"/>
          <w:sz w:val="24"/>
        </w:rPr>
        <w:t>操作系统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2、处理器：</w:t>
      </w:r>
      <w:r>
        <w:rPr>
          <w:rFonts w:ascii="仿宋_GB2312" w:eastAsia="仿宋_GB2312" w:hint="eastAsia"/>
          <w:color w:val="000000"/>
          <w:sz w:val="24"/>
        </w:rPr>
        <w:t>806MHz</w:t>
      </w:r>
      <w:r>
        <w:rPr>
          <w:rFonts w:ascii="仿宋_GB2312" w:eastAsia="仿宋_GB2312" w:hAnsi="宋体" w:hint="eastAsia"/>
          <w:color w:val="000000"/>
          <w:sz w:val="24"/>
        </w:rPr>
        <w:t>主频高速</w:t>
      </w:r>
      <w:r>
        <w:rPr>
          <w:rFonts w:ascii="仿宋_GB2312" w:eastAsia="仿宋_GB2312" w:hint="eastAsia"/>
          <w:color w:val="000000"/>
          <w:sz w:val="24"/>
        </w:rPr>
        <w:t>CPU</w:t>
      </w:r>
      <w:r>
        <w:rPr>
          <w:rFonts w:ascii="仿宋_GB2312" w:eastAsia="仿宋_GB2312" w:hAnsi="宋体" w:hint="eastAsia"/>
          <w:color w:val="000000"/>
          <w:sz w:val="24"/>
        </w:rPr>
        <w:t>处理器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、内存</w:t>
      </w:r>
      <w:r>
        <w:rPr>
          <w:rFonts w:ascii="仿宋_GB2312" w:eastAsia="仿宋_GB2312" w:hint="eastAsia"/>
          <w:color w:val="000000"/>
          <w:sz w:val="24"/>
        </w:rPr>
        <w:t>≥256MB RAM</w:t>
      </w:r>
      <w:r>
        <w:rPr>
          <w:rFonts w:ascii="仿宋_GB2312" w:eastAsia="仿宋_GB2312" w:hAnsi="宋体" w:hint="eastAsia"/>
          <w:color w:val="000000"/>
          <w:sz w:val="24"/>
        </w:rPr>
        <w:t>内存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、闪存</w:t>
      </w:r>
      <w:r>
        <w:rPr>
          <w:rFonts w:ascii="仿宋_GB2312" w:eastAsia="仿宋_GB2312" w:hint="eastAsia"/>
          <w:color w:val="000000"/>
          <w:sz w:val="24"/>
        </w:rPr>
        <w:t>≥8G</w:t>
      </w:r>
      <w:r>
        <w:rPr>
          <w:rFonts w:ascii="仿宋_GB2312" w:eastAsia="仿宋_GB2312" w:hAnsi="宋体" w:hint="eastAsia"/>
          <w:color w:val="000000"/>
          <w:sz w:val="24"/>
        </w:rPr>
        <w:t>大容量闪存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</w:t>
      </w:r>
      <w:r>
        <w:rPr>
          <w:rFonts w:ascii="仿宋_GB2312" w:eastAsia="仿宋_GB2312" w:hAnsi="宋体" w:hint="eastAsia"/>
          <w:color w:val="000000"/>
          <w:sz w:val="24"/>
        </w:rPr>
        <w:t>、显示：</w:t>
      </w:r>
      <w:r>
        <w:rPr>
          <w:rFonts w:ascii="仿宋_GB2312" w:eastAsia="仿宋_GB2312" w:hint="eastAsia"/>
          <w:color w:val="000000"/>
          <w:sz w:val="24"/>
        </w:rPr>
        <w:t>3.7</w:t>
      </w:r>
      <w:r>
        <w:rPr>
          <w:rFonts w:ascii="仿宋_GB2312" w:eastAsia="仿宋_GB2312" w:hAnsi="宋体" w:hint="eastAsia"/>
          <w:color w:val="000000"/>
          <w:sz w:val="24"/>
        </w:rPr>
        <w:t>英寸彩色触摸屏，分辨率</w:t>
      </w:r>
      <w:r>
        <w:rPr>
          <w:rFonts w:ascii="仿宋_GB2312" w:eastAsia="仿宋_GB2312" w:hint="eastAsia"/>
          <w:color w:val="000000"/>
          <w:sz w:val="24"/>
        </w:rPr>
        <w:t xml:space="preserve">640×480 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</w:t>
      </w:r>
      <w:r>
        <w:rPr>
          <w:rFonts w:ascii="仿宋_GB2312" w:eastAsia="仿宋_GB2312" w:hAnsi="宋体" w:hint="eastAsia"/>
          <w:color w:val="000000"/>
          <w:sz w:val="24"/>
        </w:rPr>
        <w:t>、高精度双频</w:t>
      </w:r>
      <w:r>
        <w:rPr>
          <w:rFonts w:ascii="仿宋_GB2312" w:eastAsia="仿宋_GB2312" w:hint="eastAsia"/>
          <w:color w:val="000000"/>
          <w:sz w:val="24"/>
        </w:rPr>
        <w:t>GPS</w:t>
      </w:r>
      <w:r>
        <w:rPr>
          <w:rFonts w:ascii="仿宋_GB2312" w:eastAsia="仿宋_GB2312" w:hAnsi="宋体" w:hint="eastAsia"/>
          <w:color w:val="000000"/>
          <w:sz w:val="24"/>
        </w:rPr>
        <w:t>定位技术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</w:t>
      </w:r>
      <w:r>
        <w:rPr>
          <w:rFonts w:ascii="仿宋_GB2312" w:eastAsia="仿宋_GB2312" w:hAnsi="宋体" w:hint="eastAsia"/>
          <w:color w:val="000000"/>
          <w:sz w:val="24"/>
        </w:rPr>
        <w:t>、高精度</w:t>
      </w:r>
      <w:r>
        <w:rPr>
          <w:rFonts w:ascii="仿宋_GB2312" w:eastAsia="仿宋_GB2312" w:hint="eastAsia"/>
          <w:color w:val="000000"/>
          <w:sz w:val="24"/>
        </w:rPr>
        <w:t>GPS+GLONASS</w:t>
      </w:r>
      <w:r>
        <w:rPr>
          <w:rFonts w:ascii="仿宋_GB2312" w:eastAsia="仿宋_GB2312" w:hAnsi="宋体" w:hint="eastAsia"/>
          <w:color w:val="000000"/>
          <w:sz w:val="24"/>
        </w:rPr>
        <w:t>双星定位技术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</w:t>
      </w:r>
      <w:r>
        <w:rPr>
          <w:rFonts w:ascii="仿宋_GB2312" w:eastAsia="仿宋_GB2312" w:hAnsi="宋体" w:hint="eastAsia"/>
          <w:color w:val="000000"/>
          <w:sz w:val="24"/>
        </w:rPr>
        <w:t>、首次定位时间：</w:t>
      </w:r>
      <w:r>
        <w:rPr>
          <w:rFonts w:ascii="仿宋_GB2312" w:eastAsia="仿宋_GB2312" w:hint="eastAsia"/>
          <w:color w:val="000000"/>
          <w:sz w:val="24"/>
        </w:rPr>
        <w:t>30</w:t>
      </w:r>
      <w:r>
        <w:rPr>
          <w:rFonts w:ascii="仿宋_GB2312" w:eastAsia="仿宋_GB2312" w:hAnsi="宋体" w:hint="eastAsia"/>
          <w:color w:val="000000"/>
          <w:sz w:val="24"/>
        </w:rPr>
        <w:t>秒（典型）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>、单点定位</w:t>
      </w:r>
      <w:r>
        <w:rPr>
          <w:rFonts w:ascii="仿宋_GB2312" w:eastAsia="仿宋_GB2312" w:hint="eastAsia"/>
          <w:color w:val="000000"/>
          <w:sz w:val="24"/>
        </w:rPr>
        <w:t>≥2</w:t>
      </w:r>
      <w:r>
        <w:rPr>
          <w:rFonts w:ascii="仿宋_GB2312" w:eastAsia="仿宋_GB2312" w:hAnsi="宋体" w:hint="eastAsia"/>
          <w:color w:val="000000"/>
          <w:sz w:val="24"/>
        </w:rPr>
        <w:t>米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</w:t>
      </w:r>
      <w:r>
        <w:rPr>
          <w:rFonts w:ascii="仿宋_GB2312" w:eastAsia="仿宋_GB2312" w:hAnsi="宋体" w:hint="eastAsia"/>
          <w:color w:val="000000"/>
          <w:sz w:val="24"/>
        </w:rPr>
        <w:t>、参考站差分</w:t>
      </w:r>
      <w:r>
        <w:rPr>
          <w:rFonts w:ascii="仿宋_GB2312" w:eastAsia="仿宋_GB2312" w:hint="eastAsia"/>
          <w:color w:val="000000"/>
          <w:sz w:val="24"/>
        </w:rPr>
        <w:t>≤2</w:t>
      </w:r>
      <w:r>
        <w:rPr>
          <w:rFonts w:ascii="仿宋_GB2312" w:eastAsia="仿宋_GB2312" w:hAnsi="宋体" w:hint="eastAsia"/>
          <w:color w:val="000000"/>
          <w:sz w:val="24"/>
        </w:rPr>
        <w:t>厘米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</w:t>
      </w:r>
      <w:r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Hi-PPP</w:t>
      </w:r>
      <w:r>
        <w:rPr>
          <w:rFonts w:ascii="仿宋_GB2312" w:eastAsia="仿宋_GB2312" w:hAnsi="宋体" w:hint="eastAsia"/>
          <w:color w:val="000000"/>
          <w:sz w:val="24"/>
        </w:rPr>
        <w:t>技术</w:t>
      </w:r>
      <w:r>
        <w:rPr>
          <w:rFonts w:ascii="仿宋_GB2312" w:eastAsia="仿宋_GB2312" w:hint="eastAsia"/>
          <w:color w:val="000000"/>
          <w:sz w:val="24"/>
        </w:rPr>
        <w:t>≤10</w:t>
      </w:r>
      <w:r>
        <w:rPr>
          <w:rFonts w:ascii="仿宋_GB2312" w:eastAsia="仿宋_GB2312" w:hAnsi="宋体" w:hint="eastAsia"/>
          <w:color w:val="000000"/>
          <w:sz w:val="24"/>
        </w:rPr>
        <w:t>厘米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12</w:t>
      </w:r>
      <w:r>
        <w:rPr>
          <w:rFonts w:ascii="仿宋_GB2312" w:eastAsia="仿宋_GB2312" w:hAnsi="宋体" w:hint="eastAsia"/>
          <w:color w:val="000000"/>
          <w:sz w:val="24"/>
        </w:rPr>
        <w:t>、高分辨率摄像头</w:t>
      </w:r>
      <w:r>
        <w:rPr>
          <w:rFonts w:ascii="仿宋_GB2312" w:eastAsia="仿宋_GB2312" w:hint="eastAsia"/>
          <w:color w:val="000000"/>
          <w:sz w:val="24"/>
        </w:rPr>
        <w:t>≥500</w:t>
      </w:r>
      <w:r>
        <w:rPr>
          <w:rFonts w:ascii="仿宋_GB2312" w:eastAsia="仿宋_GB2312" w:hAnsi="宋体" w:hint="eastAsia"/>
          <w:color w:val="000000"/>
          <w:sz w:val="24"/>
        </w:rPr>
        <w:t>万像素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</w:t>
      </w:r>
      <w:r>
        <w:rPr>
          <w:rFonts w:ascii="仿宋_GB2312" w:eastAsia="仿宋_GB2312" w:hAnsi="宋体" w:hint="eastAsia"/>
          <w:color w:val="000000"/>
          <w:sz w:val="24"/>
        </w:rPr>
        <w:t>、接口：</w:t>
      </w:r>
      <w:r>
        <w:rPr>
          <w:rFonts w:ascii="仿宋_GB2312" w:eastAsia="仿宋_GB2312" w:hint="eastAsia"/>
          <w:color w:val="000000"/>
          <w:sz w:val="24"/>
        </w:rPr>
        <w:t>Mini USB</w:t>
      </w:r>
      <w:r>
        <w:rPr>
          <w:rFonts w:ascii="仿宋_GB2312" w:eastAsia="仿宋_GB2312" w:hAnsi="宋体" w:hint="eastAsia"/>
          <w:color w:val="000000"/>
          <w:sz w:val="24"/>
        </w:rPr>
        <w:t>接口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</w:t>
      </w:r>
      <w:r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WIFI</w:t>
      </w:r>
      <w:r>
        <w:rPr>
          <w:rFonts w:ascii="仿宋_GB2312" w:eastAsia="仿宋_GB2312" w:hAnsi="宋体" w:hint="eastAsia"/>
          <w:color w:val="000000"/>
          <w:sz w:val="24"/>
        </w:rPr>
        <w:t>：</w:t>
      </w:r>
      <w:r>
        <w:rPr>
          <w:rFonts w:ascii="仿宋_GB2312" w:eastAsia="仿宋_GB2312" w:hint="eastAsia"/>
          <w:color w:val="000000"/>
          <w:sz w:val="24"/>
        </w:rPr>
        <w:t>802.11b/g</w:t>
      </w:r>
      <w:r>
        <w:rPr>
          <w:rFonts w:ascii="仿宋_GB2312" w:eastAsia="仿宋_GB2312" w:hAnsi="宋体" w:hint="eastAsia"/>
          <w:color w:val="000000"/>
          <w:sz w:val="24"/>
        </w:rPr>
        <w:t>无线局域网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</w:t>
      </w:r>
      <w:r>
        <w:rPr>
          <w:rFonts w:ascii="仿宋_GB2312" w:eastAsia="仿宋_GB2312" w:hAnsi="宋体" w:hint="eastAsia"/>
          <w:color w:val="000000"/>
          <w:sz w:val="24"/>
        </w:rPr>
        <w:t>、存储：</w:t>
      </w:r>
      <w:r>
        <w:rPr>
          <w:rFonts w:ascii="仿宋_GB2312" w:eastAsia="仿宋_GB2312" w:hint="eastAsia"/>
          <w:color w:val="000000"/>
          <w:sz w:val="24"/>
        </w:rPr>
        <w:t>Micro SD</w:t>
      </w:r>
      <w:r>
        <w:rPr>
          <w:rFonts w:ascii="仿宋_GB2312" w:eastAsia="仿宋_GB2312" w:hAnsi="宋体" w:hint="eastAsia"/>
          <w:color w:val="000000"/>
          <w:sz w:val="24"/>
        </w:rPr>
        <w:t>卡槽，</w:t>
      </w:r>
      <w:r>
        <w:rPr>
          <w:rFonts w:ascii="仿宋_GB2312" w:eastAsia="仿宋_GB2312" w:hint="eastAsia"/>
          <w:color w:val="000000"/>
          <w:sz w:val="24"/>
        </w:rPr>
        <w:t>32G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</w:t>
      </w:r>
      <w:r>
        <w:rPr>
          <w:rFonts w:ascii="仿宋_GB2312" w:eastAsia="仿宋_GB2312" w:hAnsi="宋体" w:hint="eastAsia"/>
          <w:color w:val="000000"/>
          <w:sz w:val="24"/>
        </w:rPr>
        <w:t>、可充电锂电池</w:t>
      </w:r>
      <w:r>
        <w:rPr>
          <w:rFonts w:ascii="仿宋_GB2312" w:eastAsia="仿宋_GB2312" w:hint="eastAsia"/>
          <w:color w:val="000000"/>
          <w:sz w:val="24"/>
        </w:rPr>
        <w:t>≥8800mAh</w:t>
      </w:r>
      <w:r>
        <w:rPr>
          <w:rFonts w:ascii="仿宋_GB2312" w:eastAsia="仿宋_GB2312" w:hAnsi="宋体" w:hint="eastAsia"/>
          <w:color w:val="000000"/>
          <w:sz w:val="24"/>
        </w:rPr>
        <w:t>，支持在线充电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</w:t>
      </w:r>
      <w:r>
        <w:rPr>
          <w:rFonts w:ascii="仿宋_GB2312" w:eastAsia="仿宋_GB2312" w:hAnsi="宋体" w:hint="eastAsia"/>
          <w:color w:val="000000"/>
          <w:sz w:val="24"/>
        </w:rPr>
        <w:t>、单块电池可连续工作</w:t>
      </w:r>
      <w:r>
        <w:rPr>
          <w:rFonts w:ascii="仿宋_GB2312" w:eastAsia="仿宋_GB2312" w:hint="eastAsia"/>
          <w:color w:val="000000"/>
          <w:sz w:val="24"/>
        </w:rPr>
        <w:t>12</w:t>
      </w:r>
      <w:r>
        <w:rPr>
          <w:rFonts w:ascii="仿宋_GB2312" w:eastAsia="仿宋_GB2312" w:hAnsi="宋体" w:hint="eastAsia"/>
          <w:color w:val="000000"/>
          <w:sz w:val="24"/>
        </w:rPr>
        <w:t>小时以上</w:t>
      </w:r>
    </w:p>
    <w:p w:rsidR="004F5911" w:rsidRDefault="004F5911" w:rsidP="004F5911">
      <w:pPr>
        <w:jc w:val="center"/>
        <w:rPr>
          <w:rFonts w:ascii="仿宋_GB2312" w:eastAsia="仿宋_GB2312"/>
          <w:b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第三包:</w:t>
      </w:r>
    </w:p>
    <w:p w:rsidR="004F5911" w:rsidRDefault="004F5911" w:rsidP="004F5911">
      <w:pPr>
        <w:rPr>
          <w:rFonts w:ascii="仿宋_GB2312" w:eastAsia="仿宋_GB2312" w:hAnsi="宋体"/>
          <w:b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sz w:val="24"/>
        </w:rPr>
        <w:t>（15）、</w:t>
      </w:r>
      <w:r>
        <w:rPr>
          <w:rFonts w:ascii="仿宋_GB2312" w:eastAsia="仿宋_GB2312" w:hint="eastAsia"/>
          <w:b/>
          <w:color w:val="000000"/>
          <w:sz w:val="24"/>
        </w:rPr>
        <w:t>X射线衍射仪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1、X射线光源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1.1、X射线发生器部分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1.1.1、最大输出功率：≥3kW 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1.2、X射线光管部分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1.2.1、X射线光管：Cu靶，陶瓷X光管，2.2 kW，国际标准尺寸，能与其它厂家通用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★1.2.2、焦斑大小：0.4 x 12 mm，点线焦斑两个出口，点线焦斑的切换不需要拆卸整个光管或者拆开光管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1.2.3、额定电压：≥60kV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1.2.4、额定电流：≥80mA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1.3、电流电压稳定度：优于</w:t>
      </w:r>
      <w:r>
        <w:rPr>
          <w:rFonts w:ascii="仿宋_GB2312" w:eastAsia="仿宋_GB2312" w:hAnsi="Arial" w:cs="Arial" w:hint="eastAsia"/>
          <w:sz w:val="24"/>
        </w:rPr>
        <w:sym w:font="Symbol" w:char="F0B1"/>
      </w:r>
      <w:r>
        <w:rPr>
          <w:rFonts w:ascii="仿宋_GB2312" w:eastAsia="仿宋_GB2312" w:hint="eastAsia"/>
          <w:color w:val="000000"/>
          <w:sz w:val="24"/>
        </w:rPr>
        <w:t>0.005% (外电压波动10%)时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1.4、X射线防护：安全连锁机构、剂量符合国标;防护罩外任何一点的计量小于1</w:t>
      </w:r>
      <w:r>
        <w:rPr>
          <w:rFonts w:ascii="仿宋_GB2312" w:eastAsia="仿宋_GB2312" w:hAnsi="Arial" w:cs="Arial" w:hint="eastAsia"/>
          <w:sz w:val="24"/>
        </w:rPr>
        <w:sym w:font="Symbol" w:char="F06D"/>
      </w:r>
      <w:r>
        <w:rPr>
          <w:rFonts w:ascii="仿宋_GB2312" w:eastAsia="仿宋_GB2312" w:hint="eastAsia"/>
          <w:color w:val="000000"/>
          <w:sz w:val="24"/>
        </w:rPr>
        <w:t>Sv/h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2、测角仪部分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2.1、测角仪：采用光学编码器技术与步进马达双重定位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2.2、扫描方式：</w:t>
      </w:r>
      <w:r>
        <w:rPr>
          <w:rFonts w:ascii="仿宋_GB2312" w:eastAsia="仿宋_GB2312" w:hAnsi="Arial" w:cs="Arial" w:hint="eastAsia"/>
          <w:sz w:val="24"/>
        </w:rPr>
        <w:sym w:font="Symbol" w:char="F071"/>
      </w:r>
      <w:r>
        <w:rPr>
          <w:rFonts w:ascii="仿宋_GB2312" w:eastAsia="仿宋_GB2312" w:hAnsi="Arial" w:cs="Arial" w:hint="eastAsia"/>
          <w:sz w:val="24"/>
        </w:rPr>
        <w:t>/</w:t>
      </w:r>
      <w:r>
        <w:rPr>
          <w:rFonts w:ascii="仿宋_GB2312" w:eastAsia="仿宋_GB2312" w:hAnsi="Arial" w:cs="Arial" w:hint="eastAsia"/>
          <w:sz w:val="24"/>
        </w:rPr>
        <w:sym w:font="Symbol" w:char="F071"/>
      </w:r>
      <w:r>
        <w:rPr>
          <w:rFonts w:ascii="仿宋_GB2312" w:eastAsia="仿宋_GB2312" w:hint="eastAsia"/>
          <w:color w:val="000000"/>
          <w:sz w:val="24"/>
        </w:rPr>
        <w:t>测角仪，测角仪垂直放置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★2.3、2</w:t>
      </w:r>
      <w:r>
        <w:rPr>
          <w:rFonts w:ascii="仿宋_GB2312" w:eastAsia="仿宋_GB2312" w:hint="eastAsia"/>
          <w:color w:val="000000"/>
          <w:sz w:val="24"/>
        </w:rPr>
        <w:sym w:font="Symbol" w:char="F071"/>
      </w:r>
      <w:r>
        <w:rPr>
          <w:rFonts w:ascii="仿宋_GB2312" w:eastAsia="仿宋_GB2312" w:hint="eastAsia"/>
          <w:color w:val="000000"/>
          <w:sz w:val="24"/>
        </w:rPr>
        <w:t>转动范围：-100</w:t>
      </w:r>
      <w:r>
        <w:rPr>
          <w:rFonts w:ascii="仿宋_GB2312" w:eastAsia="仿宋_GB2312" w:hint="eastAsia"/>
          <w:color w:val="000000"/>
          <w:sz w:val="24"/>
        </w:rPr>
        <w:sym w:font="Symbol" w:char="F0B0"/>
      </w:r>
      <w:r>
        <w:rPr>
          <w:rFonts w:ascii="仿宋_GB2312" w:eastAsia="仿宋_GB2312" w:hint="eastAsia"/>
          <w:color w:val="000000"/>
          <w:sz w:val="24"/>
        </w:rPr>
        <w:t>≤2</w:t>
      </w:r>
      <w:r>
        <w:rPr>
          <w:rFonts w:ascii="仿宋_GB2312" w:eastAsia="仿宋_GB2312" w:hint="eastAsia"/>
          <w:color w:val="000000"/>
          <w:sz w:val="24"/>
        </w:rPr>
        <w:sym w:font="Symbol" w:char="F071"/>
      </w:r>
      <w:r>
        <w:rPr>
          <w:rFonts w:ascii="仿宋_GB2312" w:eastAsia="仿宋_GB2312" w:hint="eastAsia"/>
          <w:color w:val="000000"/>
          <w:sz w:val="24"/>
        </w:rPr>
        <w:t>≤168</w:t>
      </w:r>
      <w:r>
        <w:rPr>
          <w:rFonts w:ascii="仿宋_GB2312" w:eastAsia="仿宋_GB2312" w:hint="eastAsia"/>
          <w:color w:val="000000"/>
          <w:sz w:val="24"/>
        </w:rPr>
        <w:sym w:font="Symbol" w:char="F0B0"/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2.4、测角仪半径：≥200 mm，测角圆直径可连续改变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2.5、可读最小步长：0.0001°，角度重现性：0.0001°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2.6、最高定位速度：≥1200°/min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2.7、采用智能虚拟测角仪全自动控制，硬件自动识别、自动纠错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2.8、验收精度：国际标准样品现场检测，全谱范围内所有峰的角度偏差不超过±0.01度。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3、探测器部分：相对与常规探测器强度提高450倍以上，灵敏度提高一个数量级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3.1、子探测器个数：&gt;2560个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3.2、整个探测器的背景：&lt;0.1 cps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★3.3、探测器本身的能量分辨率，即无需在光路上使用任何类型的镜子、滤波片或者单色器的情况下，优于680eV (相对于 CuKa能量分辨率优于9%)。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3.4、确保所有子探测器全好，具有静态扫描功能，具有点探测器功能，无需再配备闪烁或者正比探测器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3.5、提供的半导体阵列探测必须适合小角和广角测试，小角最小从0.3度开始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4、微区分析附件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4.1、全自动XYZ样品台，能同时满足常规粉末样品分析、薄膜分析、微区分析而无需更换样品台，并配备相应的测试软件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★4.2、配备双激光视频定位系统，两束激光定位更加方便、精确，制造商原厂出品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4.3、提供0.1mm，0.3mm，0.5mm，1mm准直管各一套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5、仪器控制和数据采集系统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5.1、计算机：四核主频3.3G Hz以上，8G 内存，1T HD，CD-RW，24”LED显示器，网卡，Windows操作系统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5.2、仪器控制和数据采集软件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6、应用软件：要求提供以下应用分析软件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6.1、物相检索软件：含原始数据直接检索功能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6.2、物相定量分析：可编程定量分析软件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6.3、无标样晶粒大小分析及微观应力分析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6.4、粉末数据指标化、结构精修、从头结构解析以及无标样定量分析软件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6.5、随机提供最新正版数据库，并可免费升级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7、循环水冷系统：满足相应系统连续满功率运行（国内供货）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8、工作条件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8.1、电力供应：单相220V（</w:t>
      </w:r>
      <w:r>
        <w:rPr>
          <w:rFonts w:ascii="仿宋_GB2312" w:eastAsia="仿宋_GB2312" w:hAnsi="Arial" w:cs="Arial" w:hint="eastAsia"/>
          <w:sz w:val="24"/>
        </w:rPr>
        <w:sym w:font="Symbol" w:char="F0B1"/>
      </w:r>
      <w:r>
        <w:rPr>
          <w:rFonts w:ascii="仿宋_GB2312" w:eastAsia="仿宋_GB2312" w:hint="eastAsia"/>
          <w:color w:val="000000"/>
          <w:sz w:val="24"/>
        </w:rPr>
        <w:t>10%），50Hz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8.2、工作温度：10</w:t>
      </w:r>
      <w:r>
        <w:rPr>
          <w:rFonts w:ascii="仿宋_GB2312" w:eastAsia="仿宋_GB2312" w:hint="eastAsia"/>
          <w:sz w:val="24"/>
        </w:rPr>
        <w:sym w:font="Symbol" w:char="F0B0"/>
      </w:r>
      <w:r>
        <w:rPr>
          <w:rFonts w:ascii="仿宋_GB2312" w:eastAsia="仿宋_GB2312" w:hint="eastAsia"/>
          <w:color w:val="000000"/>
          <w:sz w:val="24"/>
        </w:rPr>
        <w:t>C-40</w:t>
      </w:r>
      <w:r>
        <w:rPr>
          <w:rFonts w:ascii="仿宋_GB2312" w:eastAsia="仿宋_GB2312" w:hint="eastAsia"/>
          <w:sz w:val="24"/>
        </w:rPr>
        <w:sym w:font="Symbol" w:char="F0B0"/>
      </w:r>
      <w:r>
        <w:rPr>
          <w:rFonts w:ascii="仿宋_GB2312" w:eastAsia="仿宋_GB2312" w:hint="eastAsia"/>
          <w:color w:val="000000"/>
          <w:sz w:val="24"/>
        </w:rPr>
        <w:t>C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8.3、相对湿度：≤75％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8.4、仪器运行的持久性：能够满足长时间连续工作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9、仪器及生产商必须满足的相关国际安全标准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9.1、质量标准：ISO9001 &amp; EN29002认证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9.2、安全标准： EC 认证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9.3、射线防护标准：DIN 54113认证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（16）、激光共聚焦拉曼光谱仪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1、主机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1.1、要求仪器具有高度整体性和长期稳定性，所有光学部件均集成于同一主机，以保证仪器短期及长期稳定性。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1.2、要求仪器配置包括激光光源、四块光栅（不同刻线）、研究级共焦显微镜系统、自动化控制光学系统、多功能数据采集处理软件及数据库等。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1.3、要求仪器全自动化操作：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1.3.1、软件控制开机一键式全激发波长全光栅校准。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1.3.2、软件控制一键式切换激发波长，无需重新校准。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1.3.3、软件控制切换光栅。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1.3.4、软件控制选择合适的功率，针孔和狭缝。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1.3.5、软件控制切换显微观察和显微拉曼信号。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1.3.6、软件控制一键式荧光背景校正。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1.3.7、软件控制一键式强度校正，波长校正。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2、激光器、光学元件及滤光片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2.1、532nm固体激光器，TEM00高斯分布点光源，激光输出功率≥100mW。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2.2、638nm固体激光器，TEM00高斯分布点光源，激光输出功率≥30mW。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2.3、785nm固体激光器，TEM00高斯分布点光源，激光输出功率≥100mW。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2.4、使用高性能Edge瑞利滤光片，2片，达到优化低波数效果。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2.5、以上激光器线宽均≤0.1cm-1，重复性≤0.1cm-1。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2.6、软件控制自动切换激发波长，无需任何手动滤光片，激光器，光栅等光学元件。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2.7、激光功率计，工作波长400nm到1100nm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3、研究级共焦显微镜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3.1、高稳定性研究级共焦显微镜。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3.2、双摄像头配置，一个内置用于观测聚焦光斑，一个外置彩色摄像头（≥300万像素），用于清晰观察样品及高对比度颗粒分析。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3.3、物镜：10X（0.25, 10.6mm），100X (0.9,0.21mm)，LWD 50X (0.5, 不小于10.6mm)。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3.4、校准物镜，无需聚焦，校准简单可靠，如遇测试过程中需要校准峰位，可直接切换到校准物镜而无须挪动测试样品，确保校准前后测试同一样品点。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3.5、10X目镜。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 3.6、内置一个真实存在的机械共焦针孔，非狭缝虚拟模式。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3.7、软件自动控制针孔尺寸，仪器同时存在针孔和狭缝，保证共焦和灵敏度。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3.8、共焦比≥60%。测试方法：在针孔为100微米与500微米时，硅一阶峰的强度比值≥60%。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3.9、空间分辨率横向好于0.5μm，纵向好于2μm。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3.10、符合Class 1激光安全标准，配置激光安全门。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4、光谱仪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4.1、光谱分辨率：≤1cm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-1</w:t>
      </w:r>
      <w:r>
        <w:rPr>
          <w:rFonts w:ascii="仿宋_GB2312" w:eastAsia="仿宋_GB2312" w:hint="eastAsia"/>
          <w:color w:val="000000"/>
          <w:sz w:val="24"/>
        </w:rPr>
        <w:t>（氖灯线半高宽），测试方法：采用≤1800刻线光栅，狭缝宽度≥50μm，测量氖灯线半高宽，最优值≤1cm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-1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4.2、灵敏度：硅三阶峰的信噪比好于20 :1，并能观察到四阶峰。测试方法：采用532nm激发，总测量时间300秒，100X物镜。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4.3、光谱重复性：优于±0.1cm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-1</w:t>
      </w:r>
      <w:r>
        <w:rPr>
          <w:rFonts w:ascii="仿宋_GB2312" w:eastAsia="仿宋_GB2312" w:hint="eastAsia"/>
          <w:color w:val="000000"/>
          <w:sz w:val="24"/>
        </w:rPr>
        <w:t>。，测试方法：采用532nm激发，测量硅520cm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-1</w:t>
      </w:r>
      <w:r>
        <w:rPr>
          <w:rFonts w:ascii="仿宋_GB2312" w:eastAsia="仿宋_GB2312" w:hint="eastAsia"/>
          <w:color w:val="000000"/>
          <w:sz w:val="24"/>
        </w:rPr>
        <w:t>拉曼峰，测量10次以上。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★4.4、同时内置≥3块光栅：包括但不限于2400gr/mm, 1800gr/mm, 1200gr/mm, 600gr/mm。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4.5、所有光栅软件控制自动切换，无需重新调整仪器和准直光路。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4.6、采用非对称Czerny Turner反射式光路设计，消色差象散，具有平场校正技术。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 4.7、光谱采集模式：支持无缝多窗口接谱采集模式，全光谱（100-4000cm</w:t>
      </w:r>
      <w:r>
        <w:rPr>
          <w:rFonts w:ascii="仿宋_GB2312" w:eastAsia="仿宋_GB2312" w:hint="eastAsia"/>
          <w:color w:val="000000"/>
          <w:sz w:val="24"/>
          <w:vertAlign w:val="superscript"/>
        </w:rPr>
        <w:t>-1</w:t>
      </w:r>
      <w:r>
        <w:rPr>
          <w:rFonts w:ascii="仿宋_GB2312" w:eastAsia="仿宋_GB2312" w:hint="eastAsia"/>
          <w:color w:val="000000"/>
          <w:sz w:val="24"/>
        </w:rPr>
        <w:t>）采集时间最快≤0.01s。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4.8、TE制冷开放电极式CCD探测器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4.8.1、CCD传感器格式：≥1024*256像素。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4.8.2、像素大小：≥26*26像素。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4.8.3、线性度：≥99.2%。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4.8.4、光谱速率：≥278Hz。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5、XYZ机械自动平台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5.1、XY机械平移：X≥75mm；Y≥50mm。Z自动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 5.2、XYZ最小步进≤10nm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5.3、自动定位测量点和进行光谱成像。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5.4、自动拉曼信号聚焦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6、大面积超快速成像附件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6.1、软件控制，自动选择普通模式和超快速成像模式，无需更换光学元件和调整仪器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6.2、集成拉曼软件包，包括实时数据采集，处理，显示等功能，可针对特定拉曼峰位，半高宽，强度，峰面积，全谱分析等进行成像。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6.3、适用于532nm，638nm，785nm激发波长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6.4、成像速率：≤9ms/光谱。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7、远程光纤探头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★7.1、532nm，785nm 2合1可视化光纤探头，白光照明和拉曼测量自动切换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7.2、物镜，焦距40毫米，可使用标准物镜；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7.3、532nm 和785nm Edge滤光片和干涉滤光片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7.4、两套带保护套管的光纤，≥10米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7.5、白光照明系统，高分辨率彩色摄像机可以同时观察样品和激光斑点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7.6、微调焦附件，可调节范围≥: +/- 1mm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8、高级数据库软件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8.1、支持纯净物搜索，自建光谱数据库。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 8.2、支持官能团分析，可指认特定拉曼峰的官能团。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8.3、支持搜索分析混合物。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8.4、包括常用文博领域光谱数据库，数据库软件与拉曼软件一键式关联，无需手动调用本地光谱。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9、颗粒分析软件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9.1、可对75mm*50mm区域内颗粒进行快速分析。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 9.2、自动统计颗粒的直径，周长，面积，长轴长，短轴长，椭圆率，圆度等。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9.3、自动对不同直径颗粒进行统计筛分。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9.4、自动对筛分的颗粒进行拉曼光谱分析。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10、计算机及软件包：</w:t>
      </w:r>
      <w:r>
        <w:rPr>
          <w:rFonts w:ascii="仿宋_GB2312" w:eastAsia="仿宋_GB2312" w:hint="eastAsia"/>
          <w:color w:val="000000"/>
          <w:sz w:val="24"/>
        </w:rPr>
        <w:tab/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10.1、最低配置主流机型：Intel i7 中央处理器，4G内存，16X刻录机，24英寸显示器，Windows7及以上操作系统。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10.2、专业光致发光光谱采集和处理软件包 - 包括仪器控制，数据采集、计算和处理及曲线拟合等各项功能。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（17）、便携式X射线荧光能谱仪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1、重量≤1.35kg(不含电池)；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2、尺寸≤245mm×232mm×96.5mm；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3、激发源：高性能微型X射线管；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4、银靶，50KV/200μA（最大值）；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5、探测器：高性能Si漂探测器；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6、电池：2块可充电锂离子电池；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★7、显示器：可翻转90°角度一体化彩色触摸屏；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8、标准分析范围：Mg～U；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9、数据传输：USB接口或蓝牙无线传输；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10、安全保护：密码保护；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11、模式：同时安装土壤、矿石、合金、电子金属；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12、分析测试软件，实时小点观测瞄准分析模式，最小检测直径3mm，有照相功能以便于文物测试时的观察和选择测试点；除常规样品外还可直接进行金银器，砷青铜，鎏金器物的测试；同时添加古代青铜、玻璃二条标准工作曲线可以对古代青铜器、陶、瓷器、砖、玻璃文物进行较准确的定量分析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13、数据输入：触摸屏；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14、操作系统：仪器具有中文操作系统，设备可以单独通过USB线连接电脑进行检测操作，数据处理软件为中文版；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15、配件：带锁防水手提箱、携带用仪器保护套、110/220VAC充电器/电源适配器；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★16、专业检测附件：防护服一套、室内检测架一个、检测字画和丝织品的专用移动滑轨一个和空白背景板一块；</w:t>
      </w:r>
    </w:p>
    <w:p w:rsidR="004F5911" w:rsidRDefault="004F5911" w:rsidP="004F5911">
      <w:pPr>
        <w:spacing w:line="360" w:lineRule="auto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★17、</w:t>
      </w:r>
      <w:r>
        <w:rPr>
          <w:rFonts w:ascii="仿宋_GB2312" w:eastAsia="仿宋_GB2312" w:hAnsi="宋体" w:hint="eastAsia"/>
          <w:color w:val="000000"/>
          <w:sz w:val="24"/>
        </w:rPr>
        <w:t>提供数据库:</w:t>
      </w:r>
    </w:p>
    <w:p w:rsidR="004F5911" w:rsidRDefault="004F5911" w:rsidP="004F5911">
      <w:pPr>
        <w:spacing w:line="360" w:lineRule="auto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 1.100件矿物 以上（其中包含可做矿物颜料的样品30种以上）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 2.50件标准宝石以上 ；</w:t>
      </w:r>
    </w:p>
    <w:p w:rsidR="004F5911" w:rsidRDefault="004F5911" w:rsidP="004F5911">
      <w:pPr>
        <w:rPr>
          <w:rFonts w:ascii="仿宋_GB2312" w:eastAsia="仿宋_GB2312" w:hAnsi="宋体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（18）、金相显微镜</w:t>
      </w:r>
    </w:p>
    <w:p w:rsidR="004F5911" w:rsidRPr="0095605C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一、功能简介</w:t>
      </w:r>
    </w:p>
    <w:p w:rsidR="004F5911" w:rsidRDefault="004F5911" w:rsidP="004F5911">
      <w:pPr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95605C">
        <w:rPr>
          <w:rFonts w:ascii="仿宋_GB2312" w:eastAsia="仿宋_GB2312" w:hint="eastAsia"/>
          <w:color w:val="000000"/>
          <w:sz w:val="24"/>
        </w:rPr>
        <w:t>显微镜放大倍数范围25x-1000x，具备明场、ADF高级暗场、偏光、微分干涉观察功能。配置1英寸CCD芯片摄像头进行显微拍照。搭配计算机、图像处理软件，可对拍摄好的图像进行处理、分析。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二、技术规格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1、总体要求：材料显微镜。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2、光学系统：无限远轴向、径向双重色差校正及反差增强型光学系统。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3、观察方式：明场、ADF高级暗场、偏光、微分干涉。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4、ADF高级暗场技术：极黑背景，将杂散光的干扰最小化，减少光学照明系统的纵向色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差，可以辨别最细密的组织。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5、检偏器：360°转换可调，可测量精确度0.1°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★6、观察方式切换：采用不少于6位功能转盘。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7、镜筒：30°倾角观察镜筒，目镜观察与显微摄影同时进行，无需切换。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8、目镜：10x视场数23。每个目镜均可单独进行屈光度调整。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★9、物镜：共6个物镜，物镜均带有EC反差增强标识，并支持明场、暗场、偏光功能。</w:t>
      </w:r>
    </w:p>
    <w:p w:rsidR="004F5911" w:rsidRDefault="004F5911" w:rsidP="004F5911">
      <w:pPr>
        <w:spacing w:line="360" w:lineRule="auto"/>
        <w:ind w:left="480" w:hangingChars="200" w:hanging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2.5x物镜数值孔径不小于0.06，</w:t>
      </w:r>
    </w:p>
    <w:p w:rsidR="004F5911" w:rsidRDefault="004F5911" w:rsidP="004F5911">
      <w:pPr>
        <w:spacing w:line="360" w:lineRule="auto"/>
        <w:ind w:left="480" w:hangingChars="200" w:hanging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5x物镜数值孔径不小于0.13，</w:t>
      </w:r>
    </w:p>
    <w:p w:rsidR="004F5911" w:rsidRDefault="004F5911" w:rsidP="004F5911">
      <w:pPr>
        <w:spacing w:line="360" w:lineRule="auto"/>
        <w:ind w:left="480" w:hangingChars="200" w:hanging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10x物镜数值孔径不小于0.25，</w:t>
      </w:r>
    </w:p>
    <w:p w:rsidR="004F5911" w:rsidRDefault="004F5911" w:rsidP="004F5911">
      <w:pPr>
        <w:spacing w:line="360" w:lineRule="auto"/>
        <w:ind w:leftChars="200" w:left="42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20x物镜数值孔径不小于0.40，</w:t>
      </w:r>
    </w:p>
    <w:p w:rsidR="004F5911" w:rsidRDefault="004F5911" w:rsidP="004F5911">
      <w:pPr>
        <w:spacing w:line="360" w:lineRule="auto"/>
        <w:ind w:left="480" w:hangingChars="200" w:hanging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50x物镜数值孔径不小于0.80，</w:t>
      </w:r>
    </w:p>
    <w:p w:rsidR="004F5911" w:rsidRDefault="004F5911" w:rsidP="004F5911">
      <w:pPr>
        <w:spacing w:line="360" w:lineRule="auto"/>
        <w:ind w:leftChars="200" w:left="42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100x物镜数值孔径不小于0.90。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★10、照明装置：使用12V100W卤素灯照明。更换灯泡无需任何工具，灯箱自带专用夹具，防止更换灯泡过程中烫伤及表面污染。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★11、物镜转盘：6孔多功能明暗场物镜转换器。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12、机械式载物台：载物台尺寸290×165mm。XY方向移动范围75x50 mm。最新的谐波齿轮防滑措施，长时间使用不下滑。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★13、试样高度：可放置并观察高度达110mm的样品。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14、其它附件：色温平衡1个，1/100mm台尺1个，压平器1个。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★15、摄像头：与显微镜同一品牌，采用CCD芯片，靶面尺寸1英寸，不小于600万像素，动态范围不小于2500：1，像素点尺寸不小于4.5μm x 4.5μm，具备电制冷功能。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16、预览速度：600万像素下，预览像素不小于19帧。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17、图象处理硬件：商用台式机（酷睿I5处理器/1T硬盘/4G内存/22寸显示器）。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18、通用分析软件：具有多种方式的图像获取、安全可靠的数据管理、多种图像处理方式、几何参数测量、图像拼接、景深叠加、图象标注等等。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（19）、研究级体视显微镜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★1、变倍器：变倍比20:1，采用电动变倍，精度可达0.1x。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★2、放大倍数：10x目镜条件下，总放大倍率为4x~150x。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3、预设功能键：可自定义2个常用倍数并自动调整至定义倍数。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4、孔径光栏：大小可调，增加景深。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5、调焦系统：手动聚焦，行程可达340mm。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6、底座平台：底座尺寸450mm×300mm。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7、目镜：10x视场数23。每个目镜均可单独进行屈光度调整。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★8、物镜：共2个物镜。倍率分别为0.3x、1.0x。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9、光源： LED型冷光源，寿命可达20000小时。提供无闪烁的照明。带LCD液晶显示功能，附加日光滤片。配有静音风扇。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10、照明方式：光纤材质双向光导管机构，前端带有聚焦透镜，任意方向固定照明。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11、其它附件：色温平衡1个，十字线10mm/100等分的目镜测微尺1个，1/100mm台尺1个。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★12、摄像头：与显微镜同一品牌，采用CCD芯片，靶面尺寸1英寸，不小于600万像素，动态范围不小于2500：1，像素点尺寸不小于4.5μm x 4.5μm，具备电制冷功能。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13、在全像素600万分辨率下，预览速度为19帧。</w:t>
      </w:r>
    </w:p>
    <w:p w:rsidR="004F5911" w:rsidRDefault="004F5911" w:rsidP="004F5911">
      <w:pPr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14、图象处理分析硬件：商用台式机（配置不低于：酷睿I5处理器/1T硬盘/4G内存/22寸显示器/DVD刻录）。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15、通用分析软件：具有多种方式的图像获取、安全可靠的数据管理、多种图像处理方式、几何参数测量、图像拼接、景深叠加、图象标注等等。</w:t>
      </w:r>
    </w:p>
    <w:p w:rsidR="004F5911" w:rsidRDefault="004F5911" w:rsidP="004F5911">
      <w:pPr>
        <w:rPr>
          <w:rFonts w:ascii="仿宋_GB2312" w:eastAsia="仿宋_GB2312"/>
          <w:color w:val="000000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二、售后服务要求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1、技术服务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1.1、设备安装调试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仪器到达用户所在地后，在接到用户通知后2周内执行安装调试，直至达到验收指标。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1.2、技术培训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在用户现场对用户进行至少2人为期3天的培训。培训内容包括仪器的技术原理、操作、调试，数据处理、基本仪器维护，故障排除等。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1.3、维修响应时间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维修响应时间：卖方应在24小时内对用户的服务要求做出响应。需要在现场解决问题的，在5个工作日内到达仪器现场。重大问题或其他无法迅速解决的问题应在一周内提出明确解决方案。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lastRenderedPageBreak/>
        <w:t>2、质保期</w:t>
      </w:r>
    </w:p>
    <w:p w:rsidR="004F5911" w:rsidRDefault="004F5911" w:rsidP="004F5911">
      <w:pPr>
        <w:spacing w:before="120" w:line="276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所有设备仪器要求至少质保1年。</w:t>
      </w:r>
    </w:p>
    <w:p w:rsidR="004F5911" w:rsidRDefault="004F5911" w:rsidP="004F5911">
      <w:pPr>
        <w:spacing w:line="276" w:lineRule="auto"/>
        <w:rPr>
          <w:rFonts w:ascii="仿宋_GB2312" w:eastAsia="仿宋_GB2312"/>
          <w:sz w:val="24"/>
        </w:rPr>
      </w:pPr>
    </w:p>
    <w:p w:rsidR="004F5911" w:rsidRDefault="004F5911" w:rsidP="004F591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三、供货时间</w:t>
      </w:r>
    </w:p>
    <w:p w:rsidR="00982D27" w:rsidRPr="004F5911" w:rsidRDefault="004F5911" w:rsidP="004F5911">
      <w:pPr>
        <w:spacing w:line="276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所有设备需在2018年12月20日之前到货并完成安装调试。如因特殊原因无法在规定时间内到货，需提交书面说明解释原因，并提供准确到货日期。</w:t>
      </w:r>
    </w:p>
    <w:sectPr w:rsidR="00982D27" w:rsidRPr="004F591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A7" w:rsidRDefault="00DB15A7" w:rsidP="006B085E">
      <w:r>
        <w:separator/>
      </w:r>
    </w:p>
  </w:endnote>
  <w:endnote w:type="continuationSeparator" w:id="0">
    <w:p w:rsidR="00DB15A7" w:rsidRDefault="00DB15A7" w:rsidP="006B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A7" w:rsidRDefault="00DB15A7" w:rsidP="006B085E">
      <w:r>
        <w:separator/>
      </w:r>
    </w:p>
  </w:footnote>
  <w:footnote w:type="continuationSeparator" w:id="0">
    <w:p w:rsidR="00DB15A7" w:rsidRDefault="00DB15A7" w:rsidP="006B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5FAF"/>
    <w:multiLevelType w:val="multilevel"/>
    <w:tmpl w:val="02575FA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6BB7657"/>
    <w:multiLevelType w:val="multilevel"/>
    <w:tmpl w:val="06BB765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C94FFE"/>
    <w:multiLevelType w:val="multilevel"/>
    <w:tmpl w:val="07C94FFE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0AA05997"/>
    <w:multiLevelType w:val="multilevel"/>
    <w:tmpl w:val="0AA05997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F9C7F83"/>
    <w:multiLevelType w:val="multilevel"/>
    <w:tmpl w:val="0F9C7F8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070F6D"/>
    <w:multiLevelType w:val="multilevel"/>
    <w:tmpl w:val="10070F6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EC75DA"/>
    <w:multiLevelType w:val="multilevel"/>
    <w:tmpl w:val="13EC75DA"/>
    <w:lvl w:ilvl="0">
      <w:start w:val="1"/>
      <w:numFmt w:val="decimal"/>
      <w:lvlText w:val="(%1)"/>
      <w:lvlJc w:val="left"/>
      <w:pPr>
        <w:ind w:left="1110" w:hanging="420"/>
      </w:pPr>
    </w:lvl>
    <w:lvl w:ilvl="1">
      <w:start w:val="1"/>
      <w:numFmt w:val="lowerLetter"/>
      <w:lvlText w:val="%2)"/>
      <w:lvlJc w:val="left"/>
      <w:pPr>
        <w:ind w:left="1530" w:hanging="420"/>
      </w:pPr>
    </w:lvl>
    <w:lvl w:ilvl="2">
      <w:start w:val="1"/>
      <w:numFmt w:val="decimal"/>
      <w:lvlText w:val="（%3）"/>
      <w:lvlJc w:val="left"/>
      <w:pPr>
        <w:ind w:left="2250" w:hanging="720"/>
      </w:pPr>
    </w:lvl>
    <w:lvl w:ilvl="3">
      <w:start w:val="1"/>
      <w:numFmt w:val="decimal"/>
      <w:lvlText w:val="%4."/>
      <w:lvlJc w:val="left"/>
      <w:pPr>
        <w:ind w:left="2370" w:hanging="420"/>
      </w:pPr>
    </w:lvl>
    <w:lvl w:ilvl="4">
      <w:start w:val="1"/>
      <w:numFmt w:val="lowerLetter"/>
      <w:lvlText w:val="%5)"/>
      <w:lvlJc w:val="left"/>
      <w:pPr>
        <w:ind w:left="2790" w:hanging="420"/>
      </w:pPr>
    </w:lvl>
    <w:lvl w:ilvl="5">
      <w:start w:val="1"/>
      <w:numFmt w:val="lowerRoman"/>
      <w:lvlText w:val="%6."/>
      <w:lvlJc w:val="right"/>
      <w:pPr>
        <w:ind w:left="3210" w:hanging="420"/>
      </w:pPr>
    </w:lvl>
    <w:lvl w:ilvl="6">
      <w:start w:val="1"/>
      <w:numFmt w:val="decimal"/>
      <w:lvlText w:val="%7."/>
      <w:lvlJc w:val="left"/>
      <w:pPr>
        <w:ind w:left="3630" w:hanging="420"/>
      </w:pPr>
    </w:lvl>
    <w:lvl w:ilvl="7">
      <w:start w:val="1"/>
      <w:numFmt w:val="lowerLetter"/>
      <w:lvlText w:val="%8)"/>
      <w:lvlJc w:val="left"/>
      <w:pPr>
        <w:ind w:left="4050" w:hanging="420"/>
      </w:pPr>
    </w:lvl>
    <w:lvl w:ilvl="8">
      <w:start w:val="1"/>
      <w:numFmt w:val="lowerRoman"/>
      <w:lvlText w:val="%9."/>
      <w:lvlJc w:val="right"/>
      <w:pPr>
        <w:ind w:left="4470" w:hanging="420"/>
      </w:pPr>
    </w:lvl>
  </w:abstractNum>
  <w:abstractNum w:abstractNumId="7">
    <w:nsid w:val="1A3F28A4"/>
    <w:multiLevelType w:val="multilevel"/>
    <w:tmpl w:val="1A3F28A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1543D65"/>
    <w:multiLevelType w:val="multilevel"/>
    <w:tmpl w:val="21543D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5F76FB"/>
    <w:multiLevelType w:val="multilevel"/>
    <w:tmpl w:val="215F76F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5D3F76"/>
    <w:multiLevelType w:val="multilevel"/>
    <w:tmpl w:val="245D3F7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decimal"/>
      <w:lvlText w:val="（%3）"/>
      <w:lvlJc w:val="left"/>
      <w:pPr>
        <w:ind w:left="1980" w:hanging="7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6B0711D"/>
    <w:multiLevelType w:val="multilevel"/>
    <w:tmpl w:val="26B0711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96E274C"/>
    <w:multiLevelType w:val="multilevel"/>
    <w:tmpl w:val="296E274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4C1CA2"/>
    <w:multiLevelType w:val="multilevel"/>
    <w:tmpl w:val="2C4C1CA2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2077D7"/>
    <w:multiLevelType w:val="multilevel"/>
    <w:tmpl w:val="342077D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72A1672"/>
    <w:multiLevelType w:val="multilevel"/>
    <w:tmpl w:val="372A167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BE6DF8"/>
    <w:multiLevelType w:val="multilevel"/>
    <w:tmpl w:val="3DBE6DF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20C153B"/>
    <w:multiLevelType w:val="multilevel"/>
    <w:tmpl w:val="7292AA36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>
    <w:nsid w:val="432E045C"/>
    <w:multiLevelType w:val="multilevel"/>
    <w:tmpl w:val="432E04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4CA3BE1"/>
    <w:multiLevelType w:val="multilevel"/>
    <w:tmpl w:val="44CA3B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F10D35"/>
    <w:multiLevelType w:val="multilevel"/>
    <w:tmpl w:val="44F10D35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9B6DD5"/>
    <w:multiLevelType w:val="multilevel"/>
    <w:tmpl w:val="4D9B6DD5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EE1506C"/>
    <w:multiLevelType w:val="multilevel"/>
    <w:tmpl w:val="4EE1506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3047527"/>
    <w:multiLevelType w:val="multilevel"/>
    <w:tmpl w:val="5304752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A583D3A"/>
    <w:multiLevelType w:val="hybridMultilevel"/>
    <w:tmpl w:val="1206EB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2010766"/>
    <w:multiLevelType w:val="multilevel"/>
    <w:tmpl w:val="6201076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690A7861"/>
    <w:multiLevelType w:val="multilevel"/>
    <w:tmpl w:val="690A7861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6BD21615"/>
    <w:multiLevelType w:val="multilevel"/>
    <w:tmpl w:val="6BD21615"/>
    <w:lvl w:ilvl="0">
      <w:start w:val="1"/>
      <w:numFmt w:val="decimal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45"/>
        </w:tabs>
        <w:ind w:left="1245" w:hanging="420"/>
      </w:pPr>
    </w:lvl>
    <w:lvl w:ilvl="2">
      <w:start w:val="1"/>
      <w:numFmt w:val="lowerRoman"/>
      <w:lvlText w:val="%3."/>
      <w:lvlJc w:val="righ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lowerLetter"/>
      <w:lvlText w:val="%5)"/>
      <w:lvlJc w:val="left"/>
      <w:pPr>
        <w:tabs>
          <w:tab w:val="num" w:pos="2505"/>
        </w:tabs>
        <w:ind w:left="2505" w:hanging="420"/>
      </w:pPr>
    </w:lvl>
    <w:lvl w:ilvl="5">
      <w:start w:val="1"/>
      <w:numFmt w:val="lowerRoman"/>
      <w:lvlText w:val="%6."/>
      <w:lvlJc w:val="righ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lowerLetter"/>
      <w:lvlText w:val="%8)"/>
      <w:lvlJc w:val="left"/>
      <w:pPr>
        <w:tabs>
          <w:tab w:val="num" w:pos="3765"/>
        </w:tabs>
        <w:ind w:left="3765" w:hanging="420"/>
      </w:pPr>
    </w:lvl>
    <w:lvl w:ilvl="8">
      <w:start w:val="1"/>
      <w:numFmt w:val="lowerRoman"/>
      <w:lvlText w:val="%9."/>
      <w:lvlJc w:val="right"/>
      <w:pPr>
        <w:tabs>
          <w:tab w:val="num" w:pos="4185"/>
        </w:tabs>
        <w:ind w:left="4185" w:hanging="420"/>
      </w:pPr>
    </w:lvl>
  </w:abstractNum>
  <w:abstractNum w:abstractNumId="28">
    <w:nsid w:val="6CBA5B2B"/>
    <w:multiLevelType w:val="multilevel"/>
    <w:tmpl w:val="6CBA5B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CEB3CC8"/>
    <w:multiLevelType w:val="multilevel"/>
    <w:tmpl w:val="6CEB3CC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287063B"/>
    <w:multiLevelType w:val="multilevel"/>
    <w:tmpl w:val="7287063B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7C7F6419"/>
    <w:multiLevelType w:val="multilevel"/>
    <w:tmpl w:val="7C7F641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D31054B"/>
    <w:multiLevelType w:val="multilevel"/>
    <w:tmpl w:val="7D31054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7"/>
  </w:num>
  <w:num w:numId="5">
    <w:abstractNumId w:val="18"/>
  </w:num>
  <w:num w:numId="6">
    <w:abstractNumId w:val="22"/>
  </w:num>
  <w:num w:numId="7">
    <w:abstractNumId w:val="23"/>
  </w:num>
  <w:num w:numId="8">
    <w:abstractNumId w:val="7"/>
  </w:num>
  <w:num w:numId="9">
    <w:abstractNumId w:val="1"/>
  </w:num>
  <w:num w:numId="10">
    <w:abstractNumId w:val="29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0"/>
  </w:num>
  <w:num w:numId="17">
    <w:abstractNumId w:val="11"/>
  </w:num>
  <w:num w:numId="18">
    <w:abstractNumId w:val="31"/>
  </w:num>
  <w:num w:numId="19">
    <w:abstractNumId w:val="20"/>
  </w:num>
  <w:num w:numId="20">
    <w:abstractNumId w:val="19"/>
  </w:num>
  <w:num w:numId="21">
    <w:abstractNumId w:val="9"/>
  </w:num>
  <w:num w:numId="22">
    <w:abstractNumId w:val="5"/>
  </w:num>
  <w:num w:numId="23">
    <w:abstractNumId w:val="14"/>
  </w:num>
  <w:num w:numId="24">
    <w:abstractNumId w:val="28"/>
  </w:num>
  <w:num w:numId="25">
    <w:abstractNumId w:val="12"/>
  </w:num>
  <w:num w:numId="26">
    <w:abstractNumId w:val="4"/>
  </w:num>
  <w:num w:numId="27">
    <w:abstractNumId w:val="32"/>
  </w:num>
  <w:num w:numId="28">
    <w:abstractNumId w:val="2"/>
  </w:num>
  <w:num w:numId="29">
    <w:abstractNumId w:val="0"/>
  </w:num>
  <w:num w:numId="30">
    <w:abstractNumId w:val="25"/>
  </w:num>
  <w:num w:numId="31">
    <w:abstractNumId w:val="26"/>
  </w:num>
  <w:num w:numId="32">
    <w:abstractNumId w:val="3"/>
  </w:num>
  <w:num w:numId="33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464"/>
    <w:rsid w:val="00043284"/>
    <w:rsid w:val="000442D4"/>
    <w:rsid w:val="0007472B"/>
    <w:rsid w:val="000E174B"/>
    <w:rsid w:val="00100A91"/>
    <w:rsid w:val="00174975"/>
    <w:rsid w:val="00175CB1"/>
    <w:rsid w:val="00184DAF"/>
    <w:rsid w:val="00195828"/>
    <w:rsid w:val="001A6B88"/>
    <w:rsid w:val="00213525"/>
    <w:rsid w:val="002250F6"/>
    <w:rsid w:val="00264845"/>
    <w:rsid w:val="0026728C"/>
    <w:rsid w:val="002A5F49"/>
    <w:rsid w:val="002C0E86"/>
    <w:rsid w:val="0031237B"/>
    <w:rsid w:val="00323B43"/>
    <w:rsid w:val="00347553"/>
    <w:rsid w:val="003D37D8"/>
    <w:rsid w:val="003F72B8"/>
    <w:rsid w:val="00426133"/>
    <w:rsid w:val="00427A0B"/>
    <w:rsid w:val="004358AB"/>
    <w:rsid w:val="0046720F"/>
    <w:rsid w:val="004B5F4C"/>
    <w:rsid w:val="004E5282"/>
    <w:rsid w:val="004F5911"/>
    <w:rsid w:val="004F70EE"/>
    <w:rsid w:val="00522812"/>
    <w:rsid w:val="0057337E"/>
    <w:rsid w:val="005764B7"/>
    <w:rsid w:val="0059093C"/>
    <w:rsid w:val="005A1624"/>
    <w:rsid w:val="005C172B"/>
    <w:rsid w:val="005E35B3"/>
    <w:rsid w:val="00605B64"/>
    <w:rsid w:val="0065221E"/>
    <w:rsid w:val="006763F7"/>
    <w:rsid w:val="006B085E"/>
    <w:rsid w:val="006B1838"/>
    <w:rsid w:val="006D575D"/>
    <w:rsid w:val="006D6D35"/>
    <w:rsid w:val="00703943"/>
    <w:rsid w:val="0078314B"/>
    <w:rsid w:val="008B0BEE"/>
    <w:rsid w:val="008B7726"/>
    <w:rsid w:val="00913223"/>
    <w:rsid w:val="009148E4"/>
    <w:rsid w:val="00962D0A"/>
    <w:rsid w:val="00982D27"/>
    <w:rsid w:val="009D3AB7"/>
    <w:rsid w:val="00A65B19"/>
    <w:rsid w:val="00A95A4C"/>
    <w:rsid w:val="00AD2408"/>
    <w:rsid w:val="00B1367F"/>
    <w:rsid w:val="00B16616"/>
    <w:rsid w:val="00B27F66"/>
    <w:rsid w:val="00BC2EEF"/>
    <w:rsid w:val="00C022BC"/>
    <w:rsid w:val="00C61780"/>
    <w:rsid w:val="00D06097"/>
    <w:rsid w:val="00D11312"/>
    <w:rsid w:val="00D150BC"/>
    <w:rsid w:val="00D20526"/>
    <w:rsid w:val="00D31D50"/>
    <w:rsid w:val="00D956CE"/>
    <w:rsid w:val="00DB15A7"/>
    <w:rsid w:val="00DE6DB9"/>
    <w:rsid w:val="00EE540A"/>
    <w:rsid w:val="00F1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85E"/>
    <w:pPr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0"/>
    </w:rPr>
  </w:style>
  <w:style w:type="paragraph" w:styleId="1">
    <w:name w:val="heading 1"/>
    <w:basedOn w:val="a0"/>
    <w:next w:val="a0"/>
    <w:link w:val="1Char"/>
    <w:qFormat/>
    <w:rsid w:val="00001464"/>
    <w:pPr>
      <w:keepNext/>
      <w:keepLines/>
      <w:widowControl w:val="0"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0"/>
    <w:next w:val="a1"/>
    <w:link w:val="2Char"/>
    <w:qFormat/>
    <w:rsid w:val="001A6B88"/>
    <w:pPr>
      <w:keepNext/>
      <w:keepLines/>
      <w:widowControl w:val="0"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</w:rPr>
  </w:style>
  <w:style w:type="paragraph" w:styleId="3">
    <w:name w:val="heading 3"/>
    <w:basedOn w:val="a0"/>
    <w:next w:val="a0"/>
    <w:link w:val="3Char"/>
    <w:qFormat/>
    <w:rsid w:val="001A6B88"/>
    <w:pPr>
      <w:keepNext/>
      <w:keepLines/>
      <w:widowControl w:val="0"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1A6B88"/>
    <w:pPr>
      <w:keepNext/>
      <w:keepLines/>
      <w:widowControl w:val="0"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001464"/>
    <w:pPr>
      <w:keepNext/>
      <w:keepLines/>
      <w:widowControl w:val="0"/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/>
      <w:b/>
      <w:kern w:val="0"/>
      <w:sz w:val="28"/>
    </w:rPr>
  </w:style>
  <w:style w:type="paragraph" w:styleId="6">
    <w:name w:val="heading 6"/>
    <w:basedOn w:val="a0"/>
    <w:next w:val="a0"/>
    <w:link w:val="6Char"/>
    <w:qFormat/>
    <w:rsid w:val="00001464"/>
    <w:pPr>
      <w:keepNext/>
      <w:keepLines/>
      <w:widowControl w:val="0"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">
    <w:name w:val="heading 7"/>
    <w:basedOn w:val="a0"/>
    <w:next w:val="a0"/>
    <w:link w:val="7Char"/>
    <w:qFormat/>
    <w:rsid w:val="00001464"/>
    <w:pPr>
      <w:keepNext/>
      <w:keepLines/>
      <w:widowControl w:val="0"/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/>
      <w:b/>
      <w:kern w:val="0"/>
      <w:sz w:val="24"/>
    </w:rPr>
  </w:style>
  <w:style w:type="paragraph" w:styleId="8">
    <w:name w:val="heading 8"/>
    <w:basedOn w:val="a0"/>
    <w:next w:val="a0"/>
    <w:link w:val="8Char"/>
    <w:qFormat/>
    <w:rsid w:val="00001464"/>
    <w:pPr>
      <w:keepNext/>
      <w:keepLines/>
      <w:widowControl w:val="0"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Char"/>
    <w:qFormat/>
    <w:rsid w:val="00001464"/>
    <w:pPr>
      <w:keepNext/>
      <w:keepLines/>
      <w:widowControl w:val="0"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nhideWhenUsed/>
    <w:rsid w:val="006B085E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2"/>
    <w:link w:val="a5"/>
    <w:rsid w:val="006B085E"/>
    <w:rPr>
      <w:rFonts w:ascii="Tahoma" w:hAnsi="Tahoma"/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6B085E"/>
    <w:pPr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6B085E"/>
    <w:rPr>
      <w:rFonts w:ascii="Tahoma" w:hAnsi="Tahoma"/>
      <w:sz w:val="18"/>
      <w:szCs w:val="18"/>
    </w:rPr>
  </w:style>
  <w:style w:type="paragraph" w:styleId="a7">
    <w:name w:val="Title"/>
    <w:basedOn w:val="a0"/>
    <w:next w:val="a0"/>
    <w:link w:val="Char1"/>
    <w:qFormat/>
    <w:rsid w:val="006B08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2"/>
    <w:link w:val="a7"/>
    <w:rsid w:val="006B085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8">
    <w:name w:val="Balloon Text"/>
    <w:basedOn w:val="a0"/>
    <w:link w:val="Char2"/>
    <w:semiHidden/>
    <w:unhideWhenUsed/>
    <w:rsid w:val="00DE6DB9"/>
    <w:rPr>
      <w:sz w:val="18"/>
      <w:szCs w:val="18"/>
    </w:rPr>
  </w:style>
  <w:style w:type="character" w:customStyle="1" w:styleId="Char2">
    <w:name w:val="批注框文本 Char"/>
    <w:basedOn w:val="a2"/>
    <w:link w:val="a8"/>
    <w:uiPriority w:val="99"/>
    <w:semiHidden/>
    <w:rsid w:val="00DE6DB9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2"/>
    <w:link w:val="2"/>
    <w:rsid w:val="001A6B88"/>
    <w:rPr>
      <w:rFonts w:ascii="Arial" w:eastAsia="黑体" w:hAnsi="Arial" w:cs="Times New Roman"/>
      <w:b/>
      <w:sz w:val="30"/>
      <w:szCs w:val="20"/>
    </w:rPr>
  </w:style>
  <w:style w:type="character" w:customStyle="1" w:styleId="3Char">
    <w:name w:val="标题 3 Char"/>
    <w:basedOn w:val="a2"/>
    <w:link w:val="3"/>
    <w:rsid w:val="001A6B8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rsid w:val="001A6B88"/>
    <w:rPr>
      <w:rFonts w:ascii="Calibri Light" w:eastAsia="宋体" w:hAnsi="Calibri Light" w:cs="Times New Roman"/>
      <w:b/>
      <w:bCs/>
      <w:kern w:val="2"/>
      <w:sz w:val="28"/>
      <w:szCs w:val="28"/>
    </w:rPr>
  </w:style>
  <w:style w:type="paragraph" w:styleId="a1">
    <w:name w:val="Normal Indent"/>
    <w:aliases w:val="表正文,正文非缩进,段1,特点,四号,缩进,ALT+Z,正文（首行缩进两字） Char,正文缩进 Char,标题4,正文非缩进 Char,正文非缩进 Char Char,正文不缩进,正文普通文字,首行缩进,水上软件,正文缩进（首行缩进两字）,正文(首行缩进两字),正文(首行缩进两字)1,特点标题,正文编号,图号标注,±íÕýÎÄ,ÕýÎÄ·ÇËõ½ø,NI,Alt+X,mr正文缩进,特点 Char,Paragraph2,Paragraph3,Paragraph4,Paragraph5,鋘dr"/>
    <w:basedOn w:val="a0"/>
    <w:rsid w:val="001A6B88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kern w:val="0"/>
      <w:sz w:val="24"/>
    </w:rPr>
  </w:style>
  <w:style w:type="paragraph" w:styleId="a9">
    <w:name w:val="Plain Text"/>
    <w:aliases w:val="普通文字,普通文字 Char,纯文本 Char Char,普通文字 Char Char Char Char,普通文字1,普通文字2,普通文字3,普通文字4,普通文字5,普通文字6,普通文字11,普通文字21,普通文字31,普通文字41,普通文字7,孙普文字,正 文 1,小,纯文本 Char1 Char Char,纯文本 Char Char Char Char,纯文本 Char1 Char,Texte,标题1,鋘dra,纯文本 Char Char1"/>
    <w:basedOn w:val="a0"/>
    <w:link w:val="Char10"/>
    <w:rsid w:val="001A6B88"/>
    <w:pPr>
      <w:widowControl w:val="0"/>
    </w:pPr>
    <w:rPr>
      <w:rFonts w:ascii="宋体" w:hAnsi="Courier New"/>
      <w:kern w:val="0"/>
      <w:sz w:val="20"/>
    </w:rPr>
  </w:style>
  <w:style w:type="character" w:customStyle="1" w:styleId="Char3">
    <w:name w:val="纯文本 Char"/>
    <w:aliases w:val="纯文本 Char Char Char Char1,纯文本 Char Char Char1,纯文本 Char Char1 Char"/>
    <w:basedOn w:val="a2"/>
    <w:link w:val="a9"/>
    <w:rsid w:val="001A6B88"/>
    <w:rPr>
      <w:rFonts w:ascii="宋体" w:eastAsia="宋体" w:hAnsi="Courier New" w:cs="Courier New"/>
      <w:kern w:val="2"/>
      <w:sz w:val="21"/>
      <w:szCs w:val="21"/>
    </w:rPr>
  </w:style>
  <w:style w:type="character" w:customStyle="1" w:styleId="Char10">
    <w:name w:val="纯文本 Char1"/>
    <w:aliases w:val="普通文字 Char1,普通文字 Char Char,纯文本 Char Char Char,普通文字 Char Char Char Char Char,普通文字1 Char,普通文字2 Char,普通文字3 Char,普通文字4 Char,普通文字5 Char,普通文字6 Char,普通文字11 Char,普通文字21 Char,普通文字31 Char,普通文字41 Char,普通文字7 Char,孙普文字 Char,正 文 1 Char,小 Char,Texte Char"/>
    <w:link w:val="a9"/>
    <w:rsid w:val="001A6B88"/>
    <w:rPr>
      <w:rFonts w:ascii="宋体" w:eastAsia="宋体" w:hAnsi="Courier New" w:cs="Times New Roman"/>
      <w:sz w:val="20"/>
      <w:szCs w:val="20"/>
    </w:rPr>
  </w:style>
  <w:style w:type="paragraph" w:styleId="a">
    <w:name w:val="Normal (Web)"/>
    <w:basedOn w:val="a0"/>
    <w:rsid w:val="001A6B88"/>
    <w:pPr>
      <w:numPr>
        <w:numId w:val="1"/>
      </w:numPr>
      <w:tabs>
        <w:tab w:val="clear" w:pos="709"/>
      </w:tabs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ody Text Indent"/>
    <w:basedOn w:val="a0"/>
    <w:link w:val="Char4"/>
    <w:qFormat/>
    <w:rsid w:val="001A6B88"/>
    <w:pPr>
      <w:widowControl w:val="0"/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4">
    <w:name w:val="正文文本缩进 Char"/>
    <w:basedOn w:val="a2"/>
    <w:link w:val="aa"/>
    <w:qFormat/>
    <w:rsid w:val="001A6B88"/>
    <w:rPr>
      <w:rFonts w:ascii="Times New Roman" w:eastAsia="宋体" w:hAnsi="Times New Roman" w:cs="Times New Roman"/>
      <w:kern w:val="2"/>
      <w:sz w:val="21"/>
      <w:szCs w:val="24"/>
    </w:rPr>
  </w:style>
  <w:style w:type="character" w:styleId="ab">
    <w:name w:val="page number"/>
    <w:basedOn w:val="a2"/>
    <w:rsid w:val="001A6B88"/>
  </w:style>
  <w:style w:type="paragraph" w:styleId="ac">
    <w:name w:val="annotation text"/>
    <w:basedOn w:val="a0"/>
    <w:link w:val="Char5"/>
    <w:uiPriority w:val="99"/>
    <w:rsid w:val="001A6B88"/>
    <w:pPr>
      <w:widowControl w:val="0"/>
      <w:jc w:val="left"/>
    </w:pPr>
    <w:rPr>
      <w:rFonts w:ascii="Times New Roman" w:hAnsi="Times New Roman"/>
      <w:szCs w:val="24"/>
    </w:rPr>
  </w:style>
  <w:style w:type="character" w:customStyle="1" w:styleId="Char5">
    <w:name w:val="批注文字 Char"/>
    <w:basedOn w:val="a2"/>
    <w:link w:val="ac"/>
    <w:uiPriority w:val="99"/>
    <w:qFormat/>
    <w:rsid w:val="001A6B88"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Body Text"/>
    <w:basedOn w:val="a0"/>
    <w:link w:val="Char6"/>
    <w:rsid w:val="001A6B88"/>
    <w:pPr>
      <w:widowControl w:val="0"/>
      <w:spacing w:after="120"/>
    </w:pPr>
    <w:rPr>
      <w:rFonts w:ascii="Times New Roman" w:hAnsi="Times New Roman"/>
      <w:szCs w:val="24"/>
    </w:rPr>
  </w:style>
  <w:style w:type="character" w:customStyle="1" w:styleId="Char6">
    <w:name w:val="正文文本 Char"/>
    <w:basedOn w:val="a2"/>
    <w:link w:val="ad"/>
    <w:rsid w:val="001A6B88"/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Body Text Indent 2"/>
    <w:basedOn w:val="a0"/>
    <w:link w:val="2Char0"/>
    <w:rsid w:val="001A6B88"/>
    <w:pPr>
      <w:widowControl w:val="0"/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0">
    <w:name w:val="正文文本缩进 2 Char"/>
    <w:basedOn w:val="a2"/>
    <w:link w:val="20"/>
    <w:rsid w:val="001A6B88"/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index 1"/>
    <w:basedOn w:val="a0"/>
    <w:next w:val="a0"/>
    <w:autoRedefine/>
    <w:semiHidden/>
    <w:rsid w:val="001A6B88"/>
    <w:pPr>
      <w:widowControl w:val="0"/>
    </w:pPr>
    <w:rPr>
      <w:rFonts w:ascii="Times New Roman" w:hAnsi="Times New Roman"/>
    </w:rPr>
  </w:style>
  <w:style w:type="paragraph" w:customStyle="1" w:styleId="11">
    <w:name w:val="样式1"/>
    <w:basedOn w:val="a0"/>
    <w:rsid w:val="001A6B88"/>
    <w:pPr>
      <w:widowControl w:val="0"/>
      <w:tabs>
        <w:tab w:val="num" w:pos="720"/>
      </w:tabs>
      <w:adjustRightInd w:val="0"/>
      <w:ind w:left="720" w:hanging="720"/>
      <w:textAlignment w:val="baseline"/>
    </w:pPr>
    <w:rPr>
      <w:rFonts w:ascii="宋体" w:hAnsi="宋体"/>
      <w:kern w:val="0"/>
      <w:szCs w:val="21"/>
    </w:rPr>
  </w:style>
  <w:style w:type="paragraph" w:styleId="21">
    <w:name w:val="Body Text First Indent 2"/>
    <w:basedOn w:val="aa"/>
    <w:link w:val="2Char1"/>
    <w:rsid w:val="001A6B88"/>
    <w:pPr>
      <w:ind w:firstLineChars="200" w:firstLine="420"/>
    </w:pPr>
    <w:rPr>
      <w:rFonts w:ascii="Calibri" w:hAnsi="Calibri"/>
    </w:rPr>
  </w:style>
  <w:style w:type="character" w:customStyle="1" w:styleId="2Char1">
    <w:name w:val="正文首行缩进 2 Char"/>
    <w:basedOn w:val="Char4"/>
    <w:link w:val="21"/>
    <w:rsid w:val="001A6B88"/>
    <w:rPr>
      <w:rFonts w:ascii="Calibri" w:hAnsi="Calibri"/>
    </w:rPr>
  </w:style>
  <w:style w:type="paragraph" w:customStyle="1" w:styleId="xl25">
    <w:name w:val="xl25"/>
    <w:basedOn w:val="a0"/>
    <w:rsid w:val="001A6B88"/>
    <w:pPr>
      <w:spacing w:before="100" w:after="100"/>
      <w:jc w:val="center"/>
      <w:textAlignment w:val="center"/>
    </w:pPr>
    <w:rPr>
      <w:rFonts w:ascii="楷体_GB2312" w:eastAsia="楷体_GB2312" w:hAnsi="宋体" w:hint="eastAsia"/>
      <w:kern w:val="0"/>
      <w:sz w:val="24"/>
      <w:szCs w:val="24"/>
    </w:rPr>
  </w:style>
  <w:style w:type="character" w:styleId="ae">
    <w:name w:val="Hyperlink"/>
    <w:uiPriority w:val="99"/>
    <w:rsid w:val="001A6B88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1A6B88"/>
    <w:pPr>
      <w:widowControl w:val="0"/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22">
    <w:name w:val="toc 2"/>
    <w:basedOn w:val="a0"/>
    <w:next w:val="a0"/>
    <w:autoRedefine/>
    <w:uiPriority w:val="39"/>
    <w:rsid w:val="001A6B88"/>
    <w:pPr>
      <w:widowControl w:val="0"/>
      <w:tabs>
        <w:tab w:val="right" w:leader="dot" w:pos="8296"/>
      </w:tabs>
      <w:spacing w:line="360" w:lineRule="auto"/>
      <w:ind w:leftChars="200" w:left="42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0"/>
    <w:next w:val="a0"/>
    <w:autoRedefine/>
    <w:uiPriority w:val="39"/>
    <w:rsid w:val="001A6B88"/>
    <w:pPr>
      <w:widowControl w:val="0"/>
      <w:tabs>
        <w:tab w:val="right" w:leader="dot" w:pos="8296"/>
      </w:tabs>
      <w:spacing w:line="360" w:lineRule="auto"/>
      <w:ind w:leftChars="300" w:left="630"/>
      <w:jc w:val="left"/>
    </w:pPr>
    <w:rPr>
      <w:rFonts w:ascii="Times New Roman" w:hAnsi="Times New Roman"/>
      <w:i/>
      <w:iCs/>
      <w:sz w:val="20"/>
    </w:rPr>
  </w:style>
  <w:style w:type="paragraph" w:styleId="40">
    <w:name w:val="toc 4"/>
    <w:basedOn w:val="a0"/>
    <w:next w:val="a0"/>
    <w:autoRedefine/>
    <w:uiPriority w:val="39"/>
    <w:rsid w:val="001A6B88"/>
    <w:pPr>
      <w:widowControl w:val="0"/>
      <w:tabs>
        <w:tab w:val="right" w:leader="dot" w:pos="8296"/>
      </w:tabs>
      <w:spacing w:line="360" w:lineRule="auto"/>
      <w:ind w:leftChars="500" w:left="1050"/>
      <w:jc w:val="left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1A6B88"/>
    <w:pPr>
      <w:widowControl w:val="0"/>
      <w:ind w:left="840"/>
      <w:jc w:val="left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1A6B88"/>
    <w:pPr>
      <w:widowControl w:val="0"/>
      <w:ind w:left="1050"/>
      <w:jc w:val="left"/>
    </w:pPr>
    <w:rPr>
      <w:rFonts w:ascii="Times New Roman" w:hAnsi="Times New Roman"/>
      <w:sz w:val="18"/>
      <w:szCs w:val="18"/>
    </w:rPr>
  </w:style>
  <w:style w:type="paragraph" w:styleId="70">
    <w:name w:val="toc 7"/>
    <w:basedOn w:val="a0"/>
    <w:next w:val="a0"/>
    <w:autoRedefine/>
    <w:uiPriority w:val="39"/>
    <w:rsid w:val="001A6B88"/>
    <w:pPr>
      <w:widowControl w:val="0"/>
      <w:ind w:left="1260"/>
      <w:jc w:val="left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1A6B88"/>
    <w:pPr>
      <w:widowControl w:val="0"/>
      <w:ind w:left="1470"/>
      <w:jc w:val="left"/>
    </w:pPr>
    <w:rPr>
      <w:rFonts w:ascii="Times New Roman" w:hAnsi="Times New Roman"/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1A6B88"/>
    <w:pPr>
      <w:widowControl w:val="0"/>
      <w:ind w:left="1680"/>
      <w:jc w:val="left"/>
    </w:pPr>
    <w:rPr>
      <w:rFonts w:ascii="Times New Roman" w:hAnsi="Times New Roman"/>
      <w:sz w:val="18"/>
      <w:szCs w:val="18"/>
    </w:rPr>
  </w:style>
  <w:style w:type="character" w:styleId="af">
    <w:name w:val="annotation reference"/>
    <w:basedOn w:val="a2"/>
    <w:uiPriority w:val="99"/>
    <w:semiHidden/>
    <w:unhideWhenUsed/>
    <w:rsid w:val="001A6B88"/>
    <w:rPr>
      <w:sz w:val="21"/>
      <w:szCs w:val="21"/>
    </w:rPr>
  </w:style>
  <w:style w:type="paragraph" w:styleId="af0">
    <w:name w:val="annotation subject"/>
    <w:basedOn w:val="ac"/>
    <w:next w:val="ac"/>
    <w:link w:val="Char7"/>
    <w:semiHidden/>
    <w:unhideWhenUsed/>
    <w:rsid w:val="001A6B88"/>
    <w:rPr>
      <w:b/>
      <w:bCs/>
    </w:rPr>
  </w:style>
  <w:style w:type="character" w:customStyle="1" w:styleId="Char7">
    <w:name w:val="批注主题 Char"/>
    <w:basedOn w:val="Char5"/>
    <w:link w:val="af0"/>
    <w:uiPriority w:val="99"/>
    <w:semiHidden/>
    <w:rsid w:val="001A6B88"/>
    <w:rPr>
      <w:b/>
      <w:bCs/>
    </w:rPr>
  </w:style>
  <w:style w:type="paragraph" w:customStyle="1" w:styleId="af1">
    <w:name w:val="表内文字居中"/>
    <w:qFormat/>
    <w:rsid w:val="001A6B88"/>
    <w:pPr>
      <w:spacing w:after="0" w:line="240" w:lineRule="auto"/>
      <w:jc w:val="center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af2">
    <w:name w:val="表内文字居左"/>
    <w:qFormat/>
    <w:rsid w:val="001A6B88"/>
    <w:pPr>
      <w:widowControl w:val="0"/>
      <w:adjustRightInd w:val="0"/>
      <w:snapToGrid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my">
    <w:name w:val="my正文"/>
    <w:link w:val="myChar"/>
    <w:qFormat/>
    <w:rsid w:val="001A6B88"/>
    <w:pPr>
      <w:spacing w:after="0" w:line="360" w:lineRule="auto"/>
      <w:ind w:firstLineChars="225" w:firstLine="225"/>
    </w:pPr>
    <w:rPr>
      <w:rFonts w:ascii="宋体" w:eastAsia="宋体" w:hAnsi="Calibri" w:cs="Times New Roman"/>
      <w:sz w:val="24"/>
    </w:rPr>
  </w:style>
  <w:style w:type="paragraph" w:styleId="31">
    <w:name w:val="Body Text 3"/>
    <w:basedOn w:val="a0"/>
    <w:next w:val="a0"/>
    <w:link w:val="3Char0"/>
    <w:rsid w:val="001A6B88"/>
    <w:pPr>
      <w:widowControl w:val="0"/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1"/>
    <w:rsid w:val="001A6B88"/>
    <w:rPr>
      <w:rFonts w:ascii="Calibri" w:eastAsia="宋体" w:hAnsi="Calibri" w:cs="Times New Roman"/>
      <w:kern w:val="2"/>
      <w:sz w:val="16"/>
      <w:szCs w:val="16"/>
    </w:rPr>
  </w:style>
  <w:style w:type="paragraph" w:customStyle="1" w:styleId="13">
    <w:name w:val="列出段落1"/>
    <w:basedOn w:val="a0"/>
    <w:uiPriority w:val="34"/>
    <w:qFormat/>
    <w:rsid w:val="001A6B88"/>
    <w:pPr>
      <w:widowControl w:val="0"/>
      <w:ind w:firstLineChars="200" w:firstLine="420"/>
    </w:pPr>
    <w:rPr>
      <w:rFonts w:ascii="Cambria" w:hAnsi="Cambria"/>
      <w:sz w:val="24"/>
      <w:szCs w:val="24"/>
    </w:rPr>
  </w:style>
  <w:style w:type="paragraph" w:styleId="af3">
    <w:name w:val="List Paragraph"/>
    <w:basedOn w:val="a0"/>
    <w:link w:val="Char8"/>
    <w:uiPriority w:val="34"/>
    <w:qFormat/>
    <w:rsid w:val="001A6B88"/>
    <w:pPr>
      <w:widowControl w:val="0"/>
      <w:ind w:firstLineChars="200" w:firstLine="420"/>
    </w:pPr>
    <w:rPr>
      <w:rFonts w:ascii="Times New Roman" w:hAnsi="Times New Roman"/>
      <w:szCs w:val="24"/>
    </w:rPr>
  </w:style>
  <w:style w:type="table" w:styleId="af4">
    <w:name w:val="Table Grid"/>
    <w:basedOn w:val="a3"/>
    <w:qFormat/>
    <w:rsid w:val="006B1838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9">
    <w:name w:val="正文首行缩进（绿盟科技） Char"/>
    <w:link w:val="af5"/>
    <w:rsid w:val="0078314B"/>
    <w:rPr>
      <w:rFonts w:ascii="Arial" w:hAnsi="Arial"/>
      <w:szCs w:val="21"/>
    </w:rPr>
  </w:style>
  <w:style w:type="paragraph" w:customStyle="1" w:styleId="af5">
    <w:name w:val="正文首行缩进（绿盟科技）"/>
    <w:basedOn w:val="a0"/>
    <w:link w:val="Char9"/>
    <w:qFormat/>
    <w:rsid w:val="0078314B"/>
    <w:pPr>
      <w:spacing w:after="50" w:line="300" w:lineRule="auto"/>
      <w:ind w:firstLineChars="200" w:firstLine="200"/>
      <w:jc w:val="left"/>
    </w:pPr>
    <w:rPr>
      <w:rFonts w:ascii="Arial" w:eastAsia="微软雅黑" w:hAnsi="Arial" w:cstheme="minorBidi"/>
      <w:kern w:val="0"/>
      <w:sz w:val="22"/>
      <w:szCs w:val="21"/>
    </w:rPr>
  </w:style>
  <w:style w:type="character" w:customStyle="1" w:styleId="1Char">
    <w:name w:val="标题 1 Char"/>
    <w:basedOn w:val="a2"/>
    <w:link w:val="1"/>
    <w:rsid w:val="000014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5Char">
    <w:name w:val="标题 5 Char"/>
    <w:basedOn w:val="a2"/>
    <w:link w:val="5"/>
    <w:rsid w:val="00001464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2"/>
    <w:link w:val="6"/>
    <w:rsid w:val="00001464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2"/>
    <w:link w:val="7"/>
    <w:rsid w:val="00001464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2"/>
    <w:link w:val="8"/>
    <w:rsid w:val="00001464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2"/>
    <w:link w:val="9"/>
    <w:rsid w:val="00001464"/>
    <w:rPr>
      <w:rFonts w:ascii="Arial" w:eastAsia="黑体" w:hAnsi="Arial" w:cs="Times New Roman"/>
      <w:sz w:val="21"/>
      <w:szCs w:val="20"/>
    </w:rPr>
  </w:style>
  <w:style w:type="character" w:customStyle="1" w:styleId="af6">
    <w:name w:val="样式 粉红"/>
    <w:rsid w:val="00001464"/>
    <w:rPr>
      <w:strike w:val="0"/>
      <w:dstrike w:val="0"/>
      <w:color w:val="auto"/>
      <w:u w:val="none"/>
    </w:rPr>
  </w:style>
  <w:style w:type="character" w:customStyle="1" w:styleId="font161">
    <w:name w:val="font161"/>
    <w:rsid w:val="00001464"/>
    <w:rPr>
      <w:b/>
      <w:bCs/>
      <w:sz w:val="32"/>
      <w:szCs w:val="32"/>
    </w:rPr>
  </w:style>
  <w:style w:type="character" w:styleId="af7">
    <w:name w:val="FollowedHyperlink"/>
    <w:rsid w:val="00001464"/>
    <w:rPr>
      <w:color w:val="800080"/>
      <w:u w:val="single"/>
    </w:rPr>
  </w:style>
  <w:style w:type="character" w:customStyle="1" w:styleId="Chara">
    <w:name w:val="日期 Char"/>
    <w:link w:val="af8"/>
    <w:rsid w:val="00001464"/>
    <w:rPr>
      <w:rFonts w:ascii="宋体"/>
      <w:sz w:val="24"/>
    </w:rPr>
  </w:style>
  <w:style w:type="character" w:customStyle="1" w:styleId="CharChar">
    <w:name w:val="Char Char"/>
    <w:rsid w:val="0000146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">
    <w:name w:val="Char Char1"/>
    <w:rsid w:val="00001464"/>
    <w:rPr>
      <w:rFonts w:eastAsia="宋体"/>
      <w:kern w:val="2"/>
      <w:sz w:val="24"/>
      <w:lang w:val="en-US" w:eastAsia="zh-CN" w:bidi="ar-SA"/>
    </w:rPr>
  </w:style>
  <w:style w:type="paragraph" w:styleId="51">
    <w:name w:val="index 5"/>
    <w:basedOn w:val="a0"/>
    <w:next w:val="a0"/>
    <w:semiHidden/>
    <w:rsid w:val="00001464"/>
    <w:pPr>
      <w:widowControl w:val="0"/>
      <w:ind w:leftChars="800" w:left="800"/>
    </w:pPr>
    <w:rPr>
      <w:rFonts w:ascii="Times New Roman" w:hAnsi="Times New Roman"/>
      <w:szCs w:val="24"/>
    </w:rPr>
  </w:style>
  <w:style w:type="paragraph" w:styleId="af9">
    <w:name w:val="Block Text"/>
    <w:basedOn w:val="a0"/>
    <w:rsid w:val="00001464"/>
    <w:pPr>
      <w:widowControl w:val="0"/>
      <w:spacing w:after="120"/>
      <w:ind w:leftChars="700" w:left="1440" w:rightChars="700" w:right="144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uiPriority w:val="99"/>
    <w:qFormat/>
    <w:rsid w:val="00001464"/>
    <w:pPr>
      <w:widowControl w:val="0"/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2"/>
    <w:link w:val="32"/>
    <w:uiPriority w:val="99"/>
    <w:qFormat/>
    <w:rsid w:val="00001464"/>
    <w:rPr>
      <w:rFonts w:ascii="Times New Roman" w:eastAsia="宋体" w:hAnsi="Times New Roman" w:cs="Times New Roman"/>
      <w:kern w:val="2"/>
      <w:sz w:val="16"/>
      <w:szCs w:val="16"/>
    </w:rPr>
  </w:style>
  <w:style w:type="paragraph" w:styleId="afa">
    <w:name w:val="List"/>
    <w:basedOn w:val="a0"/>
    <w:rsid w:val="00001464"/>
    <w:pPr>
      <w:widowControl w:val="0"/>
      <w:adjustRightInd w:val="0"/>
      <w:spacing w:line="360" w:lineRule="atLeast"/>
      <w:ind w:left="420" w:hanging="420"/>
      <w:jc w:val="left"/>
    </w:pPr>
    <w:rPr>
      <w:rFonts w:ascii="宋体" w:hAnsi="Times New Roman" w:hint="eastAsia"/>
      <w:kern w:val="0"/>
      <w:sz w:val="24"/>
    </w:rPr>
  </w:style>
  <w:style w:type="paragraph" w:styleId="afb">
    <w:name w:val="Document Map"/>
    <w:basedOn w:val="a0"/>
    <w:link w:val="Charb"/>
    <w:semiHidden/>
    <w:rsid w:val="00001464"/>
    <w:pPr>
      <w:widowControl w:val="0"/>
      <w:shd w:val="clear" w:color="auto" w:fill="000080"/>
    </w:pPr>
    <w:rPr>
      <w:rFonts w:ascii="Times New Roman" w:hAnsi="Times New Roman"/>
      <w:szCs w:val="24"/>
    </w:rPr>
  </w:style>
  <w:style w:type="character" w:customStyle="1" w:styleId="Charb">
    <w:name w:val="文档结构图 Char"/>
    <w:basedOn w:val="a2"/>
    <w:link w:val="afb"/>
    <w:semiHidden/>
    <w:rsid w:val="00001464"/>
    <w:rPr>
      <w:rFonts w:ascii="Times New Roman" w:eastAsia="宋体" w:hAnsi="Times New Roman" w:cs="Times New Roman"/>
      <w:kern w:val="2"/>
      <w:sz w:val="21"/>
      <w:szCs w:val="24"/>
      <w:shd w:val="clear" w:color="auto" w:fill="000080"/>
    </w:rPr>
  </w:style>
  <w:style w:type="paragraph" w:styleId="af8">
    <w:name w:val="Date"/>
    <w:basedOn w:val="a0"/>
    <w:next w:val="a0"/>
    <w:link w:val="Chara"/>
    <w:rsid w:val="00001464"/>
    <w:pPr>
      <w:widowControl w:val="0"/>
      <w:adjustRightInd w:val="0"/>
      <w:spacing w:line="360" w:lineRule="atLeast"/>
    </w:pPr>
    <w:rPr>
      <w:rFonts w:ascii="宋体" w:eastAsia="微软雅黑" w:hAnsiTheme="minorHAnsi" w:cstheme="minorBidi"/>
      <w:kern w:val="0"/>
      <w:sz w:val="24"/>
      <w:szCs w:val="22"/>
    </w:rPr>
  </w:style>
  <w:style w:type="character" w:customStyle="1" w:styleId="Char11">
    <w:name w:val="日期 Char1"/>
    <w:basedOn w:val="a2"/>
    <w:link w:val="af8"/>
    <w:uiPriority w:val="99"/>
    <w:semiHidden/>
    <w:rsid w:val="00001464"/>
    <w:rPr>
      <w:rFonts w:ascii="Calibri" w:eastAsia="宋体" w:hAnsi="Calibri" w:cs="Times New Roman"/>
      <w:kern w:val="2"/>
      <w:sz w:val="21"/>
      <w:szCs w:val="20"/>
    </w:rPr>
  </w:style>
  <w:style w:type="paragraph" w:styleId="23">
    <w:name w:val="Body Text 2"/>
    <w:basedOn w:val="a0"/>
    <w:link w:val="2Char2"/>
    <w:rsid w:val="00001464"/>
    <w:pPr>
      <w:widowControl w:val="0"/>
      <w:jc w:val="center"/>
    </w:pPr>
    <w:rPr>
      <w:rFonts w:ascii="Times New Roman" w:eastAsia="黑体" w:hAnsi="Times New Roman"/>
      <w:bCs/>
      <w:sz w:val="72"/>
      <w:szCs w:val="24"/>
    </w:rPr>
  </w:style>
  <w:style w:type="character" w:customStyle="1" w:styleId="2Char2">
    <w:name w:val="正文文本 2 Char"/>
    <w:basedOn w:val="a2"/>
    <w:link w:val="23"/>
    <w:rsid w:val="00001464"/>
    <w:rPr>
      <w:rFonts w:ascii="Times New Roman" w:eastAsia="黑体" w:hAnsi="Times New Roman" w:cs="Times New Roman"/>
      <w:bCs/>
      <w:kern w:val="2"/>
      <w:sz w:val="72"/>
      <w:szCs w:val="24"/>
    </w:rPr>
  </w:style>
  <w:style w:type="paragraph" w:customStyle="1" w:styleId="33">
    <w:name w:val="3"/>
    <w:basedOn w:val="a0"/>
    <w:next w:val="31"/>
    <w:rsid w:val="00001464"/>
    <w:pPr>
      <w:widowControl w:val="0"/>
    </w:pPr>
    <w:rPr>
      <w:rFonts w:ascii="宋体" w:hAnsi="Times New Roman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001464"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p17">
    <w:name w:val="p17"/>
    <w:basedOn w:val="a0"/>
    <w:rsid w:val="00001464"/>
    <w:rPr>
      <w:rFonts w:ascii="Times New Roman" w:hAnsi="Times New Roman"/>
      <w:kern w:val="0"/>
      <w:szCs w:val="21"/>
    </w:rPr>
  </w:style>
  <w:style w:type="paragraph" w:customStyle="1" w:styleId="xl24">
    <w:name w:val="xl24"/>
    <w:basedOn w:val="a0"/>
    <w:rsid w:val="00001464"/>
    <w:pPr>
      <w:spacing w:before="100" w:after="100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4">
    <w:name w:val="1"/>
    <w:basedOn w:val="a0"/>
    <w:next w:val="a0"/>
    <w:rsid w:val="00001464"/>
    <w:pPr>
      <w:widowControl w:val="0"/>
    </w:pPr>
    <w:rPr>
      <w:rFonts w:ascii="Times New Roman" w:hAnsi="Times New Roman"/>
      <w:szCs w:val="24"/>
    </w:rPr>
  </w:style>
  <w:style w:type="paragraph" w:customStyle="1" w:styleId="61">
    <w:name w:val="6'"/>
    <w:basedOn w:val="a0"/>
    <w:rsid w:val="00001464"/>
    <w:pPr>
      <w:widowControl w:val="0"/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/>
      <w:spacing w:val="20"/>
      <w:kern w:val="28"/>
    </w:rPr>
  </w:style>
  <w:style w:type="paragraph" w:customStyle="1" w:styleId="Normal0">
    <w:name w:val="Normal_0"/>
    <w:qFormat/>
    <w:rsid w:val="00001464"/>
    <w:pPr>
      <w:spacing w:before="120" w:after="240" w:line="240" w:lineRule="auto"/>
      <w:jc w:val="both"/>
    </w:pPr>
    <w:rPr>
      <w:rFonts w:ascii="Calibri" w:eastAsia="Calibri" w:hAnsi="Calibri" w:cs="Times New Roman"/>
      <w:lang w:val="ru-RU" w:eastAsia="en-US"/>
    </w:rPr>
  </w:style>
  <w:style w:type="paragraph" w:customStyle="1" w:styleId="378020">
    <w:name w:val="样式 标题 3 + (中文) 黑体 小四 非加粗 段前: 7.8 磅 段后: 0 磅 行距: 固定值 20 磅"/>
    <w:basedOn w:val="3"/>
    <w:rsid w:val="00001464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XW">
    <w:name w:val="XW正文"/>
    <w:basedOn w:val="aa"/>
    <w:rsid w:val="00001464"/>
    <w:pPr>
      <w:adjustRightInd w:val="0"/>
      <w:snapToGrid w:val="0"/>
      <w:spacing w:after="0" w:line="300" w:lineRule="auto"/>
      <w:ind w:leftChars="0" w:left="0" w:firstLineChars="200" w:firstLine="520"/>
      <w:jc w:val="left"/>
    </w:pPr>
    <w:rPr>
      <w:kern w:val="0"/>
    </w:rPr>
  </w:style>
  <w:style w:type="paragraph" w:customStyle="1" w:styleId="afc">
    <w:name w:val="表格文字"/>
    <w:basedOn w:val="a0"/>
    <w:rsid w:val="00001464"/>
    <w:pPr>
      <w:widowControl w:val="0"/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</w:rPr>
  </w:style>
  <w:style w:type="paragraph" w:customStyle="1" w:styleId="afd">
    <w:name w:val="表格"/>
    <w:basedOn w:val="a0"/>
    <w:rsid w:val="00001464"/>
    <w:pPr>
      <w:widowControl w:val="0"/>
      <w:jc w:val="center"/>
      <w:textAlignment w:val="center"/>
    </w:pPr>
    <w:rPr>
      <w:rFonts w:ascii="华文细黑" w:hAnsi="华文细黑"/>
      <w:kern w:val="0"/>
    </w:rPr>
  </w:style>
  <w:style w:type="paragraph" w:customStyle="1" w:styleId="CharCharCharChar">
    <w:name w:val="Char Char Char Char"/>
    <w:basedOn w:val="a0"/>
    <w:rsid w:val="00001464"/>
    <w:pPr>
      <w:spacing w:after="160" w:line="240" w:lineRule="exact"/>
      <w:jc w:val="left"/>
    </w:pPr>
    <w:rPr>
      <w:rFonts w:ascii="Times New Roman" w:hAnsi="Times New Roman"/>
    </w:rPr>
  </w:style>
  <w:style w:type="paragraph" w:styleId="afe">
    <w:name w:val="Revision"/>
    <w:uiPriority w:val="99"/>
    <w:semiHidden/>
    <w:rsid w:val="00001464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001464"/>
    <w:pPr>
      <w:autoSpaceDE/>
      <w:autoSpaceDN/>
      <w:adjustRightInd/>
      <w:spacing w:before="100" w:line="400" w:lineRule="exact"/>
      <w:jc w:val="both"/>
    </w:pPr>
    <w:rPr>
      <w:rFonts w:ascii="Times New Roman" w:hAnsi="Times New Roman" w:cs="宋体"/>
      <w:b w:val="0"/>
      <w:kern w:val="2"/>
      <w:sz w:val="28"/>
    </w:rPr>
  </w:style>
  <w:style w:type="paragraph" w:styleId="TOC">
    <w:name w:val="TOC Heading"/>
    <w:basedOn w:val="1"/>
    <w:next w:val="a0"/>
    <w:uiPriority w:val="39"/>
    <w:qFormat/>
    <w:rsid w:val="0000146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12">
    <w:name w:val="Char1"/>
    <w:basedOn w:val="a0"/>
    <w:rsid w:val="00001464"/>
    <w:pPr>
      <w:widowControl w:val="0"/>
    </w:pPr>
    <w:rPr>
      <w:rFonts w:ascii="Tahoma" w:hAnsi="Tahoma"/>
      <w:sz w:val="24"/>
    </w:rPr>
  </w:style>
  <w:style w:type="paragraph" w:customStyle="1" w:styleId="aff">
    <w:name w:val="金安桥正文"/>
    <w:basedOn w:val="aa"/>
    <w:rsid w:val="00001464"/>
    <w:pPr>
      <w:adjustRightInd w:val="0"/>
      <w:spacing w:after="0" w:line="300" w:lineRule="auto"/>
      <w:ind w:leftChars="0" w:left="0" w:firstLineChars="200" w:firstLine="200"/>
      <w:jc w:val="left"/>
    </w:pPr>
    <w:rPr>
      <w:kern w:val="0"/>
      <w:sz w:val="24"/>
      <w:szCs w:val="20"/>
    </w:rPr>
  </w:style>
  <w:style w:type="paragraph" w:customStyle="1" w:styleId="24">
    <w:name w:val="2"/>
    <w:basedOn w:val="a0"/>
    <w:next w:val="aa"/>
    <w:rsid w:val="00001464"/>
    <w:pPr>
      <w:widowControl w:val="0"/>
      <w:ind w:left="432"/>
    </w:pPr>
    <w:rPr>
      <w:rFonts w:ascii="Times New Roman" w:hAnsi="Times New Roman"/>
    </w:rPr>
  </w:style>
  <w:style w:type="character" w:customStyle="1" w:styleId="-Char">
    <w:name w:val="图- Char"/>
    <w:link w:val="-"/>
    <w:locked/>
    <w:rsid w:val="008B0BEE"/>
    <w:rPr>
      <w:rFonts w:hAnsi="宋体"/>
      <w:b/>
      <w:szCs w:val="21"/>
    </w:rPr>
  </w:style>
  <w:style w:type="character" w:customStyle="1" w:styleId="myChar">
    <w:name w:val="my正文 Char"/>
    <w:link w:val="my"/>
    <w:locked/>
    <w:rsid w:val="008B0BEE"/>
    <w:rPr>
      <w:rFonts w:ascii="宋体" w:eastAsia="宋体" w:hAnsi="Calibri" w:cs="Times New Roman"/>
      <w:sz w:val="24"/>
    </w:rPr>
  </w:style>
  <w:style w:type="paragraph" w:customStyle="1" w:styleId="15">
    <w:name w:val="正文1"/>
    <w:rsid w:val="008B0BE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-">
    <w:name w:val="图-"/>
    <w:basedOn w:val="aff0"/>
    <w:link w:val="-Char"/>
    <w:qFormat/>
    <w:rsid w:val="008B0BEE"/>
    <w:pPr>
      <w:widowControl w:val="0"/>
      <w:adjustRightInd w:val="0"/>
      <w:snapToGrid w:val="0"/>
      <w:spacing w:line="360" w:lineRule="auto"/>
      <w:ind w:right="240" w:firstLineChars="200" w:firstLine="422"/>
      <w:jc w:val="center"/>
    </w:pPr>
    <w:rPr>
      <w:rFonts w:asciiTheme="minorHAnsi" w:eastAsia="微软雅黑" w:hAnsi="宋体" w:cstheme="minorBidi"/>
      <w:b/>
      <w:kern w:val="0"/>
      <w:sz w:val="22"/>
      <w:szCs w:val="21"/>
    </w:rPr>
  </w:style>
  <w:style w:type="paragraph" w:styleId="aff0">
    <w:name w:val="caption"/>
    <w:basedOn w:val="a0"/>
    <w:next w:val="a0"/>
    <w:uiPriority w:val="35"/>
    <w:semiHidden/>
    <w:unhideWhenUsed/>
    <w:qFormat/>
    <w:rsid w:val="008B0BEE"/>
    <w:rPr>
      <w:rFonts w:asciiTheme="majorHAnsi" w:eastAsia="黑体" w:hAnsiTheme="majorHAnsi" w:cstheme="majorBidi"/>
      <w:sz w:val="20"/>
    </w:rPr>
  </w:style>
  <w:style w:type="paragraph" w:customStyle="1" w:styleId="aff1">
    <w:name w:val="章标题"/>
    <w:next w:val="a0"/>
    <w:qFormat/>
    <w:rsid w:val="00982D27"/>
    <w:pPr>
      <w:tabs>
        <w:tab w:val="left" w:pos="0"/>
        <w:tab w:val="left" w:pos="420"/>
      </w:tabs>
      <w:spacing w:before="50" w:after="50" w:line="360" w:lineRule="auto"/>
      <w:ind w:left="840" w:hanging="420"/>
      <w:jc w:val="both"/>
      <w:outlineLvl w:val="1"/>
    </w:pPr>
    <w:rPr>
      <w:rFonts w:ascii="黑体" w:eastAsia="黑体" w:hAnsi="Times New Roman" w:cs="Times New Roman"/>
      <w:sz w:val="21"/>
      <w:szCs w:val="20"/>
    </w:rPr>
  </w:style>
  <w:style w:type="character" w:styleId="aff2">
    <w:name w:val="Strong"/>
    <w:qFormat/>
    <w:rsid w:val="00D11312"/>
    <w:rPr>
      <w:b/>
      <w:bCs/>
    </w:rPr>
  </w:style>
  <w:style w:type="character" w:customStyle="1" w:styleId="Char8">
    <w:name w:val="列出段落 Char"/>
    <w:link w:val="af3"/>
    <w:uiPriority w:val="34"/>
    <w:qFormat/>
    <w:rsid w:val="00D1131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2349</Words>
  <Characters>13391</Characters>
  <Application>Microsoft Office Word</Application>
  <DocSecurity>0</DocSecurity>
  <Lines>111</Lines>
  <Paragraphs>31</Paragraphs>
  <ScaleCrop>false</ScaleCrop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14</cp:revision>
  <dcterms:created xsi:type="dcterms:W3CDTF">2018-05-07T06:29:00Z</dcterms:created>
  <dcterms:modified xsi:type="dcterms:W3CDTF">2018-09-03T07:08:00Z</dcterms:modified>
</cp:coreProperties>
</file>