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第一包：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 w:val="0"/>
          <w:kern w:val="2"/>
          <w:sz w:val="24"/>
          <w:szCs w:val="24"/>
          <w:lang w:val="en-US" w:eastAsia="zh-CN"/>
        </w:rPr>
        <w:t>设备名称：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</w:rPr>
        <w:t>全自动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lang w:eastAsia="zh-CN"/>
        </w:rPr>
        <w:t>化学发光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</w:rPr>
        <w:t>免疫分析仪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  <w:kern w:val="2"/>
          <w:sz w:val="24"/>
          <w:szCs w:val="24"/>
        </w:rPr>
      </w:pPr>
      <w:r>
        <w:rPr>
          <w:rFonts w:hint="eastAsia" w:ascii="宋体" w:hAnsi="宋体" w:cs="Times New Roman"/>
          <w:b/>
          <w:bCs w:val="0"/>
          <w:kern w:val="2"/>
          <w:sz w:val="24"/>
          <w:szCs w:val="24"/>
          <w:lang w:val="en-US" w:eastAsia="zh-CN"/>
        </w:rPr>
        <w:t>数量：1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lang w:eastAsia="zh-CN"/>
        </w:rPr>
        <w:t>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1、检测原理：微粒子酶促化学发光原理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2、标记底物：金刚烷AMPPD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*3、检测速度：≥360测试/小时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*4、试剂位：≥48个(可随时更换)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5、样品位：≥115个，工作中可随时添加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6、具有自动反射检测、自动机上稀释功能和样品凝块检测功能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7、灵敏度: 最高达到10-21mol/L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*8、试剂盒盖为多重覆膜，防止蒸发，试剂稳定期长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9、仪器自带试剂冷藏系统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*10、仪器运行中可无限量连续加载样本、缓冲液、发光剂等耗品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11、 定标周期：最长可达56天；同批号试剂定标一次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*12、清洗方式：超声波清洗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13、急诊功能：不停机加入试剂、样本和耗品，保证急诊标本自由插入，急诊优先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14、最长离机时间：≥3小时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*15、具有样本预分杯系统，自带低温冷藏系统，储存温度4-10℃，样品的挥发率：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＜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1%小时。机上样品预分杯冷藏储存位：≥270个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16、进样通道：4个，多种方式随机插入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17、日保养≤5分钟，周保养：无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18、操作系统: Windows NT操作系统、图象式界面、LIS通讯、软盘存储、网络远程诊断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/>
        </w:rPr>
        <w:t>19、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计算机联网功能：仪器具备RS-232接口，可与医院联网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/>
        </w:rPr>
        <w:t>配置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  <w:t>与设备匹配的应急电源，市电断电后能保证设备正常工作时间＞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/>
        </w:rPr>
        <w:t>1小时。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21、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配置纯水机一台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/>
        </w:rPr>
        <w:t>，制水量≥100升/小时。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22、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/>
        </w:rPr>
        <w:t>设备整机保修期≥5年（含水机和备用电源）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23、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免费提供设备到达现场后的安装调试，应用培训，直至操作人员掌握为止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24、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接到报修后4小时之内做出反应给予技术支持或现场处理故障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25、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免费提供系统技术咨询，软件升级</w:t>
      </w: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</w:pPr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26、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终身维修，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  <w:t>超出保修期后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提供成本配件和技术支持，并提供免费移机服务。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第二包：</w:t>
      </w:r>
    </w:p>
    <w:p>
      <w:pPr>
        <w:pStyle w:val="4"/>
        <w:widowControl w:val="0"/>
        <w:spacing w:line="360" w:lineRule="auto"/>
        <w:ind w:left="0" w:leftChars="0" w:firstLine="0" w:firstLineChars="0"/>
        <w:jc w:val="both"/>
        <w:rPr>
          <w:rFonts w:hint="eastAsia" w:ascii="宋体" w:hAnsi="宋体" w:cs="Times New Roman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Times New Roman"/>
          <w:b/>
          <w:kern w:val="2"/>
          <w:sz w:val="24"/>
          <w:szCs w:val="24"/>
          <w:lang w:eastAsia="zh-CN"/>
        </w:rPr>
        <w:t>设备名称：全自动化学发光免疫分析仪2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lang w:eastAsia="zh-CN"/>
        </w:rPr>
      </w:pPr>
      <w:r>
        <w:rPr>
          <w:rFonts w:hint="eastAsia" w:ascii="宋体" w:hAnsi="宋体" w:cs="Times New Roman"/>
          <w:b/>
          <w:bCs w:val="0"/>
          <w:kern w:val="2"/>
          <w:sz w:val="24"/>
          <w:szCs w:val="24"/>
          <w:lang w:val="en-US" w:eastAsia="zh-CN"/>
        </w:rPr>
        <w:t>数量：1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lang w:eastAsia="zh-CN"/>
        </w:rPr>
        <w:t>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 xml:space="preserve"> 1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系统概述：全自动、连续、随机的免疫分析系统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93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2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设计理念：模块化设计理念，可以在原有免疫平台上增加生化、免疫模块，实现生化免疫一体化检测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outlineLvl w:val="9"/>
        <w:rPr>
          <w:rFonts w:hint="eastAsia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3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反应原理：非酶增强化学发光、</w:t>
      </w:r>
      <w:r>
        <w:rPr>
          <w:rFonts w:hint="eastAsia"/>
          <w:b w:val="0"/>
          <w:bCs/>
          <w:sz w:val="24"/>
          <w:szCs w:val="24"/>
        </w:rPr>
        <w:t>异相免疫分析、竞争法、夹心法和桥接法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4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检测项目：甲状腺功能、性激素、肾上腺激素、垂体激素、糖尿病、传染病项目、肿瘤标志物、心肌标志物、骨标志物等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5" w:firstLineChars="248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4.1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甲状腺功能项目：FT3、FT4、TT3、TT4、TSH、TRAB甲状腺受体抗体；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4.2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性激素：催乳素、雌二醇、孕酮、睾酮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4.3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肾上腺皮质激素：皮质醇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7" w:firstLineChars="249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4.4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垂体激素项目：促肾上腺皮质激素（ACTH）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7" w:firstLineChars="249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4.5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骨标志物项目：骨钙素、总维生素D3等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38" w:firstLineChars="266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4.6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病毒性肝炎检测项目：乙肝表面抗原/抗体、乙肝e抗原、乙肝e抗体、乙肝核心抗体IgG/IgM、丙肝等；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38" w:firstLineChars="266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4.7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梅毒检测项目：梅毒抗体；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38" w:firstLineChars="266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4.8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艾滋病检测项目：人类免疫缺陷病毒抗原/抗体；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7" w:firstLineChars="249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#</w:t>
      </w:r>
      <w:r>
        <w:rPr>
          <w:rFonts w:hint="eastAsia" w:ascii="宋体" w:hAnsi="宋体"/>
          <w:b w:val="0"/>
          <w:bCs/>
          <w:sz w:val="24"/>
          <w:szCs w:val="24"/>
        </w:rPr>
        <w:t>4.9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脑损伤标志物项目：NSE、S100；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38" w:firstLineChars="266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4.10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心肌损伤项目：肌红蛋白、高敏肌钙蛋白、NT-脑利钠肽释放前体NT-ProBNP；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38" w:firstLineChars="266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4.11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TORCH：单纯疱疹病毒Ⅰ型/Ⅱ型IgG、弓形虫IgG/IgM等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5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测试速度：实际测试速度≥</w:t>
      </w:r>
      <w:r>
        <w:rPr>
          <w:rFonts w:ascii="宋体" w:hAnsi="宋体"/>
          <w:b w:val="0"/>
          <w:bCs/>
          <w:sz w:val="24"/>
          <w:szCs w:val="24"/>
        </w:rPr>
        <w:t>1</w:t>
      </w:r>
      <w:r>
        <w:rPr>
          <w:rFonts w:hint="eastAsia" w:ascii="宋体" w:hAnsi="宋体"/>
          <w:b w:val="0"/>
          <w:bCs/>
          <w:sz w:val="24"/>
          <w:szCs w:val="24"/>
        </w:rPr>
        <w:t>6</w:t>
      </w:r>
      <w:r>
        <w:rPr>
          <w:rFonts w:ascii="宋体" w:hAnsi="宋体"/>
          <w:b w:val="0"/>
          <w:bCs/>
          <w:sz w:val="24"/>
          <w:szCs w:val="24"/>
        </w:rPr>
        <w:t>0</w:t>
      </w:r>
      <w:r>
        <w:rPr>
          <w:rFonts w:hint="eastAsia" w:ascii="宋体" w:hAnsi="宋体"/>
          <w:b w:val="0"/>
          <w:bCs/>
          <w:sz w:val="24"/>
          <w:szCs w:val="24"/>
        </w:rPr>
        <w:t>测试</w:t>
      </w:r>
      <w:r>
        <w:rPr>
          <w:rFonts w:ascii="宋体" w:hAnsi="宋体"/>
          <w:b w:val="0"/>
          <w:bCs/>
          <w:sz w:val="24"/>
          <w:szCs w:val="24"/>
        </w:rPr>
        <w:t>/</w:t>
      </w:r>
      <w:r>
        <w:rPr>
          <w:rFonts w:hint="eastAsia" w:ascii="宋体" w:hAnsi="宋体"/>
          <w:b w:val="0"/>
          <w:bCs/>
          <w:sz w:val="24"/>
          <w:szCs w:val="24"/>
        </w:rPr>
        <w:t>小时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6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试剂通道数：≥</w:t>
      </w:r>
      <w:r>
        <w:rPr>
          <w:rFonts w:ascii="宋体" w:hAnsi="宋体"/>
          <w:b w:val="0"/>
          <w:bCs/>
          <w:sz w:val="24"/>
          <w:szCs w:val="24"/>
        </w:rPr>
        <w:t>2</w:t>
      </w:r>
      <w:r>
        <w:rPr>
          <w:rFonts w:hint="eastAsia" w:ascii="宋体" w:hAnsi="宋体"/>
          <w:b w:val="0"/>
          <w:bCs/>
          <w:sz w:val="24"/>
          <w:szCs w:val="24"/>
        </w:rPr>
        <w:t>5个，可同时放置不少于</w:t>
      </w:r>
      <w:r>
        <w:rPr>
          <w:rFonts w:ascii="宋体" w:hAnsi="宋体"/>
          <w:b w:val="0"/>
          <w:bCs/>
          <w:sz w:val="24"/>
          <w:szCs w:val="24"/>
        </w:rPr>
        <w:t>2</w:t>
      </w:r>
      <w:r>
        <w:rPr>
          <w:rFonts w:hint="eastAsia" w:ascii="宋体" w:hAnsi="宋体"/>
          <w:b w:val="0"/>
          <w:bCs/>
          <w:sz w:val="24"/>
          <w:szCs w:val="24"/>
        </w:rPr>
        <w:t>5种试剂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7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样本类型：血清、血浆、尿液、其它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8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样本位：轨道进样，一次性装载≥150个标本，并具有急诊通道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9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定标方式：两点定标，节省试剂和定标品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0" w:firstLine="112" w:firstLineChars="47"/>
        <w:textAlignment w:val="auto"/>
        <w:outlineLvl w:val="9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10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样本反应量：</w:t>
      </w:r>
      <w:r>
        <w:rPr>
          <w:rFonts w:ascii="宋体" w:hAnsi="宋体"/>
          <w:b w:val="0"/>
          <w:bCs/>
          <w:sz w:val="24"/>
          <w:szCs w:val="24"/>
        </w:rPr>
        <w:t xml:space="preserve">10 – 50 </w:t>
      </w:r>
      <w:r>
        <w:rPr>
          <w:rFonts w:hint="eastAsia" w:ascii="宋体" w:hAnsi="宋体"/>
          <w:b w:val="0"/>
          <w:bCs/>
          <w:sz w:val="24"/>
          <w:szCs w:val="24"/>
        </w:rPr>
        <w:t>μ</w:t>
      </w:r>
      <w:r>
        <w:rPr>
          <w:rFonts w:ascii="宋体" w:hAnsi="宋体"/>
          <w:b w:val="0"/>
          <w:bCs/>
          <w:sz w:val="24"/>
          <w:szCs w:val="24"/>
        </w:rPr>
        <w:t>L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  <w:r>
        <w:rPr>
          <w:rFonts w:ascii="宋体" w:hAnsi="宋体"/>
          <w:b w:val="0"/>
          <w:bCs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11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样本凝块检测功能：液面感应功能和样本凝块检测功能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12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反应时间：≤20分钟出结果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13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试剂有效期：</w:t>
      </w:r>
      <w:r>
        <w:rPr>
          <w:rFonts w:hint="eastAsia" w:ascii="宋体" w:hAnsi="宋体" w:cs="Arial"/>
          <w:b w:val="0"/>
          <w:bCs/>
          <w:sz w:val="24"/>
          <w:szCs w:val="24"/>
        </w:rPr>
        <w:t>最长货架期</w:t>
      </w:r>
      <w:r>
        <w:rPr>
          <w:rFonts w:hint="eastAsia" w:ascii="宋体" w:hAnsi="宋体"/>
          <w:b w:val="0"/>
          <w:bCs/>
          <w:sz w:val="24"/>
          <w:szCs w:val="24"/>
        </w:rPr>
        <w:t>≥</w:t>
      </w:r>
      <w:r>
        <w:rPr>
          <w:rFonts w:ascii="宋体" w:hAnsi="宋体" w:cs="Arial"/>
          <w:b w:val="0"/>
          <w:bCs/>
          <w:sz w:val="24"/>
          <w:szCs w:val="24"/>
        </w:rPr>
        <w:t>1</w:t>
      </w:r>
      <w:r>
        <w:rPr>
          <w:rFonts w:hint="eastAsia" w:ascii="宋体" w:hAnsi="宋体" w:cs="Arial"/>
          <w:b w:val="0"/>
          <w:bCs/>
          <w:sz w:val="24"/>
          <w:szCs w:val="24"/>
        </w:rPr>
        <w:t>2个月，机上开盖稳定期</w:t>
      </w:r>
      <w:r>
        <w:rPr>
          <w:rFonts w:hint="eastAsia" w:ascii="宋体" w:hAnsi="宋体"/>
          <w:b w:val="0"/>
          <w:bCs/>
          <w:sz w:val="24"/>
          <w:szCs w:val="24"/>
        </w:rPr>
        <w:t>≥</w:t>
      </w:r>
      <w:r>
        <w:rPr>
          <w:rFonts w:hint="eastAsia" w:ascii="宋体" w:hAnsi="宋体" w:cs="Arial"/>
          <w:b w:val="0"/>
          <w:bCs/>
          <w:sz w:val="24"/>
          <w:szCs w:val="24"/>
        </w:rPr>
        <w:t>8周</w:t>
      </w:r>
      <w:r>
        <w:rPr>
          <w:rFonts w:hint="eastAsia" w:ascii="宋体" w:hAnsi="宋体" w:cs="Arial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14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校准：可存储≥</w:t>
      </w:r>
      <w:r>
        <w:rPr>
          <w:rFonts w:ascii="宋体" w:hAnsi="宋体"/>
          <w:b w:val="0"/>
          <w:bCs/>
          <w:sz w:val="24"/>
          <w:szCs w:val="24"/>
        </w:rPr>
        <w:t>160</w:t>
      </w:r>
      <w:r>
        <w:rPr>
          <w:rFonts w:hint="eastAsia" w:ascii="宋体" w:hAnsi="宋体"/>
          <w:b w:val="0"/>
          <w:bCs/>
          <w:sz w:val="24"/>
          <w:szCs w:val="24"/>
        </w:rPr>
        <w:t>种不同校准品条码信息，每个测试可储存≥</w:t>
      </w:r>
      <w:r>
        <w:rPr>
          <w:rFonts w:ascii="宋体" w:hAnsi="宋体"/>
          <w:b w:val="0"/>
          <w:bCs/>
          <w:sz w:val="24"/>
          <w:szCs w:val="24"/>
        </w:rPr>
        <w:t>25</w:t>
      </w:r>
      <w:r>
        <w:rPr>
          <w:rFonts w:hint="eastAsia" w:ascii="宋体" w:hAnsi="宋体"/>
          <w:b w:val="0"/>
          <w:bCs/>
          <w:sz w:val="24"/>
          <w:szCs w:val="24"/>
        </w:rPr>
        <w:t>条定标曲线信息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15吸样针：可更换一次性吸头，避免交叉污染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16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</w:rPr>
        <w:t>操作系统：全中文触摸屏操作系统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17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配置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与设备匹配的应急电源，市电断电后能保证设备正常工作时间＞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1小时。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18、</w:t>
      </w:r>
      <w:r>
        <w:rPr>
          <w:rFonts w:hint="eastAsia" w:ascii="宋体" w:hAnsi="宋体"/>
          <w:b w:val="0"/>
          <w:bCs/>
          <w:sz w:val="24"/>
          <w:szCs w:val="24"/>
        </w:rPr>
        <w:t>配置纯水机一台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，制水量≥100升/小时。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19、设备整机保修期≥5年（含水机和备用电源）。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20、</w:t>
      </w:r>
      <w:r>
        <w:rPr>
          <w:rFonts w:hint="eastAsia" w:ascii="宋体" w:hAnsi="宋体"/>
          <w:b w:val="0"/>
          <w:bCs/>
          <w:sz w:val="24"/>
          <w:szCs w:val="24"/>
        </w:rPr>
        <w:t>免费提供设备到达现场后的安装调试，应用培训，直至操作人员掌握为止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21、</w:t>
      </w:r>
      <w:r>
        <w:rPr>
          <w:rFonts w:hint="eastAsia" w:ascii="宋体" w:hAnsi="宋体"/>
          <w:b w:val="0"/>
          <w:bCs/>
          <w:sz w:val="24"/>
          <w:szCs w:val="24"/>
        </w:rPr>
        <w:t>接到报修后4小时之内做出反应给予技术支持或现场处理故障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22、</w:t>
      </w:r>
      <w:r>
        <w:rPr>
          <w:rFonts w:hint="eastAsia" w:ascii="宋体" w:hAnsi="宋体"/>
          <w:b w:val="0"/>
          <w:bCs/>
          <w:sz w:val="24"/>
          <w:szCs w:val="24"/>
        </w:rPr>
        <w:t>免费提供系统技术咨询，软件升级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23、</w:t>
      </w:r>
      <w:r>
        <w:rPr>
          <w:rFonts w:hint="eastAsia" w:ascii="宋体" w:hAnsi="宋体"/>
          <w:b w:val="0"/>
          <w:bCs/>
          <w:sz w:val="24"/>
          <w:szCs w:val="24"/>
        </w:rPr>
        <w:t>终身维修，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超出保修期后</w:t>
      </w:r>
      <w:r>
        <w:rPr>
          <w:rFonts w:hint="eastAsia" w:ascii="宋体" w:hAnsi="宋体"/>
          <w:b w:val="0"/>
          <w:bCs/>
          <w:sz w:val="24"/>
          <w:szCs w:val="24"/>
        </w:rPr>
        <w:t>提供成本配件和技术支持，并提供免费移机服务。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06A7"/>
    <w:rsid w:val="616006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2018-05-28T11:58:00Z</dcterms:created>
  <dc:creator>张珊。</dc:creator>
  <cp:lastModifiedBy>张珊。</cp:lastModifiedBy>
  <dcterms:modified xsi:type="dcterms:W3CDTF">2018-05-28T11:59:32Z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