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before="249" w:beforeLines="75" w:line="360" w:lineRule="auto"/>
        <w:jc w:val="center"/>
        <w:outlineLvl w:val="1"/>
        <w:rPr>
          <w:rFonts w:hint="eastAsia" w:ascii="宋体" w:hAnsi="宋体" w:cs="宋体"/>
          <w:b/>
          <w:sz w:val="28"/>
          <w:szCs w:val="28"/>
        </w:rPr>
      </w:pPr>
      <w:bookmarkStart w:id="0" w:name="_Toc10712"/>
      <w:r>
        <w:rPr>
          <w:rFonts w:hint="eastAsia" w:ascii="宋体" w:hAnsi="宋体" w:cs="宋体"/>
          <w:b/>
          <w:sz w:val="28"/>
          <w:szCs w:val="28"/>
        </w:rPr>
        <w:t>、货物服务需求</w:t>
      </w:r>
      <w:bookmarkEnd w:id="0"/>
      <w:bookmarkStart w:id="1" w:name="_Toc31656"/>
    </w:p>
    <w:p>
      <w:pPr>
        <w:numPr>
          <w:ilvl w:val="0"/>
          <w:numId w:val="0"/>
        </w:numPr>
        <w:tabs>
          <w:tab w:val="left" w:pos="945"/>
          <w:tab w:val="left" w:pos="1680"/>
        </w:tabs>
        <w:snapToGrid w:val="0"/>
        <w:spacing w:line="360" w:lineRule="auto"/>
        <w:jc w:val="left"/>
        <w:outlineLvl w:val="2"/>
        <w:rPr>
          <w:rFonts w:hint="eastAsia" w:ascii="宋体" w:hAnsi="宋体" w:cs="宋体"/>
          <w:b/>
          <w:sz w:val="32"/>
          <w:szCs w:val="32"/>
        </w:rPr>
      </w:pPr>
      <w:bookmarkStart w:id="2" w:name="_Toc26231"/>
      <w:r>
        <w:rPr>
          <w:rFonts w:hint="eastAsia" w:ascii="宋体" w:hAnsi="宋体" w:cs="宋体"/>
          <w:b/>
          <w:bCs/>
          <w:kern w:val="28"/>
          <w:sz w:val="24"/>
          <w:szCs w:val="24"/>
          <w:lang w:eastAsia="zh-CN"/>
        </w:rPr>
        <w:t>一、</w:t>
      </w:r>
      <w:r>
        <w:rPr>
          <w:rFonts w:hint="eastAsia" w:ascii="宋体" w:hAnsi="宋体" w:cs="宋体"/>
          <w:b/>
          <w:bCs/>
          <w:kern w:val="28"/>
          <w:sz w:val="24"/>
          <w:szCs w:val="24"/>
        </w:rPr>
        <w:t>采购</w:t>
      </w:r>
      <w:r>
        <w:rPr>
          <w:rFonts w:hint="eastAsia" w:ascii="宋体" w:hAnsi="宋体" w:cs="宋体"/>
          <w:b/>
          <w:bCs/>
          <w:kern w:val="28"/>
          <w:sz w:val="24"/>
          <w:szCs w:val="24"/>
          <w:lang w:val="en-US" w:eastAsia="zh-CN"/>
        </w:rPr>
        <w:t>清单</w:t>
      </w:r>
      <w:bookmarkEnd w:id="2"/>
    </w:p>
    <w:tbl>
      <w:tblPr>
        <w:tblStyle w:val="7"/>
        <w:tblW w:w="9298" w:type="dxa"/>
        <w:jc w:val="center"/>
        <w:tblInd w:w="-552" w:type="dxa"/>
        <w:tblLayout w:type="fixed"/>
        <w:tblCellMar>
          <w:top w:w="15" w:type="dxa"/>
          <w:left w:w="15" w:type="dxa"/>
          <w:bottom w:w="15" w:type="dxa"/>
          <w:right w:w="15" w:type="dxa"/>
        </w:tblCellMar>
      </w:tblPr>
      <w:tblGrid>
        <w:gridCol w:w="1276"/>
        <w:gridCol w:w="7146"/>
        <w:gridCol w:w="876"/>
      </w:tblGrid>
      <w:tr>
        <w:tblPrEx>
          <w:tblLayout w:type="fixed"/>
          <w:tblCellMar>
            <w:top w:w="15" w:type="dxa"/>
            <w:left w:w="15" w:type="dxa"/>
            <w:bottom w:w="15" w:type="dxa"/>
            <w:right w:w="15" w:type="dxa"/>
          </w:tblCellMar>
        </w:tblPrEx>
        <w:trPr>
          <w:trHeight w:val="480"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设备名称</w:t>
            </w:r>
          </w:p>
        </w:tc>
        <w:tc>
          <w:tcPr>
            <w:tcW w:w="71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技术参数</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b/>
                <w:color w:val="auto"/>
                <w:kern w:val="0"/>
                <w:sz w:val="21"/>
                <w:szCs w:val="21"/>
                <w:lang w:bidi="ar"/>
              </w:rPr>
              <w:t>数量</w:t>
            </w:r>
          </w:p>
        </w:tc>
      </w:tr>
      <w:tr>
        <w:tblPrEx>
          <w:tblLayout w:type="fixed"/>
          <w:tblCellMar>
            <w:top w:w="15" w:type="dxa"/>
            <w:left w:w="15" w:type="dxa"/>
            <w:bottom w:w="15" w:type="dxa"/>
            <w:right w:w="15" w:type="dxa"/>
          </w:tblCellMar>
        </w:tblPrEx>
        <w:trPr>
          <w:trHeight w:val="480"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全自动生化分析仪</w:t>
            </w:r>
          </w:p>
        </w:tc>
        <w:tc>
          <w:tcPr>
            <w:tcW w:w="71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0"/>
              </w:numPr>
              <w:spacing w:line="360" w:lineRule="auto"/>
              <w:ind w:leftChars="0"/>
              <w:rPr>
                <w:rFonts w:ascii="宋体" w:hAnsi="宋体"/>
                <w:szCs w:val="21"/>
              </w:rPr>
            </w:pPr>
            <w:r>
              <w:rPr>
                <w:rFonts w:hint="eastAsia" w:ascii="宋体" w:hAnsi="宋体" w:eastAsia="宋体" w:cs="宋体"/>
                <w:sz w:val="22"/>
                <w:szCs w:val="22"/>
              </w:rPr>
              <w:t>★</w:t>
            </w:r>
            <w:r>
              <w:rPr>
                <w:rFonts w:hint="eastAsia" w:ascii="宋体" w:hAnsi="宋体"/>
                <w:szCs w:val="21"/>
                <w:lang w:val="en-US" w:eastAsia="zh-CN"/>
              </w:rPr>
              <w:t>1、</w:t>
            </w:r>
            <w:r>
              <w:rPr>
                <w:rFonts w:hint="eastAsia" w:ascii="宋体" w:hAnsi="宋体"/>
                <w:szCs w:val="21"/>
              </w:rPr>
              <w:t>全自动随机任选分立式，急诊优先检测</w:t>
            </w:r>
            <w:r>
              <w:rPr>
                <w:rFonts w:hint="eastAsia" w:ascii="宋体" w:hAnsi="宋体"/>
                <w:szCs w:val="21"/>
                <w:lang w:val="en-US" w:eastAsia="zh-CN"/>
              </w:rPr>
              <w:t>，</w:t>
            </w:r>
            <w:r>
              <w:rPr>
                <w:rFonts w:hint="eastAsia" w:ascii="宋体" w:hAnsi="宋体"/>
                <w:szCs w:val="21"/>
              </w:rPr>
              <w:t>纯生化测试恒速≥800测试/小时</w:t>
            </w:r>
            <w:r>
              <w:rPr>
                <w:rFonts w:hint="eastAsia" w:ascii="宋体" w:hAnsi="宋体"/>
                <w:szCs w:val="21"/>
                <w:lang w:eastAsia="zh-CN"/>
              </w:rPr>
              <w:t>，</w:t>
            </w:r>
            <w:r>
              <w:rPr>
                <w:rFonts w:hint="eastAsia" w:ascii="宋体" w:hAnsi="宋体"/>
                <w:szCs w:val="21"/>
              </w:rPr>
              <w:t>并</w:t>
            </w:r>
            <w:r>
              <w:rPr>
                <w:rFonts w:hint="eastAsia" w:ascii="宋体" w:hAnsi="宋体"/>
                <w:szCs w:val="21"/>
                <w:lang w:eastAsia="zh-CN"/>
              </w:rPr>
              <w:t>标</w:t>
            </w:r>
            <w:r>
              <w:rPr>
                <w:rFonts w:hint="eastAsia" w:ascii="宋体" w:hAnsi="宋体"/>
                <w:szCs w:val="21"/>
              </w:rPr>
              <w:t>配ISE模块。</w:t>
            </w:r>
          </w:p>
          <w:p>
            <w:pPr>
              <w:numPr>
                <w:ilvl w:val="0"/>
                <w:numId w:val="0"/>
              </w:numPr>
              <w:spacing w:line="360" w:lineRule="auto"/>
              <w:rPr>
                <w:rFonts w:ascii="宋体" w:hAnsi="宋体"/>
                <w:szCs w:val="21"/>
              </w:rPr>
            </w:pPr>
            <w:r>
              <w:rPr>
                <w:rFonts w:hint="eastAsia" w:ascii="宋体" w:hAnsi="宋体"/>
                <w:szCs w:val="21"/>
                <w:lang w:val="en-US" w:eastAsia="zh-CN"/>
              </w:rPr>
              <w:t>2、</w:t>
            </w:r>
            <w:r>
              <w:rPr>
                <w:rFonts w:hint="eastAsia" w:ascii="宋体" w:hAnsi="宋体"/>
                <w:szCs w:val="21"/>
              </w:rPr>
              <w:t>测试原理:比色法，比浊法（均相免疫法），离子选择电极法（</w:t>
            </w:r>
            <w:r>
              <w:rPr>
                <w:rFonts w:ascii="宋体" w:hAnsi="宋体"/>
                <w:szCs w:val="21"/>
              </w:rPr>
              <w:t>ISE</w:t>
            </w:r>
            <w:r>
              <w:rPr>
                <w:rFonts w:hint="eastAsia" w:ascii="宋体" w:hAnsi="宋体"/>
                <w:szCs w:val="21"/>
              </w:rPr>
              <w:t>）</w:t>
            </w:r>
          </w:p>
          <w:p>
            <w:pPr>
              <w:numPr>
                <w:ilvl w:val="0"/>
                <w:numId w:val="0"/>
              </w:numPr>
              <w:spacing w:line="360" w:lineRule="auto"/>
              <w:ind w:leftChars="0"/>
              <w:rPr>
                <w:rFonts w:ascii="宋体" w:hAnsi="宋体"/>
                <w:szCs w:val="21"/>
              </w:rPr>
            </w:pPr>
            <w:r>
              <w:rPr>
                <w:rFonts w:hint="eastAsia" w:ascii="宋体" w:hAnsi="宋体"/>
                <w:szCs w:val="21"/>
                <w:lang w:val="en-US" w:eastAsia="zh-CN"/>
              </w:rPr>
              <w:t>3、</w:t>
            </w:r>
            <w:r>
              <w:rPr>
                <w:rFonts w:hint="eastAsia" w:ascii="宋体" w:hAnsi="宋体"/>
                <w:szCs w:val="21"/>
              </w:rPr>
              <w:t>常规样本位≥140个，支持原始样本管和微量样本杯</w:t>
            </w:r>
          </w:p>
          <w:p>
            <w:pPr>
              <w:numPr>
                <w:ilvl w:val="0"/>
                <w:numId w:val="0"/>
              </w:numPr>
              <w:spacing w:line="360" w:lineRule="auto"/>
              <w:ind w:leftChars="0"/>
              <w:rPr>
                <w:rFonts w:ascii="宋体" w:hAnsi="宋体"/>
                <w:szCs w:val="21"/>
              </w:rPr>
            </w:pPr>
            <w:r>
              <w:rPr>
                <w:rFonts w:hint="eastAsia" w:ascii="宋体" w:hAnsi="宋体" w:eastAsia="宋体" w:cs="宋体"/>
                <w:sz w:val="22"/>
                <w:szCs w:val="22"/>
              </w:rPr>
              <w:t>★</w:t>
            </w:r>
            <w:r>
              <w:rPr>
                <w:rFonts w:hint="eastAsia" w:ascii="宋体" w:hAnsi="宋体"/>
                <w:szCs w:val="21"/>
                <w:lang w:val="en-US" w:eastAsia="zh-CN"/>
              </w:rPr>
              <w:t>4、</w:t>
            </w:r>
            <w:r>
              <w:rPr>
                <w:rFonts w:hint="eastAsia" w:ascii="宋体" w:hAnsi="宋体"/>
                <w:szCs w:val="21"/>
              </w:rPr>
              <w:t>样本盘具有防静电刷装置，抗静电干扰，增强液面检测可靠性</w:t>
            </w:r>
            <w:r>
              <w:rPr>
                <w:rFonts w:hint="eastAsia" w:ascii="宋体" w:hAnsi="宋体"/>
                <w:b w:val="0"/>
                <w:bCs w:val="0"/>
                <w:szCs w:val="21"/>
              </w:rPr>
              <w:t>。</w:t>
            </w:r>
          </w:p>
          <w:p>
            <w:pPr>
              <w:numPr>
                <w:ilvl w:val="0"/>
                <w:numId w:val="0"/>
              </w:numPr>
              <w:spacing w:line="360" w:lineRule="auto"/>
              <w:ind w:leftChars="0"/>
              <w:rPr>
                <w:rFonts w:ascii="宋体" w:hAnsi="宋体"/>
                <w:szCs w:val="21"/>
              </w:rPr>
            </w:pPr>
            <w:r>
              <w:rPr>
                <w:rFonts w:hint="eastAsia" w:ascii="宋体" w:hAnsi="宋体"/>
                <w:szCs w:val="21"/>
                <w:lang w:val="en-US" w:eastAsia="zh-CN"/>
              </w:rPr>
              <w:t>5、</w:t>
            </w:r>
            <w:r>
              <w:rPr>
                <w:rFonts w:hint="eastAsia" w:ascii="宋体" w:hAnsi="宋体"/>
                <w:szCs w:val="21"/>
              </w:rPr>
              <w:t>加样技术:加样针具有液面探测、随量跟踪、立体防撞、堵针检测、空吸检测功能，支持样本稀释测试，可设置稀释倍数</w:t>
            </w:r>
          </w:p>
          <w:p>
            <w:pPr>
              <w:numPr>
                <w:ilvl w:val="0"/>
                <w:numId w:val="0"/>
              </w:numPr>
              <w:spacing w:line="360" w:lineRule="auto"/>
              <w:ind w:leftChars="0"/>
              <w:rPr>
                <w:rFonts w:ascii="宋体" w:hAnsi="宋体"/>
                <w:szCs w:val="21"/>
              </w:rPr>
            </w:pPr>
            <w:r>
              <w:rPr>
                <w:rFonts w:hint="eastAsia" w:ascii="宋体" w:hAnsi="宋体" w:eastAsia="宋体" w:cs="宋体"/>
                <w:sz w:val="22"/>
                <w:szCs w:val="22"/>
              </w:rPr>
              <w:t>★</w:t>
            </w:r>
            <w:r>
              <w:rPr>
                <w:rFonts w:hint="eastAsia" w:ascii="宋体" w:hAnsi="宋体"/>
                <w:szCs w:val="21"/>
                <w:lang w:val="en-US" w:eastAsia="zh-CN"/>
              </w:rPr>
              <w:t>6、</w:t>
            </w:r>
            <w:r>
              <w:rPr>
                <w:rFonts w:hint="eastAsia" w:ascii="宋体" w:hAnsi="宋体"/>
                <w:szCs w:val="21"/>
              </w:rPr>
              <w:t>单盘试剂位≥120个，2～10℃24小时冷藏；</w:t>
            </w:r>
          </w:p>
          <w:p>
            <w:pPr>
              <w:numPr>
                <w:ilvl w:val="0"/>
                <w:numId w:val="0"/>
              </w:numPr>
              <w:spacing w:line="360" w:lineRule="auto"/>
              <w:ind w:leftChars="0"/>
              <w:rPr>
                <w:rFonts w:hint="eastAsia" w:ascii="宋体" w:hAnsi="宋体"/>
                <w:szCs w:val="21"/>
              </w:rPr>
            </w:pPr>
            <w:r>
              <w:rPr>
                <w:rFonts w:hint="eastAsia" w:ascii="宋体" w:hAnsi="宋体"/>
                <w:szCs w:val="21"/>
                <w:lang w:val="en-US" w:eastAsia="zh-CN"/>
              </w:rPr>
              <w:t>7、</w:t>
            </w:r>
            <w:r>
              <w:rPr>
                <w:rFonts w:hint="eastAsia" w:ascii="宋体" w:hAnsi="宋体"/>
                <w:szCs w:val="21"/>
              </w:rPr>
              <w:t>同时分析项目:生化≥68个，</w:t>
            </w:r>
            <w:r>
              <w:rPr>
                <w:rFonts w:ascii="宋体" w:hAnsi="宋体"/>
                <w:szCs w:val="21"/>
              </w:rPr>
              <w:t xml:space="preserve">ISE </w:t>
            </w:r>
            <w:r>
              <w:rPr>
                <w:rFonts w:hint="eastAsia" w:ascii="宋体" w:hAnsi="宋体"/>
                <w:szCs w:val="21"/>
                <w:lang w:eastAsia="zh-CN"/>
              </w:rPr>
              <w:t>≥</w:t>
            </w:r>
            <w:r>
              <w:rPr>
                <w:rFonts w:hint="eastAsia" w:ascii="宋体" w:hAnsi="宋体"/>
                <w:szCs w:val="21"/>
                <w:lang w:val="en-US" w:eastAsia="zh-CN"/>
              </w:rPr>
              <w:t>3</w:t>
            </w:r>
            <w:r>
              <w:rPr>
                <w:rFonts w:hint="eastAsia" w:ascii="宋体" w:hAnsi="宋体"/>
                <w:szCs w:val="21"/>
              </w:rPr>
              <w:t>个</w:t>
            </w:r>
            <w:r>
              <w:rPr>
                <w:rFonts w:hint="eastAsia" w:ascii="宋体" w:hAnsi="宋体"/>
                <w:szCs w:val="21"/>
                <w:lang w:eastAsia="zh-CN"/>
              </w:rPr>
              <w:t>（含</w:t>
            </w:r>
            <w:r>
              <w:rPr>
                <w:rFonts w:hint="eastAsia" w:ascii="宋体" w:hAnsi="宋体"/>
                <w:color w:val="auto"/>
                <w:szCs w:val="21"/>
                <w:lang w:eastAsia="zh-CN"/>
              </w:rPr>
              <w:t>钠钾氯</w:t>
            </w:r>
            <w:r>
              <w:rPr>
                <w:rFonts w:hint="eastAsia" w:ascii="宋体" w:hAnsi="宋体"/>
                <w:szCs w:val="21"/>
                <w:lang w:eastAsia="zh-CN"/>
              </w:rPr>
              <w:t>）</w:t>
            </w:r>
            <w:r>
              <w:rPr>
                <w:rFonts w:hint="eastAsia" w:ascii="宋体" w:hAnsi="宋体"/>
                <w:szCs w:val="21"/>
              </w:rPr>
              <w:t>，血清指数</w:t>
            </w:r>
            <w:r>
              <w:rPr>
                <w:rFonts w:hint="eastAsia" w:ascii="宋体" w:hAnsi="宋体"/>
                <w:szCs w:val="21"/>
                <w:lang w:eastAsia="zh-CN"/>
              </w:rPr>
              <w:t>≥</w:t>
            </w:r>
            <w:r>
              <w:rPr>
                <w:rFonts w:ascii="宋体" w:hAnsi="宋体"/>
                <w:szCs w:val="21"/>
              </w:rPr>
              <w:t>3</w:t>
            </w:r>
            <w:r>
              <w:rPr>
                <w:rFonts w:hint="eastAsia" w:ascii="宋体" w:hAnsi="宋体"/>
                <w:szCs w:val="21"/>
              </w:rPr>
              <w:t>个</w:t>
            </w:r>
          </w:p>
          <w:p>
            <w:pPr>
              <w:numPr>
                <w:ilvl w:val="0"/>
                <w:numId w:val="0"/>
              </w:numPr>
              <w:spacing w:line="360" w:lineRule="auto"/>
              <w:ind w:leftChars="0"/>
              <w:rPr>
                <w:rFonts w:hint="eastAsia" w:ascii="宋体" w:hAnsi="宋体"/>
                <w:szCs w:val="21"/>
              </w:rPr>
            </w:pPr>
            <w:r>
              <w:rPr>
                <w:rFonts w:hint="eastAsia" w:ascii="宋体" w:hAnsi="宋体" w:eastAsia="宋体" w:cs="宋体"/>
                <w:sz w:val="22"/>
                <w:szCs w:val="22"/>
              </w:rPr>
              <w:t>★</w:t>
            </w:r>
            <w:r>
              <w:rPr>
                <w:rFonts w:hint="eastAsia" w:ascii="宋体" w:hAnsi="宋体"/>
                <w:szCs w:val="21"/>
                <w:lang w:val="en-US" w:eastAsia="zh-CN"/>
              </w:rPr>
              <w:t>8、</w:t>
            </w:r>
            <w:r>
              <w:rPr>
                <w:rFonts w:hint="eastAsia" w:ascii="宋体" w:hAnsi="宋体"/>
                <w:szCs w:val="21"/>
              </w:rPr>
              <w:t>搅拌针≥6个</w:t>
            </w:r>
          </w:p>
          <w:p>
            <w:pPr>
              <w:numPr>
                <w:ilvl w:val="0"/>
                <w:numId w:val="0"/>
              </w:numPr>
              <w:spacing w:line="360" w:lineRule="auto"/>
              <w:ind w:leftChars="0"/>
              <w:rPr>
                <w:rFonts w:ascii="宋体" w:hAnsi="宋体"/>
                <w:szCs w:val="21"/>
              </w:rPr>
            </w:pPr>
            <w:r>
              <w:rPr>
                <w:rFonts w:hint="eastAsia" w:ascii="宋体" w:hAnsi="宋体"/>
                <w:szCs w:val="21"/>
                <w:lang w:val="en-US" w:eastAsia="zh-CN"/>
              </w:rPr>
              <w:t>9、</w:t>
            </w:r>
            <w:r>
              <w:rPr>
                <w:rFonts w:hint="eastAsia" w:ascii="宋体" w:hAnsi="宋体"/>
                <w:szCs w:val="21"/>
              </w:rPr>
              <w:t>反应杯≥165个，比色杯光径≤5mm ；</w:t>
            </w:r>
          </w:p>
          <w:p>
            <w:pPr>
              <w:numPr>
                <w:ilvl w:val="0"/>
                <w:numId w:val="0"/>
              </w:numPr>
              <w:spacing w:line="360" w:lineRule="auto"/>
              <w:ind w:leftChars="0"/>
              <w:rPr>
                <w:rFonts w:ascii="宋体" w:hAnsi="宋体"/>
                <w:szCs w:val="21"/>
              </w:rPr>
            </w:pPr>
            <w:r>
              <w:rPr>
                <w:rFonts w:hint="eastAsia" w:ascii="宋体" w:hAnsi="宋体"/>
                <w:szCs w:val="21"/>
                <w:lang w:val="en-US" w:eastAsia="zh-CN"/>
              </w:rPr>
              <w:t>10、</w:t>
            </w:r>
            <w:r>
              <w:rPr>
                <w:rFonts w:hint="eastAsia" w:ascii="宋体" w:hAnsi="宋体"/>
                <w:szCs w:val="21"/>
              </w:rPr>
              <w:t>清洗机构：</w:t>
            </w:r>
            <w:r>
              <w:rPr>
                <w:rFonts w:hint="eastAsia" w:ascii="宋体" w:hAnsi="宋体"/>
                <w:szCs w:val="21"/>
                <w:lang w:eastAsia="zh-CN"/>
              </w:rPr>
              <w:t>≥</w:t>
            </w:r>
            <w:r>
              <w:rPr>
                <w:rFonts w:hint="eastAsia" w:ascii="宋体" w:hAnsi="宋体"/>
                <w:szCs w:val="21"/>
              </w:rPr>
              <w:t>8组清洗针8阶自动温水清洗，保障反应杯清洗更彻底</w:t>
            </w:r>
          </w:p>
          <w:p>
            <w:pPr>
              <w:numPr>
                <w:ilvl w:val="0"/>
                <w:numId w:val="0"/>
              </w:numPr>
              <w:spacing w:line="360" w:lineRule="auto"/>
              <w:ind w:leftChars="0"/>
              <w:rPr>
                <w:rFonts w:ascii="宋体" w:hAnsi="宋体"/>
                <w:szCs w:val="21"/>
              </w:rPr>
            </w:pPr>
            <w:r>
              <w:rPr>
                <w:rFonts w:hint="eastAsia" w:ascii="宋体" w:hAnsi="宋体"/>
                <w:szCs w:val="21"/>
                <w:lang w:val="en-US" w:eastAsia="zh-CN"/>
              </w:rPr>
              <w:t>11、</w:t>
            </w:r>
            <w:r>
              <w:rPr>
                <w:rFonts w:hint="eastAsia" w:ascii="宋体" w:hAnsi="宋体"/>
                <w:szCs w:val="21"/>
              </w:rPr>
              <w:t>单个测试最小反应体积：≤100</w:t>
            </w:r>
            <w:r>
              <w:rPr>
                <w:rFonts w:ascii="宋体" w:hAnsi="宋体"/>
                <w:szCs w:val="21"/>
              </w:rPr>
              <w:t>µ</w:t>
            </w:r>
            <w:r>
              <w:rPr>
                <w:rFonts w:hint="eastAsia" w:ascii="宋体" w:hAnsi="宋体"/>
                <w:szCs w:val="21"/>
              </w:rPr>
              <w:t xml:space="preserve">l </w:t>
            </w:r>
          </w:p>
          <w:p>
            <w:pPr>
              <w:numPr>
                <w:ilvl w:val="0"/>
                <w:numId w:val="0"/>
              </w:numPr>
              <w:spacing w:line="360" w:lineRule="auto"/>
              <w:ind w:leftChars="0"/>
              <w:rPr>
                <w:rFonts w:ascii="宋体" w:hAnsi="宋体"/>
                <w:szCs w:val="21"/>
              </w:rPr>
            </w:pPr>
            <w:r>
              <w:rPr>
                <w:rFonts w:hint="eastAsia" w:ascii="宋体" w:hAnsi="宋体" w:eastAsia="宋体" w:cs="宋体"/>
                <w:sz w:val="22"/>
                <w:szCs w:val="22"/>
              </w:rPr>
              <w:t>★</w:t>
            </w:r>
            <w:r>
              <w:rPr>
                <w:rFonts w:hint="eastAsia" w:ascii="宋体" w:hAnsi="宋体"/>
                <w:szCs w:val="21"/>
                <w:lang w:val="en-US" w:eastAsia="zh-CN"/>
              </w:rPr>
              <w:t>12、</w:t>
            </w:r>
            <w:r>
              <w:rPr>
                <w:rFonts w:hint="eastAsia" w:ascii="宋体" w:hAnsi="宋体"/>
                <w:szCs w:val="21"/>
              </w:rPr>
              <w:t>反应杯恒温装置：固体直热，温控精度37℃±0.1℃（</w:t>
            </w:r>
            <w:r>
              <w:rPr>
                <w:rFonts w:hint="eastAsia" w:ascii="宋体" w:hAnsi="宋体"/>
                <w:color w:val="auto"/>
                <w:szCs w:val="21"/>
              </w:rPr>
              <w:t>日常免维护保养，无需</w:t>
            </w:r>
            <w:r>
              <w:rPr>
                <w:rFonts w:hint="eastAsia" w:ascii="宋体" w:hAnsi="宋体"/>
                <w:color w:val="auto"/>
                <w:szCs w:val="21"/>
                <w:lang w:eastAsia="zh-CN"/>
              </w:rPr>
              <w:t>加</w:t>
            </w:r>
            <w:r>
              <w:rPr>
                <w:rFonts w:hint="eastAsia" w:ascii="宋体" w:hAnsi="宋体"/>
                <w:color w:val="auto"/>
                <w:szCs w:val="21"/>
              </w:rPr>
              <w:t>任何耗材</w:t>
            </w:r>
            <w:r>
              <w:rPr>
                <w:rFonts w:hint="eastAsia" w:ascii="宋体" w:hAnsi="宋体"/>
                <w:szCs w:val="21"/>
              </w:rPr>
              <w:t>）</w:t>
            </w:r>
          </w:p>
          <w:p>
            <w:pPr>
              <w:numPr>
                <w:ilvl w:val="0"/>
                <w:numId w:val="0"/>
              </w:numPr>
              <w:spacing w:line="360" w:lineRule="auto"/>
              <w:ind w:leftChars="0"/>
              <w:rPr>
                <w:rFonts w:ascii="宋体" w:hAnsi="宋体"/>
                <w:szCs w:val="21"/>
              </w:rPr>
            </w:pPr>
            <w:r>
              <w:rPr>
                <w:rFonts w:hint="eastAsia" w:ascii="宋体" w:hAnsi="宋体"/>
                <w:szCs w:val="21"/>
                <w:lang w:val="en-US" w:eastAsia="zh-CN"/>
              </w:rPr>
              <w:t>13、</w:t>
            </w:r>
            <w:r>
              <w:rPr>
                <w:rFonts w:hint="eastAsia" w:ascii="宋体" w:hAnsi="宋体"/>
                <w:szCs w:val="21"/>
              </w:rPr>
              <w:t>波长：</w:t>
            </w:r>
            <w:r>
              <w:rPr>
                <w:rFonts w:ascii="宋体" w:hAnsi="宋体"/>
                <w:szCs w:val="21"/>
              </w:rPr>
              <w:t>340-800nm</w:t>
            </w:r>
            <w:r>
              <w:rPr>
                <w:rFonts w:hint="eastAsia" w:ascii="宋体" w:hAnsi="宋体"/>
                <w:szCs w:val="21"/>
              </w:rPr>
              <w:t>，≥</w:t>
            </w:r>
            <w:r>
              <w:rPr>
                <w:rFonts w:ascii="宋体" w:hAnsi="宋体"/>
                <w:szCs w:val="21"/>
              </w:rPr>
              <w:t>12</w:t>
            </w:r>
            <w:r>
              <w:rPr>
                <w:rFonts w:hint="eastAsia" w:ascii="宋体" w:hAnsi="宋体"/>
                <w:szCs w:val="21"/>
              </w:rPr>
              <w:t>个波长</w:t>
            </w:r>
          </w:p>
          <w:p>
            <w:pPr>
              <w:numPr>
                <w:ilvl w:val="0"/>
                <w:numId w:val="0"/>
              </w:numPr>
              <w:spacing w:line="360" w:lineRule="auto"/>
              <w:ind w:leftChars="0"/>
              <w:rPr>
                <w:rFonts w:ascii="宋体" w:hAnsi="宋体"/>
                <w:szCs w:val="21"/>
              </w:rPr>
            </w:pPr>
            <w:r>
              <w:rPr>
                <w:rFonts w:hint="eastAsia" w:ascii="宋体" w:hAnsi="宋体"/>
                <w:szCs w:val="21"/>
                <w:lang w:val="en-US" w:eastAsia="zh-CN"/>
              </w:rPr>
              <w:t>14、</w:t>
            </w:r>
            <w:r>
              <w:rPr>
                <w:rFonts w:hint="eastAsia" w:ascii="宋体" w:hAnsi="宋体"/>
                <w:szCs w:val="21"/>
              </w:rPr>
              <w:t>吸光度线性范围：0～3.4 Abs</w:t>
            </w:r>
          </w:p>
          <w:p>
            <w:pPr>
              <w:numPr>
                <w:ilvl w:val="0"/>
                <w:numId w:val="0"/>
              </w:numPr>
              <w:spacing w:line="360" w:lineRule="auto"/>
              <w:ind w:leftChars="0"/>
              <w:rPr>
                <w:rFonts w:hint="eastAsia" w:ascii="宋体" w:hAnsi="宋体"/>
                <w:szCs w:val="21"/>
              </w:rPr>
            </w:pPr>
            <w:r>
              <w:rPr>
                <w:rFonts w:hint="eastAsia" w:ascii="宋体" w:hAnsi="宋体"/>
                <w:szCs w:val="21"/>
                <w:lang w:val="en-US" w:eastAsia="zh-CN"/>
              </w:rPr>
              <w:t>15、</w:t>
            </w:r>
            <w:r>
              <w:rPr>
                <w:rFonts w:hint="eastAsia" w:ascii="宋体" w:hAnsi="宋体"/>
                <w:szCs w:val="21"/>
              </w:rPr>
              <w:t>携带污染率：≤0.05%</w:t>
            </w:r>
          </w:p>
          <w:p>
            <w:pPr>
              <w:numPr>
                <w:ilvl w:val="0"/>
                <w:numId w:val="0"/>
              </w:numPr>
              <w:spacing w:line="360" w:lineRule="auto"/>
              <w:ind w:leftChars="0"/>
              <w:rPr>
                <w:rFonts w:hint="eastAsia" w:ascii="宋体" w:hAnsi="宋体"/>
                <w:szCs w:val="21"/>
                <w:lang w:val="en-US" w:eastAsia="zh-CN"/>
              </w:rPr>
            </w:pPr>
            <w:r>
              <w:rPr>
                <w:rFonts w:hint="eastAsia" w:ascii="宋体" w:hAnsi="宋体"/>
                <w:szCs w:val="21"/>
                <w:lang w:val="en-US" w:eastAsia="zh-CN"/>
              </w:rPr>
              <w:t>16、配备纯水机（≥60L）一台，配备UPS电源</w:t>
            </w:r>
          </w:p>
          <w:p>
            <w:pPr>
              <w:numPr>
                <w:ilvl w:val="0"/>
                <w:numId w:val="0"/>
              </w:numPr>
              <w:spacing w:line="360" w:lineRule="auto"/>
              <w:ind w:leftChars="0"/>
              <w:rPr>
                <w:rFonts w:hint="eastAsia" w:ascii="宋体" w:hAnsi="宋体" w:eastAsia="宋体" w:cs="宋体"/>
                <w:color w:val="auto"/>
                <w:kern w:val="0"/>
                <w:sz w:val="21"/>
                <w:szCs w:val="21"/>
              </w:rPr>
            </w:pPr>
            <w:r>
              <w:rPr>
                <w:rFonts w:hint="eastAsia" w:ascii="宋体" w:hAnsi="宋体" w:eastAsia="宋体" w:cs="宋体"/>
                <w:sz w:val="22"/>
                <w:szCs w:val="22"/>
              </w:rPr>
              <w:t>★</w:t>
            </w:r>
            <w:r>
              <w:rPr>
                <w:rFonts w:hint="eastAsia" w:ascii="宋体" w:hAnsi="宋体"/>
                <w:szCs w:val="21"/>
                <w:lang w:val="en-US" w:eastAsia="zh-CN"/>
              </w:rPr>
              <w:t>17、生化仪器要求开放所有通道</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b/>
                <w:bCs/>
                <w:color w:val="auto"/>
                <w:sz w:val="21"/>
                <w:szCs w:val="21"/>
              </w:rPr>
              <w:t>1</w:t>
            </w:r>
            <w:r>
              <w:rPr>
                <w:rFonts w:hint="eastAsia" w:ascii="宋体" w:hAnsi="宋体" w:eastAsia="宋体" w:cs="宋体"/>
                <w:b/>
                <w:bCs/>
                <w:color w:val="auto"/>
                <w:sz w:val="21"/>
                <w:szCs w:val="21"/>
                <w:lang w:eastAsia="zh-CN"/>
              </w:rPr>
              <w:t>台</w:t>
            </w:r>
          </w:p>
        </w:tc>
      </w:tr>
    </w:tbl>
    <w:p>
      <w:pPr>
        <w:spacing w:line="360" w:lineRule="auto"/>
        <w:jc w:val="left"/>
        <w:outlineLvl w:val="9"/>
        <w:rPr>
          <w:rFonts w:hint="eastAsia"/>
          <w:lang w:val="en-US" w:eastAsia="zh-CN"/>
        </w:rPr>
      </w:pPr>
      <w:r>
        <w:rPr>
          <w:rFonts w:hint="eastAsia" w:ascii="宋体" w:hAnsi="宋体" w:eastAsia="宋体" w:cs="宋体"/>
          <w:b/>
          <w:bCs/>
          <w:i w:val="0"/>
          <w:color w:val="000000"/>
          <w:kern w:val="0"/>
          <w:sz w:val="24"/>
          <w:szCs w:val="24"/>
          <w:u w:val="none"/>
          <w:lang w:val="en-US" w:eastAsia="zh-CN" w:bidi="ar-SA"/>
        </w:rPr>
        <w:t>备注：</w:t>
      </w:r>
      <w:r>
        <w:rPr>
          <w:rFonts w:hint="eastAsia" w:ascii="宋体" w:hAnsi="宋体" w:eastAsia="宋体" w:cs="宋体"/>
          <w:b w:val="0"/>
          <w:bCs w:val="0"/>
          <w:i w:val="0"/>
          <w:color w:val="auto"/>
          <w:kern w:val="0"/>
          <w:sz w:val="24"/>
          <w:szCs w:val="24"/>
          <w:u w:val="none"/>
          <w:lang w:val="en-US" w:eastAsia="zh-CN" w:bidi="ar-SA"/>
        </w:rPr>
        <w:t>核心品牌产品</w:t>
      </w:r>
      <w:r>
        <w:rPr>
          <w:rFonts w:hint="eastAsia" w:ascii="宋体" w:hAnsi="宋体" w:eastAsia="宋体" w:cs="宋体"/>
          <w:i w:val="0"/>
          <w:color w:val="auto"/>
          <w:kern w:val="0"/>
          <w:sz w:val="24"/>
          <w:szCs w:val="24"/>
          <w:u w:val="none"/>
          <w:lang w:val="en-US" w:eastAsia="zh-CN" w:bidi="ar-SA"/>
        </w:rPr>
        <w:t>。根据财政部87号令的规定，</w:t>
      </w:r>
      <w:r>
        <w:rPr>
          <w:rFonts w:hint="eastAsia" w:ascii="宋体" w:hAnsi="宋体" w:eastAsia="宋体" w:cs="宋体"/>
          <w:b/>
          <w:bCs/>
          <w:i w:val="0"/>
          <w:color w:val="auto"/>
          <w:kern w:val="0"/>
          <w:sz w:val="24"/>
          <w:szCs w:val="24"/>
          <w:u w:val="none"/>
          <w:lang w:val="en-US" w:eastAsia="zh-CN" w:bidi="ar-SA"/>
        </w:rPr>
        <w:t>“全自动生化分析仪”</w:t>
      </w:r>
      <w:r>
        <w:rPr>
          <w:rFonts w:hint="eastAsia" w:ascii="宋体" w:hAnsi="宋体" w:eastAsia="宋体" w:cs="宋体"/>
          <w:i w:val="0"/>
          <w:color w:val="auto"/>
          <w:kern w:val="0"/>
          <w:sz w:val="24"/>
          <w:szCs w:val="24"/>
          <w:u w:val="none"/>
          <w:lang w:val="en-US" w:eastAsia="zh-CN" w:bidi="ar-SA"/>
        </w:rPr>
        <w:t>为本项目核心产品，核心产品提供相同品牌产品且通过资格审查、符合性审查的不同投标人参加同一合同项下投标的，按一家投标人计算，具体要求见投标人须知23.9条。</w:t>
      </w:r>
    </w:p>
    <w:p>
      <w:pPr>
        <w:keepNext w:val="0"/>
        <w:keepLines w:val="0"/>
        <w:pageBreakBefore w:val="0"/>
        <w:widowControl w:val="0"/>
        <w:numPr>
          <w:ilvl w:val="0"/>
          <w:numId w:val="0"/>
        </w:numPr>
        <w:kinsoku/>
        <w:overflowPunct/>
        <w:topLinePunct w:val="0"/>
        <w:autoSpaceDE/>
        <w:autoSpaceDN/>
        <w:bidi w:val="0"/>
        <w:adjustRightInd w:val="0"/>
        <w:snapToGrid w:val="0"/>
        <w:spacing w:before="111" w:beforeLines="33" w:beforeAutospacing="0" w:line="360" w:lineRule="auto"/>
        <w:jc w:val="left"/>
        <w:textAlignment w:val="auto"/>
        <w:outlineLvl w:val="2"/>
        <w:rPr>
          <w:rFonts w:hint="eastAsia" w:ascii="新宋体" w:hAnsi="新宋体" w:eastAsia="新宋体" w:cs="新宋体"/>
          <w:kern w:val="2"/>
          <w:sz w:val="24"/>
          <w:szCs w:val="24"/>
          <w:lang w:val="en-US" w:eastAsia="zh-CN" w:bidi="ar-SA"/>
        </w:rPr>
      </w:pPr>
      <w:bookmarkStart w:id="3" w:name="_Toc12196"/>
      <w:bookmarkStart w:id="4" w:name="_Toc9493"/>
      <w:r>
        <w:rPr>
          <w:rFonts w:hint="eastAsia" w:ascii="宋体" w:hAnsi="宋体" w:cs="宋体"/>
          <w:b/>
          <w:sz w:val="24"/>
          <w:szCs w:val="24"/>
          <w:lang w:eastAsia="zh-CN"/>
        </w:rPr>
        <w:t>二、采购注意事项</w:t>
      </w:r>
      <w:bookmarkEnd w:id="3"/>
      <w:bookmarkEnd w:id="4"/>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1、本次采购的货物均包括货物的配送</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安装调试</w:t>
      </w:r>
      <w:r>
        <w:rPr>
          <w:rFonts w:hint="eastAsia" w:ascii="新宋体" w:hAnsi="新宋体" w:eastAsia="新宋体" w:cs="新宋体"/>
          <w:sz w:val="24"/>
          <w:szCs w:val="24"/>
          <w:lang w:eastAsia="zh-CN"/>
        </w:rPr>
        <w:t>及培训</w:t>
      </w:r>
      <w:r>
        <w:rPr>
          <w:rFonts w:hint="eastAsia" w:ascii="新宋体" w:hAnsi="新宋体" w:eastAsia="新宋体" w:cs="新宋体"/>
          <w:sz w:val="24"/>
          <w:szCs w:val="24"/>
        </w:rPr>
        <w:t>，项目</w:t>
      </w:r>
      <w:r>
        <w:rPr>
          <w:rFonts w:hint="eastAsia" w:ascii="新宋体" w:hAnsi="新宋体" w:eastAsia="新宋体" w:cs="新宋体"/>
          <w:sz w:val="24"/>
          <w:szCs w:val="24"/>
          <w:lang w:eastAsia="zh-CN"/>
        </w:rPr>
        <w:t>安装</w:t>
      </w:r>
      <w:r>
        <w:rPr>
          <w:rFonts w:hint="eastAsia" w:ascii="新宋体" w:hAnsi="新宋体" w:eastAsia="新宋体" w:cs="新宋体"/>
          <w:sz w:val="24"/>
          <w:szCs w:val="24"/>
        </w:rPr>
        <w:t>地点：</w:t>
      </w:r>
      <w:r>
        <w:rPr>
          <w:rFonts w:hint="eastAsia" w:ascii="新宋体" w:hAnsi="新宋体" w:eastAsia="新宋体" w:cs="新宋体"/>
          <w:sz w:val="24"/>
          <w:szCs w:val="24"/>
          <w:lang w:eastAsia="zh-CN"/>
        </w:rPr>
        <w:t>石台县中医院</w:t>
      </w:r>
      <w:r>
        <w:rPr>
          <w:rFonts w:hint="eastAsia" w:ascii="新宋体" w:hAnsi="新宋体" w:eastAsia="新宋体" w:cs="新宋体"/>
          <w:sz w:val="24"/>
          <w:szCs w:val="24"/>
        </w:rPr>
        <w:t>。</w:t>
      </w:r>
    </w:p>
    <w:p>
      <w:pPr>
        <w:tabs>
          <w:tab w:val="left" w:pos="420"/>
        </w:tabs>
        <w:spacing w:line="360" w:lineRule="auto"/>
        <w:ind w:firstLine="480"/>
        <w:jc w:val="left"/>
        <w:rPr>
          <w:rFonts w:hint="eastAsia" w:ascii="宋体" w:hAnsi="宋体" w:cs="宋体"/>
          <w:kern w:val="28"/>
          <w:sz w:val="24"/>
          <w:szCs w:val="24"/>
          <w:lang w:bidi="ar"/>
        </w:rPr>
      </w:pPr>
      <w:r>
        <w:rPr>
          <w:rFonts w:hint="eastAsia" w:ascii="宋体" w:hAnsi="宋体" w:cs="宋体"/>
          <w:kern w:val="28"/>
          <w:sz w:val="24"/>
          <w:szCs w:val="24"/>
          <w:lang w:val="en-US" w:eastAsia="zh-CN" w:bidi="ar"/>
        </w:rPr>
        <w:t>2</w:t>
      </w:r>
      <w:r>
        <w:rPr>
          <w:rFonts w:hint="eastAsia" w:ascii="宋体" w:hAnsi="宋体" w:cs="宋体"/>
          <w:kern w:val="28"/>
          <w:sz w:val="24"/>
          <w:szCs w:val="24"/>
          <w:lang w:bidi="ar"/>
        </w:rPr>
        <w:t>、各投标人的投标产品必须是全新产品，须保证质量，不得使用劣质产品，否则将其列入不诚信供应商名单，同时采购人有权取消合同并且不承担中标人的任何损失。</w:t>
      </w:r>
    </w:p>
    <w:p>
      <w:pPr>
        <w:widowControl/>
        <w:snapToGrid w:val="0"/>
        <w:spacing w:line="460" w:lineRule="exact"/>
        <w:ind w:firstLine="480" w:firstLineChars="200"/>
        <w:jc w:val="left"/>
        <w:rPr>
          <w:rFonts w:hint="eastAsia" w:ascii="宋体" w:hAnsi="宋体" w:cs="宋体"/>
          <w:kern w:val="28"/>
          <w:sz w:val="24"/>
          <w:szCs w:val="24"/>
          <w:lang w:bidi="ar"/>
        </w:rPr>
      </w:pPr>
      <w:r>
        <w:rPr>
          <w:rFonts w:hint="eastAsia" w:ascii="宋体" w:hAnsi="宋体" w:cs="宋体"/>
          <w:kern w:val="28"/>
          <w:sz w:val="24"/>
          <w:szCs w:val="24"/>
          <w:lang w:val="en-US" w:eastAsia="zh-CN" w:bidi="ar"/>
        </w:rPr>
        <w:t>3</w:t>
      </w:r>
      <w:r>
        <w:rPr>
          <w:rFonts w:hint="eastAsia" w:ascii="宋体" w:hAnsi="宋体" w:cs="宋体"/>
          <w:kern w:val="28"/>
          <w:sz w:val="24"/>
          <w:szCs w:val="24"/>
          <w:lang w:bidi="ar"/>
        </w:rPr>
        <w:t>、投标人应根据产品生产商生产能力、自身的安装能力和垫资能力等因素，理性投标，确保中标后能够按期交货，否则，采购人将依据有关条款追究违约责任。</w:t>
      </w:r>
    </w:p>
    <w:p>
      <w:pPr>
        <w:spacing w:line="348" w:lineRule="auto"/>
        <w:ind w:firstLine="482" w:firstLineChars="200"/>
        <w:rPr>
          <w:rFonts w:hint="eastAsia" w:ascii="宋体" w:hAnsi="宋体" w:eastAsia="宋体" w:cs="宋体"/>
          <w:b/>
          <w:bCs/>
          <w:color w:val="auto"/>
          <w:kern w:val="28"/>
          <w:sz w:val="24"/>
          <w:szCs w:val="24"/>
          <w:lang w:val="en-US" w:eastAsia="zh-CN"/>
        </w:rPr>
      </w:pPr>
      <w:r>
        <w:rPr>
          <w:rFonts w:hint="eastAsia" w:ascii="宋体" w:hAnsi="宋体" w:cs="宋体"/>
          <w:b/>
          <w:bCs/>
          <w:color w:val="auto"/>
          <w:sz w:val="24"/>
          <w:szCs w:val="24"/>
          <w:lang w:val="en-US" w:eastAsia="zh-CN"/>
        </w:rPr>
        <w:t>4、</w:t>
      </w:r>
      <w:r>
        <w:rPr>
          <w:rFonts w:hint="eastAsia" w:ascii="宋体" w:hAnsi="宋体" w:cs="宋体"/>
          <w:b/>
          <w:bCs/>
          <w:color w:val="auto"/>
          <w:sz w:val="24"/>
          <w:szCs w:val="24"/>
        </w:rPr>
        <w:t>工期：合同签定之日起，60日内到货</w:t>
      </w:r>
      <w:r>
        <w:rPr>
          <w:rFonts w:hint="eastAsia" w:ascii="宋体" w:hAnsi="宋体" w:cs="宋体"/>
          <w:b/>
          <w:bCs/>
          <w:color w:val="auto"/>
          <w:sz w:val="24"/>
        </w:rPr>
        <w:t>。</w:t>
      </w:r>
      <w:r>
        <w:rPr>
          <w:rFonts w:hint="eastAsia" w:ascii="宋体" w:hAnsi="宋体" w:cs="宋体"/>
          <w:b/>
          <w:bCs/>
          <w:color w:val="auto"/>
          <w:sz w:val="24"/>
          <w:lang w:eastAsia="zh-CN"/>
        </w:rPr>
        <w:t>付款方式：</w:t>
      </w:r>
      <w:r>
        <w:rPr>
          <w:rFonts w:hint="eastAsia" w:ascii="宋体" w:hAnsi="宋体" w:cs="宋体"/>
          <w:b/>
          <w:bCs/>
          <w:color w:val="0000FF"/>
          <w:kern w:val="28"/>
          <w:sz w:val="24"/>
          <w:szCs w:val="24"/>
          <w:lang w:eastAsia="zh-CN"/>
        </w:rPr>
        <w:t>安装</w:t>
      </w:r>
      <w:r>
        <w:rPr>
          <w:rFonts w:hint="eastAsia" w:ascii="宋体" w:hAnsi="宋体" w:cs="宋体"/>
          <w:b/>
          <w:bCs/>
          <w:color w:val="0000FF"/>
          <w:kern w:val="28"/>
          <w:sz w:val="24"/>
          <w:szCs w:val="24"/>
        </w:rPr>
        <w:t>完毕验收</w:t>
      </w:r>
      <w:r>
        <w:rPr>
          <w:rFonts w:hint="eastAsia" w:ascii="宋体" w:hAnsi="宋体" w:cs="宋体"/>
          <w:b/>
          <w:bCs/>
          <w:color w:val="0000FF"/>
          <w:kern w:val="28"/>
          <w:sz w:val="24"/>
          <w:szCs w:val="24"/>
          <w:lang w:eastAsia="zh-CN"/>
        </w:rPr>
        <w:t>合格</w:t>
      </w:r>
      <w:r>
        <w:rPr>
          <w:rFonts w:hint="eastAsia" w:ascii="宋体" w:hAnsi="宋体" w:cs="宋体"/>
          <w:b/>
          <w:bCs/>
          <w:color w:val="0000FF"/>
          <w:kern w:val="28"/>
          <w:sz w:val="24"/>
          <w:szCs w:val="24"/>
        </w:rPr>
        <w:t>后支付至合同价的</w:t>
      </w:r>
      <w:r>
        <w:rPr>
          <w:rFonts w:hint="eastAsia" w:ascii="宋体" w:hAnsi="宋体" w:cs="宋体"/>
          <w:b/>
          <w:bCs/>
          <w:color w:val="0000FF"/>
          <w:kern w:val="28"/>
          <w:sz w:val="24"/>
          <w:szCs w:val="24"/>
          <w:lang w:val="en-US" w:eastAsia="zh-CN"/>
        </w:rPr>
        <w:t>9</w:t>
      </w:r>
      <w:r>
        <w:rPr>
          <w:rFonts w:hint="eastAsia" w:ascii="宋体" w:hAnsi="宋体" w:cs="宋体"/>
          <w:b/>
          <w:bCs/>
          <w:color w:val="0000FF"/>
          <w:kern w:val="28"/>
          <w:sz w:val="24"/>
          <w:szCs w:val="24"/>
        </w:rPr>
        <w:t>0%，</w:t>
      </w:r>
      <w:r>
        <w:rPr>
          <w:rFonts w:hint="eastAsia" w:ascii="宋体" w:hAnsi="宋体" w:cs="宋体"/>
          <w:b/>
          <w:bCs/>
          <w:color w:val="0000FF"/>
          <w:kern w:val="28"/>
          <w:sz w:val="24"/>
          <w:szCs w:val="24"/>
          <w:lang w:eastAsia="zh-CN"/>
        </w:rPr>
        <w:t>余款一年后无质量问题付清</w:t>
      </w:r>
      <w:r>
        <w:rPr>
          <w:rFonts w:hint="eastAsia" w:ascii="宋体" w:hAnsi="宋体" w:cs="宋体"/>
          <w:b/>
          <w:bCs/>
          <w:color w:val="0000FF"/>
          <w:kern w:val="28"/>
          <w:sz w:val="24"/>
          <w:szCs w:val="24"/>
        </w:rPr>
        <w:t>，不计息。</w:t>
      </w:r>
    </w:p>
    <w:p>
      <w:pPr>
        <w:numPr>
          <w:ilvl w:val="0"/>
          <w:numId w:val="0"/>
        </w:numPr>
        <w:tabs>
          <w:tab w:val="left" w:pos="945"/>
          <w:tab w:val="left" w:pos="1680"/>
        </w:tabs>
        <w:snapToGrid w:val="0"/>
        <w:spacing w:line="360" w:lineRule="auto"/>
        <w:ind w:firstLine="482" w:firstLineChars="200"/>
        <w:jc w:val="left"/>
        <w:outlineLvl w:val="9"/>
        <w:rPr>
          <w:rFonts w:hint="eastAsia" w:ascii="宋体" w:hAnsi="宋体" w:cs="宋体"/>
          <w:b/>
          <w:bCs/>
          <w:kern w:val="28"/>
          <w:sz w:val="24"/>
          <w:szCs w:val="24"/>
          <w:lang w:val="en-US" w:eastAsia="zh-CN"/>
        </w:rPr>
      </w:pPr>
      <w:r>
        <w:rPr>
          <w:rFonts w:hint="eastAsia" w:ascii="宋体" w:hAnsi="宋体" w:cs="宋体"/>
          <w:b/>
          <w:bCs/>
          <w:kern w:val="28"/>
          <w:sz w:val="24"/>
          <w:szCs w:val="24"/>
          <w:lang w:val="en-US" w:eastAsia="zh-CN"/>
        </w:rPr>
        <w:t>5、报价应包含的内容</w:t>
      </w:r>
    </w:p>
    <w:p>
      <w:pPr>
        <w:snapToGrid w:val="0"/>
        <w:spacing w:line="360" w:lineRule="auto"/>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lang w:eastAsia="zh-CN"/>
        </w:rPr>
        <w:t>投标人</w:t>
      </w:r>
      <w:r>
        <w:rPr>
          <w:rFonts w:hint="eastAsia" w:ascii="宋体" w:hAnsi="宋体"/>
          <w:bCs/>
          <w:color w:val="000000"/>
          <w:kern w:val="0"/>
          <w:sz w:val="24"/>
          <w:szCs w:val="24"/>
        </w:rPr>
        <w:t>的报价为完成本项目所有费用的总价，包括但不限于以下内容：</w:t>
      </w:r>
    </w:p>
    <w:p>
      <w:pPr>
        <w:snapToGrid w:val="0"/>
        <w:spacing w:line="360" w:lineRule="auto"/>
        <w:ind w:firstLine="480" w:firstLineChars="200"/>
        <w:jc w:val="left"/>
        <w:rPr>
          <w:rFonts w:hint="eastAsia" w:ascii="宋体" w:hAnsi="宋体" w:cs="宋体"/>
          <w:bCs/>
          <w:sz w:val="24"/>
          <w:szCs w:val="24"/>
        </w:rPr>
      </w:pPr>
      <w:r>
        <w:rPr>
          <w:rFonts w:hint="eastAsia" w:ascii="宋体" w:hAnsi="宋体" w:cs="宋体"/>
          <w:sz w:val="24"/>
          <w:szCs w:val="24"/>
        </w:rPr>
        <w:t>①、</w:t>
      </w:r>
      <w:r>
        <w:rPr>
          <w:rFonts w:hint="eastAsia" w:ascii="宋体" w:hAnsi="宋体"/>
          <w:bCs/>
          <w:sz w:val="24"/>
        </w:rPr>
        <w:t>供应商</w:t>
      </w:r>
      <w:r>
        <w:rPr>
          <w:rFonts w:hint="eastAsia" w:ascii="宋体" w:hAnsi="宋体" w:cs="宋体"/>
          <w:sz w:val="24"/>
          <w:szCs w:val="24"/>
        </w:rPr>
        <w:t>应综合考虑各种因素再报价，</w:t>
      </w:r>
      <w:r>
        <w:rPr>
          <w:rFonts w:hint="eastAsia" w:ascii="宋体" w:hAnsi="宋体"/>
          <w:bCs/>
          <w:sz w:val="24"/>
        </w:rPr>
        <w:t>供应商</w:t>
      </w:r>
      <w:r>
        <w:rPr>
          <w:rFonts w:hint="eastAsia" w:ascii="宋体" w:hAnsi="宋体" w:cs="宋体"/>
          <w:sz w:val="24"/>
          <w:szCs w:val="24"/>
        </w:rPr>
        <w:t>的报价应包含完成本项目工程所有的费用，如人工费、材料（设备）费用、机械费、管理费、利润、风险费</w:t>
      </w:r>
      <w:r>
        <w:rPr>
          <w:rFonts w:hint="eastAsia" w:ascii="宋体" w:hAnsi="宋体" w:cs="宋体"/>
          <w:sz w:val="24"/>
          <w:szCs w:val="24"/>
          <w:lang w:eastAsia="zh-CN"/>
        </w:rPr>
        <w:t>（风险甲乙各自承担）</w:t>
      </w:r>
      <w:r>
        <w:rPr>
          <w:rFonts w:hint="eastAsia" w:ascii="宋体" w:hAnsi="宋体" w:cs="宋体"/>
          <w:sz w:val="24"/>
          <w:szCs w:val="24"/>
        </w:rPr>
        <w:t>、设备安装费用、</w:t>
      </w:r>
      <w:r>
        <w:rPr>
          <w:rFonts w:hint="eastAsia" w:ascii="宋体" w:hAnsi="宋体" w:cs="宋体"/>
          <w:sz w:val="24"/>
          <w:szCs w:val="24"/>
          <w:lang w:eastAsia="zh-CN"/>
        </w:rPr>
        <w:t>措施费、</w:t>
      </w:r>
      <w:r>
        <w:rPr>
          <w:rFonts w:hint="eastAsia" w:ascii="宋体" w:hAnsi="宋体" w:cs="宋体"/>
          <w:sz w:val="24"/>
          <w:szCs w:val="24"/>
        </w:rPr>
        <w:t>税费、代理服务费、运输费、上下车费、损耗费、保险费、检测费、售后质保费用等</w:t>
      </w:r>
      <w:r>
        <w:rPr>
          <w:rFonts w:hint="eastAsia" w:ascii="宋体" w:hAnsi="宋体" w:cs="宋体"/>
          <w:b/>
          <w:bCs/>
          <w:color w:val="0000FF"/>
          <w:sz w:val="24"/>
          <w:szCs w:val="24"/>
        </w:rPr>
        <w:t>预计发生或可能发生的所有费用，一旦确定不得更改</w:t>
      </w:r>
      <w:r>
        <w:rPr>
          <w:rFonts w:hint="eastAsia" w:ascii="宋体" w:hAnsi="宋体" w:cs="宋体"/>
          <w:bCs/>
          <w:sz w:val="24"/>
          <w:szCs w:val="24"/>
        </w:rPr>
        <w:t>；</w:t>
      </w:r>
    </w:p>
    <w:p>
      <w:pPr>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②、</w:t>
      </w:r>
      <w:r>
        <w:rPr>
          <w:rFonts w:hint="eastAsia" w:ascii="宋体" w:hAnsi="宋体" w:cs="宋体"/>
          <w:b/>
          <w:bCs/>
          <w:color w:val="0000FF"/>
          <w:sz w:val="24"/>
          <w:szCs w:val="24"/>
          <w:u w:val="thick"/>
        </w:rPr>
        <w:t>本项目</w:t>
      </w:r>
      <w:r>
        <w:rPr>
          <w:rFonts w:hint="eastAsia" w:ascii="宋体" w:hAnsi="宋体" w:cs="宋体"/>
          <w:b/>
          <w:bCs/>
          <w:color w:val="0000FF"/>
          <w:sz w:val="24"/>
          <w:szCs w:val="24"/>
          <w:u w:val="thick"/>
          <w:lang w:eastAsia="zh-CN"/>
        </w:rPr>
        <w:t>产品</w:t>
      </w:r>
      <w:r>
        <w:rPr>
          <w:rFonts w:hint="eastAsia" w:ascii="宋体" w:hAnsi="宋体" w:cs="宋体"/>
          <w:b/>
          <w:bCs/>
          <w:color w:val="0000FF"/>
          <w:sz w:val="24"/>
          <w:szCs w:val="24"/>
          <w:u w:val="thick"/>
        </w:rPr>
        <w:t>质保期</w:t>
      </w:r>
      <w:r>
        <w:rPr>
          <w:rFonts w:hint="eastAsia" w:ascii="宋体" w:hAnsi="宋体" w:cs="宋体"/>
          <w:b/>
          <w:bCs/>
          <w:color w:val="0000FF"/>
          <w:sz w:val="24"/>
          <w:szCs w:val="24"/>
          <w:u w:val="thick"/>
          <w:lang w:eastAsia="zh-CN"/>
        </w:rPr>
        <w:t>不少于</w:t>
      </w:r>
      <w:r>
        <w:rPr>
          <w:rFonts w:hint="eastAsia" w:ascii="宋体" w:hAnsi="宋体" w:cs="宋体"/>
          <w:b/>
          <w:bCs/>
          <w:color w:val="0000FF"/>
          <w:sz w:val="24"/>
          <w:szCs w:val="24"/>
          <w:u w:val="thick"/>
          <w:lang w:val="en-US" w:eastAsia="zh-CN"/>
        </w:rPr>
        <w:t>1</w:t>
      </w:r>
      <w:r>
        <w:rPr>
          <w:rFonts w:hint="eastAsia" w:ascii="宋体" w:hAnsi="宋体" w:cs="宋体"/>
          <w:b/>
          <w:bCs/>
          <w:color w:val="0000FF"/>
          <w:sz w:val="24"/>
          <w:szCs w:val="24"/>
          <w:u w:val="thick"/>
          <w:lang w:eastAsia="zh-CN"/>
        </w:rPr>
        <w:t>年，未作此项承诺或者时间少于要求的均</w:t>
      </w:r>
      <w:r>
        <w:rPr>
          <w:rFonts w:hint="eastAsia" w:ascii="宋体" w:hAnsi="宋体" w:cs="宋体"/>
          <w:b/>
          <w:bCs/>
          <w:color w:val="0000FF"/>
          <w:sz w:val="24"/>
          <w:szCs w:val="24"/>
          <w:u w:val="thick"/>
        </w:rPr>
        <w:t>作为无效投标处理</w:t>
      </w:r>
      <w:r>
        <w:rPr>
          <w:rFonts w:hint="eastAsia" w:ascii="宋体" w:hAnsi="宋体" w:cs="宋体"/>
          <w:b/>
          <w:bCs/>
          <w:color w:val="0000FF"/>
          <w:sz w:val="24"/>
          <w:szCs w:val="24"/>
        </w:rPr>
        <w:t>，</w:t>
      </w:r>
      <w:r>
        <w:rPr>
          <w:rFonts w:hint="eastAsia" w:ascii="宋体" w:hAnsi="宋体"/>
          <w:bCs/>
          <w:sz w:val="24"/>
        </w:rPr>
        <w:t>供应商</w:t>
      </w:r>
      <w:r>
        <w:rPr>
          <w:rFonts w:hint="eastAsia" w:ascii="宋体" w:hAnsi="宋体" w:cs="宋体"/>
          <w:sz w:val="24"/>
          <w:szCs w:val="24"/>
        </w:rPr>
        <w:t>在投标报价时应充分考虑</w:t>
      </w:r>
      <w:r>
        <w:rPr>
          <w:rFonts w:hint="eastAsia" w:ascii="宋体" w:hAnsi="宋体" w:cs="宋体"/>
          <w:sz w:val="24"/>
          <w:szCs w:val="24"/>
          <w:lang w:eastAsia="zh-CN"/>
        </w:rPr>
        <w:t>其承诺的</w:t>
      </w:r>
      <w:r>
        <w:rPr>
          <w:rFonts w:hint="eastAsia" w:ascii="宋体" w:hAnsi="宋体" w:cs="宋体"/>
          <w:sz w:val="24"/>
          <w:szCs w:val="24"/>
        </w:rPr>
        <w:t>因素后进行报价；</w:t>
      </w:r>
    </w:p>
    <w:p>
      <w:pPr>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③、其他费用，由</w:t>
      </w:r>
      <w:r>
        <w:rPr>
          <w:rFonts w:hint="eastAsia" w:ascii="宋体" w:hAnsi="宋体"/>
          <w:bCs/>
          <w:sz w:val="24"/>
          <w:lang w:eastAsia="zh-CN"/>
        </w:rPr>
        <w:t>投标人</w:t>
      </w:r>
      <w:r>
        <w:rPr>
          <w:rFonts w:hint="eastAsia" w:ascii="宋体" w:hAnsi="宋体" w:cs="宋体"/>
          <w:sz w:val="24"/>
          <w:szCs w:val="24"/>
        </w:rPr>
        <w:t>综合考虑。</w:t>
      </w:r>
    </w:p>
    <w:p>
      <w:pPr>
        <w:numPr>
          <w:ilvl w:val="0"/>
          <w:numId w:val="0"/>
        </w:numPr>
        <w:tabs>
          <w:tab w:val="left" w:pos="945"/>
          <w:tab w:val="left" w:pos="1680"/>
        </w:tabs>
        <w:snapToGrid w:val="0"/>
        <w:spacing w:line="360" w:lineRule="auto"/>
        <w:ind w:firstLine="482" w:firstLineChars="200"/>
        <w:jc w:val="left"/>
        <w:outlineLvl w:val="9"/>
        <w:rPr>
          <w:rFonts w:hint="eastAsia" w:ascii="宋体" w:hAnsi="宋体" w:cs="宋体"/>
          <w:b/>
          <w:bCs/>
          <w:kern w:val="28"/>
          <w:sz w:val="24"/>
          <w:szCs w:val="24"/>
          <w:lang w:val="en-US" w:eastAsia="zh-CN"/>
        </w:rPr>
      </w:pPr>
      <w:bookmarkStart w:id="5" w:name="_Toc18574"/>
      <w:r>
        <w:rPr>
          <w:rFonts w:hint="eastAsia" w:ascii="宋体" w:hAnsi="宋体" w:cs="宋体"/>
          <w:b/>
          <w:bCs/>
          <w:kern w:val="28"/>
          <w:sz w:val="24"/>
          <w:szCs w:val="24"/>
          <w:lang w:val="en-US" w:eastAsia="zh-CN"/>
        </w:rPr>
        <w:t>6、售后服务要求</w:t>
      </w:r>
      <w:bookmarkEnd w:id="5"/>
    </w:p>
    <w:p>
      <w:pPr>
        <w:spacing w:line="360" w:lineRule="auto"/>
        <w:ind w:firstLine="480" w:firstLineChars="200"/>
        <w:jc w:val="left"/>
        <w:rPr>
          <w:rFonts w:hint="eastAsia" w:ascii="宋体" w:hAnsi="宋体" w:cs="宋体"/>
          <w:sz w:val="24"/>
          <w:szCs w:val="24"/>
        </w:rPr>
      </w:pPr>
      <w:r>
        <w:rPr>
          <w:rFonts w:hint="eastAsia" w:ascii="宋体" w:hAnsi="宋体" w:cs="宋体"/>
          <w:kern w:val="0"/>
          <w:sz w:val="24"/>
          <w:lang w:eastAsia="zh-CN"/>
        </w:rPr>
        <w:t>①</w:t>
      </w:r>
      <w:r>
        <w:rPr>
          <w:rFonts w:hint="eastAsia" w:ascii="宋体" w:hAnsi="宋体" w:cs="宋体"/>
          <w:kern w:val="0"/>
          <w:sz w:val="24"/>
          <w:lang w:val="en-US" w:eastAsia="zh-CN"/>
        </w:rPr>
        <w:t xml:space="preserve"> </w:t>
      </w:r>
      <w:r>
        <w:rPr>
          <w:rFonts w:hint="eastAsia" w:ascii="宋体" w:hAnsi="宋体" w:cs="宋体"/>
          <w:kern w:val="0"/>
          <w:sz w:val="24"/>
          <w:lang w:eastAsia="zh-CN"/>
        </w:rPr>
        <w:t>供货时，</w:t>
      </w:r>
      <w:r>
        <w:rPr>
          <w:rFonts w:hint="eastAsia" w:ascii="宋体" w:hAnsi="宋体" w:cs="宋体"/>
          <w:kern w:val="0"/>
          <w:sz w:val="24"/>
        </w:rPr>
        <w:t>提供产品的出厂合格证、检测报告，产品质量须符合现行国家标准；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lang w:eastAsia="zh-CN"/>
        </w:rPr>
        <w:t>②</w:t>
      </w:r>
      <w:r>
        <w:rPr>
          <w:rFonts w:hint="eastAsia" w:ascii="宋体" w:hAnsi="宋体" w:cs="宋体"/>
          <w:kern w:val="0"/>
          <w:sz w:val="24"/>
          <w:lang w:val="en-US" w:eastAsia="zh-CN"/>
        </w:rPr>
        <w:t xml:space="preserve"> </w:t>
      </w:r>
      <w:r>
        <w:rPr>
          <w:rFonts w:hint="eastAsia" w:ascii="宋体" w:hAnsi="宋体" w:cs="宋体"/>
          <w:kern w:val="0"/>
          <w:sz w:val="24"/>
        </w:rPr>
        <w:t>承担产品的备份，以防止吊装、运输及安装过程中的损坏更换；</w:t>
      </w:r>
    </w:p>
    <w:p>
      <w:pPr>
        <w:spacing w:line="360" w:lineRule="auto"/>
        <w:ind w:firstLine="480" w:firstLineChars="200"/>
        <w:jc w:val="left"/>
        <w:rPr>
          <w:rFonts w:hint="eastAsia" w:ascii="宋体" w:hAnsi="宋体" w:cs="宋体"/>
          <w:sz w:val="24"/>
          <w:szCs w:val="24"/>
        </w:rPr>
      </w:pPr>
      <w:r>
        <w:rPr>
          <w:rFonts w:hint="eastAsia" w:ascii="宋体" w:hAnsi="宋体" w:cs="宋体"/>
          <w:kern w:val="0"/>
          <w:sz w:val="24"/>
          <w:lang w:eastAsia="zh-CN"/>
        </w:rPr>
        <w:t>③</w:t>
      </w:r>
      <w:r>
        <w:rPr>
          <w:rFonts w:hint="eastAsia" w:ascii="宋体" w:hAnsi="宋体" w:cs="宋体"/>
          <w:kern w:val="0"/>
          <w:sz w:val="24"/>
          <w:lang w:val="en-US" w:eastAsia="zh-CN"/>
        </w:rPr>
        <w:t xml:space="preserve"> </w:t>
      </w:r>
      <w:r>
        <w:rPr>
          <w:rFonts w:hint="eastAsia" w:ascii="宋体" w:hAnsi="宋体" w:cs="宋体"/>
          <w:sz w:val="24"/>
          <w:szCs w:val="24"/>
        </w:rPr>
        <w:t>售后服务期</w:t>
      </w:r>
      <w:r>
        <w:rPr>
          <w:rFonts w:hint="eastAsia" w:ascii="宋体" w:hAnsi="宋体" w:cs="宋体"/>
          <w:sz w:val="24"/>
          <w:szCs w:val="24"/>
          <w:lang w:eastAsia="zh-CN"/>
        </w:rPr>
        <w:t>（质保期）</w:t>
      </w:r>
      <w:r>
        <w:rPr>
          <w:rFonts w:hint="eastAsia" w:ascii="宋体" w:hAnsi="宋体" w:cs="宋体"/>
          <w:sz w:val="24"/>
          <w:szCs w:val="24"/>
        </w:rPr>
        <w:t>内，提供每周7天，每天24小时的全天候</w:t>
      </w:r>
      <w:r>
        <w:rPr>
          <w:rFonts w:hint="eastAsia" w:ascii="宋体" w:hAnsi="宋体" w:cs="宋体"/>
          <w:sz w:val="24"/>
          <w:szCs w:val="24"/>
          <w:lang w:eastAsia="zh-CN"/>
        </w:rPr>
        <w:t>免费</w:t>
      </w:r>
      <w:r>
        <w:rPr>
          <w:rFonts w:hint="eastAsia" w:ascii="宋体" w:hAnsi="宋体" w:cs="宋体"/>
          <w:sz w:val="24"/>
          <w:szCs w:val="24"/>
        </w:rPr>
        <w:t>售后服务响应，</w:t>
      </w:r>
      <w:r>
        <w:rPr>
          <w:rFonts w:hint="eastAsia" w:ascii="宋体" w:hAnsi="宋体" w:cs="宋体"/>
          <w:sz w:val="24"/>
          <w:szCs w:val="24"/>
          <w:lang w:eastAsia="zh-CN"/>
        </w:rPr>
        <w:t>免费售后上门。</w:t>
      </w:r>
      <w:r>
        <w:rPr>
          <w:rFonts w:hint="eastAsia" w:ascii="宋体" w:hAnsi="宋体" w:cs="宋体"/>
          <w:sz w:val="24"/>
          <w:szCs w:val="24"/>
        </w:rPr>
        <w:t>在接到采购人故障报告后响应时间不超过2小时；36小时内到达现场；72小时内处理完毕；若在72小时内未能处理完毕，供应商须免费提供同档次的设备予采购单位临时使用。</w:t>
      </w:r>
    </w:p>
    <w:p>
      <w:pPr>
        <w:numPr>
          <w:ilvl w:val="0"/>
          <w:numId w:val="0"/>
        </w:numPr>
        <w:tabs>
          <w:tab w:val="left" w:pos="945"/>
          <w:tab w:val="left" w:pos="1680"/>
        </w:tabs>
        <w:snapToGrid w:val="0"/>
        <w:spacing w:line="360" w:lineRule="auto"/>
        <w:ind w:firstLine="482" w:firstLineChars="200"/>
        <w:jc w:val="left"/>
        <w:outlineLvl w:val="9"/>
        <w:rPr>
          <w:rFonts w:hint="eastAsia" w:ascii="宋体" w:hAnsi="宋体" w:cs="宋体"/>
          <w:b/>
          <w:bCs/>
          <w:kern w:val="28"/>
          <w:sz w:val="24"/>
          <w:szCs w:val="24"/>
          <w:lang w:val="en-US" w:eastAsia="zh-CN"/>
        </w:rPr>
      </w:pPr>
      <w:r>
        <w:rPr>
          <w:rFonts w:hint="eastAsia" w:ascii="宋体" w:hAnsi="宋体" w:cs="宋体"/>
          <w:b/>
          <w:bCs/>
          <w:kern w:val="28"/>
          <w:sz w:val="24"/>
          <w:szCs w:val="24"/>
          <w:lang w:val="en-US" w:eastAsia="zh-CN"/>
        </w:rPr>
        <w:t>7、验收要求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本项目完工后，经采购人和有关部门按验收标准组织验收并填写“合格验收单”，并完成货物所有权的移交工作。</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1、质量验收标准：招标文件规定部分，按招标文件规定要求验收，招标文件未规定部分，严格按照国家权威部门质检标准组织验收。</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2、中标人应保证所有货物质量符合技术标准和验收标准。</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3、中标人应选派专业人员到采购单位指定地点，对提供的货物在有关技术人员配合下对所有货物逐个进行查验，并对设备的性能进行实验和验收。验收人员逐个验收后填写验收报告。</w:t>
      </w:r>
    </w:p>
    <w:p>
      <w:pPr>
        <w:spacing w:line="360" w:lineRule="auto"/>
        <w:ind w:firstLine="482" w:firstLineChars="200"/>
        <w:jc w:val="left"/>
        <w:rPr>
          <w:rFonts w:hint="eastAsia" w:ascii="宋体" w:hAnsi="宋体" w:cs="宋体"/>
          <w:b/>
          <w:bCs/>
          <w:color w:val="0000FF"/>
          <w:sz w:val="24"/>
          <w:szCs w:val="24"/>
          <w:u w:val="thick"/>
        </w:rPr>
      </w:pPr>
      <w:r>
        <w:rPr>
          <w:rFonts w:hint="eastAsia" w:ascii="宋体" w:hAnsi="宋体" w:cs="宋体"/>
          <w:b/>
          <w:bCs/>
          <w:color w:val="0000FF"/>
          <w:sz w:val="24"/>
          <w:szCs w:val="24"/>
          <w:u w:val="thick"/>
          <w:lang w:val="en-US" w:eastAsia="zh-CN"/>
        </w:rPr>
        <w:t>4、供应商供货时必须提供所投产品的医疗器械注册证、检验（检测）报告和合格证明，否则不予验收。</w:t>
      </w:r>
    </w:p>
    <w:p>
      <w:pPr>
        <w:spacing w:line="360" w:lineRule="auto"/>
        <w:ind w:firstLine="482" w:firstLineChars="200"/>
        <w:jc w:val="left"/>
        <w:rPr>
          <w:rFonts w:hint="eastAsia" w:ascii="宋体" w:hAnsi="宋体" w:cs="宋体"/>
          <w:sz w:val="24"/>
          <w:szCs w:val="24"/>
          <w:lang w:val="en-US" w:eastAsia="zh-CN"/>
        </w:rPr>
      </w:pPr>
      <w:r>
        <w:rPr>
          <w:rFonts w:hint="eastAsia" w:ascii="宋体" w:hAnsi="宋体" w:cs="宋体"/>
          <w:b/>
          <w:bCs/>
          <w:color w:val="0000FF"/>
          <w:sz w:val="24"/>
          <w:szCs w:val="24"/>
          <w:u w:val="thick"/>
          <w:lang w:val="en-US" w:eastAsia="zh-CN"/>
        </w:rPr>
        <w:t>5</w:t>
      </w:r>
      <w:r>
        <w:rPr>
          <w:rFonts w:hint="eastAsia" w:ascii="宋体" w:hAnsi="宋体" w:cs="宋体"/>
          <w:b/>
          <w:bCs/>
          <w:color w:val="0000FF"/>
          <w:sz w:val="24"/>
          <w:szCs w:val="24"/>
          <w:u w:val="thick"/>
        </w:rPr>
        <w:t>、第一次验收不合格的无条件调换，更换后的如验收仍未通过的，采购人有权取消其中标资格或上报县财政局予以处理，同时履约保证金不予退还</w:t>
      </w:r>
      <w:r>
        <w:rPr>
          <w:rFonts w:hint="eastAsia" w:ascii="宋体" w:hAnsi="宋体" w:cs="宋体"/>
          <w:b/>
          <w:bCs/>
          <w:color w:val="0000FF"/>
          <w:sz w:val="24"/>
          <w:szCs w:val="24"/>
          <w:u w:val="none" w:color="auto"/>
        </w:rPr>
        <w:t>。</w:t>
      </w:r>
    </w:p>
    <w:p>
      <w:pPr>
        <w:snapToGrid w:val="0"/>
        <w:spacing w:before="166" w:beforeLines="50" w:line="360" w:lineRule="auto"/>
        <w:jc w:val="left"/>
        <w:outlineLvl w:val="2"/>
        <w:rPr>
          <w:rFonts w:hint="eastAsia" w:ascii="宋体" w:hAnsi="宋体" w:cs="宋体"/>
          <w:b/>
          <w:sz w:val="24"/>
          <w:szCs w:val="24"/>
        </w:rPr>
      </w:pPr>
      <w:bookmarkStart w:id="6" w:name="_Toc8252"/>
      <w:bookmarkStart w:id="7" w:name="_Toc1019"/>
      <w:r>
        <w:rPr>
          <w:rFonts w:hint="eastAsia" w:ascii="宋体" w:hAnsi="宋体" w:cs="宋体"/>
          <w:b/>
          <w:sz w:val="24"/>
          <w:szCs w:val="24"/>
          <w:lang w:eastAsia="zh-CN"/>
        </w:rPr>
        <w:t>三</w:t>
      </w:r>
      <w:r>
        <w:rPr>
          <w:rFonts w:hint="eastAsia" w:ascii="宋体" w:hAnsi="宋体" w:cs="宋体"/>
          <w:b/>
          <w:sz w:val="24"/>
          <w:szCs w:val="24"/>
        </w:rPr>
        <w:t>、其他事项</w:t>
      </w:r>
      <w:bookmarkEnd w:id="6"/>
      <w:bookmarkEnd w:id="7"/>
    </w:p>
    <w:p>
      <w:pPr>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成交供应商须提供正式发票，该销售发票应是</w:t>
      </w:r>
      <w:r>
        <w:rPr>
          <w:rFonts w:hint="eastAsia" w:ascii="宋体" w:hAnsi="宋体" w:cs="宋体"/>
          <w:color w:val="000000"/>
          <w:kern w:val="0"/>
          <w:sz w:val="24"/>
        </w:rPr>
        <w:t>石台县税务部门</w:t>
      </w:r>
      <w:r>
        <w:rPr>
          <w:rFonts w:hint="eastAsia" w:ascii="宋体" w:hAnsi="宋体" w:cs="宋体"/>
          <w:kern w:val="0"/>
          <w:sz w:val="24"/>
        </w:rPr>
        <w:t>提供的正式发票（具体双方可另行约定）。</w:t>
      </w:r>
    </w:p>
    <w:p>
      <w:pPr>
        <w:snapToGrid w:val="0"/>
        <w:spacing w:line="360" w:lineRule="auto"/>
        <w:ind w:firstLine="480" w:firstLineChars="200"/>
        <w:jc w:val="left"/>
        <w:rPr>
          <w:rFonts w:hint="eastAsia" w:ascii="宋体" w:hAnsi="宋体"/>
          <w:bCs/>
          <w:sz w:val="24"/>
          <w:lang w:eastAsia="zh-CN"/>
        </w:rPr>
      </w:pPr>
      <w:r>
        <w:rPr>
          <w:rFonts w:hint="eastAsia" w:ascii="宋体" w:hAnsi="宋体"/>
          <w:bCs/>
          <w:sz w:val="24"/>
          <w:lang w:eastAsia="zh-CN"/>
        </w:rPr>
        <w:t>供货时，</w:t>
      </w:r>
      <w:r>
        <w:rPr>
          <w:rFonts w:hint="eastAsia" w:ascii="宋体" w:hAnsi="宋体" w:cs="宋体"/>
          <w:bCs/>
          <w:sz w:val="24"/>
          <w:szCs w:val="24"/>
        </w:rPr>
        <w:t>投标</w:t>
      </w:r>
      <w:r>
        <w:rPr>
          <w:rFonts w:hint="eastAsia" w:ascii="宋体" w:hAnsi="宋体" w:cs="宋体"/>
          <w:bCs/>
          <w:sz w:val="24"/>
          <w:szCs w:val="24"/>
          <w:lang w:eastAsia="zh-CN"/>
        </w:rPr>
        <w:t>人</w:t>
      </w:r>
      <w:r>
        <w:rPr>
          <w:rFonts w:hint="eastAsia" w:ascii="宋体" w:hAnsi="宋体" w:cs="宋体"/>
          <w:bCs/>
          <w:sz w:val="24"/>
          <w:szCs w:val="24"/>
        </w:rPr>
        <w:t>提供的产品为全新正品，不得提供假冒伪劣产品或废旧产品，且含所有随货技术资料，提供货物制造厂商的出厂检验报告、合格证书等</w:t>
      </w:r>
      <w:r>
        <w:rPr>
          <w:rFonts w:hint="eastAsia" w:ascii="宋体" w:hAnsi="宋体" w:cs="宋体"/>
          <w:bCs/>
          <w:sz w:val="24"/>
          <w:szCs w:val="24"/>
          <w:lang w:eastAsia="zh-CN"/>
        </w:rPr>
        <w:t>；</w:t>
      </w:r>
      <w:r>
        <w:rPr>
          <w:rFonts w:hint="eastAsia" w:ascii="宋体" w:hAnsi="宋体"/>
          <w:bCs/>
          <w:sz w:val="24"/>
        </w:rPr>
        <w:t>投标的产品必须满足国家相关技术标准、安全标准、环保标准等，必须满足采购人的实际需求</w:t>
      </w:r>
      <w:r>
        <w:rPr>
          <w:rFonts w:hint="eastAsia" w:ascii="宋体" w:hAnsi="宋体"/>
          <w:bCs/>
          <w:sz w:val="24"/>
          <w:lang w:eastAsia="zh-CN"/>
        </w:rPr>
        <w:t>，</w:t>
      </w:r>
      <w:r>
        <w:rPr>
          <w:rFonts w:hint="eastAsia" w:ascii="宋体" w:hAnsi="宋体"/>
          <w:bCs/>
          <w:sz w:val="24"/>
        </w:rPr>
        <w:t>否则采购单位除取消中标资格外，还将其列入不诚信供应商名单，同时有权取消合同并且不承担中标人的任何损失</w:t>
      </w:r>
      <w:r>
        <w:rPr>
          <w:rFonts w:hint="eastAsia" w:ascii="宋体" w:hAnsi="宋体"/>
          <w:bCs/>
          <w:sz w:val="24"/>
          <w:lang w:eastAsia="zh-CN"/>
        </w:rPr>
        <w:t>。</w:t>
      </w: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p>
      <w:pPr>
        <w:pStyle w:val="5"/>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360" w:lineRule="auto"/>
        <w:ind w:right="0" w:firstLine="480" w:firstLineChars="200"/>
        <w:jc w:val="left"/>
        <w:textAlignment w:val="auto"/>
        <w:rPr>
          <w:rFonts w:hint="eastAsia" w:eastAsia="宋体" w:cs="宋体"/>
          <w:sz w:val="24"/>
          <w:szCs w:val="24"/>
          <w:lang w:eastAsia="zh-CN"/>
        </w:rPr>
      </w:pPr>
    </w:p>
    <w:bookmarkEnd w:id="1"/>
    <w:p>
      <w:pPr>
        <w:pStyle w:val="3"/>
        <w:spacing w:before="106" w:beforeLines="32" w:after="166" w:afterLines="50" w:line="560" w:lineRule="exact"/>
        <w:jc w:val="center"/>
        <w:rPr>
          <w:rFonts w:hint="eastAsia" w:ascii="宋体" w:hAnsi="宋体" w:eastAsia="宋体" w:cs="宋体"/>
          <w:sz w:val="28"/>
          <w:szCs w:val="28"/>
        </w:rPr>
      </w:pPr>
      <w:bookmarkStart w:id="8" w:name="_Toc445196815"/>
      <w:bookmarkStart w:id="9" w:name="_Toc29231"/>
      <w:bookmarkStart w:id="10" w:name="_Toc4410"/>
      <w:bookmarkStart w:id="11" w:name="_Toc21336"/>
      <w:bookmarkStart w:id="12" w:name="_Toc3189"/>
      <w:bookmarkStart w:id="13" w:name="_Toc2440"/>
      <w:bookmarkStart w:id="14" w:name="_Toc1844"/>
      <w:bookmarkStart w:id="15" w:name="_Toc6246"/>
      <w:bookmarkStart w:id="16" w:name="_Toc18127"/>
      <w:bookmarkStart w:id="17" w:name="_Toc19504"/>
      <w:bookmarkStart w:id="18" w:name="_Toc340762191"/>
      <w:bookmarkStart w:id="19" w:name="_Toc12953"/>
      <w:bookmarkStart w:id="20" w:name="_Toc5572"/>
      <w:bookmarkStart w:id="21" w:name="_Toc17656"/>
      <w:bookmarkStart w:id="22" w:name="_Hlk450145997"/>
      <w:bookmarkStart w:id="23" w:name="_Toc272141471"/>
      <w:r>
        <w:rPr>
          <w:rFonts w:hint="eastAsia" w:ascii="宋体" w:hAnsi="宋体" w:eastAsia="宋体" w:cs="宋体"/>
          <w:sz w:val="28"/>
          <w:szCs w:val="28"/>
        </w:rPr>
        <w:t>第四章、</w:t>
      </w:r>
      <w:bookmarkEnd w:id="8"/>
      <w:bookmarkEnd w:id="9"/>
      <w:bookmarkEnd w:id="10"/>
      <w:r>
        <w:rPr>
          <w:rFonts w:hint="eastAsia" w:ascii="宋体" w:hAnsi="宋体" w:eastAsia="宋体" w:cs="宋体"/>
          <w:sz w:val="28"/>
          <w:szCs w:val="28"/>
        </w:rPr>
        <w:t>评标办法</w:t>
      </w:r>
      <w:bookmarkEnd w:id="11"/>
      <w:bookmarkEnd w:id="12"/>
      <w:bookmarkEnd w:id="13"/>
      <w:bookmarkEnd w:id="14"/>
      <w:bookmarkEnd w:id="15"/>
      <w:bookmarkEnd w:id="16"/>
      <w:bookmarkEnd w:id="17"/>
    </w:p>
    <w:p>
      <w:pPr>
        <w:spacing w:line="360" w:lineRule="auto"/>
        <w:ind w:firstLine="480" w:firstLineChars="200"/>
        <w:jc w:val="left"/>
        <w:rPr>
          <w:rFonts w:hint="eastAsia" w:ascii="宋体" w:hAnsi="宋体" w:cs="宋体"/>
          <w:sz w:val="24"/>
        </w:rPr>
      </w:pPr>
      <w:r>
        <w:rPr>
          <w:rFonts w:hint="eastAsia" w:ascii="宋体" w:hAnsi="宋体" w:cs="宋体"/>
          <w:sz w:val="24"/>
        </w:rPr>
        <w:t>评标工作按照公平、公正、科学、择优、严格保密的原则进行。本项目所有包段适用于以下评标办法。评委会按先初审、后复审的程序对投标文件进行评审，初审按照投标人须知等条款评审，初审通过的则进入复审。</w:t>
      </w:r>
    </w:p>
    <w:p>
      <w:pPr>
        <w:spacing w:line="360" w:lineRule="auto"/>
        <w:ind w:firstLine="480" w:firstLineChars="200"/>
        <w:jc w:val="left"/>
        <w:rPr>
          <w:rFonts w:hint="eastAsia" w:ascii="宋体" w:hAnsi="宋体" w:cs="宋体"/>
          <w:sz w:val="24"/>
        </w:rPr>
      </w:pPr>
      <w:r>
        <w:rPr>
          <w:rFonts w:hint="eastAsia" w:ascii="宋体" w:hAnsi="宋体" w:cs="宋体"/>
          <w:sz w:val="24"/>
        </w:rPr>
        <w:t>在任何评标环节中，需评标委员会就某项定性的评审结论做出表决的，由评标委员会全体成员按照少数服从多数的原则，以记名投票方式表决。持不同意见的评标委员会成员应当在评标报告上签署不同意见及理由，否则视为同意评标报告。</w:t>
      </w:r>
    </w:p>
    <w:p>
      <w:pPr>
        <w:spacing w:line="360" w:lineRule="auto"/>
        <w:ind w:firstLine="482" w:firstLineChars="200"/>
        <w:jc w:val="left"/>
        <w:outlineLvl w:val="2"/>
        <w:rPr>
          <w:rFonts w:hint="eastAsia" w:ascii="宋体" w:hAnsi="宋体" w:cs="宋体"/>
          <w:b/>
          <w:bCs/>
          <w:sz w:val="24"/>
          <w:szCs w:val="24"/>
        </w:rPr>
      </w:pPr>
      <w:bookmarkStart w:id="24" w:name="_Toc24667"/>
      <w:bookmarkStart w:id="25" w:name="_Toc30045"/>
      <w:bookmarkStart w:id="26" w:name="_Toc26290"/>
      <w:bookmarkStart w:id="27" w:name="_Toc10381"/>
      <w:bookmarkStart w:id="28" w:name="_Toc24107"/>
      <w:bookmarkStart w:id="29" w:name="_Toc19737"/>
      <w:bookmarkStart w:id="30" w:name="_Toc27685"/>
      <w:r>
        <w:rPr>
          <w:rFonts w:hint="eastAsia" w:ascii="宋体" w:hAnsi="宋体" w:cs="宋体"/>
          <w:b/>
          <w:bCs/>
          <w:sz w:val="24"/>
          <w:szCs w:val="24"/>
        </w:rPr>
        <w:t>一、初审</w:t>
      </w:r>
      <w:bookmarkEnd w:id="24"/>
      <w:bookmarkEnd w:id="25"/>
      <w:bookmarkEnd w:id="26"/>
      <w:bookmarkEnd w:id="27"/>
      <w:bookmarkEnd w:id="28"/>
      <w:bookmarkEnd w:id="29"/>
      <w:bookmarkEnd w:id="30"/>
    </w:p>
    <w:p>
      <w:pPr>
        <w:pStyle w:val="8"/>
        <w:ind w:firstLine="480"/>
        <w:rPr>
          <w:rFonts w:hint="eastAsia" w:cs="宋体"/>
          <w:kern w:val="0"/>
        </w:rPr>
      </w:pPr>
      <w:r>
        <w:rPr>
          <w:rFonts w:hint="eastAsia" w:cs="宋体"/>
          <w:kern w:val="0"/>
        </w:rPr>
        <w:t>依据法律法规和招标文件的规定，在初审环节，由评委会对投标人的投标文件进行资格性检查和符合性检查，如果投标人的投标文件有不符合下列初审表情况之一的，将否决其投标。</w:t>
      </w:r>
    </w:p>
    <w:p>
      <w:pPr>
        <w:pStyle w:val="8"/>
        <w:ind w:firstLine="480"/>
        <w:rPr>
          <w:rFonts w:hint="eastAsia" w:cs="宋体"/>
          <w:kern w:val="0"/>
        </w:rPr>
      </w:pPr>
      <w:r>
        <w:rPr>
          <w:rFonts w:hint="eastAsia" w:cs="宋体"/>
          <w:kern w:val="0"/>
        </w:rPr>
        <w:t>注意：下表所列内容均是从招标文件中提取出来，如与招标文件其他内容相冲突，以招标文件其他内容为准。</w:t>
      </w:r>
    </w:p>
    <w:p>
      <w:pPr>
        <w:pStyle w:val="8"/>
        <w:spacing w:after="166" w:afterLines="50"/>
        <w:ind w:firstLine="0" w:firstLineChars="0"/>
        <w:jc w:val="center"/>
        <w:rPr>
          <w:rFonts w:hint="eastAsia" w:cs="宋体"/>
          <w:b/>
        </w:rPr>
      </w:pPr>
      <w:r>
        <w:rPr>
          <w:rFonts w:hint="eastAsia" w:cs="宋体"/>
          <w:b/>
        </w:rPr>
        <w:t>初审表（注：本表不需要投标人填写）</w:t>
      </w:r>
    </w:p>
    <w:tbl>
      <w:tblPr>
        <w:tblStyle w:val="7"/>
        <w:tblW w:w="10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835"/>
        <w:gridCol w:w="1756"/>
        <w:gridCol w:w="914"/>
        <w:gridCol w:w="938"/>
        <w:gridCol w:w="82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ascii="宋体" w:hAnsi="宋体" w:cs="宋体"/>
                <w:b/>
                <w:bCs/>
                <w:color w:val="auto"/>
                <w:kern w:val="0"/>
                <w:sz w:val="24"/>
                <w:szCs w:val="24"/>
              </w:rPr>
            </w:pPr>
            <w:r>
              <w:rPr>
                <w:rFonts w:hint="eastAsia" w:ascii="宋体" w:hAnsi="宋体" w:cs="宋体"/>
                <w:b/>
                <w:bCs/>
                <w:color w:val="auto"/>
                <w:kern w:val="0"/>
                <w:sz w:val="24"/>
                <w:szCs w:val="24"/>
              </w:rPr>
              <w:t>序号</w:t>
            </w:r>
          </w:p>
        </w:tc>
        <w:tc>
          <w:tcPr>
            <w:tcW w:w="2835" w:type="dxa"/>
            <w:noWrap w:val="0"/>
            <w:vAlign w:val="center"/>
          </w:tcPr>
          <w:p>
            <w:pPr>
              <w:jc w:val="center"/>
              <w:rPr>
                <w:rFonts w:ascii="宋体" w:hAnsi="宋体" w:cs="宋体"/>
                <w:b/>
                <w:bCs/>
                <w:kern w:val="0"/>
                <w:sz w:val="24"/>
                <w:szCs w:val="24"/>
              </w:rPr>
            </w:pPr>
            <w:r>
              <w:rPr>
                <w:rFonts w:hint="eastAsia" w:ascii="宋体" w:hAnsi="宋体" w:cs="宋体"/>
                <w:b/>
                <w:bCs/>
                <w:kern w:val="0"/>
                <w:sz w:val="24"/>
                <w:szCs w:val="24"/>
              </w:rPr>
              <w:t>检查内容</w:t>
            </w:r>
          </w:p>
        </w:tc>
        <w:tc>
          <w:tcPr>
            <w:tcW w:w="1756" w:type="dxa"/>
            <w:noWrap w:val="0"/>
            <w:vAlign w:val="center"/>
          </w:tcPr>
          <w:p>
            <w:pPr>
              <w:jc w:val="center"/>
              <w:rPr>
                <w:rFonts w:ascii="宋体" w:hAnsi="宋体" w:cs="宋体"/>
                <w:b/>
                <w:bCs/>
                <w:kern w:val="0"/>
                <w:sz w:val="24"/>
                <w:szCs w:val="24"/>
              </w:rPr>
            </w:pPr>
            <w:r>
              <w:rPr>
                <w:rFonts w:hint="eastAsia" w:ascii="宋体" w:hAnsi="宋体" w:cs="宋体"/>
                <w:b/>
                <w:bCs/>
                <w:kern w:val="0"/>
                <w:sz w:val="24"/>
                <w:szCs w:val="24"/>
              </w:rPr>
              <w:t>招标文件要求</w:t>
            </w:r>
          </w:p>
        </w:tc>
        <w:tc>
          <w:tcPr>
            <w:tcW w:w="914" w:type="dxa"/>
            <w:noWrap w:val="0"/>
            <w:vAlign w:val="center"/>
          </w:tcPr>
          <w:p>
            <w:pPr>
              <w:jc w:val="center"/>
              <w:rPr>
                <w:rFonts w:ascii="宋体" w:hAnsi="宋体" w:cs="宋体"/>
                <w:b/>
                <w:bCs/>
                <w:kern w:val="0"/>
                <w:sz w:val="24"/>
                <w:szCs w:val="24"/>
              </w:rPr>
            </w:pPr>
            <w:r>
              <w:rPr>
                <w:rFonts w:hint="eastAsia" w:ascii="宋体" w:hAnsi="宋体" w:cs="宋体"/>
                <w:b/>
                <w:bCs/>
                <w:kern w:val="0"/>
                <w:sz w:val="24"/>
                <w:szCs w:val="24"/>
              </w:rPr>
              <w:t>A投标人</w:t>
            </w:r>
          </w:p>
        </w:tc>
        <w:tc>
          <w:tcPr>
            <w:tcW w:w="938" w:type="dxa"/>
            <w:noWrap w:val="0"/>
            <w:vAlign w:val="center"/>
          </w:tcPr>
          <w:p>
            <w:pPr>
              <w:jc w:val="center"/>
              <w:rPr>
                <w:rFonts w:ascii="宋体" w:hAnsi="宋体" w:cs="宋体"/>
                <w:b/>
                <w:bCs/>
                <w:kern w:val="0"/>
                <w:sz w:val="24"/>
                <w:szCs w:val="24"/>
              </w:rPr>
            </w:pPr>
            <w:r>
              <w:rPr>
                <w:rFonts w:hint="eastAsia" w:ascii="宋体" w:hAnsi="宋体" w:cs="宋体"/>
                <w:b/>
                <w:bCs/>
                <w:kern w:val="0"/>
                <w:sz w:val="24"/>
                <w:szCs w:val="24"/>
              </w:rPr>
              <w:t>B 投标人</w:t>
            </w:r>
          </w:p>
        </w:tc>
        <w:tc>
          <w:tcPr>
            <w:tcW w:w="825" w:type="dxa"/>
            <w:noWrap w:val="0"/>
            <w:vAlign w:val="center"/>
          </w:tcPr>
          <w:p>
            <w:pPr>
              <w:jc w:val="center"/>
              <w:rPr>
                <w:rFonts w:ascii="宋体" w:hAnsi="宋体" w:cs="宋体"/>
                <w:b/>
                <w:bCs/>
                <w:kern w:val="0"/>
                <w:sz w:val="24"/>
                <w:szCs w:val="24"/>
              </w:rPr>
            </w:pPr>
            <w:r>
              <w:rPr>
                <w:rFonts w:hint="eastAsia" w:ascii="宋体" w:hAnsi="宋体" w:cs="宋体"/>
                <w:b/>
                <w:bCs/>
                <w:kern w:val="0"/>
                <w:sz w:val="24"/>
                <w:szCs w:val="24"/>
              </w:rPr>
              <w:t>C投标人</w:t>
            </w:r>
          </w:p>
        </w:tc>
        <w:tc>
          <w:tcPr>
            <w:tcW w:w="2400" w:type="dxa"/>
            <w:noWrap w:val="0"/>
            <w:vAlign w:val="center"/>
          </w:tcPr>
          <w:p>
            <w:pPr>
              <w:jc w:val="center"/>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283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营业执照</w:t>
            </w:r>
          </w:p>
        </w:tc>
        <w:tc>
          <w:tcPr>
            <w:tcW w:w="1756" w:type="dxa"/>
            <w:vMerge w:val="restart"/>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具体见招标公告中投标人资格条件（以招标公告内容为准）</w:t>
            </w:r>
          </w:p>
        </w:tc>
        <w:tc>
          <w:tcPr>
            <w:tcW w:w="914" w:type="dxa"/>
            <w:noWrap w:val="0"/>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938" w:type="dxa"/>
            <w:noWrap w:val="0"/>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825" w:type="dxa"/>
            <w:noWrap w:val="0"/>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2400" w:type="dxa"/>
            <w:noWrap w:val="0"/>
            <w:vAlign w:val="center"/>
          </w:tcPr>
          <w:p>
            <w:pPr>
              <w:jc w:val="left"/>
              <w:rPr>
                <w:rFonts w:hint="eastAsia" w:ascii="宋体" w:hAnsi="宋体" w:cs="宋体"/>
                <w:kern w:val="0"/>
                <w:sz w:val="22"/>
                <w:szCs w:val="22"/>
              </w:rPr>
            </w:pPr>
            <w:r>
              <w:rPr>
                <w:rFonts w:hint="eastAsia" w:ascii="宋体" w:hAnsi="宋体" w:cs="宋体"/>
                <w:b/>
                <w:kern w:val="0"/>
                <w:sz w:val="22"/>
                <w:szCs w:val="22"/>
              </w:rPr>
              <w:t xml:space="preserve"> 须对照资格条件逐项审查资格原件响应情况。</w:t>
            </w:r>
            <w:r>
              <w:rPr>
                <w:rFonts w:hint="eastAsia" w:ascii="宋体" w:hAnsi="宋体" w:cs="宋体"/>
                <w:b/>
                <w:color w:val="0000FF"/>
                <w:kern w:val="0"/>
                <w:sz w:val="22"/>
                <w:szCs w:val="22"/>
              </w:rPr>
              <w:t>开标时未能提供有效资格原件的，初审不予通过</w:t>
            </w:r>
            <w:r>
              <w:rPr>
                <w:rFonts w:hint="eastAsia" w:ascii="宋体" w:hAnsi="宋体" w:cs="宋体"/>
                <w:b/>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2</w:t>
            </w:r>
          </w:p>
        </w:tc>
        <w:tc>
          <w:tcPr>
            <w:tcW w:w="283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信用中国网站、裁判文书网网截图</w:t>
            </w:r>
          </w:p>
        </w:tc>
        <w:tc>
          <w:tcPr>
            <w:tcW w:w="1756" w:type="dxa"/>
            <w:vMerge w:val="continue"/>
            <w:noWrap w:val="0"/>
            <w:vAlign w:val="center"/>
          </w:tcPr>
          <w:p>
            <w:pPr>
              <w:jc w:val="center"/>
              <w:rPr>
                <w:rFonts w:hint="eastAsia" w:ascii="宋体" w:hAnsi="宋体" w:cs="宋体"/>
                <w:kern w:val="0"/>
                <w:sz w:val="22"/>
                <w:szCs w:val="22"/>
              </w:rPr>
            </w:pPr>
          </w:p>
        </w:tc>
        <w:tc>
          <w:tcPr>
            <w:tcW w:w="914" w:type="dxa"/>
            <w:noWrap w:val="0"/>
            <w:vAlign w:val="center"/>
          </w:tcPr>
          <w:p>
            <w:pPr>
              <w:jc w:val="left"/>
              <w:rPr>
                <w:rFonts w:hint="eastAsia" w:ascii="宋体" w:hAnsi="宋体" w:cs="宋体"/>
                <w:b/>
                <w:bCs/>
                <w:kern w:val="0"/>
                <w:sz w:val="22"/>
                <w:szCs w:val="22"/>
              </w:rPr>
            </w:pPr>
          </w:p>
        </w:tc>
        <w:tc>
          <w:tcPr>
            <w:tcW w:w="938" w:type="dxa"/>
            <w:noWrap w:val="0"/>
            <w:vAlign w:val="center"/>
          </w:tcPr>
          <w:p>
            <w:pPr>
              <w:jc w:val="left"/>
              <w:rPr>
                <w:rFonts w:hint="eastAsia" w:ascii="宋体" w:hAnsi="宋体" w:cs="宋体"/>
                <w:b/>
                <w:bCs/>
                <w:kern w:val="0"/>
                <w:sz w:val="22"/>
                <w:szCs w:val="22"/>
              </w:rPr>
            </w:pPr>
          </w:p>
        </w:tc>
        <w:tc>
          <w:tcPr>
            <w:tcW w:w="825" w:type="dxa"/>
            <w:noWrap w:val="0"/>
            <w:vAlign w:val="center"/>
          </w:tcPr>
          <w:p>
            <w:pPr>
              <w:jc w:val="left"/>
              <w:rPr>
                <w:rFonts w:hint="eastAsia" w:ascii="宋体" w:hAnsi="宋体" w:cs="宋体"/>
                <w:b/>
                <w:bCs/>
                <w:kern w:val="0"/>
                <w:sz w:val="22"/>
                <w:szCs w:val="22"/>
              </w:rPr>
            </w:pPr>
          </w:p>
        </w:tc>
        <w:tc>
          <w:tcPr>
            <w:tcW w:w="2400" w:type="dxa"/>
            <w:noWrap w:val="0"/>
            <w:vAlign w:val="center"/>
          </w:tcPr>
          <w:p>
            <w:pPr>
              <w:widowControl/>
              <w:jc w:val="left"/>
              <w:rPr>
                <w:rFonts w:hint="eastAsia" w:ascii="宋体" w:hAnsi="宋体" w:cs="宋体"/>
                <w:kern w:val="0"/>
                <w:sz w:val="22"/>
                <w:szCs w:val="22"/>
              </w:rPr>
            </w:pPr>
            <w:r>
              <w:rPr>
                <w:rFonts w:hint="eastAsia" w:ascii="宋体" w:hAnsi="宋体" w:cs="宋体"/>
                <w:b/>
                <w:bCs/>
                <w:color w:val="0000FF"/>
                <w:kern w:val="0"/>
                <w:sz w:val="22"/>
                <w:szCs w:val="22"/>
              </w:rPr>
              <w:t>提供相关网站证明截图（加盖单位公章）装订在投标文件中，或评委网上核查。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w:t>
            </w:r>
          </w:p>
        </w:tc>
        <w:tc>
          <w:tcPr>
            <w:tcW w:w="2835" w:type="dxa"/>
            <w:noWrap w:val="0"/>
            <w:vAlign w:val="center"/>
          </w:tcPr>
          <w:p>
            <w:pPr>
              <w:jc w:val="center"/>
              <w:rPr>
                <w:rFonts w:hint="eastAsia" w:ascii="宋体" w:hAnsi="宋体" w:eastAsia="宋体" w:cs="宋体"/>
                <w:kern w:val="0"/>
                <w:sz w:val="22"/>
                <w:szCs w:val="22"/>
                <w:lang w:eastAsia="zh-CN"/>
              </w:rPr>
            </w:pPr>
            <w:r>
              <w:rPr>
                <w:rFonts w:hint="eastAsia" w:ascii="宋体" w:hAnsi="宋体" w:cs="宋体"/>
                <w:kern w:val="0"/>
                <w:sz w:val="22"/>
                <w:szCs w:val="22"/>
                <w:lang w:eastAsia="zh-CN"/>
              </w:rPr>
              <w:t>资质证书</w:t>
            </w:r>
          </w:p>
        </w:tc>
        <w:tc>
          <w:tcPr>
            <w:tcW w:w="1756" w:type="dxa"/>
            <w:vMerge w:val="continue"/>
            <w:noWrap w:val="0"/>
            <w:vAlign w:val="center"/>
          </w:tcPr>
          <w:p>
            <w:pPr>
              <w:jc w:val="center"/>
              <w:rPr>
                <w:rFonts w:hint="eastAsia" w:ascii="宋体" w:hAnsi="宋体" w:cs="宋体"/>
                <w:kern w:val="0"/>
                <w:sz w:val="22"/>
                <w:szCs w:val="22"/>
              </w:rPr>
            </w:pPr>
          </w:p>
        </w:tc>
        <w:tc>
          <w:tcPr>
            <w:tcW w:w="914" w:type="dxa"/>
            <w:noWrap w:val="0"/>
            <w:vAlign w:val="center"/>
          </w:tcPr>
          <w:p>
            <w:pPr>
              <w:jc w:val="left"/>
              <w:rPr>
                <w:rFonts w:hint="eastAsia" w:ascii="宋体" w:hAnsi="宋体" w:cs="宋体"/>
                <w:b/>
                <w:bCs/>
                <w:kern w:val="0"/>
                <w:sz w:val="22"/>
                <w:szCs w:val="22"/>
              </w:rPr>
            </w:pPr>
          </w:p>
        </w:tc>
        <w:tc>
          <w:tcPr>
            <w:tcW w:w="938" w:type="dxa"/>
            <w:noWrap w:val="0"/>
            <w:vAlign w:val="center"/>
          </w:tcPr>
          <w:p>
            <w:pPr>
              <w:jc w:val="left"/>
              <w:rPr>
                <w:rFonts w:hint="eastAsia" w:ascii="宋体" w:hAnsi="宋体" w:cs="宋体"/>
                <w:b/>
                <w:bCs/>
                <w:kern w:val="0"/>
                <w:sz w:val="22"/>
                <w:szCs w:val="22"/>
              </w:rPr>
            </w:pPr>
          </w:p>
        </w:tc>
        <w:tc>
          <w:tcPr>
            <w:tcW w:w="825" w:type="dxa"/>
            <w:noWrap w:val="0"/>
            <w:vAlign w:val="center"/>
          </w:tcPr>
          <w:p>
            <w:pPr>
              <w:jc w:val="left"/>
              <w:rPr>
                <w:rFonts w:hint="eastAsia" w:ascii="宋体" w:hAnsi="宋体" w:cs="宋体"/>
                <w:b/>
                <w:bCs/>
                <w:kern w:val="0"/>
                <w:sz w:val="22"/>
                <w:szCs w:val="22"/>
              </w:rPr>
            </w:pPr>
          </w:p>
        </w:tc>
        <w:tc>
          <w:tcPr>
            <w:tcW w:w="2400" w:type="dxa"/>
            <w:noWrap w:val="0"/>
            <w:vAlign w:val="center"/>
          </w:tcPr>
          <w:p>
            <w:pPr>
              <w:widowControl/>
              <w:jc w:val="left"/>
              <w:rPr>
                <w:rFonts w:hint="eastAsia" w:ascii="宋体" w:hAnsi="宋体" w:eastAsia="宋体" w:cs="宋体"/>
                <w:b/>
                <w:bCs/>
                <w:color w:val="0000FF"/>
                <w:kern w:val="0"/>
                <w:sz w:val="22"/>
                <w:szCs w:val="22"/>
                <w:lang w:eastAsia="zh-CN"/>
              </w:rPr>
            </w:pPr>
            <w:r>
              <w:rPr>
                <w:rFonts w:hint="eastAsia" w:ascii="宋体" w:hAnsi="宋体" w:cs="宋体"/>
                <w:b/>
                <w:bCs/>
                <w:color w:val="0000FF"/>
                <w:kern w:val="0"/>
                <w:sz w:val="22"/>
                <w:szCs w:val="22"/>
                <w:lang w:eastAsia="zh-CN"/>
              </w:rPr>
              <w:t>复印件装订在投标文件中，原件核查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2835" w:type="dxa"/>
            <w:noWrap w:val="0"/>
            <w:vAlign w:val="center"/>
          </w:tcPr>
          <w:p>
            <w:pPr>
              <w:jc w:val="center"/>
              <w:rPr>
                <w:rFonts w:ascii="宋体" w:hAnsi="宋体" w:cs="宋体"/>
                <w:kern w:val="0"/>
                <w:sz w:val="22"/>
                <w:szCs w:val="22"/>
              </w:rPr>
            </w:pPr>
            <w:r>
              <w:rPr>
                <w:rFonts w:hint="eastAsia" w:ascii="宋体" w:hAnsi="宋体" w:cs="宋体"/>
                <w:kern w:val="0"/>
                <w:sz w:val="22"/>
                <w:szCs w:val="22"/>
              </w:rPr>
              <w:t>投标保证金交纳符合要求</w:t>
            </w:r>
          </w:p>
        </w:tc>
        <w:tc>
          <w:tcPr>
            <w:tcW w:w="1756" w:type="dxa"/>
            <w:vMerge w:val="restart"/>
            <w:noWrap w:val="0"/>
            <w:vAlign w:val="center"/>
          </w:tcPr>
          <w:p>
            <w:pPr>
              <w:jc w:val="center"/>
              <w:rPr>
                <w:rFonts w:ascii="宋体" w:hAnsi="宋体" w:cs="宋体"/>
                <w:kern w:val="0"/>
                <w:sz w:val="22"/>
                <w:szCs w:val="22"/>
              </w:rPr>
            </w:pPr>
            <w:r>
              <w:rPr>
                <w:rFonts w:hint="eastAsia" w:ascii="宋体" w:hAnsi="宋体" w:cs="宋体"/>
                <w:kern w:val="0"/>
                <w:sz w:val="22"/>
                <w:szCs w:val="22"/>
              </w:rPr>
              <w:t>见投标人须知前附表及相关部分表述</w:t>
            </w:r>
          </w:p>
        </w:tc>
        <w:tc>
          <w:tcPr>
            <w:tcW w:w="914" w:type="dxa"/>
            <w:noWrap w:val="0"/>
            <w:vAlign w:val="center"/>
          </w:tcPr>
          <w:p>
            <w:pPr>
              <w:jc w:val="left"/>
              <w:rPr>
                <w:rFonts w:ascii="宋体" w:hAnsi="宋体" w:cs="宋体"/>
                <w:b/>
                <w:bCs/>
                <w:kern w:val="0"/>
                <w:sz w:val="22"/>
                <w:szCs w:val="22"/>
              </w:rPr>
            </w:pPr>
            <w:r>
              <w:rPr>
                <w:rFonts w:hint="eastAsia" w:ascii="宋体" w:hAnsi="宋体" w:cs="宋体"/>
                <w:b/>
                <w:bCs/>
                <w:kern w:val="0"/>
                <w:sz w:val="22"/>
                <w:szCs w:val="22"/>
              </w:rPr>
              <w:t>　</w:t>
            </w:r>
          </w:p>
        </w:tc>
        <w:tc>
          <w:tcPr>
            <w:tcW w:w="938" w:type="dxa"/>
            <w:noWrap w:val="0"/>
            <w:vAlign w:val="center"/>
          </w:tcPr>
          <w:p>
            <w:pPr>
              <w:jc w:val="left"/>
              <w:rPr>
                <w:rFonts w:ascii="宋体" w:hAnsi="宋体" w:cs="宋体"/>
                <w:b/>
                <w:bCs/>
                <w:kern w:val="0"/>
                <w:sz w:val="22"/>
                <w:szCs w:val="22"/>
              </w:rPr>
            </w:pPr>
            <w:r>
              <w:rPr>
                <w:rFonts w:hint="eastAsia" w:ascii="宋体" w:hAnsi="宋体" w:cs="宋体"/>
                <w:b/>
                <w:bCs/>
                <w:kern w:val="0"/>
                <w:sz w:val="22"/>
                <w:szCs w:val="22"/>
              </w:rPr>
              <w:t>　</w:t>
            </w:r>
          </w:p>
        </w:tc>
        <w:tc>
          <w:tcPr>
            <w:tcW w:w="825" w:type="dxa"/>
            <w:noWrap w:val="0"/>
            <w:vAlign w:val="center"/>
          </w:tcPr>
          <w:p>
            <w:pPr>
              <w:jc w:val="left"/>
              <w:rPr>
                <w:rFonts w:ascii="宋体" w:hAnsi="宋体" w:cs="宋体"/>
                <w:b/>
                <w:bCs/>
                <w:kern w:val="0"/>
                <w:sz w:val="22"/>
                <w:szCs w:val="22"/>
              </w:rPr>
            </w:pPr>
            <w:r>
              <w:rPr>
                <w:rFonts w:hint="eastAsia" w:ascii="宋体" w:hAnsi="宋体" w:cs="宋体"/>
                <w:b/>
                <w:bCs/>
                <w:kern w:val="0"/>
                <w:sz w:val="22"/>
                <w:szCs w:val="22"/>
              </w:rPr>
              <w:t>　</w:t>
            </w:r>
          </w:p>
        </w:tc>
        <w:tc>
          <w:tcPr>
            <w:tcW w:w="2400" w:type="dxa"/>
            <w:noWrap w:val="0"/>
            <w:vAlign w:val="center"/>
          </w:tcPr>
          <w:p>
            <w:pPr>
              <w:jc w:val="left"/>
              <w:rPr>
                <w:rFonts w:ascii="宋体" w:hAnsi="宋体" w:cs="宋体"/>
                <w:kern w:val="0"/>
                <w:sz w:val="22"/>
                <w:szCs w:val="22"/>
              </w:rPr>
            </w:pPr>
            <w:r>
              <w:rPr>
                <w:rFonts w:hint="eastAsia" w:ascii="宋体" w:hAnsi="宋体" w:cs="宋体"/>
                <w:kern w:val="0"/>
                <w:sz w:val="22"/>
                <w:szCs w:val="22"/>
              </w:rPr>
              <w:t>　投标保证金应及时足额从投标人基本账户缴纳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vMerge w:val="continue"/>
            <w:noWrap w:val="0"/>
            <w:vAlign w:val="center"/>
          </w:tcPr>
          <w:p>
            <w:pPr>
              <w:jc w:val="center"/>
              <w:rPr>
                <w:rFonts w:hint="eastAsia" w:ascii="宋体" w:hAnsi="宋体" w:cs="宋体"/>
                <w:color w:val="auto"/>
                <w:kern w:val="0"/>
                <w:sz w:val="22"/>
                <w:szCs w:val="22"/>
              </w:rPr>
            </w:pPr>
          </w:p>
        </w:tc>
        <w:tc>
          <w:tcPr>
            <w:tcW w:w="2835" w:type="dxa"/>
            <w:noWrap w:val="0"/>
            <w:vAlign w:val="center"/>
          </w:tcPr>
          <w:p>
            <w:pPr>
              <w:jc w:val="center"/>
              <w:rPr>
                <w:rFonts w:hint="eastAsia" w:ascii="宋体" w:hAnsi="宋体" w:cs="宋体"/>
                <w:b/>
                <w:bCs/>
                <w:color w:val="0000FF"/>
                <w:kern w:val="0"/>
                <w:sz w:val="22"/>
                <w:szCs w:val="22"/>
              </w:rPr>
            </w:pPr>
            <w:r>
              <w:rPr>
                <w:rFonts w:hint="eastAsia" w:ascii="宋体" w:hAnsi="宋体" w:cs="宋体"/>
                <w:b/>
                <w:bCs/>
                <w:color w:val="0000FF"/>
                <w:kern w:val="0"/>
                <w:sz w:val="22"/>
                <w:szCs w:val="22"/>
              </w:rPr>
              <w:t>提供投标人基本账户开户许可证</w:t>
            </w:r>
          </w:p>
        </w:tc>
        <w:tc>
          <w:tcPr>
            <w:tcW w:w="1756" w:type="dxa"/>
            <w:vMerge w:val="continue"/>
            <w:noWrap w:val="0"/>
            <w:vAlign w:val="center"/>
          </w:tcPr>
          <w:p>
            <w:pPr>
              <w:jc w:val="center"/>
              <w:rPr>
                <w:rFonts w:hint="eastAsia" w:ascii="宋体" w:hAnsi="宋体" w:cs="宋体"/>
                <w:b/>
                <w:bCs/>
                <w:color w:val="0000FF"/>
                <w:kern w:val="0"/>
                <w:sz w:val="22"/>
                <w:szCs w:val="22"/>
              </w:rPr>
            </w:pPr>
          </w:p>
        </w:tc>
        <w:tc>
          <w:tcPr>
            <w:tcW w:w="914" w:type="dxa"/>
            <w:noWrap w:val="0"/>
            <w:vAlign w:val="center"/>
          </w:tcPr>
          <w:p>
            <w:pPr>
              <w:jc w:val="left"/>
              <w:rPr>
                <w:rFonts w:hint="eastAsia" w:ascii="宋体" w:hAnsi="宋体" w:cs="宋体"/>
                <w:b/>
                <w:bCs/>
                <w:color w:val="0000FF"/>
                <w:kern w:val="0"/>
                <w:sz w:val="22"/>
                <w:szCs w:val="22"/>
              </w:rPr>
            </w:pPr>
          </w:p>
        </w:tc>
        <w:tc>
          <w:tcPr>
            <w:tcW w:w="938" w:type="dxa"/>
            <w:noWrap w:val="0"/>
            <w:vAlign w:val="center"/>
          </w:tcPr>
          <w:p>
            <w:pPr>
              <w:jc w:val="left"/>
              <w:rPr>
                <w:rFonts w:hint="eastAsia" w:ascii="宋体" w:hAnsi="宋体" w:cs="宋体"/>
                <w:b/>
                <w:bCs/>
                <w:color w:val="0000FF"/>
                <w:kern w:val="0"/>
                <w:sz w:val="22"/>
                <w:szCs w:val="22"/>
              </w:rPr>
            </w:pPr>
          </w:p>
        </w:tc>
        <w:tc>
          <w:tcPr>
            <w:tcW w:w="825" w:type="dxa"/>
            <w:noWrap w:val="0"/>
            <w:vAlign w:val="center"/>
          </w:tcPr>
          <w:p>
            <w:pPr>
              <w:jc w:val="left"/>
              <w:rPr>
                <w:rFonts w:hint="eastAsia" w:ascii="宋体" w:hAnsi="宋体" w:cs="宋体"/>
                <w:b/>
                <w:bCs/>
                <w:color w:val="0000FF"/>
                <w:kern w:val="0"/>
                <w:sz w:val="22"/>
                <w:szCs w:val="22"/>
              </w:rPr>
            </w:pPr>
          </w:p>
        </w:tc>
        <w:tc>
          <w:tcPr>
            <w:tcW w:w="2400" w:type="dxa"/>
            <w:noWrap w:val="0"/>
            <w:vAlign w:val="center"/>
          </w:tcPr>
          <w:p>
            <w:pPr>
              <w:jc w:val="left"/>
              <w:rPr>
                <w:rFonts w:hint="eastAsia" w:ascii="宋体" w:hAnsi="宋体" w:cs="宋体"/>
                <w:b/>
                <w:bCs/>
                <w:color w:val="0000FF"/>
                <w:kern w:val="0"/>
                <w:sz w:val="22"/>
                <w:szCs w:val="22"/>
              </w:rPr>
            </w:pPr>
            <w:r>
              <w:rPr>
                <w:rFonts w:hint="eastAsia" w:ascii="宋体" w:hAnsi="宋体" w:cs="宋体"/>
                <w:b/>
                <w:bCs/>
                <w:color w:val="0000FF"/>
                <w:kern w:val="0"/>
                <w:sz w:val="22"/>
                <w:szCs w:val="22"/>
              </w:rPr>
              <w:t xml:space="preserve">  在投标文件中装订基本账户开户许可证复印件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5</w:t>
            </w:r>
          </w:p>
        </w:tc>
        <w:tc>
          <w:tcPr>
            <w:tcW w:w="2835" w:type="dxa"/>
            <w:noWrap w:val="0"/>
            <w:vAlign w:val="center"/>
          </w:tcPr>
          <w:p>
            <w:pPr>
              <w:jc w:val="center"/>
              <w:rPr>
                <w:rFonts w:ascii="宋体" w:hAnsi="宋体" w:cs="宋体"/>
                <w:kern w:val="0"/>
                <w:sz w:val="22"/>
                <w:szCs w:val="22"/>
              </w:rPr>
            </w:pPr>
            <w:r>
              <w:rPr>
                <w:rFonts w:hint="eastAsia" w:ascii="宋体" w:hAnsi="宋体" w:cs="宋体"/>
                <w:kern w:val="0"/>
                <w:sz w:val="22"/>
                <w:szCs w:val="22"/>
              </w:rPr>
              <w:t>投标文件按招标文件规定加盖公章和签署</w:t>
            </w:r>
          </w:p>
        </w:tc>
        <w:tc>
          <w:tcPr>
            <w:tcW w:w="1756" w:type="dxa"/>
            <w:vMerge w:val="continue"/>
            <w:noWrap w:val="0"/>
            <w:vAlign w:val="center"/>
          </w:tcPr>
          <w:p>
            <w:pPr>
              <w:jc w:val="center"/>
              <w:rPr>
                <w:rFonts w:ascii="宋体" w:hAnsi="宋体" w:cs="宋体"/>
                <w:kern w:val="0"/>
                <w:sz w:val="22"/>
                <w:szCs w:val="22"/>
              </w:rPr>
            </w:pPr>
          </w:p>
        </w:tc>
        <w:tc>
          <w:tcPr>
            <w:tcW w:w="914" w:type="dxa"/>
            <w:noWrap w:val="0"/>
            <w:vAlign w:val="center"/>
          </w:tcPr>
          <w:p>
            <w:pPr>
              <w:jc w:val="left"/>
              <w:rPr>
                <w:rFonts w:ascii="宋体" w:hAnsi="宋体" w:cs="宋体"/>
                <w:kern w:val="0"/>
                <w:sz w:val="22"/>
                <w:szCs w:val="22"/>
              </w:rPr>
            </w:pPr>
            <w:r>
              <w:rPr>
                <w:rFonts w:hint="eastAsia" w:ascii="宋体" w:hAnsi="宋体" w:cs="宋体"/>
                <w:kern w:val="0"/>
                <w:sz w:val="22"/>
                <w:szCs w:val="22"/>
              </w:rPr>
              <w:t>　</w:t>
            </w:r>
          </w:p>
        </w:tc>
        <w:tc>
          <w:tcPr>
            <w:tcW w:w="938" w:type="dxa"/>
            <w:noWrap w:val="0"/>
            <w:vAlign w:val="center"/>
          </w:tcPr>
          <w:p>
            <w:pPr>
              <w:jc w:val="left"/>
              <w:rPr>
                <w:rFonts w:ascii="宋体" w:hAnsi="宋体" w:cs="宋体"/>
                <w:kern w:val="0"/>
                <w:sz w:val="22"/>
                <w:szCs w:val="22"/>
              </w:rPr>
            </w:pPr>
            <w:r>
              <w:rPr>
                <w:rFonts w:hint="eastAsia" w:ascii="宋体" w:hAnsi="宋体" w:cs="宋体"/>
                <w:kern w:val="0"/>
                <w:sz w:val="22"/>
                <w:szCs w:val="22"/>
              </w:rPr>
              <w:t>　</w:t>
            </w:r>
          </w:p>
        </w:tc>
        <w:tc>
          <w:tcPr>
            <w:tcW w:w="825" w:type="dxa"/>
            <w:noWrap w:val="0"/>
            <w:vAlign w:val="center"/>
          </w:tcPr>
          <w:p>
            <w:pPr>
              <w:jc w:val="left"/>
              <w:rPr>
                <w:rFonts w:ascii="宋体" w:hAnsi="宋体" w:cs="宋体"/>
                <w:kern w:val="0"/>
                <w:sz w:val="22"/>
                <w:szCs w:val="22"/>
              </w:rPr>
            </w:pPr>
            <w:r>
              <w:rPr>
                <w:rFonts w:hint="eastAsia" w:ascii="宋体" w:hAnsi="宋体" w:cs="宋体"/>
                <w:kern w:val="0"/>
                <w:sz w:val="22"/>
                <w:szCs w:val="22"/>
              </w:rPr>
              <w:t>　</w:t>
            </w:r>
          </w:p>
        </w:tc>
        <w:tc>
          <w:tcPr>
            <w:tcW w:w="2400" w:type="dxa"/>
            <w:noWrap w:val="0"/>
            <w:vAlign w:val="center"/>
          </w:tcPr>
          <w:p>
            <w:pPr>
              <w:jc w:val="left"/>
              <w:rPr>
                <w:rFonts w:hint="eastAsia" w:ascii="宋体" w:hAnsi="宋体" w:cs="宋体"/>
                <w:kern w:val="0"/>
                <w:sz w:val="22"/>
                <w:szCs w:val="22"/>
              </w:rPr>
            </w:pPr>
            <w:r>
              <w:rPr>
                <w:rFonts w:hint="eastAsia" w:ascii="宋体" w:hAnsi="宋体" w:cs="宋体"/>
                <w:kern w:val="0"/>
                <w:sz w:val="22"/>
                <w:szCs w:val="22"/>
              </w:rPr>
              <w:t>审查投标文件相关内容是否按招标文件第七章的投标文件格式要求</w:t>
            </w:r>
            <w:r>
              <w:rPr>
                <w:rFonts w:hint="eastAsia" w:ascii="宋体" w:hAnsi="宋体" w:cs="宋体"/>
                <w:color w:val="0000FF"/>
                <w:kern w:val="0"/>
                <w:sz w:val="22"/>
                <w:szCs w:val="22"/>
              </w:rPr>
              <w:t>加盖公章和签署</w:t>
            </w:r>
            <w:r>
              <w:rPr>
                <w:rFonts w:hint="eastAsia" w:ascii="宋体" w:hAnsi="宋体" w:cs="宋体"/>
                <w:kern w:val="0"/>
                <w:sz w:val="22"/>
                <w:szCs w:val="22"/>
              </w:rPr>
              <w:t>。</w:t>
            </w:r>
          </w:p>
          <w:p>
            <w:pPr>
              <w:jc w:val="left"/>
              <w:rPr>
                <w:rFonts w:hint="eastAsia" w:ascii="宋体" w:hAnsi="宋体" w:cs="宋体"/>
                <w:kern w:val="0"/>
                <w:sz w:val="22"/>
                <w:szCs w:val="22"/>
              </w:rPr>
            </w:pPr>
            <w:r>
              <w:rPr>
                <w:rFonts w:hint="eastAsia" w:ascii="宋体" w:hAnsi="宋体" w:cs="宋体"/>
                <w:sz w:val="22"/>
                <w:szCs w:val="22"/>
              </w:rPr>
              <w:t>否则评标委员会有权将其作为</w:t>
            </w:r>
            <w:r>
              <w:rPr>
                <w:rFonts w:hint="eastAsia" w:ascii="宋体" w:hAnsi="宋体" w:cs="宋体"/>
                <w:b/>
                <w:bCs/>
                <w:color w:val="0000FF"/>
                <w:sz w:val="22"/>
                <w:szCs w:val="22"/>
                <w:u w:val="thick"/>
              </w:rPr>
              <w:t>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15"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6</w:t>
            </w:r>
          </w:p>
        </w:tc>
        <w:tc>
          <w:tcPr>
            <w:tcW w:w="283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投标文件数量符合要求</w:t>
            </w:r>
          </w:p>
        </w:tc>
        <w:tc>
          <w:tcPr>
            <w:tcW w:w="1756" w:type="dxa"/>
            <w:vMerge w:val="continue"/>
            <w:noWrap w:val="0"/>
            <w:vAlign w:val="center"/>
          </w:tcPr>
          <w:p>
            <w:pPr>
              <w:jc w:val="center"/>
              <w:rPr>
                <w:rFonts w:hint="eastAsia" w:ascii="宋体" w:hAnsi="宋体" w:cs="宋体"/>
                <w:kern w:val="0"/>
                <w:sz w:val="22"/>
                <w:szCs w:val="22"/>
              </w:rPr>
            </w:pPr>
          </w:p>
        </w:tc>
        <w:tc>
          <w:tcPr>
            <w:tcW w:w="914" w:type="dxa"/>
            <w:noWrap w:val="0"/>
            <w:vAlign w:val="center"/>
          </w:tcPr>
          <w:p>
            <w:pPr>
              <w:jc w:val="left"/>
              <w:rPr>
                <w:rFonts w:hint="eastAsia" w:ascii="宋体" w:hAnsi="宋体" w:cs="宋体"/>
                <w:kern w:val="0"/>
                <w:sz w:val="22"/>
                <w:szCs w:val="22"/>
              </w:rPr>
            </w:pPr>
          </w:p>
        </w:tc>
        <w:tc>
          <w:tcPr>
            <w:tcW w:w="938" w:type="dxa"/>
            <w:noWrap w:val="0"/>
            <w:vAlign w:val="center"/>
          </w:tcPr>
          <w:p>
            <w:pPr>
              <w:jc w:val="left"/>
              <w:rPr>
                <w:rFonts w:hint="eastAsia" w:ascii="宋体" w:hAnsi="宋体" w:cs="宋体"/>
                <w:kern w:val="0"/>
                <w:sz w:val="22"/>
                <w:szCs w:val="22"/>
              </w:rPr>
            </w:pPr>
          </w:p>
        </w:tc>
        <w:tc>
          <w:tcPr>
            <w:tcW w:w="825" w:type="dxa"/>
            <w:noWrap w:val="0"/>
            <w:vAlign w:val="center"/>
          </w:tcPr>
          <w:p>
            <w:pPr>
              <w:jc w:val="left"/>
              <w:rPr>
                <w:rFonts w:hint="eastAsia" w:ascii="宋体" w:hAnsi="宋体" w:cs="宋体"/>
                <w:kern w:val="0"/>
                <w:sz w:val="22"/>
                <w:szCs w:val="22"/>
              </w:rPr>
            </w:pPr>
          </w:p>
        </w:tc>
        <w:tc>
          <w:tcPr>
            <w:tcW w:w="2400" w:type="dxa"/>
            <w:noWrap w:val="0"/>
            <w:vAlign w:val="center"/>
          </w:tcPr>
          <w:p>
            <w:pPr>
              <w:jc w:val="left"/>
              <w:rPr>
                <w:rFonts w:hint="eastAsia" w:ascii="宋体" w:hAnsi="宋体" w:cs="宋体"/>
                <w:b/>
                <w:bCs/>
                <w:color w:val="0000FF"/>
                <w:kern w:val="0"/>
                <w:sz w:val="22"/>
                <w:szCs w:val="22"/>
              </w:rPr>
            </w:pPr>
            <w:r>
              <w:rPr>
                <w:rFonts w:hint="eastAsia" w:ascii="宋体" w:hAnsi="宋体" w:cs="宋体"/>
                <w:kern w:val="0"/>
                <w:sz w:val="22"/>
                <w:szCs w:val="22"/>
              </w:rPr>
              <w:t>见投标人须知前附表。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eastAsia="宋体" w:cs="宋体"/>
                <w:i w:val="0"/>
                <w:iCs w:val="0"/>
                <w:color w:val="auto"/>
                <w:kern w:val="0"/>
                <w:sz w:val="22"/>
                <w:szCs w:val="22"/>
                <w:lang w:val="en-US" w:eastAsia="zh-CN"/>
              </w:rPr>
            </w:pPr>
            <w:r>
              <w:rPr>
                <w:rFonts w:hint="eastAsia" w:ascii="宋体" w:hAnsi="宋体" w:eastAsia="宋体" w:cs="宋体"/>
                <w:i w:val="0"/>
                <w:iCs w:val="0"/>
                <w:color w:val="auto"/>
                <w:kern w:val="0"/>
                <w:sz w:val="22"/>
                <w:szCs w:val="22"/>
                <w:lang w:val="en-US" w:eastAsia="zh-CN"/>
              </w:rPr>
              <w:t>7</w:t>
            </w:r>
          </w:p>
        </w:tc>
        <w:tc>
          <w:tcPr>
            <w:tcW w:w="2835" w:type="dxa"/>
            <w:noWrap w:val="0"/>
            <w:vAlign w:val="center"/>
          </w:tcPr>
          <w:p>
            <w:pPr>
              <w:jc w:val="center"/>
              <w:rPr>
                <w:rFonts w:hint="eastAsia" w:ascii="宋体" w:hAnsi="宋体" w:cs="宋体"/>
                <w:i w:val="0"/>
                <w:iCs w:val="0"/>
                <w:color w:val="auto"/>
                <w:kern w:val="0"/>
                <w:sz w:val="22"/>
                <w:szCs w:val="22"/>
              </w:rPr>
            </w:pPr>
            <w:r>
              <w:rPr>
                <w:rFonts w:hint="eastAsia" w:ascii="宋体" w:hAnsi="宋体" w:cs="宋体"/>
                <w:i w:val="0"/>
                <w:iCs w:val="0"/>
                <w:color w:val="auto"/>
                <w:kern w:val="0"/>
                <w:sz w:val="22"/>
                <w:szCs w:val="22"/>
              </w:rPr>
              <w:t>投标人无递交两份或多份内容不同的投标文件；无在一份投标文件同一包段中对同一招标货物有两个或多个报价</w:t>
            </w:r>
          </w:p>
        </w:tc>
        <w:tc>
          <w:tcPr>
            <w:tcW w:w="1756" w:type="dxa"/>
            <w:vMerge w:val="continue"/>
            <w:noWrap w:val="0"/>
            <w:vAlign w:val="center"/>
          </w:tcPr>
          <w:p>
            <w:pPr>
              <w:jc w:val="center"/>
              <w:rPr>
                <w:rFonts w:hint="eastAsia" w:ascii="宋体" w:hAnsi="宋体" w:cs="宋体"/>
                <w:i w:val="0"/>
                <w:iCs w:val="0"/>
                <w:color w:val="auto"/>
                <w:kern w:val="0"/>
                <w:sz w:val="22"/>
                <w:szCs w:val="22"/>
              </w:rPr>
            </w:pPr>
          </w:p>
        </w:tc>
        <w:tc>
          <w:tcPr>
            <w:tcW w:w="914" w:type="dxa"/>
            <w:noWrap w:val="0"/>
            <w:vAlign w:val="center"/>
          </w:tcPr>
          <w:p>
            <w:pPr>
              <w:jc w:val="left"/>
              <w:rPr>
                <w:rFonts w:hint="eastAsia" w:ascii="宋体" w:hAnsi="宋体" w:cs="宋体"/>
                <w:i w:val="0"/>
                <w:iCs w:val="0"/>
                <w:color w:val="auto"/>
                <w:kern w:val="0"/>
                <w:sz w:val="22"/>
                <w:szCs w:val="22"/>
              </w:rPr>
            </w:pPr>
          </w:p>
        </w:tc>
        <w:tc>
          <w:tcPr>
            <w:tcW w:w="938" w:type="dxa"/>
            <w:noWrap w:val="0"/>
            <w:vAlign w:val="center"/>
          </w:tcPr>
          <w:p>
            <w:pPr>
              <w:jc w:val="left"/>
              <w:rPr>
                <w:rFonts w:hint="eastAsia" w:ascii="宋体" w:hAnsi="宋体" w:cs="宋体"/>
                <w:i w:val="0"/>
                <w:iCs w:val="0"/>
                <w:color w:val="auto"/>
                <w:kern w:val="0"/>
                <w:sz w:val="22"/>
                <w:szCs w:val="22"/>
              </w:rPr>
            </w:pPr>
          </w:p>
        </w:tc>
        <w:tc>
          <w:tcPr>
            <w:tcW w:w="825" w:type="dxa"/>
            <w:noWrap w:val="0"/>
            <w:vAlign w:val="center"/>
          </w:tcPr>
          <w:p>
            <w:pPr>
              <w:jc w:val="left"/>
              <w:rPr>
                <w:rFonts w:hint="eastAsia" w:ascii="宋体" w:hAnsi="宋体" w:cs="宋体"/>
                <w:i w:val="0"/>
                <w:iCs w:val="0"/>
                <w:color w:val="auto"/>
                <w:kern w:val="0"/>
                <w:sz w:val="22"/>
                <w:szCs w:val="22"/>
              </w:rPr>
            </w:pPr>
          </w:p>
        </w:tc>
        <w:tc>
          <w:tcPr>
            <w:tcW w:w="2400" w:type="dxa"/>
            <w:noWrap w:val="0"/>
            <w:vAlign w:val="center"/>
          </w:tcPr>
          <w:p>
            <w:pPr>
              <w:jc w:val="left"/>
              <w:rPr>
                <w:rFonts w:hint="eastAsia" w:ascii="宋体" w:hAnsi="宋体" w:cs="宋体"/>
                <w:i w:val="0"/>
                <w:iCs w:val="0"/>
                <w:color w:val="auto"/>
                <w:kern w:val="0"/>
                <w:sz w:val="22"/>
                <w:szCs w:val="22"/>
              </w:rPr>
            </w:pPr>
            <w:r>
              <w:rPr>
                <w:rFonts w:hint="eastAsia" w:ascii="宋体" w:hAnsi="宋体" w:cs="宋体"/>
                <w:i w:val="0"/>
                <w:iCs w:val="0"/>
                <w:color w:val="auto"/>
                <w:kern w:val="0"/>
                <w:sz w:val="22"/>
                <w:szCs w:val="22"/>
              </w:rPr>
              <w:t>审查投标文件中的开标一览表、货物服务报价表等内容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8</w:t>
            </w:r>
          </w:p>
        </w:tc>
        <w:tc>
          <w:tcPr>
            <w:tcW w:w="283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投标文件装订要求</w:t>
            </w:r>
          </w:p>
        </w:tc>
        <w:tc>
          <w:tcPr>
            <w:tcW w:w="1756" w:type="dxa"/>
            <w:vMerge w:val="continue"/>
            <w:noWrap w:val="0"/>
            <w:vAlign w:val="center"/>
          </w:tcPr>
          <w:p>
            <w:pPr>
              <w:jc w:val="center"/>
              <w:rPr>
                <w:rFonts w:hint="eastAsia" w:ascii="宋体" w:hAnsi="宋体" w:cs="宋体"/>
                <w:kern w:val="0"/>
                <w:sz w:val="22"/>
                <w:szCs w:val="22"/>
              </w:rPr>
            </w:pPr>
          </w:p>
        </w:tc>
        <w:tc>
          <w:tcPr>
            <w:tcW w:w="914" w:type="dxa"/>
            <w:noWrap w:val="0"/>
            <w:vAlign w:val="center"/>
          </w:tcPr>
          <w:p>
            <w:pPr>
              <w:jc w:val="left"/>
              <w:rPr>
                <w:rFonts w:hint="eastAsia" w:ascii="宋体" w:hAnsi="宋体" w:cs="宋体"/>
                <w:kern w:val="0"/>
                <w:sz w:val="22"/>
                <w:szCs w:val="22"/>
              </w:rPr>
            </w:pPr>
          </w:p>
        </w:tc>
        <w:tc>
          <w:tcPr>
            <w:tcW w:w="938" w:type="dxa"/>
            <w:noWrap w:val="0"/>
            <w:vAlign w:val="center"/>
          </w:tcPr>
          <w:p>
            <w:pPr>
              <w:jc w:val="left"/>
              <w:rPr>
                <w:rFonts w:hint="eastAsia" w:ascii="宋体" w:hAnsi="宋体" w:cs="宋体"/>
                <w:kern w:val="0"/>
                <w:sz w:val="22"/>
                <w:szCs w:val="22"/>
              </w:rPr>
            </w:pPr>
          </w:p>
        </w:tc>
        <w:tc>
          <w:tcPr>
            <w:tcW w:w="825" w:type="dxa"/>
            <w:noWrap w:val="0"/>
            <w:vAlign w:val="center"/>
          </w:tcPr>
          <w:p>
            <w:pPr>
              <w:jc w:val="left"/>
              <w:rPr>
                <w:rFonts w:hint="eastAsia" w:ascii="宋体" w:hAnsi="宋体" w:cs="宋体"/>
                <w:kern w:val="0"/>
                <w:sz w:val="22"/>
                <w:szCs w:val="22"/>
              </w:rPr>
            </w:pPr>
          </w:p>
        </w:tc>
        <w:tc>
          <w:tcPr>
            <w:tcW w:w="2400" w:type="dxa"/>
            <w:noWrap w:val="0"/>
            <w:vAlign w:val="center"/>
          </w:tcPr>
          <w:p>
            <w:pPr>
              <w:jc w:val="left"/>
              <w:rPr>
                <w:rFonts w:hint="eastAsia" w:ascii="宋体" w:hAnsi="宋体" w:cs="宋体"/>
                <w:kern w:val="0"/>
                <w:sz w:val="22"/>
                <w:szCs w:val="22"/>
              </w:rPr>
            </w:pPr>
            <w:r>
              <w:rPr>
                <w:rFonts w:hint="eastAsia" w:ascii="宋体" w:hAnsi="宋体" w:cs="宋体"/>
                <w:kern w:val="0"/>
                <w:sz w:val="22"/>
                <w:szCs w:val="22"/>
              </w:rPr>
              <w:t>装订等是否符合要求，是否是活页装订等。</w:t>
            </w:r>
          </w:p>
          <w:p>
            <w:pPr>
              <w:jc w:val="left"/>
              <w:rPr>
                <w:rFonts w:hint="eastAsia" w:ascii="宋体" w:hAnsi="宋体" w:cs="宋体"/>
                <w:kern w:val="0"/>
                <w:sz w:val="22"/>
                <w:szCs w:val="22"/>
              </w:rPr>
            </w:pPr>
            <w:r>
              <w:rPr>
                <w:rFonts w:hint="eastAsia" w:ascii="宋体" w:hAnsi="宋体" w:cs="宋体"/>
                <w:kern w:val="0"/>
                <w:sz w:val="22"/>
                <w:szCs w:val="22"/>
              </w:rPr>
              <w:t>活页式或容易拆解（如采用拉杆夹、打孔等装订方式）的投</w:t>
            </w:r>
            <w:r>
              <w:rPr>
                <w:rFonts w:hint="eastAsia" w:ascii="宋体" w:hAnsi="宋体" w:cs="宋体"/>
                <w:color w:val="0000FF"/>
                <w:kern w:val="0"/>
                <w:sz w:val="22"/>
                <w:szCs w:val="22"/>
              </w:rPr>
              <w:t>标文件将作无效投标处理。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9</w:t>
            </w:r>
          </w:p>
        </w:tc>
        <w:tc>
          <w:tcPr>
            <w:tcW w:w="283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所提供的货物或服务没有缺少</w:t>
            </w:r>
          </w:p>
        </w:tc>
        <w:tc>
          <w:tcPr>
            <w:tcW w:w="1756" w:type="dxa"/>
            <w:vMerge w:val="restart"/>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根据第一章和第三章具体要求</w:t>
            </w:r>
          </w:p>
        </w:tc>
        <w:tc>
          <w:tcPr>
            <w:tcW w:w="914" w:type="dxa"/>
            <w:noWrap w:val="0"/>
            <w:vAlign w:val="center"/>
          </w:tcPr>
          <w:p>
            <w:pPr>
              <w:jc w:val="left"/>
              <w:rPr>
                <w:rFonts w:hint="eastAsia" w:ascii="宋体" w:hAnsi="宋体" w:cs="宋体"/>
                <w:kern w:val="0"/>
                <w:sz w:val="22"/>
                <w:szCs w:val="22"/>
              </w:rPr>
            </w:pPr>
          </w:p>
        </w:tc>
        <w:tc>
          <w:tcPr>
            <w:tcW w:w="938" w:type="dxa"/>
            <w:noWrap w:val="0"/>
            <w:vAlign w:val="center"/>
          </w:tcPr>
          <w:p>
            <w:pPr>
              <w:jc w:val="left"/>
              <w:rPr>
                <w:rFonts w:hint="eastAsia" w:ascii="宋体" w:hAnsi="宋体" w:cs="宋体"/>
                <w:kern w:val="0"/>
                <w:sz w:val="22"/>
                <w:szCs w:val="22"/>
              </w:rPr>
            </w:pPr>
          </w:p>
        </w:tc>
        <w:tc>
          <w:tcPr>
            <w:tcW w:w="825" w:type="dxa"/>
            <w:noWrap w:val="0"/>
            <w:vAlign w:val="center"/>
          </w:tcPr>
          <w:p>
            <w:pPr>
              <w:jc w:val="left"/>
              <w:rPr>
                <w:rFonts w:hint="eastAsia" w:ascii="宋体" w:hAnsi="宋体" w:cs="宋体"/>
                <w:kern w:val="0"/>
                <w:sz w:val="22"/>
                <w:szCs w:val="22"/>
              </w:rPr>
            </w:pPr>
          </w:p>
        </w:tc>
        <w:tc>
          <w:tcPr>
            <w:tcW w:w="2400" w:type="dxa"/>
            <w:noWrap w:val="0"/>
            <w:vAlign w:val="center"/>
          </w:tcPr>
          <w:p>
            <w:pPr>
              <w:jc w:val="left"/>
              <w:rPr>
                <w:rFonts w:hint="eastAsia" w:ascii="宋体" w:hAnsi="宋体" w:cs="宋体"/>
                <w:kern w:val="0"/>
                <w:sz w:val="22"/>
                <w:szCs w:val="22"/>
              </w:rPr>
            </w:pPr>
            <w:r>
              <w:rPr>
                <w:rFonts w:hint="eastAsia" w:ascii="宋体" w:hAnsi="宋体" w:cs="宋体"/>
                <w:kern w:val="0"/>
                <w:sz w:val="22"/>
                <w:szCs w:val="22"/>
              </w:rPr>
              <w:t>根据第三章采购清单评审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10</w:t>
            </w:r>
          </w:p>
        </w:tc>
        <w:tc>
          <w:tcPr>
            <w:tcW w:w="2835" w:type="dxa"/>
            <w:noWrap w:val="0"/>
            <w:vAlign w:val="center"/>
          </w:tcPr>
          <w:p>
            <w:pPr>
              <w:jc w:val="center"/>
              <w:rPr>
                <w:rFonts w:hint="eastAsia" w:ascii="宋体" w:hAnsi="宋体" w:cs="宋体"/>
                <w:sz w:val="22"/>
                <w:szCs w:val="22"/>
              </w:rPr>
            </w:pPr>
            <w:r>
              <w:rPr>
                <w:rFonts w:hint="eastAsia" w:ascii="宋体" w:hAnsi="宋体" w:cs="宋体"/>
                <w:sz w:val="22"/>
                <w:szCs w:val="22"/>
              </w:rPr>
              <w:t>报价唯一且不超过最高限价（</w:t>
            </w:r>
            <w:r>
              <w:rPr>
                <w:rFonts w:hint="eastAsia" w:ascii="宋体" w:hAnsi="宋体" w:cs="宋体"/>
                <w:kern w:val="0"/>
                <w:sz w:val="22"/>
                <w:szCs w:val="22"/>
              </w:rPr>
              <w:t>如设有控制单价，则投标单价不能超过控制单价</w:t>
            </w:r>
            <w:r>
              <w:rPr>
                <w:rFonts w:hint="eastAsia" w:ascii="宋体" w:hAnsi="宋体" w:cs="宋体"/>
                <w:sz w:val="22"/>
                <w:szCs w:val="22"/>
              </w:rPr>
              <w:t>）</w:t>
            </w:r>
          </w:p>
        </w:tc>
        <w:tc>
          <w:tcPr>
            <w:tcW w:w="1756" w:type="dxa"/>
            <w:vMerge w:val="continue"/>
            <w:noWrap w:val="0"/>
            <w:vAlign w:val="center"/>
          </w:tcPr>
          <w:p>
            <w:pPr>
              <w:jc w:val="center"/>
              <w:rPr>
                <w:rFonts w:hint="eastAsia" w:ascii="宋体" w:hAnsi="宋体" w:cs="宋体"/>
                <w:kern w:val="0"/>
                <w:sz w:val="22"/>
                <w:szCs w:val="22"/>
              </w:rPr>
            </w:pPr>
          </w:p>
        </w:tc>
        <w:tc>
          <w:tcPr>
            <w:tcW w:w="914" w:type="dxa"/>
            <w:noWrap w:val="0"/>
            <w:vAlign w:val="center"/>
          </w:tcPr>
          <w:p>
            <w:pPr>
              <w:jc w:val="left"/>
              <w:rPr>
                <w:rFonts w:hint="eastAsia" w:ascii="宋体" w:hAnsi="宋体" w:cs="宋体"/>
                <w:kern w:val="0"/>
                <w:sz w:val="22"/>
                <w:szCs w:val="22"/>
              </w:rPr>
            </w:pPr>
          </w:p>
        </w:tc>
        <w:tc>
          <w:tcPr>
            <w:tcW w:w="938" w:type="dxa"/>
            <w:noWrap w:val="0"/>
            <w:vAlign w:val="center"/>
          </w:tcPr>
          <w:p>
            <w:pPr>
              <w:jc w:val="left"/>
              <w:rPr>
                <w:rFonts w:hint="eastAsia" w:ascii="宋体" w:hAnsi="宋体" w:cs="宋体"/>
                <w:kern w:val="0"/>
                <w:sz w:val="22"/>
                <w:szCs w:val="22"/>
              </w:rPr>
            </w:pPr>
          </w:p>
        </w:tc>
        <w:tc>
          <w:tcPr>
            <w:tcW w:w="825" w:type="dxa"/>
            <w:noWrap w:val="0"/>
            <w:vAlign w:val="center"/>
          </w:tcPr>
          <w:p>
            <w:pPr>
              <w:jc w:val="left"/>
              <w:rPr>
                <w:rFonts w:hint="eastAsia" w:ascii="宋体" w:hAnsi="宋体" w:cs="宋体"/>
                <w:kern w:val="0"/>
                <w:sz w:val="22"/>
                <w:szCs w:val="22"/>
              </w:rPr>
            </w:pPr>
          </w:p>
        </w:tc>
        <w:tc>
          <w:tcPr>
            <w:tcW w:w="2400" w:type="dxa"/>
            <w:noWrap w:val="0"/>
            <w:vAlign w:val="center"/>
          </w:tcPr>
          <w:p>
            <w:pPr>
              <w:jc w:val="left"/>
              <w:rPr>
                <w:rFonts w:hint="eastAsia" w:ascii="宋体" w:hAnsi="宋体" w:cs="宋体"/>
                <w:kern w:val="0"/>
                <w:sz w:val="22"/>
                <w:szCs w:val="22"/>
              </w:rPr>
            </w:pPr>
            <w:r>
              <w:rPr>
                <w:rFonts w:hint="eastAsia" w:ascii="宋体" w:hAnsi="宋体" w:cs="宋体"/>
                <w:sz w:val="22"/>
                <w:szCs w:val="22"/>
                <w:lang w:val="zh-CN"/>
              </w:rPr>
              <w:t>只能在项目预算范围内报价，</w:t>
            </w:r>
            <w:r>
              <w:rPr>
                <w:rFonts w:hint="eastAsia" w:ascii="宋体" w:hAnsi="宋体" w:cs="宋体"/>
                <w:sz w:val="22"/>
                <w:szCs w:val="22"/>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1</w:t>
            </w:r>
          </w:p>
        </w:tc>
        <w:tc>
          <w:tcPr>
            <w:tcW w:w="2835" w:type="dxa"/>
            <w:noWrap w:val="0"/>
            <w:vAlign w:val="center"/>
          </w:tcPr>
          <w:p>
            <w:pPr>
              <w:jc w:val="center"/>
              <w:rPr>
                <w:rFonts w:ascii="宋体" w:hAnsi="宋体" w:cs="宋体"/>
                <w:kern w:val="0"/>
                <w:sz w:val="22"/>
                <w:szCs w:val="22"/>
              </w:rPr>
            </w:pPr>
            <w:r>
              <w:rPr>
                <w:rFonts w:hint="eastAsia" w:ascii="宋体" w:hAnsi="宋体" w:cs="宋体"/>
                <w:kern w:val="0"/>
                <w:sz w:val="22"/>
                <w:szCs w:val="22"/>
              </w:rPr>
              <w:t>已提交授权委托书</w:t>
            </w:r>
          </w:p>
        </w:tc>
        <w:tc>
          <w:tcPr>
            <w:tcW w:w="1756" w:type="dxa"/>
            <w:noWrap w:val="0"/>
            <w:vAlign w:val="center"/>
          </w:tcPr>
          <w:p>
            <w:pPr>
              <w:jc w:val="center"/>
              <w:rPr>
                <w:rFonts w:ascii="宋体" w:hAnsi="宋体" w:cs="宋体"/>
                <w:kern w:val="0"/>
                <w:sz w:val="22"/>
                <w:szCs w:val="22"/>
              </w:rPr>
            </w:pPr>
            <w:r>
              <w:rPr>
                <w:rFonts w:hint="eastAsia" w:ascii="宋体" w:hAnsi="宋体" w:cs="宋体"/>
                <w:color w:val="0000FF"/>
                <w:kern w:val="0"/>
                <w:sz w:val="22"/>
                <w:szCs w:val="22"/>
              </w:rPr>
              <w:t>法人参会的需要将身份证复印件装订在投标文件中。</w:t>
            </w:r>
          </w:p>
        </w:tc>
        <w:tc>
          <w:tcPr>
            <w:tcW w:w="914" w:type="dxa"/>
            <w:noWrap w:val="0"/>
            <w:vAlign w:val="center"/>
          </w:tcPr>
          <w:p>
            <w:pPr>
              <w:jc w:val="left"/>
              <w:rPr>
                <w:rFonts w:ascii="宋体" w:hAnsi="宋体" w:cs="宋体"/>
                <w:kern w:val="0"/>
                <w:sz w:val="22"/>
                <w:szCs w:val="22"/>
              </w:rPr>
            </w:pPr>
            <w:r>
              <w:rPr>
                <w:rFonts w:hint="eastAsia" w:ascii="宋体" w:hAnsi="宋体" w:cs="宋体"/>
                <w:kern w:val="0"/>
                <w:sz w:val="22"/>
                <w:szCs w:val="22"/>
              </w:rPr>
              <w:t>　</w:t>
            </w:r>
          </w:p>
        </w:tc>
        <w:tc>
          <w:tcPr>
            <w:tcW w:w="938" w:type="dxa"/>
            <w:noWrap w:val="0"/>
            <w:vAlign w:val="center"/>
          </w:tcPr>
          <w:p>
            <w:pPr>
              <w:jc w:val="left"/>
              <w:rPr>
                <w:rFonts w:ascii="宋体" w:hAnsi="宋体" w:cs="宋体"/>
                <w:kern w:val="0"/>
                <w:sz w:val="22"/>
                <w:szCs w:val="22"/>
              </w:rPr>
            </w:pPr>
            <w:r>
              <w:rPr>
                <w:rFonts w:hint="eastAsia" w:ascii="宋体" w:hAnsi="宋体" w:cs="宋体"/>
                <w:kern w:val="0"/>
                <w:sz w:val="22"/>
                <w:szCs w:val="22"/>
              </w:rPr>
              <w:t>　</w:t>
            </w:r>
          </w:p>
        </w:tc>
        <w:tc>
          <w:tcPr>
            <w:tcW w:w="825" w:type="dxa"/>
            <w:noWrap w:val="0"/>
            <w:vAlign w:val="center"/>
          </w:tcPr>
          <w:p>
            <w:pPr>
              <w:jc w:val="left"/>
              <w:rPr>
                <w:rFonts w:ascii="宋体" w:hAnsi="宋体" w:cs="宋体"/>
                <w:kern w:val="0"/>
                <w:sz w:val="22"/>
                <w:szCs w:val="22"/>
              </w:rPr>
            </w:pPr>
            <w:r>
              <w:rPr>
                <w:rFonts w:hint="eastAsia" w:ascii="宋体" w:hAnsi="宋体" w:cs="宋体"/>
                <w:kern w:val="0"/>
                <w:sz w:val="22"/>
                <w:szCs w:val="22"/>
              </w:rPr>
              <w:t>　</w:t>
            </w:r>
          </w:p>
        </w:tc>
        <w:tc>
          <w:tcPr>
            <w:tcW w:w="2400" w:type="dxa"/>
            <w:noWrap w:val="0"/>
            <w:vAlign w:val="center"/>
          </w:tcPr>
          <w:p>
            <w:pPr>
              <w:jc w:val="left"/>
              <w:rPr>
                <w:rFonts w:hint="eastAsia" w:ascii="宋体" w:hAnsi="宋体" w:cs="宋体"/>
                <w:kern w:val="0"/>
                <w:sz w:val="22"/>
                <w:szCs w:val="22"/>
              </w:rPr>
            </w:pPr>
            <w:r>
              <w:rPr>
                <w:rFonts w:hint="eastAsia" w:ascii="宋体" w:hAnsi="宋体" w:cs="宋体"/>
                <w:kern w:val="0"/>
                <w:sz w:val="22"/>
                <w:szCs w:val="22"/>
              </w:rPr>
              <w:t>审查投标文件中是否附有法定代表人授权委托书等文件（只授权代表参会的需要）</w:t>
            </w:r>
          </w:p>
          <w:p>
            <w:pPr>
              <w:jc w:val="left"/>
              <w:rPr>
                <w:rFonts w:hint="eastAsia" w:ascii="宋体" w:hAnsi="宋体" w:cs="宋体"/>
                <w:kern w:val="0"/>
                <w:sz w:val="22"/>
                <w:szCs w:val="22"/>
              </w:rPr>
            </w:pPr>
            <w:r>
              <w:rPr>
                <w:rFonts w:hint="eastAsia" w:ascii="宋体" w:hAnsi="宋体" w:cs="宋体"/>
                <w:color w:val="0000FF"/>
                <w:kern w:val="0"/>
                <w:sz w:val="22"/>
                <w:szCs w:val="22"/>
              </w:rPr>
              <w:t>法人参会的需要将身份证复印件装订在投标文件中。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cs="宋体"/>
                <w:i w:val="0"/>
                <w:iCs w:val="0"/>
                <w:color w:val="auto"/>
                <w:kern w:val="0"/>
                <w:sz w:val="22"/>
                <w:szCs w:val="22"/>
              </w:rPr>
            </w:pPr>
            <w:r>
              <w:rPr>
                <w:rFonts w:hint="eastAsia" w:ascii="宋体" w:hAnsi="宋体" w:cs="宋体"/>
                <w:i w:val="0"/>
                <w:iCs w:val="0"/>
                <w:color w:val="auto"/>
                <w:kern w:val="0"/>
                <w:sz w:val="22"/>
                <w:szCs w:val="22"/>
              </w:rPr>
              <w:t>1</w:t>
            </w:r>
            <w:r>
              <w:rPr>
                <w:rFonts w:hint="eastAsia" w:ascii="宋体" w:hAnsi="宋体" w:cs="宋体"/>
                <w:i w:val="0"/>
                <w:iCs w:val="0"/>
                <w:color w:val="auto"/>
                <w:kern w:val="0"/>
                <w:sz w:val="22"/>
                <w:szCs w:val="22"/>
                <w:lang w:val="en-US" w:eastAsia="zh-CN"/>
              </w:rPr>
              <w:t>2</w:t>
            </w:r>
          </w:p>
        </w:tc>
        <w:tc>
          <w:tcPr>
            <w:tcW w:w="2835" w:type="dxa"/>
            <w:noWrap w:val="0"/>
            <w:vAlign w:val="center"/>
          </w:tcPr>
          <w:p>
            <w:pPr>
              <w:jc w:val="center"/>
              <w:rPr>
                <w:rFonts w:hint="eastAsia" w:ascii="宋体" w:hAnsi="宋体" w:cs="宋体"/>
                <w:i w:val="0"/>
                <w:iCs w:val="0"/>
                <w:color w:val="auto"/>
                <w:kern w:val="0"/>
                <w:sz w:val="22"/>
                <w:szCs w:val="22"/>
              </w:rPr>
            </w:pPr>
            <w:r>
              <w:rPr>
                <w:rFonts w:hint="eastAsia" w:ascii="宋体" w:hAnsi="宋体" w:cs="宋体"/>
                <w:i w:val="0"/>
                <w:iCs w:val="0"/>
                <w:color w:val="auto"/>
                <w:kern w:val="0"/>
                <w:sz w:val="22"/>
                <w:szCs w:val="22"/>
              </w:rPr>
              <w:t>投标有效期</w:t>
            </w:r>
          </w:p>
        </w:tc>
        <w:tc>
          <w:tcPr>
            <w:tcW w:w="1756" w:type="dxa"/>
            <w:noWrap w:val="0"/>
            <w:vAlign w:val="center"/>
          </w:tcPr>
          <w:p>
            <w:pPr>
              <w:jc w:val="center"/>
              <w:rPr>
                <w:rFonts w:hint="eastAsia" w:ascii="宋体" w:hAnsi="宋体" w:cs="宋体"/>
                <w:i w:val="0"/>
                <w:iCs w:val="0"/>
                <w:color w:val="auto"/>
                <w:kern w:val="0"/>
                <w:sz w:val="22"/>
                <w:szCs w:val="22"/>
              </w:rPr>
            </w:pPr>
            <w:r>
              <w:rPr>
                <w:rFonts w:hint="eastAsia" w:ascii="宋体" w:hAnsi="宋体" w:cs="宋体"/>
                <w:i w:val="0"/>
                <w:iCs w:val="0"/>
                <w:color w:val="auto"/>
                <w:kern w:val="0"/>
                <w:sz w:val="22"/>
                <w:szCs w:val="22"/>
              </w:rPr>
              <w:t>本项目投标有效期为开标后60天</w:t>
            </w:r>
          </w:p>
        </w:tc>
        <w:tc>
          <w:tcPr>
            <w:tcW w:w="914" w:type="dxa"/>
            <w:noWrap w:val="0"/>
            <w:vAlign w:val="center"/>
          </w:tcPr>
          <w:p>
            <w:pPr>
              <w:jc w:val="left"/>
              <w:rPr>
                <w:rFonts w:hint="eastAsia" w:ascii="宋体" w:hAnsi="宋体" w:cs="宋体"/>
                <w:b/>
                <w:bCs/>
                <w:i w:val="0"/>
                <w:iCs w:val="0"/>
                <w:color w:val="auto"/>
                <w:kern w:val="0"/>
                <w:sz w:val="22"/>
                <w:szCs w:val="22"/>
              </w:rPr>
            </w:pPr>
          </w:p>
        </w:tc>
        <w:tc>
          <w:tcPr>
            <w:tcW w:w="938" w:type="dxa"/>
            <w:noWrap w:val="0"/>
            <w:vAlign w:val="center"/>
          </w:tcPr>
          <w:p>
            <w:pPr>
              <w:jc w:val="left"/>
              <w:rPr>
                <w:rFonts w:hint="eastAsia" w:ascii="宋体" w:hAnsi="宋体" w:cs="宋体"/>
                <w:b/>
                <w:bCs/>
                <w:i w:val="0"/>
                <w:iCs w:val="0"/>
                <w:color w:val="auto"/>
                <w:kern w:val="0"/>
                <w:sz w:val="22"/>
                <w:szCs w:val="22"/>
              </w:rPr>
            </w:pPr>
          </w:p>
        </w:tc>
        <w:tc>
          <w:tcPr>
            <w:tcW w:w="825" w:type="dxa"/>
            <w:noWrap w:val="0"/>
            <w:vAlign w:val="center"/>
          </w:tcPr>
          <w:p>
            <w:pPr>
              <w:jc w:val="left"/>
              <w:rPr>
                <w:rFonts w:hint="eastAsia" w:ascii="宋体" w:hAnsi="宋体" w:cs="宋体"/>
                <w:b/>
                <w:bCs/>
                <w:i w:val="0"/>
                <w:iCs w:val="0"/>
                <w:color w:val="auto"/>
                <w:kern w:val="0"/>
                <w:sz w:val="22"/>
                <w:szCs w:val="22"/>
              </w:rPr>
            </w:pPr>
          </w:p>
        </w:tc>
        <w:tc>
          <w:tcPr>
            <w:tcW w:w="2400" w:type="dxa"/>
            <w:noWrap w:val="0"/>
            <w:vAlign w:val="center"/>
          </w:tcPr>
          <w:p>
            <w:pPr>
              <w:jc w:val="left"/>
              <w:rPr>
                <w:rFonts w:hint="eastAsia" w:ascii="宋体" w:hAnsi="宋体" w:cs="宋体"/>
                <w:i w:val="0"/>
                <w:iCs w:val="0"/>
                <w:color w:val="auto"/>
                <w:kern w:val="0"/>
                <w:sz w:val="22"/>
                <w:szCs w:val="22"/>
              </w:rPr>
            </w:pPr>
            <w:r>
              <w:rPr>
                <w:rFonts w:hint="eastAsia" w:ascii="宋体" w:hAnsi="宋体" w:cs="宋体"/>
                <w:i w:val="0"/>
                <w:iCs w:val="0"/>
                <w:color w:val="auto"/>
                <w:kern w:val="0"/>
                <w:sz w:val="22"/>
                <w:szCs w:val="22"/>
              </w:rPr>
              <w:t>见投标函。</w:t>
            </w:r>
          </w:p>
          <w:p>
            <w:pPr>
              <w:jc w:val="left"/>
              <w:rPr>
                <w:rFonts w:hint="eastAsia" w:ascii="宋体" w:hAnsi="宋体" w:cs="宋体"/>
                <w:i w:val="0"/>
                <w:iCs w:val="0"/>
                <w:color w:val="auto"/>
                <w:kern w:val="0"/>
                <w:sz w:val="22"/>
                <w:szCs w:val="22"/>
              </w:rPr>
            </w:pPr>
            <w:r>
              <w:rPr>
                <w:rFonts w:hint="eastAsia" w:ascii="宋体" w:hAnsi="宋体" w:cs="宋体"/>
                <w:i w:val="0"/>
                <w:iCs w:val="0"/>
                <w:color w:val="auto"/>
                <w:kern w:val="0"/>
                <w:sz w:val="22"/>
                <w:szCs w:val="22"/>
              </w:rPr>
              <w:t>如承诺的投标有效期短于此规定时间的，将被视为非响应性投标而予以拒绝。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spacing w:line="300" w:lineRule="exact"/>
              <w:jc w:val="center"/>
              <w:rPr>
                <w:rFonts w:hint="eastAsia"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3</w:t>
            </w:r>
          </w:p>
        </w:tc>
        <w:tc>
          <w:tcPr>
            <w:tcW w:w="2835" w:type="dxa"/>
            <w:noWrap w:val="0"/>
            <w:vAlign w:val="center"/>
          </w:tcPr>
          <w:p>
            <w:pPr>
              <w:spacing w:line="300" w:lineRule="exact"/>
              <w:jc w:val="center"/>
              <w:rPr>
                <w:rFonts w:hint="eastAsia" w:ascii="宋体" w:hAnsi="宋体" w:cs="宋体"/>
                <w:kern w:val="0"/>
                <w:sz w:val="22"/>
                <w:szCs w:val="22"/>
              </w:rPr>
            </w:pPr>
            <w:r>
              <w:rPr>
                <w:rFonts w:hint="eastAsia" w:ascii="宋体" w:hAnsi="宋体" w:cs="宋体"/>
                <w:color w:val="0000FF"/>
                <w:kern w:val="0"/>
                <w:sz w:val="22"/>
                <w:szCs w:val="22"/>
              </w:rPr>
              <w:t>质保期</w:t>
            </w:r>
          </w:p>
        </w:tc>
        <w:tc>
          <w:tcPr>
            <w:tcW w:w="1756" w:type="dxa"/>
            <w:noWrap w:val="0"/>
            <w:vAlign w:val="center"/>
          </w:tcPr>
          <w:p>
            <w:pPr>
              <w:spacing w:line="300" w:lineRule="exact"/>
              <w:jc w:val="center"/>
              <w:rPr>
                <w:rFonts w:hint="eastAsia" w:ascii="宋体" w:hAnsi="宋体" w:cs="宋体"/>
                <w:kern w:val="0"/>
                <w:sz w:val="22"/>
                <w:szCs w:val="22"/>
              </w:rPr>
            </w:pPr>
          </w:p>
        </w:tc>
        <w:tc>
          <w:tcPr>
            <w:tcW w:w="914" w:type="dxa"/>
            <w:noWrap w:val="0"/>
            <w:vAlign w:val="center"/>
          </w:tcPr>
          <w:p>
            <w:pPr>
              <w:spacing w:line="300" w:lineRule="exact"/>
              <w:jc w:val="left"/>
              <w:rPr>
                <w:rFonts w:hint="eastAsia" w:ascii="宋体" w:hAnsi="宋体" w:cs="宋体"/>
                <w:b/>
                <w:bCs/>
                <w:kern w:val="0"/>
                <w:sz w:val="22"/>
                <w:szCs w:val="22"/>
              </w:rPr>
            </w:pPr>
          </w:p>
        </w:tc>
        <w:tc>
          <w:tcPr>
            <w:tcW w:w="938" w:type="dxa"/>
            <w:noWrap w:val="0"/>
            <w:vAlign w:val="center"/>
          </w:tcPr>
          <w:p>
            <w:pPr>
              <w:spacing w:line="300" w:lineRule="exact"/>
              <w:jc w:val="left"/>
              <w:rPr>
                <w:rFonts w:hint="eastAsia" w:ascii="宋体" w:hAnsi="宋体" w:cs="宋体"/>
                <w:b/>
                <w:bCs/>
                <w:kern w:val="0"/>
                <w:sz w:val="22"/>
                <w:szCs w:val="22"/>
              </w:rPr>
            </w:pPr>
          </w:p>
        </w:tc>
        <w:tc>
          <w:tcPr>
            <w:tcW w:w="825" w:type="dxa"/>
            <w:noWrap w:val="0"/>
            <w:vAlign w:val="center"/>
          </w:tcPr>
          <w:p>
            <w:pPr>
              <w:spacing w:line="300" w:lineRule="exact"/>
              <w:jc w:val="left"/>
              <w:rPr>
                <w:rFonts w:hint="eastAsia" w:ascii="宋体" w:hAnsi="宋体" w:cs="宋体"/>
                <w:b/>
                <w:bCs/>
                <w:kern w:val="0"/>
                <w:sz w:val="22"/>
                <w:szCs w:val="22"/>
              </w:rPr>
            </w:pPr>
          </w:p>
        </w:tc>
        <w:tc>
          <w:tcPr>
            <w:tcW w:w="2400" w:type="dxa"/>
            <w:noWrap w:val="0"/>
            <w:vAlign w:val="center"/>
          </w:tcPr>
          <w:p>
            <w:pPr>
              <w:spacing w:line="300" w:lineRule="exact"/>
              <w:jc w:val="left"/>
              <w:rPr>
                <w:rFonts w:hint="eastAsia" w:ascii="宋体" w:hAnsi="宋体" w:cs="宋体"/>
                <w:kern w:val="0"/>
                <w:sz w:val="22"/>
                <w:szCs w:val="22"/>
              </w:rPr>
            </w:pPr>
            <w:r>
              <w:rPr>
                <w:rFonts w:hint="eastAsia" w:ascii="宋体" w:hAnsi="宋体" w:cs="宋体"/>
                <w:color w:val="0000FF"/>
                <w:kern w:val="0"/>
                <w:sz w:val="22"/>
                <w:szCs w:val="22"/>
              </w:rPr>
              <w:t>投标人的投标文件中必须对此予以实质性响应。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4</w:t>
            </w:r>
          </w:p>
        </w:tc>
        <w:tc>
          <w:tcPr>
            <w:tcW w:w="283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投标书主要内容无模糊不清、无法辨认，影响标书评审的情形。</w:t>
            </w:r>
          </w:p>
        </w:tc>
        <w:tc>
          <w:tcPr>
            <w:tcW w:w="1756" w:type="dxa"/>
            <w:noWrap w:val="0"/>
            <w:vAlign w:val="center"/>
          </w:tcPr>
          <w:p>
            <w:pPr>
              <w:jc w:val="center"/>
              <w:rPr>
                <w:rFonts w:hint="eastAsia" w:ascii="宋体" w:hAnsi="宋体" w:cs="宋体"/>
                <w:kern w:val="0"/>
                <w:sz w:val="22"/>
                <w:szCs w:val="22"/>
              </w:rPr>
            </w:pPr>
          </w:p>
        </w:tc>
        <w:tc>
          <w:tcPr>
            <w:tcW w:w="914" w:type="dxa"/>
            <w:noWrap w:val="0"/>
            <w:vAlign w:val="center"/>
          </w:tcPr>
          <w:p>
            <w:pPr>
              <w:jc w:val="left"/>
              <w:rPr>
                <w:rFonts w:hint="eastAsia" w:ascii="宋体" w:hAnsi="宋体" w:cs="宋体"/>
                <w:b/>
                <w:bCs/>
                <w:kern w:val="0"/>
                <w:sz w:val="22"/>
                <w:szCs w:val="22"/>
              </w:rPr>
            </w:pPr>
          </w:p>
        </w:tc>
        <w:tc>
          <w:tcPr>
            <w:tcW w:w="938" w:type="dxa"/>
            <w:noWrap w:val="0"/>
            <w:vAlign w:val="center"/>
          </w:tcPr>
          <w:p>
            <w:pPr>
              <w:jc w:val="left"/>
              <w:rPr>
                <w:rFonts w:hint="eastAsia" w:ascii="宋体" w:hAnsi="宋体" w:cs="宋体"/>
                <w:b/>
                <w:bCs/>
                <w:kern w:val="0"/>
                <w:sz w:val="22"/>
                <w:szCs w:val="22"/>
              </w:rPr>
            </w:pPr>
          </w:p>
        </w:tc>
        <w:tc>
          <w:tcPr>
            <w:tcW w:w="825" w:type="dxa"/>
            <w:noWrap w:val="0"/>
            <w:vAlign w:val="center"/>
          </w:tcPr>
          <w:p>
            <w:pPr>
              <w:jc w:val="left"/>
              <w:rPr>
                <w:rFonts w:hint="eastAsia" w:ascii="宋体" w:hAnsi="宋体" w:cs="宋体"/>
                <w:b/>
                <w:bCs/>
                <w:kern w:val="0"/>
                <w:sz w:val="22"/>
                <w:szCs w:val="22"/>
              </w:rPr>
            </w:pPr>
          </w:p>
        </w:tc>
        <w:tc>
          <w:tcPr>
            <w:tcW w:w="2400" w:type="dxa"/>
            <w:noWrap w:val="0"/>
            <w:vAlign w:val="center"/>
          </w:tcPr>
          <w:p>
            <w:pPr>
              <w:jc w:val="left"/>
              <w:rPr>
                <w:rFonts w:hint="eastAsia" w:ascii="宋体" w:hAnsi="宋体" w:cs="宋体"/>
                <w:kern w:val="0"/>
                <w:sz w:val="22"/>
                <w:szCs w:val="22"/>
              </w:rPr>
            </w:pPr>
            <w:r>
              <w:rPr>
                <w:rFonts w:hint="eastAsia" w:ascii="宋体" w:hAnsi="宋体" w:cs="宋体"/>
                <w:kern w:val="0"/>
                <w:sz w:val="22"/>
                <w:szCs w:val="22"/>
              </w:rPr>
              <w:t>投标书中主要内容模糊不清、无法辨认，评委会不能有效判断其是否已经实质性响应招标文件的要求，有可能导致采购人利益受损，评委会有权将其作为</w:t>
            </w:r>
            <w:r>
              <w:rPr>
                <w:rFonts w:hint="eastAsia" w:ascii="宋体" w:hAnsi="宋体" w:cs="宋体"/>
                <w:b/>
                <w:bCs/>
                <w:color w:val="0000FF"/>
                <w:kern w:val="0"/>
                <w:sz w:val="22"/>
                <w:szCs w:val="22"/>
                <w:u w:val="thick"/>
              </w:rPr>
              <w:t>无效投标</w:t>
            </w:r>
            <w:r>
              <w:rPr>
                <w:rFonts w:hint="eastAsia" w:ascii="宋体" w:hAnsi="宋体" w:cs="宋体"/>
                <w:kern w:val="0"/>
                <w:sz w:val="22"/>
                <w:szCs w:val="22"/>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5"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5</w:t>
            </w:r>
          </w:p>
        </w:tc>
        <w:tc>
          <w:tcPr>
            <w:tcW w:w="2835" w:type="dxa"/>
            <w:noWrap w:val="0"/>
            <w:vAlign w:val="center"/>
          </w:tcPr>
          <w:p>
            <w:pPr>
              <w:jc w:val="center"/>
              <w:rPr>
                <w:rFonts w:ascii="宋体" w:hAnsi="宋体" w:cs="宋体"/>
                <w:kern w:val="0"/>
                <w:sz w:val="22"/>
                <w:szCs w:val="22"/>
              </w:rPr>
            </w:pPr>
            <w:r>
              <w:rPr>
                <w:rFonts w:hint="eastAsia" w:ascii="宋体" w:hAnsi="宋体" w:cs="宋体"/>
                <w:kern w:val="0"/>
                <w:sz w:val="22"/>
                <w:szCs w:val="22"/>
              </w:rPr>
              <w:t>无其他可以作无效投标的情形</w:t>
            </w:r>
          </w:p>
        </w:tc>
        <w:tc>
          <w:tcPr>
            <w:tcW w:w="1756" w:type="dxa"/>
            <w:noWrap w:val="0"/>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914" w:type="dxa"/>
            <w:noWrap w:val="0"/>
            <w:vAlign w:val="center"/>
          </w:tcPr>
          <w:p>
            <w:pPr>
              <w:jc w:val="left"/>
              <w:rPr>
                <w:rFonts w:ascii="宋体" w:hAnsi="宋体" w:cs="宋体"/>
                <w:b/>
                <w:bCs/>
                <w:kern w:val="0"/>
                <w:sz w:val="22"/>
                <w:szCs w:val="22"/>
              </w:rPr>
            </w:pPr>
            <w:r>
              <w:rPr>
                <w:rFonts w:hint="eastAsia" w:ascii="宋体" w:hAnsi="宋体" w:cs="宋体"/>
                <w:b/>
                <w:bCs/>
                <w:kern w:val="0"/>
                <w:sz w:val="22"/>
                <w:szCs w:val="22"/>
              </w:rPr>
              <w:t>　</w:t>
            </w:r>
          </w:p>
        </w:tc>
        <w:tc>
          <w:tcPr>
            <w:tcW w:w="938" w:type="dxa"/>
            <w:noWrap w:val="0"/>
            <w:vAlign w:val="center"/>
          </w:tcPr>
          <w:p>
            <w:pPr>
              <w:jc w:val="left"/>
              <w:rPr>
                <w:rFonts w:ascii="宋体" w:hAnsi="宋体" w:cs="宋体"/>
                <w:b/>
                <w:bCs/>
                <w:kern w:val="0"/>
                <w:sz w:val="22"/>
                <w:szCs w:val="22"/>
              </w:rPr>
            </w:pPr>
            <w:r>
              <w:rPr>
                <w:rFonts w:hint="eastAsia" w:ascii="宋体" w:hAnsi="宋体" w:cs="宋体"/>
                <w:b/>
                <w:bCs/>
                <w:kern w:val="0"/>
                <w:sz w:val="22"/>
                <w:szCs w:val="22"/>
              </w:rPr>
              <w:t>　</w:t>
            </w:r>
          </w:p>
        </w:tc>
        <w:tc>
          <w:tcPr>
            <w:tcW w:w="825" w:type="dxa"/>
            <w:noWrap w:val="0"/>
            <w:vAlign w:val="center"/>
          </w:tcPr>
          <w:p>
            <w:pPr>
              <w:jc w:val="left"/>
              <w:rPr>
                <w:rFonts w:ascii="宋体" w:hAnsi="宋体" w:cs="宋体"/>
                <w:b/>
                <w:bCs/>
                <w:kern w:val="0"/>
                <w:sz w:val="22"/>
                <w:szCs w:val="22"/>
              </w:rPr>
            </w:pPr>
            <w:r>
              <w:rPr>
                <w:rFonts w:hint="eastAsia" w:ascii="宋体" w:hAnsi="宋体" w:cs="宋体"/>
                <w:b/>
                <w:bCs/>
                <w:kern w:val="0"/>
                <w:sz w:val="22"/>
                <w:szCs w:val="22"/>
              </w:rPr>
              <w:t>　</w:t>
            </w:r>
          </w:p>
        </w:tc>
        <w:tc>
          <w:tcPr>
            <w:tcW w:w="2400" w:type="dxa"/>
            <w:noWrap w:val="0"/>
            <w:vAlign w:val="center"/>
          </w:tcPr>
          <w:p>
            <w:pPr>
              <w:jc w:val="left"/>
              <w:rPr>
                <w:rFonts w:ascii="宋体" w:hAnsi="宋体" w:cs="宋体"/>
                <w:kern w:val="0"/>
                <w:sz w:val="22"/>
                <w:szCs w:val="22"/>
              </w:rPr>
            </w:pPr>
            <w:r>
              <w:rPr>
                <w:rFonts w:hint="eastAsia" w:ascii="宋体" w:hAnsi="宋体" w:cs="宋体"/>
                <w:kern w:val="0"/>
                <w:sz w:val="22"/>
                <w:szCs w:val="22"/>
              </w:rPr>
              <w:t>　招标文件或法律法规明确规定作无效投标处理的。</w:t>
            </w:r>
          </w:p>
        </w:tc>
      </w:tr>
      <w:tr>
        <w:tblPrEx>
          <w:tblLayout w:type="fixed"/>
          <w:tblCellMar>
            <w:top w:w="0" w:type="dxa"/>
            <w:left w:w="108" w:type="dxa"/>
            <w:bottom w:w="0" w:type="dxa"/>
            <w:right w:w="108" w:type="dxa"/>
          </w:tblCellMar>
        </w:tblPrEx>
        <w:trPr>
          <w:trHeight w:val="393" w:hRule="atLeast"/>
          <w:jc w:val="center"/>
        </w:trPr>
        <w:tc>
          <w:tcPr>
            <w:tcW w:w="3550" w:type="dxa"/>
            <w:gridSpan w:val="2"/>
            <w:noWrap w:val="0"/>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不通过原因说明</w:t>
            </w:r>
          </w:p>
        </w:tc>
        <w:tc>
          <w:tcPr>
            <w:tcW w:w="6833" w:type="dxa"/>
            <w:gridSpan w:val="5"/>
            <w:noWrap w:val="0"/>
            <w:vAlign w:val="center"/>
          </w:tcPr>
          <w:p>
            <w:pPr>
              <w:jc w:val="center"/>
              <w:rPr>
                <w:rFonts w:ascii="宋体" w:hAnsi="宋体" w:cs="宋体"/>
                <w:b/>
                <w:bCs/>
                <w:kern w:val="0"/>
                <w:sz w:val="22"/>
                <w:szCs w:val="22"/>
              </w:rPr>
            </w:pPr>
            <w:r>
              <w:rPr>
                <w:rFonts w:hint="eastAsia" w:ascii="宋体" w:hAnsi="宋体" w:cs="宋体"/>
                <w:b/>
                <w:bCs/>
                <w:kern w:val="0"/>
                <w:sz w:val="22"/>
                <w:szCs w:val="22"/>
              </w:rPr>
              <w:t>　</w:t>
            </w:r>
          </w:p>
        </w:tc>
      </w:tr>
    </w:tbl>
    <w:p>
      <w:pPr>
        <w:spacing w:line="360" w:lineRule="auto"/>
        <w:ind w:firstLine="480" w:firstLineChars="200"/>
        <w:jc w:val="left"/>
        <w:rPr>
          <w:rFonts w:hint="eastAsia" w:ascii="宋体" w:hAnsi="宋体" w:cs="宋体"/>
          <w:sz w:val="24"/>
        </w:rPr>
      </w:pPr>
      <w:r>
        <w:rPr>
          <w:rFonts w:hint="eastAsia" w:ascii="宋体" w:hAnsi="宋体" w:cs="宋体"/>
          <w:sz w:val="24"/>
        </w:rPr>
        <w:t>1．初审时评委对投标人是否满足要求逐条标注评审意见，符合招标文件要求的为“√”，不符合招标文件要求的为“×”；</w:t>
      </w:r>
    </w:p>
    <w:p>
      <w:pPr>
        <w:spacing w:line="360" w:lineRule="auto"/>
        <w:ind w:firstLine="480" w:firstLineChars="200"/>
        <w:jc w:val="left"/>
        <w:rPr>
          <w:rFonts w:hint="eastAsia" w:ascii="宋体" w:hAnsi="宋体" w:cs="宋体"/>
          <w:sz w:val="24"/>
        </w:rPr>
      </w:pPr>
      <w:r>
        <w:rPr>
          <w:rFonts w:hint="eastAsia" w:ascii="宋体" w:hAnsi="宋体" w:cs="宋体"/>
          <w:sz w:val="24"/>
        </w:rPr>
        <w:t>2．评审结论栏统一填写为“通过”或“不通过” ，出现一个“×”为“不通过”；</w:t>
      </w:r>
    </w:p>
    <w:p>
      <w:pPr>
        <w:spacing w:line="360" w:lineRule="auto"/>
        <w:ind w:firstLine="480" w:firstLineChars="200"/>
        <w:jc w:val="left"/>
        <w:rPr>
          <w:rFonts w:hint="eastAsia" w:ascii="宋体" w:hAnsi="宋体" w:cs="宋体"/>
          <w:sz w:val="24"/>
        </w:rPr>
      </w:pPr>
      <w:r>
        <w:rPr>
          <w:rFonts w:hint="eastAsia" w:ascii="宋体" w:hAnsi="宋体" w:cs="宋体"/>
          <w:sz w:val="24"/>
        </w:rPr>
        <w:t>3．对结论为“不通过”的投标，要说明原因。</w:t>
      </w:r>
    </w:p>
    <w:p>
      <w:pPr>
        <w:spacing w:line="360" w:lineRule="auto"/>
        <w:ind w:firstLine="480" w:firstLineChars="200"/>
        <w:jc w:val="left"/>
        <w:rPr>
          <w:rFonts w:hint="eastAsia" w:ascii="宋体" w:hAnsi="宋体" w:cs="宋体"/>
          <w:kern w:val="0"/>
          <w:sz w:val="24"/>
          <w:szCs w:val="24"/>
        </w:rPr>
      </w:pPr>
      <w:r>
        <w:rPr>
          <w:rFonts w:hint="eastAsia" w:ascii="宋体" w:hAnsi="宋体" w:cs="宋体"/>
          <w:sz w:val="24"/>
          <w:szCs w:val="24"/>
        </w:rPr>
        <w:t xml:space="preserve">4. </w:t>
      </w:r>
      <w:r>
        <w:rPr>
          <w:rFonts w:hint="eastAsia" w:ascii="宋体" w:hAnsi="宋体" w:cs="宋体"/>
          <w:kern w:val="0"/>
          <w:sz w:val="24"/>
          <w:szCs w:val="24"/>
        </w:rPr>
        <w:t>初审不通过的不参与复审。</w:t>
      </w:r>
    </w:p>
    <w:p>
      <w:pPr>
        <w:spacing w:line="360" w:lineRule="auto"/>
        <w:ind w:firstLine="482" w:firstLineChars="200"/>
        <w:jc w:val="left"/>
        <w:outlineLvl w:val="2"/>
        <w:rPr>
          <w:rFonts w:hint="eastAsia" w:ascii="宋体" w:hAnsi="宋体" w:cs="宋体"/>
          <w:b/>
          <w:bCs/>
          <w:sz w:val="24"/>
          <w:szCs w:val="24"/>
        </w:rPr>
      </w:pPr>
      <w:bookmarkStart w:id="31" w:name="_Toc4978"/>
      <w:bookmarkStart w:id="32" w:name="_Toc31549"/>
      <w:bookmarkStart w:id="33" w:name="_Toc4991"/>
      <w:bookmarkStart w:id="34" w:name="_Toc12798"/>
      <w:bookmarkStart w:id="35" w:name="_Toc31113"/>
      <w:bookmarkStart w:id="36" w:name="_Toc20953"/>
      <w:bookmarkStart w:id="37" w:name="_Toc19087"/>
      <w:r>
        <w:rPr>
          <w:rFonts w:hint="eastAsia" w:ascii="宋体" w:hAnsi="宋体" w:cs="宋体"/>
          <w:b/>
          <w:bCs/>
          <w:sz w:val="24"/>
          <w:szCs w:val="24"/>
        </w:rPr>
        <w:t>二、复审</w:t>
      </w:r>
      <w:bookmarkEnd w:id="31"/>
      <w:bookmarkEnd w:id="32"/>
      <w:bookmarkEnd w:id="33"/>
      <w:bookmarkEnd w:id="34"/>
      <w:bookmarkEnd w:id="35"/>
      <w:bookmarkEnd w:id="36"/>
      <w:bookmarkEnd w:id="37"/>
    </w:p>
    <w:p>
      <w:pPr>
        <w:tabs>
          <w:tab w:val="left" w:pos="720"/>
        </w:tabs>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1、投标文件的复审：在复审阶段，评委会将采用综合评分法，满分为100分；</w:t>
      </w:r>
    </w:p>
    <w:p>
      <w:pPr>
        <w:tabs>
          <w:tab w:val="left" w:pos="720"/>
        </w:tabs>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2、每个评委对各个投标人进行独立评分，汇总每个评委分数后计算的算术平均值为每个投标人最终的得分；</w:t>
      </w:r>
    </w:p>
    <w:p>
      <w:pPr>
        <w:tabs>
          <w:tab w:val="left" w:pos="720"/>
        </w:tabs>
        <w:spacing w:line="360" w:lineRule="auto"/>
        <w:ind w:firstLine="480" w:firstLineChars="200"/>
        <w:jc w:val="left"/>
        <w:rPr>
          <w:rFonts w:hint="eastAsia" w:ascii="宋体" w:hAnsi="宋体" w:cs="宋体"/>
          <w:sz w:val="24"/>
          <w:szCs w:val="24"/>
        </w:rPr>
      </w:pPr>
      <w:r>
        <w:rPr>
          <w:rFonts w:hint="eastAsia" w:ascii="宋体" w:hAnsi="宋体" w:cs="宋体"/>
          <w:sz w:val="24"/>
          <w:szCs w:val="24"/>
        </w:rPr>
        <w:t>3、计算结果取两位小数，第三位四舍五入；</w:t>
      </w:r>
    </w:p>
    <w:p>
      <w:pPr>
        <w:tabs>
          <w:tab w:val="left" w:pos="720"/>
        </w:tabs>
        <w:spacing w:line="360" w:lineRule="auto"/>
        <w:ind w:firstLine="480" w:firstLineChars="200"/>
        <w:rPr>
          <w:rFonts w:hint="eastAsia" w:ascii="宋体" w:hAnsi="宋体" w:cs="宋体"/>
          <w:b/>
          <w:bCs/>
          <w:sz w:val="24"/>
          <w:szCs w:val="24"/>
        </w:rPr>
      </w:pPr>
      <w:r>
        <w:rPr>
          <w:rFonts w:hint="eastAsia" w:ascii="宋体" w:hAnsi="宋体" w:cs="宋体"/>
          <w:sz w:val="24"/>
          <w:szCs w:val="24"/>
        </w:rPr>
        <w:t>评分细则如下：</w:t>
      </w:r>
      <w:bookmarkStart w:id="38" w:name="_Toc12610"/>
      <w:bookmarkStart w:id="39" w:name="_Toc31068"/>
    </w:p>
    <w:tbl>
      <w:tblPr>
        <w:tblStyle w:val="7"/>
        <w:tblpPr w:leftFromText="180" w:rightFromText="180" w:vertAnchor="page" w:horzAnchor="page" w:tblpX="1200" w:tblpY="1413"/>
        <w:tblOverlap w:val="never"/>
        <w:tblW w:w="9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185"/>
        <w:gridCol w:w="675"/>
        <w:gridCol w:w="6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80" w:type="dxa"/>
            <w:noWrap w:val="0"/>
            <w:vAlign w:val="center"/>
          </w:tcPr>
          <w:p>
            <w:pPr>
              <w:spacing w:line="312" w:lineRule="auto"/>
              <w:rPr>
                <w:rFonts w:hint="eastAsia" w:ascii="宋体" w:hAnsi="宋体" w:cs="宋体"/>
                <w:b/>
                <w:bCs/>
                <w:sz w:val="22"/>
                <w:szCs w:val="22"/>
              </w:rPr>
            </w:pPr>
            <w:r>
              <w:rPr>
                <w:rFonts w:hint="eastAsia" w:ascii="宋体" w:hAnsi="宋体" w:cs="宋体"/>
                <w:b/>
                <w:bCs/>
                <w:sz w:val="22"/>
                <w:szCs w:val="22"/>
              </w:rPr>
              <w:t>计分类别</w:t>
            </w:r>
          </w:p>
        </w:tc>
        <w:tc>
          <w:tcPr>
            <w:tcW w:w="1185" w:type="dxa"/>
            <w:noWrap w:val="0"/>
            <w:vAlign w:val="center"/>
          </w:tcPr>
          <w:p>
            <w:pPr>
              <w:spacing w:line="312" w:lineRule="auto"/>
              <w:jc w:val="center"/>
              <w:rPr>
                <w:rFonts w:hint="eastAsia" w:ascii="宋体" w:hAnsi="宋体" w:cs="宋体"/>
                <w:b/>
                <w:bCs/>
                <w:sz w:val="22"/>
                <w:szCs w:val="22"/>
              </w:rPr>
            </w:pPr>
            <w:r>
              <w:rPr>
                <w:rFonts w:hint="eastAsia" w:ascii="宋体" w:hAnsi="宋体" w:cs="宋体"/>
                <w:b/>
                <w:bCs/>
                <w:sz w:val="22"/>
                <w:szCs w:val="22"/>
              </w:rPr>
              <w:t>计分因素</w:t>
            </w:r>
          </w:p>
        </w:tc>
        <w:tc>
          <w:tcPr>
            <w:tcW w:w="675" w:type="dxa"/>
            <w:noWrap w:val="0"/>
            <w:vAlign w:val="center"/>
          </w:tcPr>
          <w:p>
            <w:pPr>
              <w:spacing w:line="312" w:lineRule="auto"/>
              <w:jc w:val="center"/>
              <w:rPr>
                <w:rFonts w:hint="eastAsia" w:ascii="宋体" w:hAnsi="宋体" w:cs="宋体"/>
                <w:b/>
                <w:bCs/>
                <w:sz w:val="22"/>
                <w:szCs w:val="22"/>
              </w:rPr>
            </w:pPr>
            <w:r>
              <w:rPr>
                <w:rFonts w:hint="eastAsia" w:ascii="宋体" w:hAnsi="宋体" w:cs="宋体"/>
                <w:b/>
                <w:bCs/>
                <w:sz w:val="22"/>
                <w:szCs w:val="22"/>
              </w:rPr>
              <w:t>分值</w:t>
            </w:r>
          </w:p>
        </w:tc>
        <w:tc>
          <w:tcPr>
            <w:tcW w:w="6670" w:type="dxa"/>
            <w:noWrap w:val="0"/>
            <w:vAlign w:val="center"/>
          </w:tcPr>
          <w:p>
            <w:pPr>
              <w:spacing w:line="312" w:lineRule="auto"/>
              <w:ind w:firstLine="200"/>
              <w:jc w:val="center"/>
              <w:rPr>
                <w:rFonts w:hint="eastAsia" w:ascii="宋体" w:hAnsi="宋体" w:cs="宋体"/>
                <w:b/>
                <w:bCs/>
                <w:sz w:val="22"/>
                <w:szCs w:val="22"/>
              </w:rPr>
            </w:pPr>
            <w:r>
              <w:rPr>
                <w:rFonts w:hint="eastAsia" w:ascii="宋体" w:hAnsi="宋体" w:cs="宋体"/>
                <w:b/>
                <w:bCs/>
                <w:sz w:val="22"/>
                <w:szCs w:val="22"/>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80" w:type="dxa"/>
            <w:noWrap w:val="0"/>
            <w:vAlign w:val="center"/>
          </w:tcPr>
          <w:p>
            <w:pPr>
              <w:spacing w:line="312" w:lineRule="auto"/>
              <w:jc w:val="center"/>
              <w:rPr>
                <w:rFonts w:hint="eastAsia" w:ascii="宋体" w:hAnsi="宋体" w:cs="宋体"/>
                <w:b/>
                <w:sz w:val="22"/>
                <w:szCs w:val="22"/>
              </w:rPr>
            </w:pPr>
            <w:r>
              <w:rPr>
                <w:rFonts w:hint="eastAsia" w:ascii="宋体" w:hAnsi="宋体" w:cs="宋体"/>
                <w:b/>
                <w:sz w:val="22"/>
                <w:szCs w:val="22"/>
              </w:rPr>
              <w:t>价格分</w:t>
            </w:r>
          </w:p>
          <w:p>
            <w:pPr>
              <w:spacing w:line="312" w:lineRule="auto"/>
              <w:jc w:val="center"/>
              <w:rPr>
                <w:rFonts w:hint="eastAsia" w:ascii="宋体" w:hAnsi="宋体" w:cs="宋体"/>
                <w:b/>
                <w:sz w:val="22"/>
                <w:szCs w:val="22"/>
              </w:rPr>
            </w:pPr>
            <w:r>
              <w:rPr>
                <w:rFonts w:hint="eastAsia" w:ascii="宋体" w:hAnsi="宋体" w:cs="宋体"/>
                <w:b/>
                <w:sz w:val="22"/>
                <w:szCs w:val="22"/>
              </w:rPr>
              <w:t>（</w:t>
            </w:r>
            <w:r>
              <w:rPr>
                <w:rFonts w:hint="eastAsia" w:ascii="宋体" w:hAnsi="宋体" w:cs="宋体"/>
                <w:b/>
                <w:sz w:val="22"/>
                <w:szCs w:val="22"/>
                <w:lang w:val="en-US" w:eastAsia="zh-CN"/>
              </w:rPr>
              <w:t>40</w:t>
            </w:r>
            <w:r>
              <w:rPr>
                <w:rFonts w:hint="eastAsia" w:ascii="宋体" w:hAnsi="宋体" w:cs="宋体"/>
                <w:b/>
                <w:sz w:val="22"/>
                <w:szCs w:val="22"/>
              </w:rPr>
              <w:t>分）</w:t>
            </w:r>
          </w:p>
        </w:tc>
        <w:tc>
          <w:tcPr>
            <w:tcW w:w="1185" w:type="dxa"/>
            <w:noWrap w:val="0"/>
            <w:vAlign w:val="center"/>
          </w:tcPr>
          <w:p>
            <w:pPr>
              <w:spacing w:line="312" w:lineRule="auto"/>
              <w:jc w:val="center"/>
              <w:rPr>
                <w:rFonts w:hint="eastAsia" w:ascii="宋体" w:hAnsi="宋体" w:cs="宋体"/>
                <w:b/>
                <w:bCs/>
                <w:sz w:val="22"/>
                <w:szCs w:val="22"/>
              </w:rPr>
            </w:pPr>
            <w:r>
              <w:rPr>
                <w:rFonts w:hint="eastAsia" w:ascii="宋体" w:hAnsi="宋体" w:cs="宋体"/>
                <w:b/>
                <w:bCs/>
                <w:sz w:val="22"/>
                <w:szCs w:val="22"/>
              </w:rPr>
              <w:t>投标报价</w:t>
            </w:r>
          </w:p>
        </w:tc>
        <w:tc>
          <w:tcPr>
            <w:tcW w:w="675" w:type="dxa"/>
            <w:noWrap w:val="0"/>
            <w:vAlign w:val="center"/>
          </w:tcPr>
          <w:p>
            <w:pPr>
              <w:spacing w:line="312" w:lineRule="auto"/>
              <w:jc w:val="center"/>
              <w:rPr>
                <w:rFonts w:hint="eastAsia" w:ascii="宋体" w:hAnsi="宋体" w:cs="宋体"/>
                <w:b/>
                <w:bCs/>
                <w:sz w:val="22"/>
                <w:szCs w:val="22"/>
              </w:rPr>
            </w:pPr>
            <w:r>
              <w:rPr>
                <w:rFonts w:hint="eastAsia" w:ascii="宋体" w:hAnsi="宋体" w:cs="宋体"/>
                <w:b/>
                <w:bCs/>
                <w:sz w:val="22"/>
                <w:szCs w:val="22"/>
                <w:lang w:val="en-US" w:eastAsia="zh-CN"/>
              </w:rPr>
              <w:t>40</w:t>
            </w:r>
          </w:p>
        </w:tc>
        <w:tc>
          <w:tcPr>
            <w:tcW w:w="6670" w:type="dxa"/>
            <w:noWrap w:val="0"/>
            <w:vAlign w:val="center"/>
          </w:tcPr>
          <w:p>
            <w:pPr>
              <w:widowControl/>
              <w:numPr>
                <w:ilvl w:val="0"/>
                <w:numId w:val="0"/>
              </w:numPr>
              <w:spacing w:line="360" w:lineRule="auto"/>
              <w:ind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价格分统一采用低价优先法，即初审通过且投标价格最低的投标报价为评标基准价，其价格分为满分40分。其他投标人的价格分统一按照下列公式计算：</w:t>
            </w:r>
          </w:p>
          <w:p>
            <w:pPr>
              <w:widowControl/>
              <w:numPr>
                <w:ilvl w:val="0"/>
                <w:numId w:val="0"/>
              </w:numPr>
              <w:spacing w:line="360" w:lineRule="auto"/>
              <w:ind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投标报价得分＝（评标基准价/投标报价）×40</w:t>
            </w:r>
          </w:p>
          <w:p>
            <w:pPr>
              <w:widowControl/>
              <w:numPr>
                <w:ilvl w:val="0"/>
                <w:numId w:val="0"/>
              </w:numPr>
              <w:spacing w:line="360" w:lineRule="auto"/>
              <w:ind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结果取两位小数，第三位四舍五入。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180" w:type="dxa"/>
            <w:vMerge w:val="restart"/>
            <w:noWrap w:val="0"/>
            <w:vAlign w:val="center"/>
          </w:tcPr>
          <w:p>
            <w:pPr>
              <w:spacing w:line="312" w:lineRule="auto"/>
              <w:jc w:val="center"/>
              <w:rPr>
                <w:rFonts w:hint="eastAsia" w:ascii="宋体" w:hAnsi="宋体" w:cs="宋体"/>
                <w:b/>
                <w:bCs w:val="0"/>
                <w:sz w:val="22"/>
                <w:szCs w:val="22"/>
              </w:rPr>
            </w:pPr>
            <w:r>
              <w:rPr>
                <w:rFonts w:hint="eastAsia" w:ascii="宋体" w:hAnsi="宋体" w:cs="宋体"/>
                <w:b/>
                <w:bCs w:val="0"/>
                <w:sz w:val="22"/>
                <w:szCs w:val="22"/>
                <w:lang w:eastAsia="zh-CN"/>
              </w:rPr>
              <w:t>技术</w:t>
            </w:r>
            <w:r>
              <w:rPr>
                <w:rFonts w:hint="eastAsia" w:ascii="宋体" w:hAnsi="宋体" w:cs="宋体"/>
                <w:b/>
                <w:bCs w:val="0"/>
                <w:sz w:val="22"/>
                <w:szCs w:val="22"/>
              </w:rPr>
              <w:t>部分</w:t>
            </w:r>
          </w:p>
          <w:p>
            <w:pPr>
              <w:spacing w:line="312" w:lineRule="auto"/>
              <w:jc w:val="center"/>
              <w:rPr>
                <w:rFonts w:hint="eastAsia" w:ascii="宋体" w:hAnsi="宋体" w:cs="宋体"/>
                <w:b/>
                <w:bCs w:val="0"/>
                <w:sz w:val="22"/>
                <w:szCs w:val="22"/>
              </w:rPr>
            </w:pPr>
            <w:r>
              <w:rPr>
                <w:rFonts w:hint="eastAsia" w:ascii="宋体" w:hAnsi="宋体" w:cs="宋体"/>
                <w:b/>
                <w:bCs w:val="0"/>
                <w:sz w:val="22"/>
                <w:szCs w:val="22"/>
              </w:rPr>
              <w:t>（</w:t>
            </w:r>
            <w:r>
              <w:rPr>
                <w:rFonts w:hint="eastAsia" w:ascii="宋体" w:hAnsi="宋体" w:cs="宋体"/>
                <w:b/>
                <w:bCs w:val="0"/>
                <w:sz w:val="22"/>
                <w:szCs w:val="22"/>
                <w:lang w:val="en-US" w:eastAsia="zh-CN"/>
              </w:rPr>
              <w:t>44</w:t>
            </w:r>
            <w:r>
              <w:rPr>
                <w:rFonts w:hint="eastAsia" w:ascii="宋体" w:hAnsi="宋体" w:cs="宋体"/>
                <w:b/>
                <w:bCs w:val="0"/>
                <w:sz w:val="22"/>
                <w:szCs w:val="22"/>
              </w:rPr>
              <w:t>分）</w:t>
            </w:r>
          </w:p>
        </w:tc>
        <w:tc>
          <w:tcPr>
            <w:tcW w:w="1185" w:type="dxa"/>
            <w:noWrap w:val="0"/>
            <w:vAlign w:val="center"/>
          </w:tcPr>
          <w:p>
            <w:pPr>
              <w:keepNext/>
              <w:snapToGrid w:val="0"/>
              <w:jc w:val="center"/>
              <w:rPr>
                <w:rFonts w:hint="eastAsia" w:ascii="宋体" w:hAnsi="宋体" w:cs="宋体"/>
                <w:b/>
                <w:bCs w:val="0"/>
                <w:sz w:val="22"/>
                <w:szCs w:val="22"/>
              </w:rPr>
            </w:pPr>
            <w:r>
              <w:rPr>
                <w:rFonts w:hint="eastAsia" w:ascii="宋体" w:hAnsi="宋体" w:cs="Arial"/>
                <w:b/>
                <w:bCs w:val="0"/>
                <w:color w:val="000000"/>
                <w:szCs w:val="21"/>
              </w:rPr>
              <w:t>产品技术响应情况</w:t>
            </w:r>
          </w:p>
        </w:tc>
        <w:tc>
          <w:tcPr>
            <w:tcW w:w="675" w:type="dxa"/>
            <w:noWrap w:val="0"/>
            <w:vAlign w:val="center"/>
          </w:tcPr>
          <w:p>
            <w:pPr>
              <w:spacing w:line="312" w:lineRule="auto"/>
              <w:jc w:val="center"/>
              <w:rPr>
                <w:rFonts w:hint="eastAsia" w:ascii="宋体" w:hAnsi="宋体" w:eastAsia="宋体" w:cs="宋体"/>
                <w:b/>
                <w:bCs/>
                <w:sz w:val="22"/>
                <w:szCs w:val="22"/>
                <w:lang w:eastAsia="zh-CN"/>
              </w:rPr>
            </w:pPr>
            <w:r>
              <w:rPr>
                <w:rFonts w:hint="eastAsia" w:ascii="宋体" w:hAnsi="宋体" w:cs="宋体"/>
                <w:b/>
                <w:bCs/>
                <w:sz w:val="22"/>
                <w:szCs w:val="22"/>
                <w:lang w:val="en-US" w:eastAsia="zh-CN"/>
              </w:rPr>
              <w:t>30</w:t>
            </w:r>
          </w:p>
        </w:tc>
        <w:tc>
          <w:tcPr>
            <w:tcW w:w="6670" w:type="dxa"/>
            <w:noWrap w:val="0"/>
            <w:vAlign w:val="center"/>
          </w:tcPr>
          <w:p>
            <w:pPr>
              <w:widowControl/>
              <w:numPr>
                <w:ilvl w:val="0"/>
                <w:numId w:val="0"/>
              </w:numPr>
              <w:spacing w:line="360" w:lineRule="auto"/>
              <w:ind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1、技术参数中标注“★”的为关键性参数，须完全满足，且若要求提供证明的须提供，否则作无效投标处理；</w:t>
            </w:r>
          </w:p>
          <w:p>
            <w:pPr>
              <w:widowControl/>
              <w:numPr>
                <w:ilvl w:val="0"/>
                <w:numId w:val="0"/>
              </w:numPr>
              <w:spacing w:line="360" w:lineRule="auto"/>
              <w:ind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2、技术参数满分30分，技术参数中未标注“★”号的为一般技术条款，每负偏离一项扣5分，分值0-30。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80" w:type="dxa"/>
            <w:vMerge w:val="continue"/>
            <w:noWrap w:val="0"/>
            <w:vAlign w:val="center"/>
          </w:tcPr>
          <w:p>
            <w:pPr>
              <w:spacing w:line="312" w:lineRule="auto"/>
              <w:jc w:val="center"/>
              <w:rPr>
                <w:rFonts w:hint="eastAsia" w:ascii="宋体" w:hAnsi="宋体" w:cs="宋体"/>
                <w:b/>
                <w:bCs w:val="0"/>
                <w:sz w:val="22"/>
                <w:szCs w:val="22"/>
              </w:rPr>
            </w:pPr>
          </w:p>
        </w:tc>
        <w:tc>
          <w:tcPr>
            <w:tcW w:w="1185" w:type="dxa"/>
            <w:noWrap w:val="0"/>
            <w:vAlign w:val="center"/>
          </w:tcPr>
          <w:p>
            <w:pPr>
              <w:keepNext/>
              <w:snapToGrid w:val="0"/>
              <w:jc w:val="center"/>
              <w:rPr>
                <w:rFonts w:hint="eastAsia" w:ascii="宋体" w:hAnsi="宋体" w:cs="宋体"/>
                <w:b/>
                <w:bCs w:val="0"/>
                <w:sz w:val="22"/>
                <w:szCs w:val="22"/>
              </w:rPr>
            </w:pPr>
            <w:r>
              <w:rPr>
                <w:rFonts w:hint="eastAsia" w:ascii="宋体" w:hAnsi="宋体" w:cs="宋体"/>
                <w:b/>
                <w:bCs/>
                <w:color w:val="auto"/>
                <w:szCs w:val="22"/>
                <w:lang w:val="en-US" w:eastAsia="zh-CN"/>
              </w:rPr>
              <w:t>业绩</w:t>
            </w:r>
          </w:p>
        </w:tc>
        <w:tc>
          <w:tcPr>
            <w:tcW w:w="675" w:type="dxa"/>
            <w:noWrap w:val="0"/>
            <w:vAlign w:val="center"/>
          </w:tcPr>
          <w:p>
            <w:pPr>
              <w:spacing w:line="312" w:lineRule="auto"/>
              <w:jc w:val="cente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10</w:t>
            </w:r>
          </w:p>
        </w:tc>
        <w:tc>
          <w:tcPr>
            <w:tcW w:w="6670" w:type="dxa"/>
            <w:noWrap w:val="0"/>
            <w:vAlign w:val="center"/>
          </w:tcPr>
          <w:p>
            <w:pPr>
              <w:widowControl/>
              <w:numPr>
                <w:ilvl w:val="0"/>
                <w:numId w:val="0"/>
              </w:numPr>
              <w:spacing w:line="360" w:lineRule="auto"/>
              <w:ind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提供2016年1月1日起至今（以签订合同时间为准），所投系列产品被二甲及以上医院采购使用的类似业绩，每提供一项，得2分，满分10分。</w:t>
            </w:r>
          </w:p>
          <w:p>
            <w:pPr>
              <w:spacing w:line="360" w:lineRule="auto"/>
              <w:ind w:firstLine="440" w:firstLineChars="200"/>
              <w:jc w:val="left"/>
              <w:rPr>
                <w:rFonts w:hint="eastAsia" w:ascii="宋体" w:hAnsi="宋体" w:eastAsia="宋体" w:cs="宋体"/>
                <w:sz w:val="22"/>
                <w:szCs w:val="22"/>
              </w:rPr>
            </w:pPr>
            <w:r>
              <w:rPr>
                <w:rFonts w:hint="eastAsia" w:ascii="宋体" w:hAnsi="宋体" w:eastAsia="宋体" w:cs="宋体"/>
                <w:color w:val="000000"/>
                <w:sz w:val="22"/>
                <w:szCs w:val="22"/>
              </w:rPr>
              <w:t>需提供合同</w:t>
            </w:r>
            <w:r>
              <w:rPr>
                <w:rFonts w:hint="eastAsia" w:ascii="宋体" w:hAnsi="宋体" w:eastAsia="宋体" w:cs="宋体"/>
                <w:color w:val="000000"/>
                <w:sz w:val="22"/>
                <w:szCs w:val="22"/>
                <w:lang w:eastAsia="zh-CN"/>
              </w:rPr>
              <w:t>和</w:t>
            </w:r>
            <w:r>
              <w:rPr>
                <w:rFonts w:hint="eastAsia" w:ascii="宋体" w:hAnsi="宋体" w:eastAsia="宋体" w:cs="宋体"/>
                <w:color w:val="000000"/>
                <w:sz w:val="22"/>
                <w:szCs w:val="22"/>
              </w:rPr>
              <w:t>业主方出具的验收</w:t>
            </w:r>
            <w:r>
              <w:rPr>
                <w:rFonts w:hint="eastAsia" w:ascii="宋体" w:hAnsi="宋体" w:eastAsia="宋体" w:cs="宋体"/>
                <w:color w:val="000000"/>
                <w:sz w:val="22"/>
                <w:szCs w:val="22"/>
                <w:lang w:eastAsia="zh-CN"/>
              </w:rPr>
              <w:t>合格</w:t>
            </w:r>
            <w:r>
              <w:rPr>
                <w:rFonts w:hint="eastAsia" w:ascii="宋体" w:hAnsi="宋体" w:eastAsia="宋体" w:cs="宋体"/>
                <w:color w:val="000000"/>
                <w:sz w:val="22"/>
                <w:szCs w:val="22"/>
              </w:rPr>
              <w:t>证明</w:t>
            </w:r>
            <w:r>
              <w:rPr>
                <w:rFonts w:hint="eastAsia" w:ascii="宋体" w:hAnsi="宋体" w:eastAsia="宋体" w:cs="宋体"/>
                <w:b/>
                <w:bCs/>
                <w:color w:val="000000"/>
                <w:sz w:val="22"/>
                <w:szCs w:val="22"/>
              </w:rPr>
              <w:t>材料（如验收报告</w:t>
            </w:r>
            <w:r>
              <w:rPr>
                <w:rFonts w:hint="eastAsia" w:ascii="宋体" w:hAnsi="宋体" w:eastAsia="宋体" w:cs="宋体"/>
                <w:b/>
                <w:bCs/>
                <w:color w:val="000000"/>
                <w:sz w:val="22"/>
                <w:szCs w:val="22"/>
                <w:lang w:eastAsia="zh-CN"/>
              </w:rPr>
              <w:t>或</w:t>
            </w:r>
            <w:r>
              <w:rPr>
                <w:rFonts w:hint="eastAsia" w:ascii="宋体" w:hAnsi="宋体" w:eastAsia="宋体" w:cs="宋体"/>
                <w:b/>
                <w:bCs/>
                <w:color w:val="000000"/>
                <w:sz w:val="22"/>
                <w:szCs w:val="22"/>
              </w:rPr>
              <w:t>验收鉴定书等材料）</w:t>
            </w:r>
            <w:r>
              <w:rPr>
                <w:rFonts w:hint="eastAsia" w:ascii="宋体" w:hAnsi="宋体" w:eastAsia="宋体" w:cs="宋体"/>
                <w:b w:val="0"/>
                <w:bCs w:val="0"/>
                <w:color w:val="000000"/>
                <w:sz w:val="22"/>
                <w:szCs w:val="22"/>
                <w:lang w:eastAsia="zh-CN"/>
              </w:rPr>
              <w:t>，以上复印件装订，否则对应业绩不得分。</w:t>
            </w:r>
          </w:p>
          <w:p>
            <w:pPr>
              <w:spacing w:line="360" w:lineRule="auto"/>
              <w:ind w:firstLine="442" w:firstLineChars="200"/>
              <w:jc w:val="left"/>
              <w:rPr>
                <w:rFonts w:hint="eastAsia" w:ascii="宋体" w:hAnsi="宋体" w:cs="宋体"/>
                <w:sz w:val="22"/>
                <w:szCs w:val="22"/>
                <w:lang w:val="en-US" w:eastAsia="zh-CN"/>
              </w:rPr>
            </w:pPr>
            <w:r>
              <w:rPr>
                <w:rFonts w:hint="eastAsia" w:ascii="宋体" w:hAnsi="宋体" w:eastAsia="宋体" w:cs="宋体"/>
                <w:b/>
                <w:bCs/>
                <w:sz w:val="22"/>
                <w:szCs w:val="22"/>
                <w:u w:val="none"/>
              </w:rPr>
              <w:t>注意：</w:t>
            </w:r>
            <w:r>
              <w:rPr>
                <w:rFonts w:hint="eastAsia" w:ascii="宋体" w:hAnsi="宋体" w:eastAsia="宋体" w:cs="宋体"/>
                <w:b/>
                <w:bCs/>
                <w:sz w:val="22"/>
                <w:szCs w:val="22"/>
                <w:u w:val="none"/>
                <w:lang w:val="en-US" w:eastAsia="zh-CN"/>
              </w:rPr>
              <w:t>项目开标结束中标公告挂网时，中标人此项加分项将一并公布。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80" w:type="dxa"/>
            <w:vMerge w:val="continue"/>
            <w:noWrap w:val="0"/>
            <w:vAlign w:val="center"/>
          </w:tcPr>
          <w:p>
            <w:pPr>
              <w:spacing w:line="312" w:lineRule="auto"/>
              <w:jc w:val="center"/>
              <w:rPr>
                <w:rFonts w:hint="eastAsia" w:ascii="宋体" w:hAnsi="宋体" w:cs="宋体"/>
                <w:b/>
                <w:bCs w:val="0"/>
                <w:sz w:val="22"/>
                <w:szCs w:val="22"/>
              </w:rPr>
            </w:pPr>
          </w:p>
        </w:tc>
        <w:tc>
          <w:tcPr>
            <w:tcW w:w="1185" w:type="dxa"/>
            <w:noWrap w:val="0"/>
            <w:vAlign w:val="center"/>
          </w:tcPr>
          <w:p>
            <w:pPr>
              <w:keepNext/>
              <w:snapToGrid w:val="0"/>
              <w:jc w:val="center"/>
              <w:rPr>
                <w:rFonts w:hint="eastAsia" w:ascii="宋体" w:hAnsi="宋体" w:cs="宋体"/>
                <w:b/>
                <w:bCs/>
                <w:color w:val="auto"/>
                <w:szCs w:val="22"/>
                <w:lang w:val="en-US" w:eastAsia="zh-CN"/>
              </w:rPr>
            </w:pPr>
            <w:r>
              <w:rPr>
                <w:rFonts w:hint="eastAsia" w:ascii="宋体" w:hAnsi="宋体" w:cs="宋体"/>
                <w:b/>
                <w:bCs w:val="0"/>
                <w:sz w:val="22"/>
                <w:szCs w:val="22"/>
                <w:lang w:eastAsia="zh-CN"/>
              </w:rPr>
              <w:t>质保期</w:t>
            </w:r>
          </w:p>
        </w:tc>
        <w:tc>
          <w:tcPr>
            <w:tcW w:w="675" w:type="dxa"/>
            <w:noWrap w:val="0"/>
            <w:vAlign w:val="center"/>
          </w:tcPr>
          <w:p>
            <w:pPr>
              <w:spacing w:line="312" w:lineRule="auto"/>
              <w:jc w:val="center"/>
              <w:rPr>
                <w:rFonts w:hint="eastAsia" w:ascii="宋体" w:hAnsi="宋体" w:cs="宋体"/>
                <w:b/>
                <w:bCs/>
                <w:sz w:val="24"/>
                <w:szCs w:val="24"/>
                <w:lang w:val="en-US" w:eastAsia="zh-CN"/>
              </w:rPr>
            </w:pPr>
            <w:r>
              <w:rPr>
                <w:rFonts w:hint="eastAsia" w:ascii="宋体" w:hAnsi="宋体" w:cs="宋体"/>
                <w:b/>
                <w:bCs/>
                <w:sz w:val="22"/>
                <w:szCs w:val="22"/>
                <w:lang w:val="en-US" w:eastAsia="zh-CN"/>
              </w:rPr>
              <w:t>4</w:t>
            </w:r>
          </w:p>
        </w:tc>
        <w:tc>
          <w:tcPr>
            <w:tcW w:w="6670" w:type="dxa"/>
            <w:noWrap w:val="0"/>
            <w:vAlign w:val="center"/>
          </w:tcPr>
          <w:p>
            <w:pPr>
              <w:widowControl/>
              <w:numPr>
                <w:ilvl w:val="0"/>
                <w:numId w:val="0"/>
              </w:numPr>
              <w:spacing w:line="360" w:lineRule="auto"/>
              <w:ind w:left="0" w:leftChars="0" w:firstLine="440" w:firstLineChars="200"/>
              <w:jc w:val="left"/>
              <w:rPr>
                <w:rFonts w:hint="eastAsia" w:ascii="宋体" w:hAnsi="宋体" w:eastAsia="宋体" w:cs="宋体"/>
                <w:b/>
                <w:bCs/>
                <w:sz w:val="22"/>
                <w:szCs w:val="22"/>
                <w:u w:val="none"/>
              </w:rPr>
            </w:pPr>
            <w:r>
              <w:rPr>
                <w:rFonts w:hint="eastAsia" w:ascii="宋体" w:hAnsi="宋体" w:cs="宋体"/>
                <w:sz w:val="22"/>
                <w:szCs w:val="22"/>
                <w:lang w:val="en-US" w:eastAsia="zh-CN"/>
              </w:rPr>
              <w:t>在免费质保期1年的基础上，每增加一年免费质保期的得2分，满分4分。投标人提供承诺函，否则不得分。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80" w:type="dxa"/>
            <w:vMerge w:val="restart"/>
            <w:noWrap w:val="0"/>
            <w:vAlign w:val="center"/>
          </w:tcPr>
          <w:p>
            <w:pPr>
              <w:keepNext/>
              <w:snapToGrid w:val="0"/>
              <w:jc w:val="center"/>
              <w:rPr>
                <w:rFonts w:hint="eastAsia" w:ascii="宋体" w:hAnsi="宋体" w:eastAsia="宋体" w:cs="Arial"/>
                <w:b/>
                <w:bCs w:val="0"/>
                <w:color w:val="000000"/>
                <w:szCs w:val="21"/>
                <w:lang w:eastAsia="zh-CN"/>
              </w:rPr>
            </w:pPr>
            <w:r>
              <w:rPr>
                <w:rFonts w:hint="eastAsia" w:ascii="宋体" w:hAnsi="宋体" w:cs="Arial"/>
                <w:b/>
                <w:bCs w:val="0"/>
                <w:color w:val="000000"/>
                <w:szCs w:val="21"/>
                <w:lang w:eastAsia="zh-CN"/>
              </w:rPr>
              <w:t>商务部分（</w:t>
            </w:r>
            <w:r>
              <w:rPr>
                <w:rFonts w:hint="eastAsia" w:ascii="宋体" w:hAnsi="宋体" w:cs="Arial"/>
                <w:b/>
                <w:bCs w:val="0"/>
                <w:color w:val="000000"/>
                <w:szCs w:val="21"/>
                <w:lang w:val="en-US" w:eastAsia="zh-CN"/>
              </w:rPr>
              <w:t>16分</w:t>
            </w:r>
            <w:r>
              <w:rPr>
                <w:rFonts w:hint="eastAsia" w:ascii="宋体" w:hAnsi="宋体" w:cs="Arial"/>
                <w:b/>
                <w:bCs w:val="0"/>
                <w:color w:val="000000"/>
                <w:szCs w:val="21"/>
                <w:lang w:eastAsia="zh-CN"/>
              </w:rPr>
              <w:t>）</w:t>
            </w:r>
          </w:p>
          <w:p>
            <w:pPr>
              <w:keepNext/>
              <w:snapToGrid w:val="0"/>
              <w:jc w:val="center"/>
              <w:rPr>
                <w:rFonts w:hint="eastAsia" w:ascii="宋体" w:hAnsi="宋体" w:cs="宋体"/>
                <w:b/>
                <w:bCs w:val="0"/>
                <w:sz w:val="22"/>
                <w:szCs w:val="22"/>
              </w:rPr>
            </w:pPr>
          </w:p>
        </w:tc>
        <w:tc>
          <w:tcPr>
            <w:tcW w:w="1185" w:type="dxa"/>
            <w:noWrap w:val="0"/>
            <w:vAlign w:val="center"/>
          </w:tcPr>
          <w:p>
            <w:pPr>
              <w:keepNext/>
              <w:snapToGrid w:val="0"/>
              <w:jc w:val="center"/>
              <w:rPr>
                <w:rFonts w:hint="eastAsia" w:ascii="宋体" w:hAnsi="宋体" w:eastAsia="宋体" w:cs="宋体"/>
                <w:b/>
                <w:bCs w:val="0"/>
                <w:sz w:val="22"/>
                <w:szCs w:val="22"/>
                <w:lang w:eastAsia="zh-CN"/>
              </w:rPr>
            </w:pPr>
            <w:r>
              <w:rPr>
                <w:rFonts w:hint="eastAsia" w:ascii="宋体" w:hAnsi="宋体"/>
                <w:b/>
                <w:bCs w:val="0"/>
                <w:szCs w:val="21"/>
              </w:rPr>
              <w:t>厂家和产品资质要求</w:t>
            </w:r>
          </w:p>
        </w:tc>
        <w:tc>
          <w:tcPr>
            <w:tcW w:w="675" w:type="dxa"/>
            <w:noWrap w:val="0"/>
            <w:vAlign w:val="center"/>
          </w:tcPr>
          <w:p>
            <w:pPr>
              <w:spacing w:line="312" w:lineRule="auto"/>
              <w:jc w:val="cente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9</w:t>
            </w:r>
          </w:p>
        </w:tc>
        <w:tc>
          <w:tcPr>
            <w:tcW w:w="6670" w:type="dxa"/>
            <w:noWrap w:val="0"/>
            <w:vAlign w:val="center"/>
          </w:tcPr>
          <w:p>
            <w:pPr>
              <w:widowControl/>
              <w:numPr>
                <w:ilvl w:val="0"/>
                <w:numId w:val="2"/>
              </w:numPr>
              <w:spacing w:line="360" w:lineRule="auto"/>
              <w:ind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所投系列产品获得FDA认证或CE认证，得3分；</w:t>
            </w:r>
          </w:p>
          <w:p>
            <w:pPr>
              <w:pStyle w:val="2"/>
              <w:numPr>
                <w:ilvl w:val="0"/>
                <w:numId w:val="0"/>
              </w:numPr>
              <w:ind w:right="-65" w:rightChars="-31"/>
              <w:rPr>
                <w:rFonts w:hint="eastAsia"/>
                <w:lang w:val="en-US" w:eastAsia="zh-CN"/>
              </w:rPr>
            </w:pPr>
            <w:r>
              <w:rPr>
                <w:rFonts w:hint="eastAsia"/>
                <w:lang w:val="en-US" w:eastAsia="zh-CN"/>
              </w:rPr>
              <w:t xml:space="preserve">    </w:t>
            </w:r>
            <w:r>
              <w:rPr>
                <w:rFonts w:hint="eastAsia" w:ascii="宋体" w:hAnsi="宋体" w:cs="宋体"/>
                <w:kern w:val="2"/>
                <w:sz w:val="22"/>
                <w:szCs w:val="22"/>
                <w:lang w:val="en-US" w:eastAsia="zh-CN" w:bidi="ar-SA"/>
              </w:rPr>
              <w:t>2</w:t>
            </w:r>
            <w:r>
              <w:rPr>
                <w:rFonts w:hint="eastAsia"/>
                <w:lang w:val="en-US" w:eastAsia="zh-CN"/>
              </w:rPr>
              <w:t>、</w:t>
            </w:r>
            <w:r>
              <w:rPr>
                <w:rFonts w:hint="eastAsia" w:ascii="宋体" w:hAnsi="宋体" w:cs="宋体"/>
                <w:sz w:val="22"/>
                <w:szCs w:val="22"/>
                <w:lang w:val="en-US" w:eastAsia="zh-CN"/>
              </w:rPr>
              <w:t>所投产品生产厂家获得ISO9001认证，得3分；</w:t>
            </w:r>
          </w:p>
          <w:p>
            <w:pPr>
              <w:widowControl/>
              <w:numPr>
                <w:ilvl w:val="0"/>
                <w:numId w:val="0"/>
              </w:numPr>
              <w:spacing w:line="360" w:lineRule="auto"/>
              <w:ind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3、为保证检测结果可靠，所投产品生产厂家具备中国合格评定认可委员会（CNAS）认可的标准化实验室，得3分。</w:t>
            </w:r>
          </w:p>
          <w:p>
            <w:pPr>
              <w:widowControl/>
              <w:numPr>
                <w:ilvl w:val="0"/>
                <w:numId w:val="0"/>
              </w:numPr>
              <w:spacing w:line="360" w:lineRule="auto"/>
              <w:jc w:val="left"/>
              <w:rPr>
                <w:rFonts w:hint="eastAsia" w:ascii="宋体" w:hAnsi="宋体" w:cs="宋体"/>
                <w:sz w:val="22"/>
                <w:szCs w:val="22"/>
                <w:lang w:val="en-US" w:eastAsia="zh-CN"/>
              </w:rPr>
            </w:pPr>
            <w:r>
              <w:rPr>
                <w:rFonts w:hint="eastAsia" w:ascii="宋体" w:hAnsi="宋体" w:cs="宋体"/>
                <w:sz w:val="22"/>
                <w:szCs w:val="22"/>
                <w:lang w:val="en-US" w:eastAsia="zh-CN"/>
              </w:rPr>
              <w:t>注：提供以上要求的相关证明文件复印件，并加盖生产厂家鲜章，否则不得分。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80" w:type="dxa"/>
            <w:vMerge w:val="continue"/>
            <w:noWrap w:val="0"/>
            <w:vAlign w:val="center"/>
          </w:tcPr>
          <w:p>
            <w:pPr>
              <w:keepNext/>
              <w:snapToGrid w:val="0"/>
              <w:jc w:val="center"/>
              <w:rPr>
                <w:rFonts w:hint="eastAsia" w:ascii="宋体" w:hAnsi="宋体" w:cs="宋体"/>
                <w:b/>
                <w:bCs w:val="0"/>
                <w:sz w:val="22"/>
                <w:szCs w:val="22"/>
              </w:rPr>
            </w:pPr>
          </w:p>
        </w:tc>
        <w:tc>
          <w:tcPr>
            <w:tcW w:w="1185" w:type="dxa"/>
            <w:noWrap w:val="0"/>
            <w:vAlign w:val="center"/>
          </w:tcPr>
          <w:p>
            <w:pPr>
              <w:pStyle w:val="4"/>
              <w:snapToGrid w:val="0"/>
              <w:spacing w:line="340" w:lineRule="exact"/>
              <w:ind w:left="0" w:leftChars="0" w:firstLine="0" w:firstLineChars="0"/>
              <w:jc w:val="center"/>
              <w:rPr>
                <w:rFonts w:hint="eastAsia" w:ascii="宋体" w:hAnsi="宋体"/>
                <w:b/>
                <w:bCs w:val="0"/>
                <w:szCs w:val="21"/>
              </w:rPr>
            </w:pPr>
            <w:r>
              <w:rPr>
                <w:rFonts w:hint="eastAsia" w:ascii="宋体" w:hAnsi="宋体"/>
                <w:b/>
                <w:bCs w:val="0"/>
                <w:szCs w:val="21"/>
              </w:rPr>
              <w:t>售后服务能力</w:t>
            </w:r>
          </w:p>
          <w:p>
            <w:pPr>
              <w:keepNext/>
              <w:snapToGrid w:val="0"/>
              <w:jc w:val="center"/>
              <w:rPr>
                <w:rFonts w:hint="eastAsia" w:ascii="宋体" w:hAnsi="宋体"/>
                <w:b/>
                <w:bCs w:val="0"/>
                <w:szCs w:val="21"/>
              </w:rPr>
            </w:pPr>
          </w:p>
        </w:tc>
        <w:tc>
          <w:tcPr>
            <w:tcW w:w="675" w:type="dxa"/>
            <w:noWrap w:val="0"/>
            <w:vAlign w:val="center"/>
          </w:tcPr>
          <w:p>
            <w:pPr>
              <w:spacing w:line="312" w:lineRule="auto"/>
              <w:jc w:val="center"/>
              <w:rPr>
                <w:rFonts w:hint="eastAsia" w:ascii="宋体" w:hAnsi="宋体" w:cs="宋体"/>
                <w:b/>
                <w:bCs/>
                <w:sz w:val="24"/>
                <w:szCs w:val="24"/>
                <w:lang w:val="en-US" w:eastAsia="zh-CN"/>
              </w:rPr>
            </w:pPr>
            <w:r>
              <w:rPr>
                <w:rFonts w:hint="eastAsia" w:ascii="宋体" w:hAnsi="宋体" w:cs="宋体"/>
                <w:b/>
                <w:bCs/>
                <w:sz w:val="22"/>
                <w:szCs w:val="22"/>
                <w:lang w:val="en-US" w:eastAsia="zh-CN"/>
              </w:rPr>
              <w:t>5</w:t>
            </w:r>
          </w:p>
        </w:tc>
        <w:tc>
          <w:tcPr>
            <w:tcW w:w="6670" w:type="dxa"/>
            <w:noWrap w:val="0"/>
            <w:vAlign w:val="center"/>
          </w:tcPr>
          <w:p>
            <w:pPr>
              <w:widowControl/>
              <w:numPr>
                <w:ilvl w:val="0"/>
                <w:numId w:val="0"/>
              </w:numPr>
              <w:spacing w:line="360" w:lineRule="auto"/>
              <w:ind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1、评标委员会根据各投标人的供货安装调试方案、培训方案及厂家售后服务承诺方案等在0-2分之间酌情打分；</w:t>
            </w:r>
          </w:p>
          <w:p>
            <w:pPr>
              <w:widowControl/>
              <w:numPr>
                <w:ilvl w:val="0"/>
                <w:numId w:val="0"/>
              </w:numPr>
              <w:spacing w:line="360" w:lineRule="auto"/>
              <w:ind w:left="0" w:leftChars="0" w:firstLine="440" w:firstLineChars="200"/>
              <w:jc w:val="left"/>
              <w:rPr>
                <w:rFonts w:hint="eastAsia" w:ascii="宋体" w:hAnsi="宋体" w:cs="宋体"/>
                <w:sz w:val="22"/>
                <w:szCs w:val="22"/>
                <w:lang w:val="en-US" w:eastAsia="zh-CN"/>
              </w:rPr>
            </w:pPr>
            <w:r>
              <w:rPr>
                <w:rFonts w:hint="eastAsia" w:ascii="宋体" w:hAnsi="宋体" w:cs="宋体"/>
                <w:sz w:val="22"/>
                <w:szCs w:val="22"/>
                <w:lang w:val="en-US" w:eastAsia="zh-CN"/>
              </w:rPr>
              <w:t>2、投标产品的生产厂家在安徽设立分公司售后服务点的，需提供分公司营业执照复印件得3分。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80" w:type="dxa"/>
            <w:vMerge w:val="continue"/>
            <w:noWrap w:val="0"/>
            <w:vAlign w:val="center"/>
          </w:tcPr>
          <w:p>
            <w:pPr>
              <w:keepNext/>
              <w:snapToGrid w:val="0"/>
              <w:jc w:val="center"/>
              <w:rPr>
                <w:rFonts w:hint="eastAsia" w:ascii="宋体" w:hAnsi="宋体" w:cs="宋体"/>
                <w:b/>
                <w:bCs w:val="0"/>
                <w:sz w:val="22"/>
                <w:szCs w:val="22"/>
              </w:rPr>
            </w:pPr>
          </w:p>
        </w:tc>
        <w:tc>
          <w:tcPr>
            <w:tcW w:w="1185" w:type="dxa"/>
            <w:noWrap w:val="0"/>
            <w:vAlign w:val="center"/>
          </w:tcPr>
          <w:p>
            <w:pPr>
              <w:keepNext/>
              <w:snapToGrid w:val="0"/>
              <w:jc w:val="center"/>
              <w:rPr>
                <w:rFonts w:hint="eastAsia" w:ascii="宋体" w:hAnsi="宋体" w:cs="宋体"/>
                <w:b/>
                <w:bCs w:val="0"/>
                <w:sz w:val="22"/>
                <w:szCs w:val="22"/>
                <w:lang w:eastAsia="zh-CN"/>
              </w:rPr>
            </w:pPr>
            <w:r>
              <w:rPr>
                <w:rFonts w:hint="eastAsia" w:ascii="宋体" w:hAnsi="宋体" w:cs="宋体"/>
                <w:b/>
                <w:bCs/>
                <w:color w:val="auto"/>
                <w:szCs w:val="22"/>
                <w:lang w:val="en-US" w:eastAsia="zh-CN"/>
              </w:rPr>
              <w:t>投标文件制作</w:t>
            </w:r>
          </w:p>
        </w:tc>
        <w:tc>
          <w:tcPr>
            <w:tcW w:w="675" w:type="dxa"/>
            <w:noWrap w:val="0"/>
            <w:vAlign w:val="center"/>
          </w:tcPr>
          <w:p>
            <w:pPr>
              <w:spacing w:line="312" w:lineRule="auto"/>
              <w:jc w:val="center"/>
              <w:rPr>
                <w:rFonts w:hint="eastAsia" w:ascii="宋体" w:hAnsi="宋体" w:cs="宋体"/>
                <w:b/>
                <w:bCs/>
                <w:sz w:val="22"/>
                <w:szCs w:val="22"/>
                <w:lang w:val="en-US" w:eastAsia="zh-CN"/>
              </w:rPr>
            </w:pPr>
            <w:r>
              <w:rPr>
                <w:rFonts w:hint="eastAsia" w:ascii="宋体" w:hAnsi="宋体" w:cs="宋体"/>
                <w:b/>
                <w:bCs/>
                <w:sz w:val="24"/>
                <w:szCs w:val="24"/>
                <w:lang w:val="en-US" w:eastAsia="zh-CN"/>
              </w:rPr>
              <w:t>2</w:t>
            </w:r>
          </w:p>
        </w:tc>
        <w:tc>
          <w:tcPr>
            <w:tcW w:w="6670" w:type="dxa"/>
            <w:noWrap w:val="0"/>
            <w:vAlign w:val="center"/>
          </w:tcPr>
          <w:p>
            <w:pPr>
              <w:spacing w:line="360" w:lineRule="auto"/>
              <w:ind w:firstLine="440" w:firstLineChars="200"/>
              <w:jc w:val="left"/>
              <w:rPr>
                <w:rFonts w:hint="eastAsia" w:ascii="宋体" w:hAnsi="宋体" w:cs="宋体"/>
                <w:sz w:val="22"/>
                <w:szCs w:val="22"/>
                <w:lang w:val="en-US" w:eastAsia="zh-CN"/>
              </w:rPr>
            </w:pPr>
            <w:r>
              <w:rPr>
                <w:rFonts w:hint="eastAsia" w:ascii="宋体" w:hAnsi="宋体" w:eastAsia="宋体" w:cs="宋体"/>
                <w:b w:val="0"/>
                <w:bCs w:val="0"/>
                <w:sz w:val="22"/>
                <w:szCs w:val="22"/>
                <w:u w:val="none"/>
                <w:lang w:eastAsia="zh-CN"/>
              </w:rPr>
              <w:t>评委根据投标人投标文件制作情况进行评分，</w:t>
            </w:r>
            <w:r>
              <w:rPr>
                <w:rFonts w:hint="eastAsia" w:ascii="宋体" w:hAnsi="宋体" w:eastAsia="宋体" w:cs="宋体"/>
                <w:b w:val="0"/>
                <w:bCs w:val="0"/>
                <w:sz w:val="22"/>
                <w:szCs w:val="22"/>
                <w:u w:val="none"/>
                <w:lang w:val="en-US" w:eastAsia="zh-CN"/>
              </w:rPr>
              <w:t>0-2分。</w:t>
            </w:r>
          </w:p>
        </w:tc>
      </w:tr>
    </w:tbl>
    <w:p>
      <w:pPr>
        <w:spacing w:line="360" w:lineRule="auto"/>
        <w:jc w:val="left"/>
        <w:outlineLvl w:val="2"/>
        <w:rPr>
          <w:rFonts w:hint="eastAsia" w:ascii="宋体" w:hAnsi="宋体" w:cs="宋体"/>
          <w:b/>
          <w:bCs/>
          <w:sz w:val="24"/>
          <w:szCs w:val="24"/>
        </w:rPr>
      </w:pPr>
      <w:bookmarkStart w:id="40" w:name="_Toc21051"/>
      <w:r>
        <w:rPr>
          <w:rFonts w:hint="eastAsia" w:ascii="宋体" w:hAnsi="宋体" w:cs="宋体"/>
          <w:b/>
          <w:bCs/>
          <w:sz w:val="24"/>
          <w:szCs w:val="24"/>
        </w:rPr>
        <w:t>三、相关证明材料说明</w:t>
      </w:r>
      <w:bookmarkEnd w:id="40"/>
    </w:p>
    <w:bookmarkEnd w:id="18"/>
    <w:bookmarkEnd w:id="19"/>
    <w:bookmarkEnd w:id="20"/>
    <w:bookmarkEnd w:id="21"/>
    <w:bookmarkEnd w:id="22"/>
    <w:bookmarkEnd w:id="23"/>
    <w:bookmarkEnd w:id="38"/>
    <w:bookmarkEnd w:id="39"/>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1、以上渉及评审的投标供应商资格条件、业绩、资质、证书、检测报告等证明材料</w:t>
      </w:r>
      <w:r>
        <w:rPr>
          <w:rFonts w:hint="eastAsia" w:ascii="宋体" w:hAnsi="宋体" w:cs="宋体"/>
          <w:sz w:val="24"/>
          <w:szCs w:val="24"/>
          <w:lang w:eastAsia="zh-CN"/>
        </w:rPr>
        <w:t>（若要求）</w:t>
      </w:r>
      <w:r>
        <w:rPr>
          <w:rFonts w:hint="eastAsia" w:ascii="宋体" w:hAnsi="宋体" w:cs="宋体"/>
          <w:sz w:val="24"/>
          <w:szCs w:val="24"/>
        </w:rPr>
        <w:t>均需提供复印件装订在投标文件中，否则不得分或按照招标文件规定处理。</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2、提供的复印件必须清晰明了完整便于评委评审，由于复印件不满足要求，评标委员会有权不予认可，不予认可导致的后果由投标单位自行负责。</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3、若还另需提供原件核查的必须在开标地点当场提供（投标截止时间之前），否则不得分或按照招标文件规定处理。</w:t>
      </w:r>
    </w:p>
    <w:p>
      <w:pPr>
        <w:spacing w:line="360" w:lineRule="auto"/>
        <w:ind w:firstLine="480" w:firstLineChars="200"/>
        <w:jc w:val="left"/>
        <w:rPr>
          <w:rFonts w:hint="eastAsia" w:ascii="宋体" w:hAnsi="宋体"/>
          <w:kern w:val="28"/>
          <w:sz w:val="24"/>
          <w:szCs w:val="24"/>
        </w:rPr>
      </w:pPr>
      <w:r>
        <w:rPr>
          <w:rFonts w:hint="eastAsia" w:ascii="宋体" w:hAnsi="宋体" w:cs="宋体"/>
          <w:sz w:val="24"/>
          <w:szCs w:val="24"/>
        </w:rPr>
        <w:t>4、</w:t>
      </w:r>
      <w:r>
        <w:rPr>
          <w:rFonts w:hint="eastAsia" w:ascii="宋体" w:hAnsi="宋体" w:cs="宋体"/>
          <w:b/>
          <w:bCs/>
          <w:sz w:val="24"/>
          <w:szCs w:val="24"/>
        </w:rPr>
        <w:t>所提供的材料一经查出存在虚假或者伪造，除取消（投）中标资格外，</w:t>
      </w:r>
      <w:r>
        <w:rPr>
          <w:rFonts w:hint="eastAsia" w:ascii="宋体" w:hAnsi="宋体"/>
          <w:kern w:val="28"/>
          <w:sz w:val="24"/>
          <w:szCs w:val="24"/>
        </w:rPr>
        <w:t>将其列入列入不良行为记录名单，投标保证金（履约保证金）不予退还，同时采购人有权取消合同并且不承担中标人的任何损失。</w:t>
      </w:r>
    </w:p>
    <w:p>
      <w:pPr>
        <w:spacing w:line="360" w:lineRule="auto"/>
        <w:ind w:firstLine="480" w:firstLineChars="200"/>
        <w:jc w:val="left"/>
        <w:rPr>
          <w:rFonts w:hint="eastAsia" w:ascii="宋体" w:hAnsi="宋体"/>
          <w:sz w:val="24"/>
          <w:szCs w:val="24"/>
        </w:rPr>
      </w:pPr>
      <w:r>
        <w:rPr>
          <w:rFonts w:hint="eastAsia" w:ascii="宋体" w:hAnsi="宋体"/>
          <w:sz w:val="24"/>
          <w:szCs w:val="24"/>
        </w:rPr>
        <w:t>5、采购单位不接受任何形式的制造商自我声明认证，标书中不得出现与招标设备无关的任何形式的证明材料。</w:t>
      </w:r>
    </w:p>
    <w:p>
      <w:pPr>
        <w:spacing w:line="360" w:lineRule="auto"/>
        <w:ind w:firstLine="482" w:firstLineChars="200"/>
        <w:jc w:val="left"/>
        <w:rPr>
          <w:rFonts w:hint="eastAsia" w:ascii="宋体" w:hAnsi="宋体" w:cs="宋体"/>
          <w:b/>
          <w:sz w:val="24"/>
          <w:szCs w:val="24"/>
          <w:lang w:bidi="ar"/>
        </w:rPr>
      </w:pPr>
      <w:r>
        <w:rPr>
          <w:rFonts w:hint="eastAsia" w:ascii="宋体" w:hAnsi="宋体" w:cs="宋体"/>
          <w:b/>
          <w:sz w:val="24"/>
          <w:szCs w:val="24"/>
          <w:lang w:bidi="ar"/>
        </w:rPr>
        <w:t>6、无论何种原因，即使投标人开标时携带了相关证书材料的原件，但在投标文件中未提供与之内容完全一致的复印件等，评标委员会可以视同其未提供。</w:t>
      </w:r>
    </w:p>
    <w:p>
      <w:pPr>
        <w:spacing w:line="360" w:lineRule="auto"/>
        <w:ind w:firstLine="482" w:firstLineChars="200"/>
        <w:jc w:val="left"/>
        <w:rPr>
          <w:rFonts w:hint="eastAsia" w:ascii="宋体" w:hAnsi="宋体" w:cs="宋体"/>
          <w:sz w:val="24"/>
          <w:szCs w:val="24"/>
        </w:rPr>
      </w:pPr>
      <w:r>
        <w:rPr>
          <w:rFonts w:hint="eastAsia" w:ascii="宋体" w:hAnsi="宋体" w:cs="宋体"/>
          <w:b/>
          <w:sz w:val="24"/>
          <w:szCs w:val="24"/>
          <w:lang w:bidi="ar"/>
        </w:rPr>
        <w:t>7、</w:t>
      </w:r>
      <w:r>
        <w:rPr>
          <w:rFonts w:hint="eastAsia" w:ascii="宋体" w:hAnsi="宋体" w:cs="宋体"/>
          <w:sz w:val="24"/>
          <w:szCs w:val="24"/>
        </w:rPr>
        <w:t>如果投标人不能按照招标文件中要求提供相关证明材料原件，可以在开标现场提供经过司法公正后的公证书原件。但是如果在开标现场有投标人能提供某证明材料原件时，以证明材料原件原件有效，公证书原件无效。</w:t>
      </w:r>
    </w:p>
    <w:p>
      <w:pPr>
        <w:spacing w:line="360" w:lineRule="auto"/>
        <w:ind w:firstLine="480" w:firstLineChars="200"/>
        <w:jc w:val="left"/>
        <w:rPr>
          <w:rFonts w:hint="eastAsia" w:ascii="宋体" w:hAnsi="宋体" w:cs="宋体"/>
          <w:b/>
          <w:bCs/>
          <w:sz w:val="36"/>
          <w:szCs w:val="36"/>
        </w:rPr>
      </w:pPr>
      <w:r>
        <w:rPr>
          <w:rFonts w:hint="eastAsia" w:ascii="宋体" w:hAnsi="宋体" w:cs="宋体"/>
          <w:sz w:val="24"/>
          <w:szCs w:val="24"/>
        </w:rPr>
        <w:t>8、本项目中所有要求的相关资料必须是由投标人自行提供以供评审，其他投标人提供的资料不能作为己方评审评分依据，即证明材料不可共享。</w:t>
      </w:r>
    </w:p>
    <w:p>
      <w:pPr>
        <w:spacing w:line="300" w:lineRule="auto"/>
        <w:jc w:val="center"/>
        <w:outlineLvl w:val="9"/>
        <w:rPr>
          <w:rFonts w:hint="eastAsia" w:ascii="宋体" w:hAnsi="宋体" w:cs="宋体"/>
          <w:b/>
          <w:bCs/>
          <w:sz w:val="36"/>
          <w:szCs w:val="36"/>
        </w:rPr>
      </w:pPr>
    </w:p>
    <w:p>
      <w:bookmarkStart w:id="41" w:name="_GoBack"/>
      <w:bookmarkEnd w:id="4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DF84"/>
    <w:multiLevelType w:val="singleLevel"/>
    <w:tmpl w:val="5BADDF84"/>
    <w:lvl w:ilvl="0" w:tentative="0">
      <w:start w:val="3"/>
      <w:numFmt w:val="chineseCounting"/>
      <w:suff w:val="nothing"/>
      <w:lvlText w:val="第%1章"/>
      <w:lvlJc w:val="left"/>
    </w:lvl>
  </w:abstractNum>
  <w:abstractNum w:abstractNumId="1">
    <w:nsid w:val="5D997F61"/>
    <w:multiLevelType w:val="singleLevel"/>
    <w:tmpl w:val="5D997F6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F75CB"/>
    <w:rsid w:val="378F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lock Text"/>
    <w:basedOn w:val="1"/>
    <w:uiPriority w:val="0"/>
    <w:pPr>
      <w:spacing w:after="120"/>
      <w:ind w:left="1440" w:leftChars="700" w:right="1440" w:rightChars="700"/>
    </w:pPr>
  </w:style>
  <w:style w:type="paragraph" w:styleId="4">
    <w:name w:val="Normal Indent"/>
    <w:basedOn w:val="1"/>
    <w:uiPriority w:val="0"/>
    <w:pPr>
      <w:ind w:firstLine="420" w:firstLineChars="200"/>
    </w:pPr>
  </w:style>
  <w:style w:type="paragraph" w:styleId="5">
    <w:name w:val="Normal (Web)"/>
    <w:basedOn w:val="1"/>
    <w:uiPriority w:val="0"/>
    <w:pPr>
      <w:widowControl/>
      <w:spacing w:before="100" w:beforeAutospacing="1" w:after="100" w:afterAutospacing="1" w:line="300" w:lineRule="atLeast"/>
      <w:jc w:val="left"/>
    </w:pPr>
    <w:rPr>
      <w:rFonts w:ascii="宋体" w:hAnsi="宋体" w:cs="宋体"/>
      <w:kern w:val="0"/>
      <w:sz w:val="24"/>
    </w:rPr>
  </w:style>
  <w:style w:type="paragraph" w:customStyle="1" w:styleId="8">
    <w:name w:val="正文1"/>
    <w:uiPriority w:val="0"/>
    <w:pPr>
      <w:widowControl w:val="0"/>
      <w:spacing w:line="360" w:lineRule="auto"/>
      <w:ind w:firstLine="200" w:firstLineChars="200"/>
      <w:jc w:val="both"/>
    </w:pPr>
    <w:rPr>
      <w:rFonts w:ascii="宋体" w:hAnsi="宋体"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2019-02-14T02:30:00Z</dcterms:created>
  <dc:creator>22446688</dc:creator>
  <cp:lastModifiedBy>22446688</cp:lastModifiedBy>
  <dcterms:modified xsi:type="dcterms:W3CDTF">2019-02-14T02:31:14Z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