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0" w:afterLines="0" w:line="288" w:lineRule="auto"/>
        <w:jc w:val="center"/>
        <w:outlineLvl w:val="0"/>
        <w:rPr>
          <w:rFonts w:hAnsi="宋体"/>
          <w:b/>
          <w:spacing w:val="-6"/>
          <w:sz w:val="32"/>
          <w:szCs w:val="32"/>
        </w:rPr>
      </w:pP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b/>
          <w:sz w:val="21"/>
          <w:szCs w:val="21"/>
        </w:rPr>
      </w:pPr>
      <w:r>
        <w:rPr>
          <w:rFonts w:hint="eastAsia" w:ascii="宋体" w:hAnsi="宋体"/>
          <w:b/>
          <w:sz w:val="21"/>
          <w:szCs w:val="21"/>
          <w:u w:val="single"/>
        </w:rPr>
        <w:t xml:space="preserve"> 北方水稻研究中心建设项目仪器设备采购 </w:t>
      </w:r>
      <w:r>
        <w:rPr>
          <w:rFonts w:hint="eastAsia" w:ascii="宋体" w:hAnsi="宋体"/>
          <w:b/>
          <w:sz w:val="21"/>
          <w:szCs w:val="21"/>
        </w:rPr>
        <w:t>招标项目的潜在投标人应在</w:t>
      </w:r>
      <w:r>
        <w:rPr>
          <w:rFonts w:hint="eastAsia" w:ascii="宋体" w:hAnsi="宋体"/>
          <w:b/>
          <w:sz w:val="21"/>
          <w:szCs w:val="21"/>
          <w:u w:val="single"/>
        </w:rPr>
        <w:t xml:space="preserve"> 微信获取（扫描附件二维码或关注“浙江求是招标代理有限公司”企业公众号）或现场获取。（杭州市西湖区玉古路</w:t>
      </w:r>
      <w:r>
        <w:rPr>
          <w:rFonts w:ascii="宋体" w:hAnsi="宋体"/>
          <w:b/>
          <w:sz w:val="21"/>
          <w:szCs w:val="21"/>
          <w:u w:val="single"/>
        </w:rPr>
        <w:t>173</w:t>
      </w:r>
      <w:r>
        <w:rPr>
          <w:rFonts w:hint="eastAsia" w:ascii="宋体" w:hAnsi="宋体"/>
          <w:b/>
          <w:sz w:val="21"/>
          <w:szCs w:val="21"/>
          <w:u w:val="single"/>
        </w:rPr>
        <w:t>号中田大厦</w:t>
      </w:r>
      <w:r>
        <w:rPr>
          <w:rFonts w:ascii="宋体" w:hAnsi="宋体"/>
          <w:b/>
          <w:sz w:val="21"/>
          <w:szCs w:val="21"/>
          <w:u w:val="single"/>
        </w:rPr>
        <w:t>11楼H</w:t>
      </w:r>
      <w:r>
        <w:rPr>
          <w:rFonts w:hint="eastAsia" w:ascii="宋体" w:hAnsi="宋体"/>
          <w:b/>
          <w:sz w:val="21"/>
          <w:szCs w:val="21"/>
          <w:u w:val="single"/>
        </w:rPr>
        <w:t xml:space="preserve">室） </w:t>
      </w:r>
      <w:r>
        <w:rPr>
          <w:rFonts w:hint="eastAsia" w:ascii="宋体" w:hAnsi="宋体"/>
          <w:b/>
          <w:sz w:val="21"/>
          <w:szCs w:val="21"/>
        </w:rPr>
        <w:t>获取招标文件，并于</w:t>
      </w:r>
      <w:r>
        <w:rPr>
          <w:rFonts w:hint="eastAsia" w:ascii="宋体" w:hAnsi="宋体"/>
          <w:b/>
          <w:sz w:val="21"/>
          <w:szCs w:val="21"/>
          <w:u w:val="single"/>
        </w:rPr>
        <w:t>2021年11月</w:t>
      </w:r>
      <w:r>
        <w:rPr>
          <w:rFonts w:ascii="宋体" w:hAnsi="宋体"/>
          <w:b/>
          <w:sz w:val="21"/>
          <w:szCs w:val="21"/>
          <w:u w:val="single"/>
        </w:rPr>
        <w:t>26</w:t>
      </w:r>
      <w:r>
        <w:rPr>
          <w:rFonts w:hint="eastAsia" w:ascii="宋体" w:hAnsi="宋体"/>
          <w:b/>
          <w:sz w:val="21"/>
          <w:szCs w:val="21"/>
          <w:u w:val="single"/>
        </w:rPr>
        <w:t>日下午14:00:00（北京时间）</w:t>
      </w:r>
      <w:r>
        <w:rPr>
          <w:rFonts w:hint="eastAsia" w:ascii="宋体" w:hAnsi="宋体"/>
          <w:b/>
          <w:bCs/>
          <w:sz w:val="21"/>
          <w:szCs w:val="21"/>
        </w:rPr>
        <w:t>前递交投标</w:t>
      </w:r>
      <w:r>
        <w:rPr>
          <w:rFonts w:ascii="宋体" w:hAnsi="宋体"/>
          <w:b/>
          <w:bCs/>
          <w:sz w:val="21"/>
          <w:szCs w:val="21"/>
        </w:rPr>
        <w:t>文件</w:t>
      </w:r>
      <w:r>
        <w:rPr>
          <w:rFonts w:hint="eastAsia" w:ascii="宋体" w:hAnsi="宋体"/>
          <w:b/>
          <w:sz w:val="21"/>
          <w:szCs w:val="21"/>
        </w:rPr>
        <w:t>。</w:t>
      </w:r>
    </w:p>
    <w:p>
      <w:pPr>
        <w:adjustRightInd w:val="0"/>
        <w:snapToGrid w:val="0"/>
        <w:spacing w:line="288" w:lineRule="auto"/>
        <w:ind w:firstLine="200"/>
        <w:rPr>
          <w:rFonts w:ascii="宋体" w:hAnsi="宋体" w:cs="宋体"/>
          <w:b/>
          <w:sz w:val="21"/>
          <w:szCs w:val="21"/>
        </w:rPr>
      </w:pPr>
      <w:bookmarkStart w:id="0" w:name="_Toc28359079"/>
      <w:bookmarkStart w:id="1" w:name="_Toc28359002"/>
      <w:bookmarkStart w:id="2" w:name="_Toc35393790"/>
      <w:bookmarkStart w:id="3" w:name="_Toc35393621"/>
      <w:bookmarkStart w:id="4" w:name="_Hlk24379207"/>
      <w:r>
        <w:rPr>
          <w:rFonts w:hint="eastAsia" w:ascii="宋体" w:hAnsi="宋体" w:cs="宋体"/>
          <w:b/>
          <w:sz w:val="21"/>
          <w:szCs w:val="21"/>
        </w:rPr>
        <w:t>一、项目基本情况</w:t>
      </w:r>
      <w:bookmarkEnd w:id="0"/>
      <w:bookmarkEnd w:id="1"/>
      <w:bookmarkEnd w:id="2"/>
      <w:bookmarkEnd w:id="3"/>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1.项目编号：</w:t>
      </w:r>
      <w:r>
        <w:rPr>
          <w:rFonts w:ascii="宋体" w:hAnsi="宋体"/>
          <w:sz w:val="21"/>
          <w:szCs w:val="21"/>
        </w:rPr>
        <w:t>QSZB-Z(H)-E21310(GK)</w:t>
      </w:r>
    </w:p>
    <w:p>
      <w:pPr>
        <w:adjustRightInd w:val="0"/>
        <w:snapToGrid w:val="0"/>
        <w:spacing w:line="288"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.项目名称：北方水稻研究中心建设项目仪器设备采购</w:t>
      </w:r>
    </w:p>
    <w:bookmarkEnd w:id="4"/>
    <w:p>
      <w:pPr>
        <w:adjustRightInd w:val="0"/>
        <w:snapToGrid w:val="0"/>
        <w:spacing w:line="288" w:lineRule="auto"/>
        <w:ind w:firstLine="420" w:firstLineChars="200"/>
        <w:rPr>
          <w:rFonts w:ascii="宋体" w:hAnsi="宋体"/>
          <w:sz w:val="21"/>
          <w:szCs w:val="21"/>
          <w:u w:val="single"/>
        </w:rPr>
      </w:pPr>
      <w:r>
        <w:rPr>
          <w:rFonts w:ascii="宋体" w:hAnsi="宋体"/>
          <w:sz w:val="21"/>
          <w:szCs w:val="21"/>
        </w:rPr>
        <w:t>3</w:t>
      </w:r>
      <w:r>
        <w:rPr>
          <w:rFonts w:hint="eastAsia" w:ascii="宋体" w:hAnsi="宋体"/>
          <w:sz w:val="21"/>
          <w:szCs w:val="21"/>
        </w:rPr>
        <w:t>.合同履行期限：合同签订后5个月内交付</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4</w:t>
      </w:r>
      <w:r>
        <w:rPr>
          <w:rFonts w:hint="eastAsia" w:ascii="宋体" w:hAnsi="宋体"/>
          <w:bCs/>
          <w:sz w:val="21"/>
          <w:szCs w:val="21"/>
        </w:rPr>
        <w:t>.本项目不接受联合体投标。</w:t>
      </w:r>
    </w:p>
    <w:p>
      <w:pPr>
        <w:adjustRightInd w:val="0"/>
        <w:snapToGrid w:val="0"/>
        <w:spacing w:line="288" w:lineRule="auto"/>
        <w:ind w:firstLine="420" w:firstLineChars="200"/>
        <w:rPr>
          <w:rFonts w:ascii="宋体" w:hAnsi="宋体"/>
          <w:sz w:val="21"/>
          <w:szCs w:val="21"/>
        </w:rPr>
      </w:pPr>
      <w:r>
        <w:rPr>
          <w:rFonts w:ascii="宋体" w:hAnsi="宋体"/>
          <w:sz w:val="21"/>
          <w:szCs w:val="21"/>
        </w:rPr>
        <w:t>5</w:t>
      </w:r>
      <w:r>
        <w:rPr>
          <w:rFonts w:hint="eastAsia" w:ascii="宋体" w:hAnsi="宋体"/>
          <w:sz w:val="21"/>
          <w:szCs w:val="21"/>
        </w:rPr>
        <w:t>.采购需求：</w:t>
      </w:r>
    </w:p>
    <w:tbl>
      <w:tblPr>
        <w:tblStyle w:val="4"/>
        <w:tblW w:w="96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708"/>
        <w:gridCol w:w="709"/>
        <w:gridCol w:w="1702"/>
        <w:gridCol w:w="1276"/>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708"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709"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单位</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简要技术需求或服务要求</w:t>
            </w:r>
          </w:p>
        </w:tc>
        <w:tc>
          <w:tcPr>
            <w:tcW w:w="1276"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是否允许采购进口产品</w:t>
            </w:r>
          </w:p>
        </w:tc>
        <w:tc>
          <w:tcPr>
            <w:tcW w:w="1276"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预算金额</w:t>
            </w:r>
          </w:p>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（万元）</w:t>
            </w:r>
          </w:p>
        </w:tc>
        <w:tc>
          <w:tcPr>
            <w:tcW w:w="1276"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最高限价</w:t>
            </w:r>
          </w:p>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液相色谱-串联质谱仪</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restart"/>
            <w:tcBorders>
              <w:tl2br w:val="nil"/>
              <w:tr2bl w:val="nil"/>
            </w:tcBorders>
            <w:vAlign w:val="center"/>
          </w:tcPr>
          <w:p>
            <w:pPr>
              <w:adjustRightInd w:val="0"/>
              <w:snapToGrid w:val="0"/>
              <w:spacing w:line="288" w:lineRule="auto"/>
              <w:jc w:val="center"/>
              <w:rPr>
                <w:rFonts w:ascii="宋体" w:hAnsi="宋体" w:cs="宋体"/>
                <w:sz w:val="21"/>
                <w:szCs w:val="21"/>
              </w:rPr>
            </w:pPr>
            <w:r>
              <w:rPr>
                <w:rFonts w:ascii="宋体" w:hAnsi="宋体"/>
                <w:sz w:val="21"/>
                <w:szCs w:val="21"/>
              </w:rPr>
              <w:t>418</w:t>
            </w:r>
          </w:p>
        </w:tc>
        <w:tc>
          <w:tcPr>
            <w:tcW w:w="1276" w:type="dxa"/>
            <w:vMerge w:val="restart"/>
            <w:tcBorders>
              <w:tl2br w:val="nil"/>
              <w:tr2bl w:val="nil"/>
            </w:tcBorders>
            <w:vAlign w:val="center"/>
          </w:tcPr>
          <w:p>
            <w:pPr>
              <w:adjustRightInd w:val="0"/>
              <w:snapToGrid w:val="0"/>
              <w:spacing w:line="288" w:lineRule="auto"/>
              <w:jc w:val="center"/>
              <w:rPr>
                <w:rFonts w:ascii="宋体" w:hAnsi="宋体"/>
                <w:sz w:val="21"/>
                <w:szCs w:val="21"/>
              </w:rPr>
            </w:pPr>
            <w:r>
              <w:rPr>
                <w:rFonts w:ascii="宋体" w:hAnsi="宋体"/>
                <w:sz w:val="21"/>
                <w:szCs w:val="21"/>
              </w:rPr>
              <w:t>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2</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气相色谱-串联质谱仪</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3</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微波消解仪</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4</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荧光定量PCR仪</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5</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正置荧光显微镜</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6</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多功能酶标仪</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7</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高速冷冻离心机</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8</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马弗炉</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9</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旋转蒸发仪</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10</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氮吹仪</w:t>
            </w:r>
          </w:p>
        </w:tc>
        <w:tc>
          <w:tcPr>
            <w:tcW w:w="708" w:type="dxa"/>
            <w:tcBorders>
              <w:tl2br w:val="nil"/>
              <w:tr2bl w:val="nil"/>
            </w:tcBorders>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是</w:t>
            </w: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c>
          <w:tcPr>
            <w:tcW w:w="1276" w:type="dxa"/>
            <w:vMerge w:val="continue"/>
            <w:tcBorders>
              <w:tl2br w:val="nil"/>
              <w:tr2bl w:val="nil"/>
            </w:tcBorders>
            <w:vAlign w:val="center"/>
          </w:tcPr>
          <w:p>
            <w:pPr>
              <w:adjustRightInd w:val="0"/>
              <w:snapToGrid w:val="0"/>
              <w:spacing w:line="288" w:lineRule="auto"/>
              <w:jc w:val="center"/>
              <w:rPr>
                <w:rFonts w:ascii="宋体" w:hAnsi="宋体" w:cs="宋体"/>
                <w:sz w:val="21"/>
                <w:szCs w:val="21"/>
              </w:rPr>
            </w:pPr>
          </w:p>
        </w:tc>
      </w:tr>
    </w:tbl>
    <w:p>
      <w:pPr>
        <w:adjustRightInd w:val="0"/>
        <w:snapToGrid w:val="0"/>
        <w:spacing w:line="288" w:lineRule="auto"/>
        <w:ind w:firstLine="200"/>
        <w:rPr>
          <w:rFonts w:ascii="宋体" w:hAnsi="宋体" w:cs="宋体"/>
          <w:b/>
          <w:sz w:val="21"/>
          <w:szCs w:val="21"/>
        </w:rPr>
      </w:pPr>
      <w:bookmarkStart w:id="5" w:name="_Toc28359003"/>
      <w:bookmarkStart w:id="6" w:name="_Toc35393622"/>
      <w:bookmarkStart w:id="7" w:name="_Toc28359080"/>
      <w:bookmarkStart w:id="8" w:name="_Toc35393791"/>
      <w:r>
        <w:rPr>
          <w:rFonts w:hint="eastAsia" w:ascii="宋体" w:hAnsi="宋体" w:cs="宋体"/>
          <w:b/>
          <w:sz w:val="21"/>
          <w:szCs w:val="21"/>
        </w:rPr>
        <w:t>二、申请人的资格要求：</w:t>
      </w:r>
      <w:bookmarkEnd w:id="5"/>
      <w:bookmarkEnd w:id="6"/>
      <w:bookmarkEnd w:id="7"/>
      <w:bookmarkEnd w:id="8"/>
    </w:p>
    <w:p>
      <w:pPr>
        <w:adjustRightInd w:val="0"/>
        <w:snapToGrid w:val="0"/>
        <w:spacing w:line="288" w:lineRule="auto"/>
        <w:ind w:firstLine="420" w:firstLineChars="200"/>
        <w:jc w:val="left"/>
        <w:rPr>
          <w:rFonts w:ascii="宋体" w:hAnsi="宋体"/>
          <w:sz w:val="21"/>
          <w:szCs w:val="21"/>
        </w:rPr>
      </w:pPr>
      <w:r>
        <w:rPr>
          <w:rFonts w:hint="eastAsia" w:ascii="宋体" w:hAnsi="宋体"/>
          <w:sz w:val="21"/>
          <w:szCs w:val="21"/>
        </w:rPr>
        <w:t>1.满足《中华人民共和国政府采购法》第二十二条规定；且截止投标截止时间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宋体" w:hAnsi="宋体"/>
          <w:sz w:val="21"/>
          <w:szCs w:val="21"/>
        </w:rPr>
      </w:pPr>
      <w:bookmarkStart w:id="9" w:name="_Toc28359004"/>
      <w:bookmarkStart w:id="10" w:name="_Toc28359081"/>
      <w:r>
        <w:rPr>
          <w:rFonts w:hint="eastAsia" w:ascii="宋体" w:hAnsi="宋体"/>
          <w:sz w:val="21"/>
          <w:szCs w:val="21"/>
        </w:rPr>
        <w:t>2.落实政府采购政策需满足的资格要求：无</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3.本项目的特定资格要求：无</w:t>
      </w:r>
    </w:p>
    <w:p>
      <w:pPr>
        <w:adjustRightInd w:val="0"/>
        <w:snapToGrid w:val="0"/>
        <w:spacing w:line="288" w:lineRule="auto"/>
        <w:ind w:firstLine="200"/>
        <w:rPr>
          <w:rFonts w:ascii="宋体" w:hAnsi="宋体" w:cs="宋体"/>
          <w:b/>
          <w:sz w:val="21"/>
          <w:szCs w:val="21"/>
        </w:rPr>
      </w:pPr>
      <w:bookmarkStart w:id="11" w:name="_Toc35393792"/>
      <w:bookmarkStart w:id="12" w:name="_Toc35393623"/>
      <w:r>
        <w:rPr>
          <w:rFonts w:hint="eastAsia" w:ascii="宋体" w:hAnsi="宋体" w:cs="宋体"/>
          <w:b/>
          <w:sz w:val="21"/>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sz w:val="21"/>
          <w:szCs w:val="21"/>
        </w:rPr>
      </w:pPr>
      <w:bookmarkStart w:id="13" w:name="_Toc28359082"/>
      <w:bookmarkStart w:id="14" w:name="_Toc28359005"/>
      <w:bookmarkStart w:id="15" w:name="_Toc35393793"/>
      <w:bookmarkStart w:id="16" w:name="_Toc35393624"/>
      <w:r>
        <w:rPr>
          <w:rFonts w:hint="eastAsia" w:ascii="宋体" w:hAnsi="宋体"/>
          <w:sz w:val="21"/>
          <w:szCs w:val="21"/>
        </w:rPr>
        <w:t>1</w:t>
      </w:r>
      <w:r>
        <w:rPr>
          <w:rFonts w:ascii="宋体" w:hAnsi="宋体"/>
          <w:sz w:val="21"/>
          <w:szCs w:val="21"/>
        </w:rPr>
        <w:t>.</w:t>
      </w:r>
      <w:r>
        <w:rPr>
          <w:rFonts w:hint="eastAsia" w:ascii="宋体" w:hAnsi="宋体"/>
          <w:sz w:val="21"/>
          <w:szCs w:val="21"/>
        </w:rPr>
        <w:t>时间：2021年</w:t>
      </w:r>
      <w:r>
        <w:rPr>
          <w:rFonts w:ascii="宋体" w:hAnsi="宋体"/>
          <w:sz w:val="21"/>
          <w:szCs w:val="21"/>
        </w:rPr>
        <w:t>11</w:t>
      </w:r>
      <w:r>
        <w:rPr>
          <w:rFonts w:hint="eastAsia" w:ascii="宋体" w:hAnsi="宋体"/>
          <w:sz w:val="21"/>
          <w:szCs w:val="21"/>
        </w:rPr>
        <w:t>月</w:t>
      </w:r>
      <w:r>
        <w:rPr>
          <w:rFonts w:ascii="宋体" w:hAnsi="宋体"/>
          <w:sz w:val="21"/>
          <w:szCs w:val="21"/>
        </w:rPr>
        <w:t>5</w:t>
      </w:r>
      <w:r>
        <w:rPr>
          <w:rFonts w:hint="eastAsia" w:ascii="宋体" w:hAnsi="宋体"/>
          <w:sz w:val="21"/>
          <w:szCs w:val="21"/>
        </w:rPr>
        <w:t>日至2021年</w:t>
      </w:r>
      <w:r>
        <w:rPr>
          <w:rFonts w:ascii="宋体" w:hAnsi="宋体"/>
          <w:sz w:val="21"/>
          <w:szCs w:val="21"/>
        </w:rPr>
        <w:t>11</w:t>
      </w:r>
      <w:r>
        <w:rPr>
          <w:rFonts w:hint="eastAsia" w:ascii="宋体" w:hAnsi="宋体"/>
          <w:sz w:val="21"/>
          <w:szCs w:val="21"/>
        </w:rPr>
        <w:t>月</w:t>
      </w:r>
      <w:r>
        <w:rPr>
          <w:rFonts w:ascii="宋体" w:hAnsi="宋体"/>
          <w:sz w:val="21"/>
          <w:szCs w:val="21"/>
        </w:rPr>
        <w:t>12</w:t>
      </w:r>
      <w:r>
        <w:rPr>
          <w:rFonts w:hint="eastAsia" w:ascii="宋体" w:hAnsi="宋体"/>
          <w:sz w:val="21"/>
          <w:szCs w:val="21"/>
        </w:rPr>
        <w:t>日（北京时间，双休日及法定节假日除外）</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上午：8:30-11:30、下午：13:00-17:00。备注：获取招标文件截止时间之后潜在投标人依然可以获取招标文件，如对招标文件有质疑的应在规定的质疑期限内提出。</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地址：浙江求是招标代理有限公司（杭州市西湖区玉古路173号中田大厦11楼H室）</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方式：微信获取（扫描附件二维码或关注“浙江求是招标代理有限公司”企业公众号）或现场获取。</w:t>
      </w:r>
    </w:p>
    <w:p>
      <w:pPr>
        <w:adjustRightInd w:val="0"/>
        <w:snapToGrid w:val="0"/>
        <w:spacing w:line="288" w:lineRule="auto"/>
        <w:ind w:firstLine="420" w:firstLineChars="200"/>
        <w:rPr>
          <w:rFonts w:ascii="宋体" w:hAnsi="宋体"/>
          <w:sz w:val="21"/>
          <w:szCs w:val="21"/>
        </w:rPr>
      </w:pPr>
      <w:bookmarkStart w:id="17" w:name="_Hlk45804622"/>
      <w:r>
        <w:rPr>
          <w:rFonts w:hint="eastAsia" w:ascii="宋体" w:hAnsi="宋体"/>
          <w:sz w:val="21"/>
          <w:szCs w:val="21"/>
        </w:rPr>
        <w:t>获取文件联系人：周嘉倩；联系方式：0571-56532513；电子邮箱：qszb010@126.com</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4</w:t>
      </w:r>
      <w:r>
        <w:rPr>
          <w:rFonts w:ascii="宋体" w:hAnsi="宋体"/>
          <w:sz w:val="21"/>
          <w:szCs w:val="21"/>
          <w:u w:val="single"/>
        </w:rPr>
        <w:t>.</w:t>
      </w:r>
      <w:r>
        <w:rPr>
          <w:rFonts w:hint="eastAsia" w:ascii="宋体" w:hAnsi="宋体"/>
          <w:sz w:val="21"/>
          <w:szCs w:val="21"/>
          <w:u w:val="single"/>
        </w:rPr>
        <w:t>售价</w:t>
      </w:r>
      <w:r>
        <w:rPr>
          <w:rFonts w:ascii="宋体" w:hAnsi="宋体"/>
          <w:sz w:val="21"/>
          <w:szCs w:val="21"/>
          <w:u w:val="single"/>
        </w:rPr>
        <w:t>：</w:t>
      </w:r>
      <w:r>
        <w:rPr>
          <w:rFonts w:hint="eastAsia" w:ascii="宋体" w:hAnsi="宋体"/>
          <w:sz w:val="21"/>
          <w:szCs w:val="21"/>
          <w:u w:val="single"/>
        </w:rPr>
        <w:t>5</w:t>
      </w:r>
      <w:r>
        <w:rPr>
          <w:rFonts w:ascii="宋体" w:hAnsi="宋体"/>
          <w:sz w:val="21"/>
          <w:szCs w:val="21"/>
          <w:u w:val="single"/>
        </w:rPr>
        <w:t>00</w:t>
      </w:r>
      <w:r>
        <w:rPr>
          <w:rFonts w:hint="eastAsia" w:ascii="宋体" w:hAnsi="宋体"/>
          <w:sz w:val="21"/>
          <w:szCs w:val="21"/>
          <w:u w:val="single"/>
        </w:rPr>
        <w:t>元整。</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收款单位（户名）：浙江求是招标代理有限公司</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开户银行：工行浙大支行</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银行账号：</w:t>
      </w:r>
      <w:r>
        <w:rPr>
          <w:rFonts w:ascii="宋体" w:hAnsi="宋体"/>
          <w:sz w:val="21"/>
          <w:szCs w:val="21"/>
          <w:u w:val="single"/>
        </w:rPr>
        <w:t>1202024609900033043</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财务联系方式：0571-87666113</w:t>
      </w:r>
      <w:bookmarkEnd w:id="17"/>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开票信息请发送邮件至：caiwu@qszb.net，提供：项目名称或编号、开票资料、收件信息并注明专普票。</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5.投标人未按照本公告规定的方式获取招标文件的，投标文件将被拒绝。</w:t>
      </w:r>
    </w:p>
    <w:p>
      <w:pPr>
        <w:adjustRightInd w:val="0"/>
        <w:snapToGrid w:val="0"/>
        <w:spacing w:line="288" w:lineRule="auto"/>
        <w:ind w:firstLine="200"/>
        <w:rPr>
          <w:rFonts w:ascii="宋体" w:hAnsi="宋体" w:cs="宋体"/>
          <w:b/>
          <w:sz w:val="21"/>
          <w:szCs w:val="21"/>
        </w:rPr>
      </w:pPr>
      <w:r>
        <w:rPr>
          <w:rFonts w:hint="eastAsia" w:ascii="宋体" w:hAnsi="宋体" w:cs="宋体"/>
          <w:b/>
          <w:sz w:val="21"/>
          <w:szCs w:val="21"/>
        </w:rPr>
        <w:t>四、提交投标文件</w:t>
      </w:r>
      <w:bookmarkEnd w:id="13"/>
      <w:bookmarkEnd w:id="14"/>
      <w:r>
        <w:rPr>
          <w:rFonts w:hint="eastAsia" w:ascii="宋体" w:hAnsi="宋体" w:cs="宋体"/>
          <w:b/>
          <w:sz w:val="21"/>
          <w:szCs w:val="21"/>
        </w:rPr>
        <w:t>截止时间、开标时间和地点</w:t>
      </w:r>
      <w:bookmarkEnd w:id="15"/>
      <w:bookmarkEnd w:id="16"/>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1.时间：2021年</w:t>
      </w:r>
      <w:r>
        <w:rPr>
          <w:rFonts w:ascii="宋体" w:hAnsi="宋体"/>
          <w:bCs/>
          <w:sz w:val="21"/>
          <w:szCs w:val="21"/>
        </w:rPr>
        <w:t>11</w:t>
      </w:r>
      <w:r>
        <w:rPr>
          <w:rFonts w:hint="eastAsia" w:ascii="宋体" w:hAnsi="宋体"/>
          <w:bCs/>
          <w:sz w:val="21"/>
          <w:szCs w:val="21"/>
        </w:rPr>
        <w:t>月</w:t>
      </w:r>
      <w:r>
        <w:rPr>
          <w:rFonts w:ascii="宋体" w:hAnsi="宋体"/>
          <w:bCs/>
          <w:sz w:val="21"/>
          <w:szCs w:val="21"/>
        </w:rPr>
        <w:t>26</w:t>
      </w:r>
      <w:r>
        <w:rPr>
          <w:rFonts w:hint="eastAsia" w:ascii="宋体" w:hAnsi="宋体"/>
          <w:bCs/>
          <w:sz w:val="21"/>
          <w:szCs w:val="21"/>
        </w:rPr>
        <w:t>日下午1</w:t>
      </w:r>
      <w:r>
        <w:rPr>
          <w:rFonts w:ascii="宋体" w:hAnsi="宋体"/>
          <w:bCs/>
          <w:sz w:val="21"/>
          <w:szCs w:val="21"/>
        </w:rPr>
        <w:t>4</w:t>
      </w:r>
      <w:r>
        <w:rPr>
          <w:rFonts w:hint="eastAsia" w:ascii="宋体" w:hAnsi="宋体"/>
          <w:bCs/>
          <w:sz w:val="21"/>
          <w:szCs w:val="21"/>
        </w:rPr>
        <w:t>:00:00（北京时间）</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2</w:t>
      </w:r>
      <w:r>
        <w:rPr>
          <w:rFonts w:hint="eastAsia" w:ascii="宋体" w:hAnsi="宋体"/>
          <w:bCs/>
          <w:sz w:val="21"/>
          <w:szCs w:val="21"/>
        </w:rPr>
        <w:t>.地点：杭州市西湖区玉古路173号中田大厦11楼求是招标会议室一。</w:t>
      </w:r>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备注：投标人逾期送达或者未按照招标文件要求密封的投标文件，采购代理机构将予以拒收；</w:t>
      </w:r>
    </w:p>
    <w:p>
      <w:pPr>
        <w:adjustRightInd w:val="0"/>
        <w:snapToGrid w:val="0"/>
        <w:spacing w:line="288" w:lineRule="auto"/>
        <w:ind w:firstLine="200"/>
        <w:rPr>
          <w:rFonts w:ascii="宋体" w:hAnsi="宋体" w:cs="宋体"/>
          <w:b/>
          <w:sz w:val="21"/>
          <w:szCs w:val="21"/>
        </w:rPr>
      </w:pPr>
      <w:bookmarkStart w:id="18" w:name="_Toc28359084"/>
      <w:bookmarkStart w:id="19" w:name="_Toc28359007"/>
      <w:bookmarkStart w:id="20" w:name="_Toc35393625"/>
      <w:bookmarkStart w:id="21" w:name="_Toc35393794"/>
      <w:r>
        <w:rPr>
          <w:rFonts w:hint="eastAsia" w:ascii="宋体" w:hAnsi="宋体" w:cs="宋体"/>
          <w:b/>
          <w:sz w:val="21"/>
          <w:szCs w:val="21"/>
        </w:rPr>
        <w:t>五、公告期限</w:t>
      </w:r>
      <w:bookmarkEnd w:id="18"/>
      <w:bookmarkEnd w:id="19"/>
      <w:bookmarkEnd w:id="20"/>
      <w:bookmarkEnd w:id="21"/>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自本公告发布之日起5个工作日。</w:t>
      </w:r>
    </w:p>
    <w:p>
      <w:pPr>
        <w:adjustRightInd w:val="0"/>
        <w:snapToGrid w:val="0"/>
        <w:spacing w:line="288" w:lineRule="auto"/>
        <w:ind w:firstLine="211" w:firstLineChars="100"/>
        <w:rPr>
          <w:rFonts w:ascii="宋体" w:hAnsi="宋体" w:cs="宋体"/>
          <w:b/>
          <w:sz w:val="21"/>
          <w:szCs w:val="21"/>
        </w:rPr>
      </w:pPr>
      <w:bookmarkStart w:id="22" w:name="_Toc35393626"/>
      <w:bookmarkStart w:id="23" w:name="_Toc35393795"/>
      <w:r>
        <w:rPr>
          <w:rFonts w:hint="eastAsia" w:ascii="宋体" w:hAnsi="宋体" w:cs="宋体"/>
          <w:b/>
          <w:sz w:val="21"/>
          <w:szCs w:val="21"/>
        </w:rPr>
        <w:t>六、其他补充事宜</w:t>
      </w:r>
      <w:bookmarkEnd w:id="22"/>
      <w:bookmarkEnd w:id="23"/>
    </w:p>
    <w:p>
      <w:pPr>
        <w:adjustRightInd w:val="0"/>
        <w:snapToGrid w:val="0"/>
        <w:spacing w:line="288" w:lineRule="auto"/>
        <w:ind w:firstLine="422" w:firstLineChars="200"/>
        <w:rPr>
          <w:rFonts w:ascii="宋体" w:hAnsi="宋体"/>
          <w:b/>
          <w:bCs/>
          <w:sz w:val="21"/>
          <w:szCs w:val="21"/>
        </w:rPr>
      </w:pPr>
      <w:r>
        <w:rPr>
          <w:rFonts w:hint="eastAsia" w:ascii="宋体" w:hAnsi="宋体"/>
          <w:b/>
          <w:bCs/>
          <w:sz w:val="21"/>
          <w:szCs w:val="21"/>
        </w:rPr>
        <w:t>1.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pPr>
        <w:adjustRightInd w:val="0"/>
        <w:snapToGrid w:val="0"/>
        <w:spacing w:line="288" w:lineRule="auto"/>
        <w:ind w:firstLine="422" w:firstLineChars="200"/>
        <w:rPr>
          <w:rFonts w:ascii="宋体" w:hAnsi="宋体"/>
          <w:b/>
          <w:bCs/>
          <w:sz w:val="21"/>
          <w:szCs w:val="21"/>
        </w:rPr>
      </w:pPr>
      <w:r>
        <w:rPr>
          <w:rFonts w:hint="eastAsia" w:ascii="宋体" w:hAnsi="宋体"/>
          <w:b/>
          <w:bCs/>
          <w:sz w:val="21"/>
          <w:szCs w:val="21"/>
        </w:rPr>
        <w:t>（1）邮寄地址：杭州市西湖区玉古路173号中田大厦11楼H室，浙江求是招标代理有限公司（姜海军）收，电话：0571-87666117，寄出后将（快递单号、项目名称、公司名称、联系方式等相关信息）发至：zb05@qszb.net，以便查收）。</w:t>
      </w:r>
    </w:p>
    <w:p>
      <w:pPr>
        <w:adjustRightInd w:val="0"/>
        <w:snapToGrid w:val="0"/>
        <w:spacing w:line="288" w:lineRule="auto"/>
        <w:ind w:firstLine="422" w:firstLineChars="200"/>
        <w:rPr>
          <w:rFonts w:ascii="宋体" w:hAnsi="宋体"/>
          <w:b/>
          <w:bCs/>
          <w:sz w:val="21"/>
          <w:szCs w:val="21"/>
        </w:rPr>
      </w:pPr>
      <w:r>
        <w:rPr>
          <w:rFonts w:hint="eastAsia" w:ascii="宋体" w:hAnsi="宋体"/>
          <w:b/>
          <w:bCs/>
          <w:sz w:val="21"/>
          <w:szCs w:val="21"/>
        </w:rPr>
        <w:t>特别说明：双休日和法定节假日不收件，投标人自行承担邮寄风险。</w:t>
      </w:r>
    </w:p>
    <w:p>
      <w:pPr>
        <w:adjustRightInd w:val="0"/>
        <w:snapToGrid w:val="0"/>
        <w:spacing w:line="288" w:lineRule="auto"/>
        <w:ind w:firstLine="422" w:firstLineChars="200"/>
        <w:rPr>
          <w:rFonts w:ascii="宋体" w:hAnsi="宋体"/>
          <w:b/>
          <w:bCs/>
          <w:sz w:val="21"/>
          <w:szCs w:val="21"/>
        </w:rPr>
      </w:pPr>
      <w:r>
        <w:rPr>
          <w:rFonts w:hint="eastAsia" w:ascii="宋体" w:hAnsi="宋体"/>
          <w:b/>
          <w:bCs/>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pPr>
        <w:adjustRightInd w:val="0"/>
        <w:snapToGrid w:val="0"/>
        <w:spacing w:line="288" w:lineRule="auto"/>
        <w:ind w:firstLine="422" w:firstLineChars="200"/>
        <w:rPr>
          <w:rFonts w:ascii="宋体" w:hAnsi="宋体"/>
          <w:b/>
          <w:bCs/>
          <w:sz w:val="21"/>
          <w:szCs w:val="21"/>
        </w:rPr>
      </w:pPr>
      <w:r>
        <w:rPr>
          <w:rFonts w:hint="eastAsia" w:ascii="宋体" w:hAnsi="宋体"/>
          <w:b/>
          <w:bCs/>
          <w:sz w:val="21"/>
          <w:szCs w:val="21"/>
        </w:rPr>
        <w:t>（3）疫情防控期间，取消投标人在开标现场的书面签字确认等有关操作要求；评审现场如需要投标人澄清、说明等，均通过指定的电子邮箱（zb05@qszb.net）向投标人发送澄清、说明等通知，并要求在收到通知后半小时内以邮件形式作出澄清、说明等。</w:t>
      </w:r>
    </w:p>
    <w:p>
      <w:pPr>
        <w:adjustRightInd w:val="0"/>
        <w:snapToGrid w:val="0"/>
        <w:spacing w:line="288" w:lineRule="auto"/>
        <w:ind w:firstLine="422" w:firstLineChars="200"/>
        <w:rPr>
          <w:rFonts w:ascii="宋体" w:hAnsi="宋体"/>
          <w:b/>
          <w:bCs/>
          <w:sz w:val="21"/>
          <w:szCs w:val="21"/>
        </w:rPr>
      </w:pPr>
      <w:r>
        <w:rPr>
          <w:rFonts w:ascii="宋体" w:hAnsi="宋体"/>
          <w:b/>
          <w:bCs/>
          <w:sz w:val="21"/>
          <w:szCs w:val="21"/>
        </w:rPr>
        <w:t>2.</w:t>
      </w:r>
      <w:r>
        <w:rPr>
          <w:rFonts w:hint="eastAsia" w:ascii="宋体" w:hAnsi="宋体"/>
          <w:b/>
          <w:bCs/>
          <w:sz w:val="21"/>
          <w:szCs w:val="21"/>
        </w:rPr>
        <w:t>质疑投诉</w:t>
      </w:r>
    </w:p>
    <w:p>
      <w:pPr>
        <w:adjustRightInd w:val="0"/>
        <w:snapToGrid w:val="0"/>
        <w:spacing w:line="288" w:lineRule="auto"/>
        <w:ind w:firstLine="396" w:firstLineChars="200"/>
        <w:rPr>
          <w:rFonts w:ascii="宋体" w:hAnsi="宋体"/>
          <w:bCs/>
          <w:sz w:val="21"/>
          <w:szCs w:val="21"/>
        </w:rPr>
      </w:pPr>
      <w:r>
        <w:rPr>
          <w:rFonts w:hint="eastAsia" w:ascii="宋体" w:hAnsi="宋体"/>
          <w:spacing w:val="-6"/>
          <w:sz w:val="21"/>
          <w:szCs w:val="21"/>
        </w:rPr>
        <w:t>投标人认为招标文件使自己的权益受到损害的，可以提出质疑。对招标文件提出质疑的，应当在获取招标文件或者招标文件公告期限届满之日（公告期限届满后获取采购文件的，以公告期限届满之日为准）起7个工作日内以书面形式向采购人、采购代理机构提出。质疑投标人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288" w:lineRule="auto"/>
        <w:ind w:firstLine="420" w:firstLineChars="200"/>
        <w:rPr>
          <w:rFonts w:ascii="宋体" w:hAnsi="宋体"/>
          <w:b/>
          <w:bCs/>
          <w:sz w:val="21"/>
          <w:szCs w:val="21"/>
        </w:rPr>
      </w:pPr>
      <w:r>
        <w:rPr>
          <w:rFonts w:hint="eastAsia" w:ascii="宋体" w:hAnsi="宋体"/>
          <w:bCs/>
          <w:sz w:val="21"/>
          <w:szCs w:val="21"/>
        </w:rPr>
        <w:t>质疑函范本、投诉书范本请到浙江政府采购网下载专区下载。</w:t>
      </w:r>
    </w:p>
    <w:p>
      <w:pPr>
        <w:adjustRightInd w:val="0"/>
        <w:snapToGrid w:val="0"/>
        <w:spacing w:line="288" w:lineRule="auto"/>
        <w:ind w:firstLine="200"/>
        <w:rPr>
          <w:rFonts w:ascii="宋体" w:hAnsi="宋体"/>
          <w:b/>
          <w:sz w:val="21"/>
          <w:szCs w:val="21"/>
        </w:rPr>
      </w:pPr>
      <w:bookmarkStart w:id="24" w:name="_Toc35393627"/>
      <w:bookmarkStart w:id="25" w:name="_Toc35393796"/>
      <w:bookmarkStart w:id="26" w:name="_Toc28359008"/>
      <w:bookmarkStart w:id="27" w:name="_Toc28359085"/>
      <w:r>
        <w:rPr>
          <w:rFonts w:hint="eastAsia" w:ascii="宋体" w:hAnsi="宋体" w:cs="宋体"/>
          <w:b/>
          <w:sz w:val="21"/>
          <w:szCs w:val="21"/>
        </w:rPr>
        <w:t>七、对本次招标提出询问、质疑、投诉请按</w:t>
      </w:r>
      <w:r>
        <w:rPr>
          <w:rFonts w:ascii="宋体" w:hAnsi="宋体" w:cs="宋体"/>
          <w:b/>
          <w:sz w:val="21"/>
          <w:szCs w:val="21"/>
        </w:rPr>
        <w:t>以下方式</w:t>
      </w:r>
      <w:r>
        <w:rPr>
          <w:rFonts w:hint="eastAsia" w:ascii="宋体" w:hAnsi="宋体" w:cs="宋体"/>
          <w:b/>
          <w:sz w:val="21"/>
          <w:szCs w:val="21"/>
        </w:rPr>
        <w:t>联系</w:t>
      </w:r>
      <w:bookmarkEnd w:id="24"/>
      <w:bookmarkEnd w:id="25"/>
      <w:bookmarkEnd w:id="26"/>
      <w:bookmarkEnd w:id="27"/>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1.采购人信息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名称：中国水稻研究所</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地址：杭州市富阳区水稻所路28号</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联系方式：0571-63370547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采购项目联系人：曹国强</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采购项目联系方式：0571-63370547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质疑联系人：俞其明</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w:t>
      </w:r>
      <w:r>
        <w:rPr>
          <w:rFonts w:ascii="宋体" w:hAnsi="宋体"/>
          <w:sz w:val="21"/>
          <w:szCs w:val="21"/>
        </w:rPr>
        <w:t>0571-63370266</w:t>
      </w:r>
    </w:p>
    <w:p>
      <w:pPr>
        <w:adjustRightInd w:val="0"/>
        <w:snapToGrid w:val="0"/>
        <w:spacing w:line="288" w:lineRule="auto"/>
        <w:ind w:firstLine="420" w:firstLineChars="200"/>
        <w:rPr>
          <w:rFonts w:ascii="宋体" w:hAnsi="宋体"/>
          <w:sz w:val="21"/>
          <w:szCs w:val="21"/>
        </w:rPr>
      </w:pP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2.采购代理机构信息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名称：浙江求是招标代理有限公司</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地址：杭州市西湖区玉古路173号中田大厦11楼</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项目联系人：姜海军</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项目联系方式：</w:t>
      </w:r>
      <w:r>
        <w:rPr>
          <w:rFonts w:ascii="宋体" w:hAnsi="宋体"/>
          <w:sz w:val="21"/>
          <w:szCs w:val="21"/>
        </w:rPr>
        <w:t>0571-87666117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质疑联系人：余水星</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质疑联系方式：0571-81110356</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质疑邮箱：jdkh@qszb.net</w:t>
      </w:r>
    </w:p>
    <w:p>
      <w:pPr>
        <w:adjustRightInd w:val="0"/>
        <w:snapToGrid w:val="0"/>
        <w:spacing w:line="288" w:lineRule="auto"/>
        <w:ind w:left="238"/>
        <w:jc w:val="center"/>
        <w:outlineLvl w:val="0"/>
        <w:rPr>
          <w:rFonts w:ascii="宋体" w:hAnsi="宋体"/>
          <w:b/>
          <w:bCs/>
          <w:sz w:val="32"/>
          <w:szCs w:val="32"/>
        </w:rPr>
      </w:pPr>
      <w:r>
        <w:rPr>
          <w:rFonts w:hint="eastAsia" w:ascii="宋体" w:hAnsi="宋体"/>
          <w:sz w:val="21"/>
          <w:szCs w:val="21"/>
        </w:rPr>
        <w:br w:type="page"/>
      </w:r>
      <w:r>
        <w:rPr>
          <w:rFonts w:hint="eastAsia" w:ascii="宋体" w:hAnsi="宋体"/>
          <w:b/>
          <w:sz w:val="32"/>
          <w:szCs w:val="32"/>
        </w:rPr>
        <w:t xml:space="preserve">第二章  </w:t>
      </w:r>
      <w:r>
        <w:rPr>
          <w:rFonts w:hint="eastAsia" w:ascii="宋体" w:hAnsi="宋体"/>
          <w:b/>
          <w:bCs/>
          <w:sz w:val="32"/>
          <w:szCs w:val="32"/>
        </w:rPr>
        <w:t>采购需求</w:t>
      </w: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一</w:t>
      </w:r>
      <w:r>
        <w:rPr>
          <w:rFonts w:ascii="宋体" w:hAnsi="宋体"/>
          <w:b/>
          <w:sz w:val="21"/>
          <w:szCs w:val="21"/>
        </w:rPr>
        <w:t>、</w:t>
      </w:r>
      <w:r>
        <w:rPr>
          <w:rFonts w:hint="eastAsia" w:ascii="宋体" w:hAnsi="宋体"/>
          <w:b/>
          <w:sz w:val="21"/>
          <w:szCs w:val="21"/>
        </w:rPr>
        <w:t>为落实政府采购政策需满足的要求：</w:t>
      </w:r>
    </w:p>
    <w:tbl>
      <w:tblPr>
        <w:tblStyle w:val="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14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序号</w:t>
            </w:r>
          </w:p>
        </w:tc>
        <w:tc>
          <w:tcPr>
            <w:tcW w:w="4140" w:type="dxa"/>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政策名称</w:t>
            </w:r>
          </w:p>
        </w:tc>
        <w:tc>
          <w:tcPr>
            <w:tcW w:w="4678" w:type="dxa"/>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1</w:t>
            </w:r>
          </w:p>
        </w:tc>
        <w:tc>
          <w:tcPr>
            <w:tcW w:w="414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政府采购促进中小企业发展</w:t>
            </w:r>
          </w:p>
        </w:tc>
        <w:tc>
          <w:tcPr>
            <w:tcW w:w="4678"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2</w:t>
            </w:r>
          </w:p>
        </w:tc>
        <w:tc>
          <w:tcPr>
            <w:tcW w:w="414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政府采购支持监狱企业发展</w:t>
            </w:r>
          </w:p>
        </w:tc>
        <w:tc>
          <w:tcPr>
            <w:tcW w:w="4678"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3</w:t>
            </w:r>
          </w:p>
        </w:tc>
        <w:tc>
          <w:tcPr>
            <w:tcW w:w="414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政府采购促进残疾人就业</w:t>
            </w:r>
          </w:p>
        </w:tc>
        <w:tc>
          <w:tcPr>
            <w:tcW w:w="4678" w:type="dxa"/>
            <w:vAlign w:val="center"/>
          </w:tcPr>
          <w:p>
            <w:pPr>
              <w:adjustRightInd w:val="0"/>
              <w:snapToGrid w:val="0"/>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4</w:t>
            </w:r>
          </w:p>
        </w:tc>
        <w:tc>
          <w:tcPr>
            <w:tcW w:w="414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政府强制采购节能产品</w:t>
            </w:r>
          </w:p>
        </w:tc>
        <w:tc>
          <w:tcPr>
            <w:tcW w:w="4678"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5</w:t>
            </w:r>
          </w:p>
        </w:tc>
        <w:tc>
          <w:tcPr>
            <w:tcW w:w="414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政府优先采购节能、环保产品</w:t>
            </w:r>
          </w:p>
        </w:tc>
        <w:tc>
          <w:tcPr>
            <w:tcW w:w="4678"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6</w:t>
            </w:r>
          </w:p>
        </w:tc>
        <w:tc>
          <w:tcPr>
            <w:tcW w:w="4140"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政府采购进口产品</w:t>
            </w:r>
          </w:p>
        </w:tc>
        <w:tc>
          <w:tcPr>
            <w:tcW w:w="4678" w:type="dxa"/>
            <w:vAlign w:val="center"/>
          </w:tcPr>
          <w:p>
            <w:pPr>
              <w:adjustRightInd w:val="0"/>
              <w:snapToGrid w:val="0"/>
              <w:spacing w:line="288" w:lineRule="auto"/>
              <w:jc w:val="center"/>
              <w:rPr>
                <w:rFonts w:ascii="宋体" w:hAnsi="宋体"/>
                <w:sz w:val="21"/>
                <w:szCs w:val="21"/>
              </w:rPr>
            </w:pPr>
            <w:r>
              <w:rPr>
                <w:rFonts w:hint="eastAsia" w:ascii="宋体" w:hAnsi="宋体" w:cs="宋体"/>
                <w:sz w:val="21"/>
                <w:szCs w:val="21"/>
              </w:rPr>
              <w:t>允许采购进口产品</w:t>
            </w:r>
          </w:p>
        </w:tc>
      </w:tr>
    </w:tbl>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采购标的对应的中小企业划分标准所属行业：</w:t>
      </w:r>
      <w:r>
        <w:rPr>
          <w:rFonts w:hint="eastAsia" w:ascii="宋体" w:hAnsi="宋体"/>
          <w:sz w:val="21"/>
          <w:szCs w:val="21"/>
        </w:rPr>
        <w:t>工业</w:t>
      </w:r>
    </w:p>
    <w:p>
      <w:pPr>
        <w:adjustRightInd w:val="0"/>
        <w:snapToGrid w:val="0"/>
        <w:spacing w:line="288" w:lineRule="auto"/>
        <w:rPr>
          <w:rFonts w:ascii="宋体" w:hAnsi="宋体"/>
          <w:b/>
          <w:bCs/>
          <w:sz w:val="21"/>
          <w:szCs w:val="21"/>
        </w:rPr>
      </w:pPr>
      <w:r>
        <w:rPr>
          <w:rFonts w:hint="eastAsia" w:ascii="宋体" w:hAnsi="宋体"/>
          <w:b/>
          <w:bCs/>
          <w:sz w:val="21"/>
          <w:szCs w:val="21"/>
        </w:rPr>
        <w:t>中小企业划型标准：</w:t>
      </w:r>
      <w:r>
        <w:rPr>
          <w:rFonts w:hint="eastAsia" w:ascii="宋体" w:hAnsi="宋体"/>
          <w:sz w:val="21"/>
          <w:szCs w:val="21"/>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288" w:lineRule="auto"/>
        <w:rPr>
          <w:rFonts w:ascii="宋体" w:hAnsi="宋体"/>
          <w:sz w:val="21"/>
          <w:szCs w:val="21"/>
        </w:rPr>
      </w:pPr>
    </w:p>
    <w:p>
      <w:pPr>
        <w:adjustRightInd w:val="0"/>
        <w:snapToGrid w:val="0"/>
        <w:spacing w:line="288" w:lineRule="auto"/>
        <w:outlineLvl w:val="1"/>
        <w:rPr>
          <w:rFonts w:ascii="宋体" w:hAnsi="宋体"/>
          <w:b/>
          <w:sz w:val="21"/>
          <w:szCs w:val="21"/>
        </w:rPr>
      </w:pPr>
      <w:r>
        <w:rPr>
          <w:rFonts w:hint="eastAsia" w:ascii="宋体" w:hAnsi="宋体"/>
          <w:b/>
          <w:sz w:val="21"/>
          <w:szCs w:val="21"/>
        </w:rPr>
        <w:t>二</w:t>
      </w:r>
      <w:r>
        <w:rPr>
          <w:rFonts w:ascii="宋体" w:hAnsi="宋体"/>
          <w:b/>
          <w:sz w:val="21"/>
          <w:szCs w:val="21"/>
        </w:rPr>
        <w:t>、</w:t>
      </w:r>
      <w:r>
        <w:rPr>
          <w:rFonts w:hint="eastAsia" w:ascii="宋体" w:hAnsi="宋体"/>
          <w:b/>
          <w:sz w:val="21"/>
          <w:szCs w:val="21"/>
        </w:rPr>
        <w:t>采购资金的支付方式、时间、条件：</w:t>
      </w:r>
    </w:p>
    <w:tbl>
      <w:tblPr>
        <w:tblStyle w:val="4"/>
        <w:tblW w:w="9498"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43"/>
        <w:gridCol w:w="76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trPr>
        <w:tc>
          <w:tcPr>
            <w:tcW w:w="1843"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▲履约保证金</w:t>
            </w:r>
          </w:p>
        </w:tc>
        <w:tc>
          <w:tcPr>
            <w:tcW w:w="7655" w:type="dxa"/>
            <w:vAlign w:val="center"/>
          </w:tcPr>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1.合同签订后一周内，中标人向采购人提交合同金额5%的履约保证金（不接受保函），履约保证金在质保期内无质量问题和维护问题，质保期满后，于一周内退还（不计息）；</w:t>
            </w:r>
          </w:p>
          <w:p>
            <w:pPr>
              <w:adjustRightInd w:val="0"/>
              <w:snapToGrid w:val="0"/>
              <w:spacing w:line="288" w:lineRule="auto"/>
              <w:rPr>
                <w:rFonts w:ascii="宋体" w:hAnsi="宋体"/>
                <w:spacing w:val="-6"/>
                <w:sz w:val="21"/>
                <w:szCs w:val="21"/>
              </w:rPr>
            </w:pPr>
            <w:r>
              <w:rPr>
                <w:rFonts w:hint="eastAsia" w:ascii="宋体" w:hAnsi="宋体" w:cs="宋体"/>
                <w:spacing w:val="-6"/>
                <w:kern w:val="0"/>
                <w:sz w:val="21"/>
                <w:szCs w:val="21"/>
              </w:rPr>
              <w:t>2.提交方式：电汇、支票等非现金形式。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trPr>
        <w:tc>
          <w:tcPr>
            <w:tcW w:w="1843"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655" w:type="dxa"/>
            <w:vAlign w:val="center"/>
          </w:tcPr>
          <w:p>
            <w:pPr>
              <w:adjustRightInd w:val="0"/>
              <w:snapToGrid w:val="0"/>
              <w:spacing w:line="288" w:lineRule="auto"/>
              <w:rPr>
                <w:rFonts w:ascii="宋体" w:hAnsi="宋体" w:cs="宋体"/>
                <w:spacing w:val="-6"/>
                <w:sz w:val="21"/>
                <w:szCs w:val="21"/>
              </w:rPr>
            </w:pPr>
            <w:r>
              <w:rPr>
                <w:rFonts w:hint="eastAsia" w:ascii="宋体" w:hAnsi="宋体" w:cs="宋体"/>
                <w:spacing w:val="-6"/>
                <w:sz w:val="21"/>
                <w:szCs w:val="21"/>
              </w:rPr>
              <w:t>国产设备：</w:t>
            </w:r>
          </w:p>
          <w:p>
            <w:pPr>
              <w:adjustRightInd w:val="0"/>
              <w:snapToGrid w:val="0"/>
              <w:spacing w:line="288" w:lineRule="auto"/>
              <w:rPr>
                <w:rFonts w:ascii="宋体" w:hAnsi="宋体" w:cs="宋体"/>
                <w:spacing w:val="-6"/>
                <w:sz w:val="21"/>
                <w:szCs w:val="21"/>
              </w:rPr>
            </w:pPr>
            <w:r>
              <w:rPr>
                <w:rFonts w:hint="eastAsia" w:ascii="宋体" w:hAnsi="宋体" w:cs="宋体"/>
                <w:spacing w:val="-6"/>
                <w:sz w:val="21"/>
                <w:szCs w:val="21"/>
              </w:rPr>
              <w:t>采购合同签订后支付合同金额30%货款，货到验收合格后凭货物全额发票支付剩余货款。</w:t>
            </w:r>
          </w:p>
          <w:p>
            <w:pPr>
              <w:adjustRightInd w:val="0"/>
              <w:snapToGrid w:val="0"/>
              <w:spacing w:line="288" w:lineRule="auto"/>
              <w:rPr>
                <w:rFonts w:ascii="宋体" w:hAnsi="宋体" w:cs="宋体"/>
                <w:spacing w:val="-6"/>
                <w:sz w:val="21"/>
                <w:szCs w:val="21"/>
              </w:rPr>
            </w:pPr>
            <w:r>
              <w:rPr>
                <w:rFonts w:hint="eastAsia" w:ascii="宋体" w:hAnsi="宋体" w:cs="宋体"/>
                <w:spacing w:val="-6"/>
                <w:sz w:val="21"/>
                <w:szCs w:val="21"/>
              </w:rPr>
              <w:t>进口设备：</w:t>
            </w:r>
          </w:p>
          <w:p>
            <w:pPr>
              <w:adjustRightInd w:val="0"/>
              <w:snapToGrid w:val="0"/>
              <w:spacing w:line="288" w:lineRule="auto"/>
              <w:rPr>
                <w:rFonts w:ascii="宋体" w:hAnsi="宋体"/>
                <w:spacing w:val="-6"/>
                <w:sz w:val="21"/>
                <w:szCs w:val="21"/>
              </w:rPr>
            </w:pPr>
            <w:r>
              <w:rPr>
                <w:rFonts w:hint="eastAsia" w:ascii="宋体" w:hAnsi="宋体" w:cs="宋体"/>
                <w:spacing w:val="-6"/>
                <w:sz w:val="21"/>
                <w:szCs w:val="21"/>
              </w:rPr>
              <w:t>采购合同签订后，外贸代理机构开具全额发票，采购人支付给外贸代理机构合同金额</w:t>
            </w:r>
            <w:r>
              <w:rPr>
                <w:rFonts w:ascii="宋体" w:hAnsi="宋体" w:cs="宋体"/>
                <w:spacing w:val="-6"/>
                <w:sz w:val="21"/>
                <w:szCs w:val="21"/>
              </w:rPr>
              <w:t>7</w:t>
            </w:r>
            <w:r>
              <w:rPr>
                <w:rFonts w:hint="eastAsia" w:ascii="宋体" w:hAnsi="宋体" w:cs="宋体"/>
                <w:spacing w:val="-6"/>
                <w:sz w:val="21"/>
                <w:szCs w:val="21"/>
              </w:rPr>
              <w:t>0%货款；货到验收合格后凭货物全额发票支付给外贸代理机构剩余货款，中标人与外贸代理机构另行约定结算方式。</w:t>
            </w:r>
          </w:p>
        </w:tc>
      </w:tr>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三</w:t>
      </w:r>
      <w:r>
        <w:rPr>
          <w:rFonts w:ascii="宋体" w:hAnsi="宋体"/>
          <w:b/>
          <w:sz w:val="21"/>
          <w:szCs w:val="21"/>
        </w:rPr>
        <w:t>、</w:t>
      </w:r>
      <w:r>
        <w:rPr>
          <w:rFonts w:hint="eastAsia" w:ascii="宋体" w:hAnsi="宋体"/>
          <w:b/>
          <w:sz w:val="21"/>
          <w:szCs w:val="21"/>
        </w:rPr>
        <w:t>服务</w:t>
      </w:r>
      <w:r>
        <w:rPr>
          <w:rFonts w:ascii="宋体" w:hAnsi="宋体"/>
          <w:b/>
          <w:sz w:val="21"/>
          <w:szCs w:val="21"/>
        </w:rPr>
        <w:t>要求</w:t>
      </w:r>
      <w:r>
        <w:rPr>
          <w:rFonts w:hint="eastAsia" w:ascii="宋体" w:hAnsi="宋体"/>
          <w:b/>
          <w:spacing w:val="-6"/>
          <w:sz w:val="21"/>
          <w:szCs w:val="21"/>
        </w:rPr>
        <w:t>（技术要求里另有注明的以技术要求为准）</w:t>
      </w:r>
      <w:r>
        <w:rPr>
          <w:rFonts w:ascii="宋体" w:hAnsi="宋体"/>
          <w:b/>
          <w:sz w:val="21"/>
          <w:szCs w:val="21"/>
        </w:rPr>
        <w:t>：</w:t>
      </w:r>
    </w:p>
    <w:tbl>
      <w:tblPr>
        <w:tblStyle w:val="4"/>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sz w:val="21"/>
                <w:szCs w:val="21"/>
              </w:rPr>
              <w:t>合同签订后</w:t>
            </w:r>
            <w:bookmarkStart w:id="28" w:name="_Hlk86741456"/>
            <w:r>
              <w:rPr>
                <w:rFonts w:ascii="宋体" w:hAnsi="宋体"/>
                <w:sz w:val="21"/>
                <w:szCs w:val="21"/>
              </w:rPr>
              <w:t>5</w:t>
            </w:r>
            <w:r>
              <w:rPr>
                <w:rFonts w:hint="eastAsia" w:ascii="宋体" w:hAnsi="宋体"/>
                <w:sz w:val="21"/>
                <w:szCs w:val="21"/>
              </w:rPr>
              <w:t>个月</w:t>
            </w:r>
            <w:bookmarkEnd w:id="28"/>
            <w:r>
              <w:rPr>
                <w:rFonts w:hint="eastAsia" w:ascii="宋体" w:hAnsi="宋体"/>
                <w:sz w:val="21"/>
                <w:szCs w:val="21"/>
              </w:rPr>
              <w:t>内交付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采购人指定地点（中国水稻研究所北方水稻研究中心，</w:t>
            </w:r>
            <w:r>
              <w:rPr>
                <w:rFonts w:hint="eastAsia" w:ascii="宋体" w:hAnsi="宋体"/>
                <w:spacing w:val="-6"/>
                <w:sz w:val="21"/>
                <w:szCs w:val="21"/>
              </w:rPr>
              <w:t>（黑龙江省宝清县）</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质保期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ascii="宋体" w:hAnsi="宋体" w:cs="宋体"/>
                <w:sz w:val="21"/>
                <w:szCs w:val="21"/>
              </w:rPr>
              <w:t>1</w:t>
            </w:r>
            <w:r>
              <w:rPr>
                <w:rFonts w:hint="eastAsia" w:ascii="宋体" w:hAnsi="宋体" w:cs="宋体"/>
                <w:sz w:val="21"/>
                <w:szCs w:val="21"/>
              </w:rPr>
              <w:t>年，项目验收合格后开始计算</w:t>
            </w:r>
            <w:r>
              <w:rPr>
                <w:rFonts w:hint="eastAsia" w:ascii="宋体" w:hAnsi="宋体" w:cs="宋体"/>
                <w:b/>
                <w:bCs/>
                <w:sz w:val="21"/>
                <w:szCs w:val="21"/>
              </w:rPr>
              <w:t>（技术要求中另有注明的按技术要求）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服务标准、期限、效率</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ascii="宋体" w:hAnsi="宋体" w:cs="宋体"/>
                <w:sz w:val="21"/>
                <w:szCs w:val="21"/>
              </w:rPr>
              <w:t>1</w:t>
            </w:r>
            <w:r>
              <w:rPr>
                <w:rFonts w:hint="eastAsia" w:ascii="宋体" w:hAnsi="宋体" w:cs="宋体"/>
                <w:sz w:val="21"/>
                <w:szCs w:val="21"/>
              </w:rPr>
              <w:t>.在质保期内，供应商应对货物出现的质量及安全问题负责处理解决并承担一切费用。</w:t>
            </w:r>
          </w:p>
          <w:p>
            <w:pPr>
              <w:adjustRightInd w:val="0"/>
              <w:snapToGrid w:val="0"/>
              <w:spacing w:line="288" w:lineRule="auto"/>
              <w:rPr>
                <w:rFonts w:ascii="宋体" w:hAnsi="宋体" w:cs="宋体"/>
                <w:sz w:val="21"/>
                <w:szCs w:val="21"/>
              </w:rPr>
            </w:pPr>
            <w:r>
              <w:rPr>
                <w:rFonts w:ascii="宋体" w:hAnsi="宋体" w:cs="宋体"/>
                <w:sz w:val="21"/>
                <w:szCs w:val="21"/>
              </w:rPr>
              <w:t>2.</w:t>
            </w:r>
            <w:r>
              <w:rPr>
                <w:rFonts w:hint="eastAsia" w:ascii="宋体" w:hAnsi="宋体" w:cs="宋体"/>
                <w:sz w:val="21"/>
                <w:szCs w:val="21"/>
              </w:rPr>
              <w:t>质保期内出现无法排除的故障，供应商需无条件更换同型号产品。</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质保期满后，供应商继续为采购人服务，仅收取零配件成本费。</w:t>
            </w:r>
          </w:p>
          <w:p>
            <w:pPr>
              <w:adjustRightInd w:val="0"/>
              <w:snapToGrid w:val="0"/>
              <w:spacing w:line="288" w:lineRule="auto"/>
              <w:rPr>
                <w:rFonts w:ascii="宋体" w:hAnsi="宋体" w:cs="宋体"/>
                <w:sz w:val="21"/>
                <w:szCs w:val="21"/>
              </w:rPr>
            </w:pPr>
            <w:r>
              <w:rPr>
                <w:rFonts w:ascii="宋体" w:hAnsi="宋体" w:cs="宋体"/>
                <w:sz w:val="21"/>
                <w:szCs w:val="21"/>
              </w:rPr>
              <w:t>4.</w:t>
            </w:r>
            <w:r>
              <w:rPr>
                <w:rFonts w:hint="eastAsia" w:ascii="宋体" w:hAnsi="宋体" w:cs="宋体"/>
                <w:sz w:val="21"/>
                <w:szCs w:val="21"/>
              </w:rPr>
              <w:t>因人为因素出现的故障不在免费保修范围内。</w:t>
            </w:r>
          </w:p>
          <w:p>
            <w:pPr>
              <w:adjustRightInd w:val="0"/>
              <w:snapToGrid w:val="0"/>
              <w:spacing w:line="288" w:lineRule="auto"/>
              <w:rPr>
                <w:rFonts w:ascii="宋体" w:hAnsi="宋体" w:cs="宋体"/>
                <w:sz w:val="21"/>
                <w:szCs w:val="21"/>
                <w:u w:val="single"/>
              </w:rPr>
            </w:pPr>
            <w:r>
              <w:rPr>
                <w:rFonts w:ascii="宋体" w:hAnsi="宋体" w:cs="宋体"/>
                <w:sz w:val="21"/>
                <w:szCs w:val="21"/>
              </w:rPr>
              <w:t>5</w:t>
            </w:r>
            <w:r>
              <w:rPr>
                <w:rFonts w:hint="eastAsia" w:ascii="宋体" w:hAnsi="宋体" w:cs="宋体"/>
                <w:sz w:val="21"/>
                <w:szCs w:val="21"/>
              </w:rPr>
              <w:t>.</w:t>
            </w:r>
            <w:r>
              <w:rPr>
                <w:rFonts w:hint="eastAsia" w:ascii="宋体" w:hAnsi="宋体" w:cs="宋体"/>
                <w:sz w:val="21"/>
                <w:szCs w:val="21"/>
                <w:u w:val="single"/>
              </w:rPr>
              <w:t xml:space="preserve">如在使用过程中发生质量问题，供应商维修响应时间：  </w:t>
            </w:r>
            <w:r>
              <w:rPr>
                <w:rFonts w:ascii="宋体" w:hAnsi="宋体" w:cs="宋体"/>
                <w:sz w:val="21"/>
                <w:szCs w:val="21"/>
                <w:u w:val="single"/>
              </w:rPr>
              <w:t>1</w:t>
            </w:r>
            <w:r>
              <w:rPr>
                <w:rFonts w:hint="eastAsia" w:ascii="宋体" w:hAnsi="宋体" w:cs="宋体"/>
                <w:sz w:val="21"/>
                <w:szCs w:val="21"/>
                <w:u w:val="single"/>
              </w:rPr>
              <w:t xml:space="preserve">  小时以内；</w:t>
            </w:r>
          </w:p>
          <w:p>
            <w:pPr>
              <w:adjustRightInd w:val="0"/>
              <w:snapToGrid w:val="0"/>
              <w:spacing w:line="288" w:lineRule="auto"/>
              <w:rPr>
                <w:rFonts w:ascii="宋体" w:hAnsi="宋体" w:cs="宋体"/>
                <w:sz w:val="21"/>
                <w:szCs w:val="21"/>
                <w:u w:val="single"/>
              </w:rPr>
            </w:pPr>
            <w:r>
              <w:rPr>
                <w:rFonts w:hint="eastAsia" w:ascii="宋体" w:hAnsi="宋体" w:cs="宋体"/>
                <w:sz w:val="21"/>
                <w:szCs w:val="21"/>
                <w:u w:val="single"/>
              </w:rPr>
              <w:t xml:space="preserve">电话技术支持时间：  </w:t>
            </w:r>
            <w:r>
              <w:rPr>
                <w:rFonts w:ascii="宋体" w:hAnsi="宋体" w:cs="宋体"/>
                <w:sz w:val="21"/>
                <w:szCs w:val="21"/>
                <w:u w:val="single"/>
              </w:rPr>
              <w:t>2</w:t>
            </w:r>
            <w:r>
              <w:rPr>
                <w:rFonts w:hint="eastAsia" w:ascii="宋体" w:hAnsi="宋体" w:cs="宋体"/>
                <w:sz w:val="21"/>
                <w:szCs w:val="21"/>
                <w:u w:val="single"/>
              </w:rPr>
              <w:t xml:space="preserve">  小时以内；</w:t>
            </w:r>
          </w:p>
          <w:p>
            <w:pPr>
              <w:adjustRightInd w:val="0"/>
              <w:snapToGrid w:val="0"/>
              <w:spacing w:line="288" w:lineRule="auto"/>
              <w:rPr>
                <w:rFonts w:ascii="宋体" w:hAnsi="宋体" w:cs="宋体"/>
                <w:sz w:val="21"/>
                <w:szCs w:val="21"/>
                <w:u w:val="single"/>
              </w:rPr>
            </w:pPr>
            <w:r>
              <w:rPr>
                <w:rFonts w:hint="eastAsia" w:ascii="宋体" w:hAnsi="宋体" w:cs="宋体"/>
                <w:sz w:val="21"/>
                <w:szCs w:val="21"/>
                <w:u w:val="single"/>
              </w:rPr>
              <w:t xml:space="preserve">若需上门维修，则在：  </w:t>
            </w:r>
            <w:r>
              <w:rPr>
                <w:rFonts w:ascii="宋体" w:hAnsi="宋体" w:cs="宋体"/>
                <w:sz w:val="21"/>
                <w:szCs w:val="21"/>
                <w:u w:val="single"/>
              </w:rPr>
              <w:t>24</w:t>
            </w:r>
            <w:r>
              <w:rPr>
                <w:rFonts w:hint="eastAsia" w:ascii="宋体" w:hAnsi="宋体" w:cs="宋体"/>
                <w:sz w:val="21"/>
                <w:szCs w:val="21"/>
                <w:u w:val="single"/>
              </w:rPr>
              <w:t xml:space="preserve">  小时内到达现场并进行维修；</w:t>
            </w:r>
          </w:p>
          <w:p>
            <w:pPr>
              <w:adjustRightInd w:val="0"/>
              <w:snapToGrid w:val="0"/>
              <w:spacing w:line="288" w:lineRule="auto"/>
              <w:rPr>
                <w:rFonts w:ascii="宋体" w:hAnsi="宋体" w:cs="宋体"/>
                <w:sz w:val="21"/>
                <w:szCs w:val="21"/>
              </w:rPr>
            </w:pPr>
            <w:r>
              <w:rPr>
                <w:rFonts w:ascii="宋体" w:hAnsi="宋体" w:cs="宋体"/>
                <w:sz w:val="21"/>
                <w:szCs w:val="21"/>
              </w:rPr>
              <w:t>6</w:t>
            </w:r>
            <w:r>
              <w:rPr>
                <w:rFonts w:hint="eastAsia" w:ascii="宋体" w:hAnsi="宋体" w:cs="宋体"/>
                <w:sz w:val="21"/>
                <w:szCs w:val="21"/>
              </w:rPr>
              <w:t>.培训：</w:t>
            </w:r>
            <w:r>
              <w:rPr>
                <w:rFonts w:ascii="宋体" w:hAnsi="宋体" w:cs="宋体"/>
                <w:sz w:val="21"/>
                <w:szCs w:val="21"/>
              </w:rPr>
              <w:t xml:space="preserve"> </w:t>
            </w:r>
          </w:p>
          <w:p>
            <w:pPr>
              <w:adjustRightInd w:val="0"/>
              <w:snapToGrid w:val="0"/>
              <w:spacing w:line="288" w:lineRule="auto"/>
              <w:rPr>
                <w:rFonts w:ascii="宋体" w:hAnsi="宋体" w:cs="宋体"/>
                <w:sz w:val="21"/>
                <w:szCs w:val="21"/>
              </w:rPr>
            </w:pPr>
            <w:r>
              <w:rPr>
                <w:rFonts w:hint="eastAsia" w:ascii="宋体" w:hAnsi="宋体" w:cs="宋体"/>
                <w:sz w:val="21"/>
                <w:szCs w:val="21"/>
              </w:rPr>
              <w:t>供应商应对采购人的操作人员、维修人员免费进行培训；</w:t>
            </w:r>
          </w:p>
          <w:p>
            <w:pPr>
              <w:adjustRightInd w:val="0"/>
              <w:snapToGrid w:val="0"/>
              <w:spacing w:line="288" w:lineRule="auto"/>
              <w:rPr>
                <w:rFonts w:ascii="宋体" w:hAnsi="宋体" w:cs="宋体"/>
                <w:sz w:val="21"/>
                <w:szCs w:val="21"/>
              </w:rPr>
            </w:pPr>
            <w:r>
              <w:rPr>
                <w:rFonts w:hint="eastAsia" w:ascii="宋体" w:hAnsi="宋体" w:cs="宋体"/>
                <w:sz w:val="21"/>
                <w:szCs w:val="21"/>
              </w:rPr>
              <w:t>供应商应提供相应的培训计划；</w:t>
            </w:r>
          </w:p>
          <w:p>
            <w:pPr>
              <w:adjustRightInd w:val="0"/>
              <w:snapToGrid w:val="0"/>
              <w:spacing w:line="288" w:lineRule="auto"/>
              <w:rPr>
                <w:rFonts w:ascii="宋体" w:hAnsi="宋体" w:cs="宋体"/>
                <w:sz w:val="21"/>
                <w:szCs w:val="21"/>
              </w:rPr>
            </w:pPr>
            <w:r>
              <w:rPr>
                <w:rFonts w:hint="eastAsia" w:ascii="宋体" w:hAnsi="宋体" w:cs="宋体"/>
                <w:sz w:val="21"/>
                <w:szCs w:val="21"/>
              </w:rPr>
              <w:t>上述内容的实现方式、时间、地点、人数应在投标文件中详细说明。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供应商应按招标文件规定的货物性能、技术要求、质量标准向采购人提供未经使用的全新产品，符合国家法律规定和技术规格、质量标准的出厂原装合格产品。</w:t>
            </w:r>
          </w:p>
          <w:p>
            <w:pPr>
              <w:adjustRightInd w:val="0"/>
              <w:snapToGrid w:val="0"/>
              <w:spacing w:line="288" w:lineRule="auto"/>
              <w:rPr>
                <w:rFonts w:ascii="宋体" w:hAnsi="宋体" w:cs="宋体"/>
                <w:sz w:val="21"/>
                <w:szCs w:val="21"/>
              </w:rPr>
            </w:pPr>
            <w:r>
              <w:rPr>
                <w:rFonts w:ascii="宋体" w:hAnsi="宋体" w:cs="宋体"/>
                <w:sz w:val="21"/>
                <w:szCs w:val="21"/>
              </w:rPr>
              <w:t>2</w:t>
            </w:r>
            <w:r>
              <w:rPr>
                <w:rFonts w:hint="eastAsia" w:ascii="宋体" w:hAnsi="宋体" w:cs="宋体"/>
                <w:sz w:val="21"/>
                <w:szCs w:val="21"/>
              </w:rPr>
              <w:t>.技术支持：</w:t>
            </w:r>
          </w:p>
          <w:p>
            <w:pPr>
              <w:adjustRightInd w:val="0"/>
              <w:snapToGrid w:val="0"/>
              <w:spacing w:line="288" w:lineRule="auto"/>
              <w:rPr>
                <w:rFonts w:ascii="宋体" w:hAnsi="宋体" w:cs="宋体"/>
                <w:sz w:val="21"/>
                <w:szCs w:val="21"/>
              </w:rPr>
            </w:pPr>
            <w:r>
              <w:rPr>
                <w:rFonts w:hint="eastAsia" w:ascii="宋体" w:hAnsi="宋体" w:cs="宋体"/>
                <w:sz w:val="21"/>
                <w:szCs w:val="21"/>
              </w:rPr>
              <w:t>供应商应及时免费提供合同货物软件的升级，免费提供合同货物新功能和应用的资料。</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.安装调试：</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.1安装地点：采购人指定地点：中国水稻研究所北方水稻研究中心。</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.2安装完成时间：接到采购人通知后在规定时间内完成安装和调试，如在规定的时间内由于供应商的原因不能完成安装和调试，供应商应承担由此给采购人造成的损失；</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.3如供应商委托国内代理（或其他机构）负责安装或配合安装应在签约时指明，但供应商仍要对合同货物及其安装质量负全部责任；</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.4安装标准：符合我国国家有关技术规范要求和技术标准，所有的软件和硬件必须保证同时安装到位；</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.5供应商免费提供合同货物的安装服务；</w:t>
            </w:r>
          </w:p>
          <w:p>
            <w:pPr>
              <w:adjustRightInd w:val="0"/>
              <w:snapToGrid w:val="0"/>
              <w:spacing w:line="288"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.6供应商在投标文件中应提供安装调试计划、对安装场地和环境的要求。</w:t>
            </w:r>
          </w:p>
          <w:p>
            <w:pPr>
              <w:adjustRightInd w:val="0"/>
              <w:snapToGrid w:val="0"/>
              <w:spacing w:line="288" w:lineRule="auto"/>
              <w:rPr>
                <w:rFonts w:ascii="宋体" w:hAnsi="宋体" w:cs="宋体"/>
                <w:sz w:val="21"/>
                <w:szCs w:val="21"/>
              </w:rPr>
            </w:pPr>
            <w:r>
              <w:rPr>
                <w:rFonts w:ascii="宋体" w:hAnsi="宋体" w:cs="宋体"/>
                <w:sz w:val="21"/>
                <w:szCs w:val="21"/>
              </w:rPr>
              <w:t>4</w:t>
            </w:r>
            <w:r>
              <w:rPr>
                <w:rFonts w:hint="eastAsia" w:ascii="宋体" w:hAnsi="宋体" w:cs="宋体"/>
                <w:sz w:val="21"/>
                <w:szCs w:val="21"/>
              </w:rPr>
              <w:t>.供应商应提供质保期满后主要零部件报价单、质保期满后维护费、软件升级及其相关服务内容；</w:t>
            </w:r>
          </w:p>
          <w:p>
            <w:pPr>
              <w:adjustRightInd w:val="0"/>
              <w:snapToGrid w:val="0"/>
              <w:spacing w:line="288"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.供货时提供有关的全套技术文件。</w:t>
            </w:r>
          </w:p>
          <w:p>
            <w:pPr>
              <w:adjustRightInd w:val="0"/>
              <w:snapToGrid w:val="0"/>
              <w:spacing w:line="288" w:lineRule="auto"/>
              <w:rPr>
                <w:rFonts w:ascii="宋体" w:hAnsi="宋体" w:cs="宋体"/>
                <w:sz w:val="21"/>
                <w:szCs w:val="21"/>
              </w:rPr>
            </w:pPr>
            <w:r>
              <w:rPr>
                <w:rFonts w:hint="eastAsia" w:ascii="宋体" w:hAnsi="宋体" w:cs="宋体"/>
                <w:sz w:val="21"/>
                <w:szCs w:val="21"/>
              </w:rPr>
              <w:t>6</w:t>
            </w:r>
            <w:r>
              <w:rPr>
                <w:rFonts w:ascii="宋体" w:hAnsi="宋体" w:cs="宋体"/>
                <w:sz w:val="21"/>
                <w:szCs w:val="21"/>
              </w:rPr>
              <w:t>.</w:t>
            </w:r>
            <w:r>
              <w:rPr>
                <w:rFonts w:hint="eastAsia" w:ascii="宋体" w:hAnsi="宋体"/>
                <w:spacing w:val="-6"/>
                <w:sz w:val="21"/>
                <w:szCs w:val="21"/>
              </w:rPr>
              <w:t>供应商应保证所提供的货物或其中任何一部分均不会侵犯第三方的知识产权。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1.验收由采购人负责实施；</w:t>
            </w:r>
          </w:p>
          <w:p>
            <w:pPr>
              <w:adjustRightInd w:val="0"/>
              <w:snapToGrid w:val="0"/>
              <w:spacing w:line="288" w:lineRule="auto"/>
              <w:rPr>
                <w:rFonts w:ascii="宋体" w:hAnsi="宋体" w:cs="宋体"/>
                <w:sz w:val="21"/>
                <w:szCs w:val="21"/>
              </w:rPr>
            </w:pPr>
            <w:r>
              <w:rPr>
                <w:rFonts w:hint="eastAsia" w:ascii="宋体" w:hAnsi="宋体" w:cs="宋体"/>
                <w:sz w:val="21"/>
                <w:szCs w:val="21"/>
              </w:rPr>
              <w:t>2.验收依据：</w:t>
            </w:r>
          </w:p>
          <w:p>
            <w:pPr>
              <w:adjustRightInd w:val="0"/>
              <w:snapToGrid w:val="0"/>
              <w:spacing w:line="288" w:lineRule="auto"/>
              <w:rPr>
                <w:rFonts w:ascii="宋体" w:hAnsi="宋体" w:cs="宋体"/>
                <w:sz w:val="21"/>
                <w:szCs w:val="21"/>
              </w:rPr>
            </w:pPr>
            <w:r>
              <w:rPr>
                <w:rFonts w:hint="eastAsia" w:ascii="宋体" w:hAnsi="宋体" w:cs="宋体"/>
                <w:sz w:val="21"/>
                <w:szCs w:val="21"/>
              </w:rPr>
              <w:t>2.1合同、招标文件、投标文件；</w:t>
            </w:r>
          </w:p>
          <w:p>
            <w:pPr>
              <w:adjustRightInd w:val="0"/>
              <w:snapToGrid w:val="0"/>
              <w:spacing w:line="288" w:lineRule="auto"/>
              <w:rPr>
                <w:rFonts w:ascii="宋体" w:hAnsi="宋体" w:cs="宋体"/>
                <w:sz w:val="21"/>
                <w:szCs w:val="21"/>
              </w:rPr>
            </w:pPr>
            <w:r>
              <w:rPr>
                <w:rFonts w:hint="eastAsia" w:ascii="宋体" w:hAnsi="宋体" w:cs="宋体"/>
                <w:sz w:val="21"/>
                <w:szCs w:val="21"/>
              </w:rPr>
              <w:t>2.2供应商提供的技术规格、经采购人认可的合同货物的有效检验文件；</w:t>
            </w:r>
          </w:p>
          <w:p>
            <w:pPr>
              <w:adjustRightInd w:val="0"/>
              <w:snapToGrid w:val="0"/>
              <w:spacing w:line="288" w:lineRule="auto"/>
              <w:rPr>
                <w:rFonts w:ascii="宋体" w:hAnsi="宋体" w:cs="宋体"/>
                <w:sz w:val="21"/>
                <w:szCs w:val="21"/>
              </w:rPr>
            </w:pPr>
            <w:r>
              <w:rPr>
                <w:rFonts w:hint="eastAsia" w:ascii="宋体" w:hAnsi="宋体" w:cs="宋体"/>
                <w:sz w:val="21"/>
                <w:szCs w:val="21"/>
              </w:rPr>
              <w:t>2.3供应商投标文件中提供的经采购人认可的合同货物的验收标准（符合中国有关的国家、地方、行业标准）和检测办法及相应检测手段。</w:t>
            </w:r>
          </w:p>
          <w:p>
            <w:pPr>
              <w:adjustRightInd w:val="0"/>
              <w:snapToGrid w:val="0"/>
              <w:spacing w:line="288" w:lineRule="auto"/>
              <w:rPr>
                <w:rFonts w:ascii="宋体" w:hAnsi="宋体" w:cs="宋体"/>
                <w:sz w:val="21"/>
                <w:szCs w:val="21"/>
              </w:rPr>
            </w:pPr>
            <w:r>
              <w:rPr>
                <w:rFonts w:hint="eastAsia" w:ascii="宋体" w:hAnsi="宋体" w:cs="宋体"/>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pPr>
              <w:adjustRightInd w:val="0"/>
              <w:snapToGrid w:val="0"/>
              <w:spacing w:line="288" w:lineRule="auto"/>
              <w:rPr>
                <w:rFonts w:ascii="宋体" w:hAnsi="宋体" w:cs="宋体"/>
                <w:sz w:val="21"/>
                <w:szCs w:val="21"/>
              </w:rPr>
            </w:pPr>
            <w:r>
              <w:rPr>
                <w:rFonts w:hint="eastAsia" w:ascii="宋体" w:hAnsi="宋体" w:cs="宋体"/>
                <w:sz w:val="21"/>
                <w:szCs w:val="21"/>
              </w:rPr>
              <w:t>4.验收合格的条件：</w:t>
            </w:r>
          </w:p>
          <w:p>
            <w:pPr>
              <w:adjustRightInd w:val="0"/>
              <w:snapToGrid w:val="0"/>
              <w:spacing w:line="288" w:lineRule="auto"/>
              <w:rPr>
                <w:rFonts w:ascii="宋体" w:hAnsi="宋体" w:cs="宋体"/>
                <w:sz w:val="21"/>
                <w:szCs w:val="21"/>
              </w:rPr>
            </w:pPr>
            <w:r>
              <w:rPr>
                <w:rFonts w:hint="eastAsia" w:ascii="宋体" w:hAnsi="宋体" w:cs="宋体"/>
                <w:sz w:val="21"/>
                <w:szCs w:val="21"/>
              </w:rPr>
              <w:t>4.1所供货物符合产品标准和及合同的要求；</w:t>
            </w:r>
          </w:p>
          <w:p>
            <w:pPr>
              <w:adjustRightInd w:val="0"/>
              <w:snapToGrid w:val="0"/>
              <w:spacing w:line="288" w:lineRule="auto"/>
              <w:rPr>
                <w:rFonts w:ascii="宋体" w:hAnsi="宋体" w:cs="宋体"/>
                <w:sz w:val="21"/>
                <w:szCs w:val="21"/>
              </w:rPr>
            </w:pPr>
            <w:r>
              <w:rPr>
                <w:rFonts w:hint="eastAsia" w:ascii="宋体" w:hAnsi="宋体" w:cs="宋体"/>
                <w:sz w:val="21"/>
                <w:szCs w:val="21"/>
              </w:rPr>
              <w:t>4.2在进行测试和验收过程中发现的问题已被解决并得到采购人的认可；</w:t>
            </w:r>
          </w:p>
          <w:p>
            <w:pPr>
              <w:adjustRightInd w:val="0"/>
              <w:snapToGrid w:val="0"/>
              <w:spacing w:line="288" w:lineRule="auto"/>
              <w:rPr>
                <w:rFonts w:ascii="宋体" w:hAnsi="宋体" w:cs="宋体"/>
                <w:sz w:val="21"/>
                <w:szCs w:val="21"/>
              </w:rPr>
            </w:pPr>
            <w:r>
              <w:rPr>
                <w:rFonts w:hint="eastAsia" w:ascii="宋体" w:hAnsi="宋体" w:cs="宋体"/>
                <w:sz w:val="21"/>
                <w:szCs w:val="21"/>
              </w:rPr>
              <w:t>4.3合同中规定的所有货物和材料均已交付；</w:t>
            </w:r>
          </w:p>
          <w:p>
            <w:pPr>
              <w:adjustRightInd w:val="0"/>
              <w:snapToGrid w:val="0"/>
              <w:spacing w:line="288" w:lineRule="auto"/>
              <w:rPr>
                <w:rFonts w:ascii="宋体" w:hAnsi="宋体" w:cs="宋体"/>
                <w:sz w:val="21"/>
                <w:szCs w:val="21"/>
              </w:rPr>
            </w:pPr>
            <w:r>
              <w:rPr>
                <w:rFonts w:hint="eastAsia" w:ascii="宋体" w:hAnsi="宋体" w:cs="宋体"/>
                <w:sz w:val="21"/>
                <w:szCs w:val="21"/>
              </w:rPr>
              <w:t>4.4所供货物已通过使用单位组织的验收；</w:t>
            </w:r>
          </w:p>
          <w:p>
            <w:pPr>
              <w:adjustRightInd w:val="0"/>
              <w:snapToGrid w:val="0"/>
              <w:spacing w:line="288" w:lineRule="auto"/>
              <w:rPr>
                <w:rFonts w:ascii="宋体" w:hAnsi="宋体" w:cs="宋体"/>
                <w:sz w:val="21"/>
                <w:szCs w:val="21"/>
              </w:rPr>
            </w:pPr>
            <w:r>
              <w:rPr>
                <w:rFonts w:hint="eastAsia" w:ascii="宋体" w:hAnsi="宋体" w:cs="宋体"/>
                <w:sz w:val="21"/>
                <w:szCs w:val="21"/>
              </w:rPr>
              <w:t>4.5所有相关的技术文件及资料均已提交并得到接受。</w:t>
            </w:r>
          </w:p>
        </w:tc>
      </w:tr>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四</w:t>
      </w:r>
      <w:r>
        <w:rPr>
          <w:rFonts w:ascii="宋体" w:hAnsi="宋体"/>
          <w:b/>
          <w:sz w:val="21"/>
          <w:szCs w:val="21"/>
        </w:rPr>
        <w:t>、技术要求</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w:t>
      </w:r>
      <w:r>
        <w:rPr>
          <w:rFonts w:hint="eastAsia" w:ascii="宋体" w:hAnsi="宋体" w:cs="宋体"/>
          <w:b/>
          <w:bCs/>
          <w:sz w:val="21"/>
          <w:szCs w:val="21"/>
        </w:rPr>
        <w:t>需执行的国家相关标准、行业标准、地方标准或者其他标准、规范：</w:t>
      </w:r>
      <w:r>
        <w:rPr>
          <w:rFonts w:hint="eastAsia" w:ascii="宋体" w:hAnsi="宋体" w:cs="宋体"/>
          <w:sz w:val="21"/>
          <w:szCs w:val="21"/>
        </w:rPr>
        <w:t>如技术要求中未注明需执行的国家相关标准、行业标准、地方标准或者其他标准、规范的，执行最新标准、规范。</w:t>
      </w:r>
    </w:p>
    <w:p>
      <w:pPr>
        <w:adjustRightInd w:val="0"/>
        <w:snapToGrid w:val="0"/>
        <w:spacing w:line="288" w:lineRule="auto"/>
        <w:rPr>
          <w:rFonts w:ascii="宋体" w:hAnsi="宋体" w:cs="宋体"/>
          <w:b/>
          <w:bCs/>
          <w:sz w:val="21"/>
          <w:szCs w:val="21"/>
        </w:rPr>
      </w:pPr>
      <w:r>
        <w:rPr>
          <w:rFonts w:ascii="宋体" w:hAnsi="宋体" w:cs="宋体"/>
          <w:b/>
          <w:bCs/>
          <w:sz w:val="21"/>
          <w:szCs w:val="21"/>
        </w:rPr>
        <w:t>2</w:t>
      </w:r>
      <w:r>
        <w:rPr>
          <w:rFonts w:hint="eastAsia" w:ascii="宋体" w:hAnsi="宋体" w:cs="宋体"/>
          <w:b/>
          <w:bCs/>
          <w:sz w:val="21"/>
          <w:szCs w:val="21"/>
        </w:rPr>
        <w:t>.技术要求</w:t>
      </w:r>
      <w:r>
        <w:rPr>
          <w:rFonts w:hint="eastAsia" w:ascii="宋体" w:hAnsi="宋体"/>
          <w:b/>
          <w:bCs/>
          <w:spacing w:val="-4"/>
          <w:sz w:val="21"/>
          <w:szCs w:val="21"/>
        </w:rPr>
        <w:t>：</w:t>
      </w:r>
    </w:p>
    <w:tbl>
      <w:tblPr>
        <w:tblStyle w:val="4"/>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08"/>
        <w:gridCol w:w="661"/>
        <w:gridCol w:w="66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dxa"/>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bookmarkStart w:id="29" w:name="_Hlk69115255"/>
            <w:r>
              <w:rPr>
                <w:rFonts w:hint="eastAsia" w:ascii="宋体" w:hAnsi="宋体" w:cs="宋体"/>
                <w:color w:val="000000" w:themeColor="text1"/>
                <w:sz w:val="21"/>
                <w:szCs w:val="21"/>
                <w14:textFill>
                  <w14:solidFill>
                    <w14:schemeClr w14:val="tx1"/>
                  </w14:solidFill>
                </w14:textFill>
              </w:rPr>
              <w:t>序号</w:t>
            </w:r>
          </w:p>
        </w:tc>
        <w:tc>
          <w:tcPr>
            <w:tcW w:w="1508" w:type="dxa"/>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名称</w:t>
            </w:r>
          </w:p>
        </w:tc>
        <w:tc>
          <w:tcPr>
            <w:tcW w:w="661" w:type="dxa"/>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数量</w:t>
            </w:r>
          </w:p>
        </w:tc>
        <w:tc>
          <w:tcPr>
            <w:tcW w:w="661" w:type="dxa"/>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单位</w:t>
            </w:r>
          </w:p>
        </w:tc>
        <w:tc>
          <w:tcPr>
            <w:tcW w:w="6269" w:type="dxa"/>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（功能或者目标）、质量、安全、技术规格、物理特性等要求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液相色谱</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串联质谱仪</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1</w:t>
            </w:r>
            <w:r>
              <w:rPr>
                <w:rFonts w:hint="eastAsia" w:ascii="宋体" w:hAnsi="宋体"/>
                <w:b/>
                <w:color w:val="000000" w:themeColor="text1"/>
                <w:sz w:val="21"/>
                <w:szCs w:val="21"/>
                <w14:textFill>
                  <w14:solidFill>
                    <w14:schemeClr w14:val="tx1"/>
                  </w14:solidFill>
                </w14:textFill>
              </w:rPr>
              <w:t>、货物名称：</w:t>
            </w:r>
            <w:r>
              <w:rPr>
                <w:rFonts w:hint="eastAsia" w:ascii="宋体" w:hAnsi="宋体"/>
                <w:color w:val="000000" w:themeColor="text1"/>
                <w:sz w:val="21"/>
                <w:szCs w:val="21"/>
                <w14:textFill>
                  <w14:solidFill>
                    <w14:schemeClr w14:val="tx1"/>
                  </w14:solidFill>
                </w14:textFill>
              </w:rPr>
              <w:t>液相色谱-串联质谱仪</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2</w:t>
            </w:r>
            <w:r>
              <w:rPr>
                <w:rFonts w:hint="eastAsia" w:ascii="宋体" w:hAnsi="宋体"/>
                <w:b/>
                <w:color w:val="000000" w:themeColor="text1"/>
                <w:sz w:val="21"/>
                <w:szCs w:val="21"/>
                <w14:textFill>
                  <w14:solidFill>
                    <w14:schemeClr w14:val="tx1"/>
                  </w14:solidFill>
                </w14:textFill>
              </w:rPr>
              <w:t>、主要用途：</w:t>
            </w:r>
            <w:r>
              <w:rPr>
                <w:rFonts w:hint="eastAsia" w:ascii="宋体" w:hAnsi="宋体"/>
                <w:bCs/>
                <w:color w:val="000000" w:themeColor="text1"/>
                <w:sz w:val="21"/>
                <w:szCs w:val="21"/>
                <w14:textFill>
                  <w14:solidFill>
                    <w14:schemeClr w14:val="tx1"/>
                  </w14:solidFill>
                </w14:textFill>
              </w:rPr>
              <w:t>开展水稻与环境互作研究，用于有机化学污染物的分析，农药残留分析。开展优质稻分子育种研究，用于水稻的营养成分分析，检测水稻的糖类、脂类、激素以及代谢产物。</w:t>
            </w:r>
          </w:p>
          <w:p>
            <w:pPr>
              <w:adjustRightInd w:val="0"/>
              <w:snapToGrid w:val="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3</w:t>
            </w:r>
            <w:r>
              <w:rPr>
                <w:rFonts w:hint="eastAsia" w:ascii="宋体" w:hAnsi="宋体"/>
                <w:b/>
                <w:color w:val="000000" w:themeColor="text1"/>
                <w:sz w:val="21"/>
                <w:szCs w:val="21"/>
                <w14:textFill>
                  <w14:solidFill>
                    <w14:schemeClr w14:val="tx1"/>
                  </w14:solidFill>
                </w14:textFill>
              </w:rPr>
              <w:t>、工作条件：</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3.1 </w:t>
            </w:r>
            <w:r>
              <w:rPr>
                <w:rFonts w:hint="eastAsia" w:ascii="宋体" w:hAnsi="宋体"/>
                <w:color w:val="000000" w:themeColor="text1"/>
                <w:sz w:val="21"/>
                <w:szCs w:val="21"/>
                <w14:textFill>
                  <w14:solidFill>
                    <w14:schemeClr w14:val="tx1"/>
                  </w14:solidFill>
                </w14:textFill>
              </w:rPr>
              <w:t>环境温度：</w:t>
            </w:r>
            <w:r>
              <w:rPr>
                <w:rFonts w:ascii="宋体" w:hAnsi="宋体"/>
                <w:color w:val="000000" w:themeColor="text1"/>
                <w:sz w:val="21"/>
                <w:szCs w:val="21"/>
                <w14:textFill>
                  <w14:solidFill>
                    <w14:schemeClr w14:val="tx1"/>
                  </w14:solidFill>
                </w14:textFill>
              </w:rPr>
              <w:t xml:space="preserve">15-40 </w:t>
            </w:r>
            <w:r>
              <w:rPr>
                <w:rFonts w:hint="eastAsia" w:ascii="宋体" w:hAnsi="宋体"/>
                <w:color w:val="000000" w:themeColor="text1"/>
                <w:sz w:val="21"/>
                <w:szCs w:val="21"/>
                <w14:textFill>
                  <w14:solidFill>
                    <w14:schemeClr w14:val="tx1"/>
                  </w14:solidFill>
                </w14:textFill>
              </w:rPr>
              <w:sym w:font="Symbol" w:char="F0B0"/>
            </w:r>
            <w:r>
              <w:rPr>
                <w:rFonts w:ascii="宋体" w:hAnsi="宋体"/>
                <w:color w:val="000000" w:themeColor="text1"/>
                <w:sz w:val="21"/>
                <w:szCs w:val="21"/>
                <w14:textFill>
                  <w14:solidFill>
                    <w14:schemeClr w14:val="tx1"/>
                  </w14:solidFill>
                </w14:textFill>
              </w:rPr>
              <w:t>C</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3.2 </w:t>
            </w:r>
            <w:r>
              <w:rPr>
                <w:rFonts w:hint="eastAsia" w:ascii="宋体" w:hAnsi="宋体"/>
                <w:color w:val="000000" w:themeColor="text1"/>
                <w:sz w:val="21"/>
                <w:szCs w:val="21"/>
                <w14:textFill>
                  <w14:solidFill>
                    <w14:schemeClr w14:val="tx1"/>
                  </w14:solidFill>
                </w14:textFill>
              </w:rPr>
              <w:t>电源：</w:t>
            </w:r>
            <w:r>
              <w:rPr>
                <w:rFonts w:ascii="宋体" w:hAnsi="宋体"/>
                <w:color w:val="000000" w:themeColor="text1"/>
                <w:sz w:val="21"/>
                <w:szCs w:val="21"/>
                <w14:textFill>
                  <w14:solidFill>
                    <w14:schemeClr w14:val="tx1"/>
                  </w14:solidFill>
                </w14:textFill>
              </w:rPr>
              <w:t>220-240VAC</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50-60Hz</w:t>
            </w:r>
          </w:p>
          <w:p>
            <w:pPr>
              <w:adjustRightInd w:val="0"/>
              <w:snapToGrid w:val="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4</w:t>
            </w:r>
            <w:r>
              <w:rPr>
                <w:rFonts w:hint="eastAsia" w:ascii="宋体" w:hAnsi="宋体"/>
                <w:b/>
                <w:color w:val="000000" w:themeColor="text1"/>
                <w:sz w:val="21"/>
                <w:szCs w:val="21"/>
                <w14:textFill>
                  <w14:solidFill>
                    <w14:schemeClr w14:val="tx1"/>
                  </w14:solidFill>
                </w14:textFill>
              </w:rPr>
              <w:t>、技术指标</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 质谱仪</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.1.1离子源接口:离子源为独立电喷雾离子源，非复合源配置，具有真空锁定装置，离子源的清洁、维护、切换方便、快速，无需卸除质谱真空系统，无需使用工具，即可实现ESI及APCI的互换，使用方便；</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.1.2 ESI电喷雾离子源流速范围：确保灵敏度不损失，可达到2.0 ml/min；</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ESI离子源加热气设计：独立的离子源加热辅助气设计，脱溶剂温度可达650°C，并可针对不同化合物设定不同的分析温度，保证获得最优的离子化效果；</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离子源具有真空锁定装置；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采用该性能的离子透镜，提高抗污染能力的同时具备聚焦功能。在确保检测信号不损失的同时大大降低了中性杂质的干扰，从而大大提高仪器检测灵敏度；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离子传输系统须具备离子聚焦功能；</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碰撞室：对离子进行线性加速，可提高离子利用率，提高灵敏度；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 xml:space="preserve"> 气体：可以采用氮气发生器的高纯氮气作为雾化气和碰撞气；</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 xml:space="preserve"> 质量分析器：</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.1三重四极杆质量分析器；</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.2质量分析器：两个高分辨、高稳定性的四极杆质量分析器，配合预四级增强分辨率和离子通过率的同时，保护主四级杆不被污染；</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0</w:t>
            </w:r>
            <w:r>
              <w:rPr>
                <w:rFonts w:hint="eastAsia" w:ascii="宋体" w:hAnsi="宋体"/>
                <w:color w:val="000000" w:themeColor="text1"/>
                <w:sz w:val="21"/>
                <w:szCs w:val="21"/>
                <w14:textFill>
                  <w14:solidFill>
                    <w14:schemeClr w14:val="tx1"/>
                  </w14:solidFill>
                </w14:textFill>
              </w:rPr>
              <w:t xml:space="preserve"> 检测器系统：偏轴、高能、长寿命的光电倍增器或电子倍增器；</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 xml:space="preserve"> 真空系统：抽溶剂大抽速机械泵和长寿命涡轮分子泵组合差分抽气高真空系统，无需额外水冷却系统，自动断电保护功能；</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 xml:space="preserve"> 质量范围(m/z)：涵盖5-2000 amu或更宽； 质谱扫描速度: 最小步径为0.1u ，大于20000 u/sec；</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高通量定量分析，MRM通道数量：一次进样，不分时间段，可以至少同时检测30000个MRM离子对，并保证灵敏度和重现性不受损失；</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4</w:t>
            </w:r>
            <w:r>
              <w:rPr>
                <w:rFonts w:asciiTheme="minorEastAsia" w:hAnsiTheme="minorEastAsia" w:eastAsiaTheme="minorEastAsia"/>
                <w:color w:val="000000" w:themeColor="text1"/>
                <w:sz w:val="21"/>
                <w:szCs w:val="21"/>
                <w14:textFill>
                  <w14:solidFill>
                    <w14:schemeClr w14:val="tx1"/>
                  </w14:solidFill>
                </w14:textFill>
              </w:rPr>
              <w:t>重复性：氯霉素，</w:t>
            </w:r>
            <w:r>
              <w:rPr>
                <w:rFonts w:hint="eastAsia" w:asciiTheme="minorEastAsia" w:hAnsiTheme="minorEastAsia" w:eastAsiaTheme="minorEastAsia"/>
                <w:color w:val="000000" w:themeColor="text1"/>
                <w:sz w:val="21"/>
                <w:szCs w:val="21"/>
                <w14:textFill>
                  <w14:solidFill>
                    <w14:schemeClr w14:val="tx1"/>
                  </w14:solidFill>
                </w14:textFill>
              </w:rPr>
              <w:t>50fg</w:t>
            </w:r>
            <w:r>
              <w:rPr>
                <w:rFonts w:asciiTheme="minorEastAsia" w:hAnsiTheme="minorEastAsia" w:eastAsiaTheme="minorEastAsia"/>
                <w:color w:val="000000" w:themeColor="text1"/>
                <w:sz w:val="21"/>
                <w:szCs w:val="21"/>
                <w14:textFill>
                  <w14:solidFill>
                    <w14:schemeClr w14:val="tx1"/>
                  </w14:solidFill>
                </w14:textFill>
              </w:rPr>
              <w:t>，6次重复进样，RSD ≤ 2%</w:t>
            </w:r>
            <w:r>
              <w:rPr>
                <w:rFonts w:hint="eastAsia" w:asciiTheme="minorEastAsia" w:hAnsiTheme="minorEastAsia" w:eastAsiaTheme="minorEastAsia"/>
                <w:color w:val="000000" w:themeColor="text1"/>
                <w:sz w:val="21"/>
                <w:szCs w:val="21"/>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 xml:space="preserve"> 质量准确度：样品(利血平)实测值与理论值之间的误差≤ 0.2u；</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 xml:space="preserve"> 质量稳定性：＜0.05u /24hr；</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w:t>
            </w: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 xml:space="preserve"> MRM最小驻留时间(dwell time)≤1ms</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质谱最小延迟时间：不超过1msec；</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 xml:space="preserve">.1.18 </w:t>
            </w:r>
            <w:r>
              <w:rPr>
                <w:rFonts w:hint="eastAsia" w:ascii="宋体" w:hAnsi="宋体"/>
                <w:color w:val="000000" w:themeColor="text1"/>
                <w:sz w:val="21"/>
                <w:szCs w:val="21"/>
                <w14:textFill>
                  <w14:solidFill>
                    <w14:schemeClr w14:val="tx1"/>
                  </w14:solidFill>
                </w14:textFill>
              </w:rPr>
              <w:t>交叉污染（串扰）： &lt; 0.0005%；</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19</w:t>
            </w:r>
            <w:r>
              <w:rPr>
                <w:rFonts w:hint="eastAsia" w:ascii="宋体" w:hAnsi="宋体"/>
                <w:color w:val="000000" w:themeColor="text1"/>
                <w:sz w:val="21"/>
                <w:szCs w:val="21"/>
                <w14:textFill>
                  <w14:solidFill>
                    <w14:schemeClr w14:val="tx1"/>
                  </w14:solidFill>
                </w14:textFill>
              </w:rPr>
              <w:t xml:space="preserve"> MRM模式下定量灵敏度和重现性以及离子源耐受能力和兼容性；</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ESI源正离子方式：1pg 利血平，MRM（609-&gt;195）,信噪比S/N &gt;300000:1（RMS）；</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4.1.21 </w:t>
            </w:r>
            <w:r>
              <w:rPr>
                <w:rFonts w:hint="eastAsia" w:ascii="宋体" w:hAnsi="宋体"/>
                <w:color w:val="000000" w:themeColor="text1"/>
                <w:sz w:val="21"/>
                <w:szCs w:val="21"/>
                <w14:textFill>
                  <w14:solidFill>
                    <w14:schemeClr w14:val="tx1"/>
                  </w14:solidFill>
                </w14:textFill>
              </w:rPr>
              <w:t>ESI负离子方式:1pg 氯霉素，MRM（321-&gt;152），信噪比&gt;300000:1 (RMS)</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正负离子切换速度：不超过5ms(不损失灵敏度的情况下)，实现正、负离子同时采集；</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4.1.22</w:t>
            </w:r>
            <w:r>
              <w:rPr>
                <w:rFonts w:hint="eastAsia" w:ascii="宋体" w:hAnsi="宋体"/>
                <w:color w:val="000000" w:themeColor="text1"/>
                <w:sz w:val="21"/>
                <w:szCs w:val="21"/>
                <w14:textFill>
                  <w14:solidFill>
                    <w14:schemeClr w14:val="tx1"/>
                  </w14:solidFill>
                </w14:textFill>
              </w:rPr>
              <w:t>离子源耐受能力：流速≥2.0ml/min，基本不损失灵敏度、稳定性好，保证液相方法与质谱能力兼容性好，抗污染能力强；</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.1.23</w:t>
            </w:r>
            <w:r>
              <w:rPr>
                <w:rFonts w:hint="eastAsia" w:ascii="宋体" w:hAnsi="宋体"/>
                <w:color w:val="000000" w:themeColor="text1"/>
                <w:sz w:val="21"/>
                <w:szCs w:val="21"/>
                <w14:textFill>
                  <w14:solidFill>
                    <w14:schemeClr w14:val="tx1"/>
                  </w14:solidFill>
                </w14:textFill>
              </w:rPr>
              <w:t>色谱兼容性：可以跟市面上多数型号的液相色谱、合相色谱连结；</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4.1.24</w:t>
            </w:r>
            <w:r>
              <w:rPr>
                <w:rFonts w:hint="eastAsia" w:ascii="宋体" w:hAnsi="宋体"/>
                <w:color w:val="000000" w:themeColor="text1"/>
                <w:sz w:val="21"/>
                <w:szCs w:val="21"/>
                <w14:textFill>
                  <w14:solidFill>
                    <w14:schemeClr w14:val="tx1"/>
                  </w14:solidFill>
                </w14:textFill>
              </w:rPr>
              <w:t>质谱分辨率（FWHM):样品(利血平)，结果m/z609处FWHM≤ 0.4u ；</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 </w:t>
            </w:r>
            <w:r>
              <w:rPr>
                <w:rFonts w:hint="eastAsia" w:ascii="宋体" w:hAnsi="宋体"/>
                <w:color w:val="000000" w:themeColor="text1"/>
                <w:sz w:val="21"/>
                <w:szCs w:val="21"/>
                <w14:textFill>
                  <w14:solidFill>
                    <w14:schemeClr w14:val="tx1"/>
                  </w14:solidFill>
                </w14:textFill>
              </w:rPr>
              <w:t>超高效液相色谱仪：</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.2.1流速范围：0.001-10.000mL/min；</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.2.2流速准确度：≤1%；</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.2.3流速精密度：≤0.062%；</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.2.4梯度变化步进：0.1%；</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.2.5最高耐压：≥1</w:t>
            </w: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000psi；</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.2.6自动清洗组件：标配</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.2.7组成方式：两台独立高压送液泵构成的二元梯度系统；</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.2.8自我诊断/自我恢复：自动检测分析过程中意外混入的气泡，自动执行Purge，快速恢复至正常分析状态；</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.2.9智能流量控制功能：防止瞬间高压损害色谱柱，延长色谱柱使用寿命；</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 </w:t>
            </w:r>
            <w:r>
              <w:rPr>
                <w:rFonts w:hint="eastAsia" w:ascii="宋体" w:hAnsi="宋体"/>
                <w:color w:val="000000" w:themeColor="text1"/>
                <w:sz w:val="21"/>
                <w:szCs w:val="21"/>
                <w14:textFill>
                  <w14:solidFill>
                    <w14:schemeClr w14:val="tx1"/>
                  </w14:solidFill>
                </w14:textFill>
              </w:rPr>
              <w:t>样品管理系统：</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4.2.10.1 </w:t>
            </w:r>
            <w:r>
              <w:rPr>
                <w:rFonts w:hint="eastAsia" w:ascii="宋体" w:hAnsi="宋体"/>
                <w:color w:val="000000" w:themeColor="text1"/>
                <w:sz w:val="21"/>
                <w:szCs w:val="21"/>
                <w14:textFill>
                  <w14:solidFill>
                    <w14:schemeClr w14:val="tx1"/>
                  </w14:solidFill>
                </w14:textFill>
              </w:rPr>
              <w:t>样品数量：150位以上(1.5mL/2mL样品瓶)</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最多可扩展至16000个样品；</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4.2.10.2 </w:t>
            </w:r>
            <w:r>
              <w:rPr>
                <w:rFonts w:hint="eastAsia" w:ascii="宋体" w:hAnsi="宋体"/>
                <w:color w:val="000000" w:themeColor="text1"/>
                <w:sz w:val="21"/>
                <w:szCs w:val="21"/>
                <w14:textFill>
                  <w14:solidFill>
                    <w14:schemeClr w14:val="tx1"/>
                  </w14:solidFill>
                </w14:textFill>
              </w:rPr>
              <w:t>进样范围：</w:t>
            </w:r>
            <w:r>
              <w:rPr>
                <w:rFonts w:ascii="宋体" w:hAnsi="宋体"/>
                <w:color w:val="000000" w:themeColor="text1"/>
                <w:sz w:val="21"/>
                <w:szCs w:val="21"/>
                <w14:textFill>
                  <w14:solidFill>
                    <w14:schemeClr w14:val="tx1"/>
                  </w14:solidFill>
                </w14:textFill>
              </w:rPr>
              <w:t xml:space="preserve">0.1-100 </w:t>
            </w:r>
            <w:r>
              <w:rPr>
                <w:rFonts w:hint="eastAsia" w:ascii="宋体" w:hAnsi="宋体"/>
                <w:color w:val="000000" w:themeColor="text1"/>
                <w:sz w:val="21"/>
                <w:szCs w:val="21"/>
                <w14:textFill>
                  <w14:solidFill>
                    <w14:schemeClr w14:val="tx1"/>
                  </w14:solidFill>
                </w14:textFill>
              </w:rPr>
              <w:t>µ</w:t>
            </w:r>
            <w:r>
              <w:rPr>
                <w:rFonts w:ascii="宋体" w:hAnsi="宋体"/>
                <w:color w:val="000000" w:themeColor="text1"/>
                <w:sz w:val="21"/>
                <w:szCs w:val="21"/>
                <w14:textFill>
                  <w14:solidFill>
                    <w14:schemeClr w14:val="tx1"/>
                  </w14:solidFill>
                </w14:textFill>
              </w:rPr>
              <w:t>L</w:t>
            </w:r>
            <w:r>
              <w:rPr>
                <w:rFonts w:hint="eastAsia" w:ascii="宋体" w:hAnsi="宋体"/>
                <w:color w:val="000000" w:themeColor="text1"/>
                <w:sz w:val="21"/>
                <w:szCs w:val="21"/>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4.2.10.3 </w:t>
            </w:r>
            <w:r>
              <w:rPr>
                <w:rFonts w:hint="eastAsia" w:ascii="宋体" w:hAnsi="宋体"/>
                <w:color w:val="000000" w:themeColor="text1"/>
                <w:sz w:val="21"/>
                <w:szCs w:val="21"/>
                <w14:textFill>
                  <w14:solidFill>
                    <w14:schemeClr w14:val="tx1"/>
                  </w14:solidFill>
                </w14:textFill>
              </w:rPr>
              <w:t>进样次数：每个样品</w:t>
            </w:r>
            <w:r>
              <w:rPr>
                <w:rFonts w:ascii="宋体" w:hAnsi="宋体"/>
                <w:color w:val="000000" w:themeColor="text1"/>
                <w:sz w:val="21"/>
                <w:szCs w:val="21"/>
                <w14:textFill>
                  <w14:solidFill>
                    <w14:schemeClr w14:val="tx1"/>
                  </w14:solidFill>
                </w14:textFill>
              </w:rPr>
              <w:t>1—99</w:t>
            </w:r>
            <w:r>
              <w:rPr>
                <w:rFonts w:hint="eastAsia" w:ascii="宋体" w:hAnsi="宋体"/>
                <w:color w:val="000000" w:themeColor="text1"/>
                <w:sz w:val="21"/>
                <w:szCs w:val="21"/>
                <w14:textFill>
                  <w14:solidFill>
                    <w14:schemeClr w14:val="tx1"/>
                  </w14:solidFill>
                </w14:textFill>
              </w:rPr>
              <w:t>次进样；</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4.2.10.4 </w:t>
            </w:r>
            <w:r>
              <w:rPr>
                <w:rFonts w:hint="eastAsia" w:ascii="宋体" w:hAnsi="宋体"/>
                <w:color w:val="000000" w:themeColor="text1"/>
                <w:sz w:val="21"/>
                <w:szCs w:val="21"/>
                <w14:textFill>
                  <w14:solidFill>
                    <w14:schemeClr w14:val="tx1"/>
                  </w14:solidFill>
                </w14:textFill>
              </w:rPr>
              <w:t>进样精度：≤</w:t>
            </w:r>
            <w:r>
              <w:rPr>
                <w:rFonts w:ascii="宋体" w:hAnsi="宋体"/>
                <w:color w:val="000000" w:themeColor="text1"/>
                <w:sz w:val="21"/>
                <w:szCs w:val="21"/>
                <w14:textFill>
                  <w14:solidFill>
                    <w14:schemeClr w14:val="tx1"/>
                  </w14:solidFill>
                </w14:textFill>
              </w:rPr>
              <w:t>0.5%RSD</w:t>
            </w:r>
            <w:r>
              <w:rPr>
                <w:rFonts w:hint="eastAsia" w:ascii="宋体" w:hAnsi="宋体"/>
                <w:color w:val="000000" w:themeColor="text1"/>
                <w:sz w:val="21"/>
                <w:szCs w:val="21"/>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4.2.10.5 </w:t>
            </w:r>
            <w:r>
              <w:rPr>
                <w:rFonts w:hint="eastAsia" w:ascii="宋体" w:hAnsi="宋体"/>
                <w:color w:val="000000" w:themeColor="text1"/>
                <w:sz w:val="21"/>
                <w:szCs w:val="21"/>
                <w14:textFill>
                  <w14:solidFill>
                    <w14:schemeClr w14:val="tx1"/>
                  </w14:solidFill>
                </w14:textFill>
              </w:rPr>
              <w:t>进样线性度：</w:t>
            </w:r>
            <w:r>
              <w:rPr>
                <w:rFonts w:ascii="宋体" w:hAnsi="宋体"/>
                <w:color w:val="000000" w:themeColor="text1"/>
                <w:sz w:val="21"/>
                <w:szCs w:val="21"/>
                <w14:textFill>
                  <w14:solidFill>
                    <w14:schemeClr w14:val="tx1"/>
                  </w14:solidFill>
                </w14:textFill>
              </w:rPr>
              <w:t>&gt;0.999</w:t>
            </w:r>
            <w:r>
              <w:rPr>
                <w:rFonts w:hint="eastAsia" w:ascii="宋体" w:hAnsi="宋体"/>
                <w:color w:val="000000" w:themeColor="text1"/>
                <w:sz w:val="21"/>
                <w:szCs w:val="21"/>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4.2.10.6 </w:t>
            </w:r>
            <w:r>
              <w:rPr>
                <w:rFonts w:hint="eastAsia" w:ascii="宋体" w:hAnsi="宋体"/>
                <w:color w:val="000000" w:themeColor="text1"/>
                <w:sz w:val="21"/>
                <w:szCs w:val="21"/>
                <w14:textFill>
                  <w14:solidFill>
                    <w14:schemeClr w14:val="tx1"/>
                  </w14:solidFill>
                </w14:textFill>
              </w:rPr>
              <w:t>样品控制温度：</w:t>
            </w:r>
            <w:r>
              <w:rPr>
                <w:rFonts w:ascii="宋体" w:hAnsi="宋体"/>
                <w:color w:val="000000" w:themeColor="text1"/>
                <w:sz w:val="21"/>
                <w:szCs w:val="21"/>
                <w14:textFill>
                  <w14:solidFill>
                    <w14:schemeClr w14:val="tx1"/>
                  </w14:solidFill>
                </w14:textFill>
              </w:rPr>
              <w:t>4-45</w:t>
            </w:r>
            <w:r>
              <w:rPr>
                <w:rFonts w:hint="eastAsia" w:ascii="宋体" w:hAnsi="宋体"/>
                <w:color w:val="000000" w:themeColor="text1"/>
                <w:sz w:val="21"/>
                <w:szCs w:val="21"/>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4.2.10.7 </w:t>
            </w:r>
            <w:r>
              <w:rPr>
                <w:rFonts w:hint="eastAsia" w:ascii="宋体" w:hAnsi="宋体"/>
                <w:color w:val="000000" w:themeColor="text1"/>
                <w:sz w:val="21"/>
                <w:szCs w:val="21"/>
                <w14:textFill>
                  <w14:solidFill>
                    <w14:schemeClr w14:val="tx1"/>
                  </w14:solidFill>
                </w14:textFill>
              </w:rPr>
              <w:t>样品污染度：</w:t>
            </w:r>
            <w:r>
              <w:rPr>
                <w:rFonts w:ascii="宋体" w:hAnsi="宋体"/>
                <w:color w:val="000000" w:themeColor="text1"/>
                <w:sz w:val="21"/>
                <w:szCs w:val="21"/>
                <w14:textFill>
                  <w14:solidFill>
                    <w14:schemeClr w14:val="tx1"/>
                  </w14:solidFill>
                </w14:textFill>
              </w:rPr>
              <w:t>&lt;0.0003%</w:t>
            </w:r>
            <w:r>
              <w:rPr>
                <w:rFonts w:hint="eastAsia" w:ascii="宋体" w:hAnsi="宋体"/>
                <w:color w:val="000000" w:themeColor="text1"/>
                <w:sz w:val="21"/>
                <w:szCs w:val="21"/>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4.2.10.8</w:t>
            </w:r>
            <w:r>
              <w:rPr>
                <w:rFonts w:hint="eastAsia" w:ascii="宋体" w:hAnsi="宋体"/>
                <w:color w:val="000000" w:themeColor="text1"/>
                <w:sz w:val="21"/>
                <w:szCs w:val="21"/>
                <w14:textFill>
                  <w14:solidFill>
                    <w14:schemeClr w14:val="tx1"/>
                  </w14:solidFill>
                </w14:textFill>
              </w:rPr>
              <w:t>支持多种自动前处理功能：样品稀释、添加、混合、自动衍生等；</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4.2.10.9 </w:t>
            </w:r>
            <w:r>
              <w:rPr>
                <w:rFonts w:hint="eastAsia" w:ascii="宋体" w:hAnsi="宋体"/>
                <w:color w:val="000000" w:themeColor="text1"/>
                <w:sz w:val="21"/>
                <w:szCs w:val="21"/>
                <w14:textFill>
                  <w14:solidFill>
                    <w14:schemeClr w14:val="tx1"/>
                  </w14:solidFill>
                </w14:textFill>
              </w:rPr>
              <w:t>进样器有内部观察灯，可软件控制开</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关；</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4.2.11 </w:t>
            </w:r>
            <w:r>
              <w:rPr>
                <w:rFonts w:hint="eastAsia" w:ascii="宋体" w:hAnsi="宋体"/>
                <w:color w:val="000000" w:themeColor="text1"/>
                <w:sz w:val="21"/>
                <w:szCs w:val="21"/>
                <w14:textFill>
                  <w14:solidFill>
                    <w14:schemeClr w14:val="tx1"/>
                  </w14:solidFill>
                </w14:textFill>
              </w:rPr>
              <w:t>柱温箱：</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4.2.11</w:t>
            </w:r>
            <w:r>
              <w:rPr>
                <w:rFonts w:hint="eastAsia" w:ascii="宋体" w:hAnsi="宋体"/>
                <w:color w:val="000000" w:themeColor="text1"/>
                <w:sz w:val="21"/>
                <w:szCs w:val="21"/>
                <w14:textFill>
                  <w14:solidFill>
                    <w14:schemeClr w14:val="tx1"/>
                  </w14:solidFill>
                </w14:textFill>
              </w:rPr>
              <w:t>.1温度控制类型：强制空气循环；</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4.2.11</w:t>
            </w:r>
            <w:r>
              <w:rPr>
                <w:rFonts w:hint="eastAsia" w:ascii="宋体" w:hAnsi="宋体"/>
                <w:color w:val="000000" w:themeColor="text1"/>
                <w:sz w:val="21"/>
                <w:szCs w:val="21"/>
                <w14:textFill>
                  <w14:solidFill>
                    <w14:schemeClr w14:val="tx1"/>
                  </w14:solidFill>
                </w14:textFill>
              </w:rPr>
              <w:t>.2温度控制范围：室温-10℃~80℃；</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4.2.11</w:t>
            </w:r>
            <w:r>
              <w:rPr>
                <w:rFonts w:hint="eastAsia" w:ascii="宋体" w:hAnsi="宋体"/>
                <w:color w:val="000000" w:themeColor="text1"/>
                <w:sz w:val="21"/>
                <w:szCs w:val="21"/>
                <w14:textFill>
                  <w14:solidFill>
                    <w14:schemeClr w14:val="tx1"/>
                  </w14:solidFill>
                </w14:textFill>
              </w:rPr>
              <w:t>.3双重漏液传感器：含气体和液体双重传感器</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4.2.11</w:t>
            </w:r>
            <w:r>
              <w:rPr>
                <w:rFonts w:hint="eastAsia" w:ascii="宋体" w:hAnsi="宋体"/>
                <w:color w:val="000000" w:themeColor="text1"/>
                <w:sz w:val="21"/>
                <w:szCs w:val="21"/>
                <w14:textFill>
                  <w14:solidFill>
                    <w14:schemeClr w14:val="tx1"/>
                  </w14:solidFill>
                </w14:textFill>
              </w:rPr>
              <w:t>.4色谱柱容量：单个柱温箱内可放置100mm×6根；300mm×3根；</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4. 3 </w:t>
            </w:r>
            <w:r>
              <w:rPr>
                <w:rFonts w:hint="eastAsia" w:ascii="宋体" w:hAnsi="宋体"/>
                <w:color w:val="000000" w:themeColor="text1"/>
                <w:sz w:val="21"/>
                <w:szCs w:val="21"/>
                <w14:textFill>
                  <w14:solidFill>
                    <w14:schemeClr w14:val="tx1"/>
                  </w14:solidFill>
                </w14:textFill>
              </w:rPr>
              <w:t>氮气发生器：</w:t>
            </w:r>
          </w:p>
          <w:p>
            <w:pPr>
              <w:adjustRightInd w:val="0"/>
              <w:snapToGrid w:val="0"/>
              <w:rPr>
                <w:rFonts w:ascii="宋体" w:hAnsi="宋体"/>
                <w:color w:val="000000" w:themeColor="text1"/>
                <w:sz w:val="21"/>
                <w:szCs w:val="21"/>
                <w:lang w:val="da-DK"/>
                <w14:textFill>
                  <w14:solidFill>
                    <w14:schemeClr w14:val="tx1"/>
                  </w14:solidFill>
                </w14:textFill>
              </w:rPr>
            </w:pPr>
            <w:r>
              <w:rPr>
                <w:rFonts w:ascii="宋体" w:hAnsi="宋体"/>
                <w:color w:val="000000" w:themeColor="text1"/>
                <w:sz w:val="21"/>
                <w:szCs w:val="21"/>
                <w:lang w:val="da-DK"/>
                <w14:textFill>
                  <w14:solidFill>
                    <w14:schemeClr w14:val="tx1"/>
                  </w14:solidFill>
                </w14:textFill>
              </w:rPr>
              <w:t xml:space="preserve">4.3.1 </w:t>
            </w:r>
            <w:r>
              <w:rPr>
                <w:rFonts w:hint="eastAsia" w:ascii="宋体" w:hAnsi="宋体"/>
                <w:color w:val="000000" w:themeColor="text1"/>
                <w:sz w:val="21"/>
                <w:szCs w:val="21"/>
                <w14:textFill>
                  <w14:solidFill>
                    <w14:schemeClr w14:val="tx1"/>
                  </w14:solidFill>
                </w14:textFill>
              </w:rPr>
              <w:t>氮气</w:t>
            </w:r>
            <w:r>
              <w:rPr>
                <w:rFonts w:hint="eastAsia" w:ascii="宋体" w:hAnsi="宋体"/>
                <w:color w:val="000000" w:themeColor="text1"/>
                <w:sz w:val="21"/>
                <w:szCs w:val="21"/>
                <w:lang w:val="da-DK"/>
                <w14:textFill>
                  <w14:solidFill>
                    <w14:schemeClr w14:val="tx1"/>
                  </w14:solidFill>
                </w14:textFill>
              </w:rPr>
              <w:t>：</w:t>
            </w:r>
            <w:r>
              <w:rPr>
                <w:rFonts w:ascii="宋体" w:hAnsi="宋体"/>
                <w:color w:val="000000" w:themeColor="text1"/>
                <w:sz w:val="21"/>
                <w:szCs w:val="21"/>
                <w:lang w:val="da-DK"/>
                <w14:textFill>
                  <w14:solidFill>
                    <w14:schemeClr w14:val="tx1"/>
                  </w14:solidFill>
                </w14:textFill>
              </w:rPr>
              <w:t>32 L/min @ 6.9 bar / 1.13 CFM @ 100 psi</w:t>
            </w:r>
            <w:r>
              <w:rPr>
                <w:rFonts w:hint="eastAsia" w:ascii="宋体" w:hAnsi="宋体"/>
                <w:color w:val="000000" w:themeColor="text1"/>
                <w:sz w:val="21"/>
                <w:szCs w:val="21"/>
                <w:lang w:val="da-DK"/>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4.3.2 </w:t>
            </w:r>
            <w:r>
              <w:rPr>
                <w:rFonts w:hint="eastAsia" w:ascii="宋体" w:hAnsi="宋体"/>
                <w:color w:val="000000" w:themeColor="text1"/>
                <w:sz w:val="21"/>
                <w:szCs w:val="21"/>
                <w:lang w:val="da-DK"/>
                <w14:textFill>
                  <w14:solidFill>
                    <w14:schemeClr w14:val="tx1"/>
                  </w14:solidFill>
                </w14:textFill>
              </w:rPr>
              <w:t>最小</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lang w:val="da-DK"/>
                <w14:textFill>
                  <w14:solidFill>
                    <w14:schemeClr w14:val="tx1"/>
                  </w14:solidFill>
                </w14:textFill>
              </w:rPr>
              <w:t>最大工作温度</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º</w:t>
            </w:r>
            <w:r>
              <w:rPr>
                <w:rFonts w:ascii="宋体" w:hAnsi="宋体"/>
                <w:color w:val="000000" w:themeColor="text1"/>
                <w:sz w:val="21"/>
                <w:szCs w:val="21"/>
                <w14:textFill>
                  <w14:solidFill>
                    <w14:schemeClr w14:val="tx1"/>
                  </w14:solidFill>
                </w14:textFill>
              </w:rPr>
              <w:t>C - 35</w:t>
            </w:r>
            <w:r>
              <w:rPr>
                <w:rFonts w:hint="eastAsia" w:ascii="宋体" w:hAnsi="宋体"/>
                <w:color w:val="000000" w:themeColor="text1"/>
                <w:sz w:val="21"/>
                <w:szCs w:val="21"/>
                <w14:textFill>
                  <w14:solidFill>
                    <w14:schemeClr w14:val="tx1"/>
                  </w14:solidFill>
                </w14:textFill>
              </w:rPr>
              <w:t>º</w:t>
            </w:r>
            <w:r>
              <w:rPr>
                <w:rFonts w:ascii="宋体" w:hAnsi="宋体"/>
                <w:color w:val="000000" w:themeColor="text1"/>
                <w:sz w:val="21"/>
                <w:szCs w:val="21"/>
                <w14:textFill>
                  <w14:solidFill>
                    <w14:schemeClr w14:val="tx1"/>
                  </w14:solidFill>
                </w14:textFill>
              </w:rPr>
              <w:t>C / 41</w:t>
            </w:r>
            <w:r>
              <w:rPr>
                <w:rFonts w:hint="eastAsia" w:ascii="宋体" w:hAnsi="宋体"/>
                <w:color w:val="000000" w:themeColor="text1"/>
                <w:sz w:val="21"/>
                <w:szCs w:val="21"/>
                <w14:textFill>
                  <w14:solidFill>
                    <w14:schemeClr w14:val="tx1"/>
                  </w14:solidFill>
                </w14:textFill>
              </w:rPr>
              <w:t>º</w:t>
            </w:r>
            <w:r>
              <w:rPr>
                <w:rFonts w:ascii="宋体" w:hAnsi="宋体"/>
                <w:color w:val="000000" w:themeColor="text1"/>
                <w:sz w:val="21"/>
                <w:szCs w:val="21"/>
                <w14:textFill>
                  <w14:solidFill>
                    <w14:schemeClr w14:val="tx1"/>
                  </w14:solidFill>
                </w14:textFill>
              </w:rPr>
              <w:t>F - 95</w:t>
            </w:r>
            <w:r>
              <w:rPr>
                <w:rFonts w:hint="eastAsia" w:ascii="宋体" w:hAnsi="宋体"/>
                <w:color w:val="000000" w:themeColor="text1"/>
                <w:sz w:val="21"/>
                <w:szCs w:val="21"/>
                <w14:textFill>
                  <w14:solidFill>
                    <w14:schemeClr w14:val="tx1"/>
                  </w14:solidFill>
                </w14:textFill>
              </w:rPr>
              <w:t>º</w:t>
            </w:r>
            <w:r>
              <w:rPr>
                <w:rFonts w:ascii="宋体" w:hAnsi="宋体"/>
                <w:color w:val="000000" w:themeColor="text1"/>
                <w:sz w:val="21"/>
                <w:szCs w:val="21"/>
                <w14:textFill>
                  <w14:solidFill>
                    <w14:schemeClr w14:val="tx1"/>
                  </w14:solidFill>
                </w14:textFill>
              </w:rPr>
              <w:t>F</w:t>
            </w:r>
            <w:r>
              <w:rPr>
                <w:rFonts w:hint="eastAsia" w:ascii="宋体" w:hAnsi="宋体"/>
                <w:color w:val="000000" w:themeColor="text1"/>
                <w:sz w:val="21"/>
                <w:szCs w:val="21"/>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4.3.3 </w:t>
            </w:r>
            <w:r>
              <w:rPr>
                <w:rFonts w:hint="eastAsia" w:ascii="宋体" w:hAnsi="宋体"/>
                <w:color w:val="000000" w:themeColor="text1"/>
                <w:sz w:val="21"/>
                <w:szCs w:val="21"/>
                <w:lang w:val="da-DK"/>
                <w14:textFill>
                  <w14:solidFill>
                    <w14:schemeClr w14:val="tx1"/>
                  </w14:solidFill>
                </w14:textFill>
              </w:rPr>
              <w:t>最大相对湿度</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 xml:space="preserve">80% </w:t>
            </w:r>
            <w:r>
              <w:rPr>
                <w:rFonts w:hint="eastAsia" w:ascii="宋体" w:hAnsi="宋体"/>
                <w:color w:val="000000" w:themeColor="text1"/>
                <w:sz w:val="21"/>
                <w:szCs w:val="21"/>
                <w:lang w:val="da-DK"/>
                <w14:textFill>
                  <w14:solidFill>
                    <w14:schemeClr w14:val="tx1"/>
                  </w14:solidFill>
                </w14:textFill>
              </w:rPr>
              <w:t>非冷凝；</w:t>
            </w:r>
          </w:p>
          <w:p>
            <w:pPr>
              <w:adjustRightInd w:val="0"/>
              <w:snapToGrid w:val="0"/>
              <w:rPr>
                <w:rFonts w:ascii="宋体" w:hAnsi="宋体"/>
                <w:color w:val="000000" w:themeColor="text1"/>
                <w:sz w:val="21"/>
                <w:szCs w:val="21"/>
                <w:lang w:val="da-DK"/>
                <w14:textFill>
                  <w14:solidFill>
                    <w14:schemeClr w14:val="tx1"/>
                  </w14:solidFill>
                </w14:textFill>
              </w:rPr>
            </w:pPr>
            <w:r>
              <w:rPr>
                <w:rFonts w:ascii="宋体" w:hAnsi="宋体"/>
                <w:color w:val="000000" w:themeColor="text1"/>
                <w:sz w:val="21"/>
                <w:szCs w:val="21"/>
                <w:lang w:val="da-DK"/>
                <w14:textFill>
                  <w14:solidFill>
                    <w14:schemeClr w14:val="tx1"/>
                  </w14:solidFill>
                </w14:textFill>
              </w:rPr>
              <w:t xml:space="preserve">4.3.4 </w:t>
            </w:r>
            <w:r>
              <w:rPr>
                <w:rFonts w:hint="eastAsia" w:ascii="宋体" w:hAnsi="宋体"/>
                <w:color w:val="000000" w:themeColor="text1"/>
                <w:sz w:val="21"/>
                <w:szCs w:val="21"/>
                <w:lang w:val="da-DK"/>
                <w14:textFill>
                  <w14:solidFill>
                    <w14:schemeClr w14:val="tx1"/>
                  </w14:solidFill>
                </w14:textFill>
              </w:rPr>
              <w:t>颗粒：</w:t>
            </w:r>
            <w:r>
              <w:rPr>
                <w:rFonts w:ascii="宋体" w:hAnsi="宋体"/>
                <w:color w:val="000000" w:themeColor="text1"/>
                <w:sz w:val="21"/>
                <w:szCs w:val="21"/>
                <w:lang w:val="da-DK"/>
                <w14:textFill>
                  <w14:solidFill>
                    <w14:schemeClr w14:val="tx1"/>
                  </w14:solidFill>
                </w14:textFill>
              </w:rPr>
              <w:t>&lt; 0.01</w:t>
            </w:r>
            <w:r>
              <w:rPr>
                <w:rFonts w:hint="eastAsia" w:ascii="宋体" w:hAnsi="宋体"/>
                <w:color w:val="000000" w:themeColor="text1"/>
                <w:sz w:val="21"/>
                <w:szCs w:val="21"/>
                <w:lang w:val="da-DK"/>
                <w14:textFill>
                  <w14:solidFill>
                    <w14:schemeClr w14:val="tx1"/>
                  </w14:solidFill>
                </w14:textFill>
              </w:rPr>
              <w:t>μ</w:t>
            </w:r>
            <w:r>
              <w:rPr>
                <w:rFonts w:ascii="宋体" w:hAnsi="宋体"/>
                <w:color w:val="000000" w:themeColor="text1"/>
                <w:sz w:val="21"/>
                <w:szCs w:val="21"/>
                <w:lang w:val="da-DK"/>
                <w14:textFill>
                  <w14:solidFill>
                    <w14:schemeClr w14:val="tx1"/>
                  </w14:solidFill>
                </w14:textFill>
              </w:rPr>
              <w:t>m</w:t>
            </w:r>
            <w:r>
              <w:rPr>
                <w:rFonts w:hint="eastAsia" w:ascii="宋体" w:hAnsi="宋体"/>
                <w:color w:val="000000" w:themeColor="text1"/>
                <w:sz w:val="21"/>
                <w:szCs w:val="21"/>
                <w:lang w:val="da-DK"/>
                <w14:textFill>
                  <w14:solidFill>
                    <w14:schemeClr w14:val="tx1"/>
                  </w14:solidFill>
                </w14:textFill>
              </w:rPr>
              <w:t>；</w:t>
            </w:r>
          </w:p>
          <w:p>
            <w:pPr>
              <w:adjustRightInd w:val="0"/>
              <w:snapToGrid w:val="0"/>
              <w:rPr>
                <w:rFonts w:ascii="宋体" w:hAnsi="宋体"/>
                <w:color w:val="000000" w:themeColor="text1"/>
                <w:sz w:val="21"/>
                <w:szCs w:val="21"/>
                <w:lang w:val="da-DK"/>
                <w14:textFill>
                  <w14:solidFill>
                    <w14:schemeClr w14:val="tx1"/>
                  </w14:solidFill>
                </w14:textFill>
              </w:rPr>
            </w:pPr>
            <w:r>
              <w:rPr>
                <w:rFonts w:ascii="宋体" w:hAnsi="宋体"/>
                <w:color w:val="000000" w:themeColor="text1"/>
                <w:sz w:val="21"/>
                <w:szCs w:val="21"/>
                <w:lang w:val="da-DK"/>
                <w14:textFill>
                  <w14:solidFill>
                    <w14:schemeClr w14:val="tx1"/>
                  </w14:solidFill>
                </w14:textFill>
              </w:rPr>
              <w:t xml:space="preserve">4.3.5 </w:t>
            </w:r>
            <w:r>
              <w:rPr>
                <w:rFonts w:hint="eastAsia" w:ascii="宋体" w:hAnsi="宋体"/>
                <w:color w:val="000000" w:themeColor="text1"/>
                <w:sz w:val="21"/>
                <w:szCs w:val="21"/>
                <w:lang w:val="da-DK"/>
                <w14:textFill>
                  <w14:solidFill>
                    <w14:schemeClr w14:val="tx1"/>
                  </w14:solidFill>
                </w14:textFill>
              </w:rPr>
              <w:t>邻苯二甲酸盐：无；</w:t>
            </w:r>
          </w:p>
          <w:p>
            <w:pPr>
              <w:adjustRightInd w:val="0"/>
              <w:snapToGrid w:val="0"/>
              <w:rPr>
                <w:rFonts w:ascii="宋体" w:hAnsi="宋体"/>
                <w:color w:val="000000" w:themeColor="text1"/>
                <w:sz w:val="21"/>
                <w:szCs w:val="21"/>
                <w:lang w:val="da-DK"/>
                <w14:textFill>
                  <w14:solidFill>
                    <w14:schemeClr w14:val="tx1"/>
                  </w14:solidFill>
                </w14:textFill>
              </w:rPr>
            </w:pPr>
            <w:r>
              <w:rPr>
                <w:rFonts w:ascii="宋体" w:hAnsi="宋体"/>
                <w:color w:val="000000" w:themeColor="text1"/>
                <w:sz w:val="21"/>
                <w:szCs w:val="21"/>
                <w:lang w:val="da-DK"/>
                <w14:textFill>
                  <w14:solidFill>
                    <w14:schemeClr w14:val="tx1"/>
                  </w14:solidFill>
                </w14:textFill>
              </w:rPr>
              <w:t xml:space="preserve">4.3.6 </w:t>
            </w:r>
            <w:r>
              <w:rPr>
                <w:rFonts w:hint="eastAsia" w:ascii="宋体" w:hAnsi="宋体"/>
                <w:color w:val="000000" w:themeColor="text1"/>
                <w:sz w:val="21"/>
                <w:szCs w:val="21"/>
                <w:lang w:val="da-DK"/>
                <w14:textFill>
                  <w14:solidFill>
                    <w14:schemeClr w14:val="tx1"/>
                  </w14:solidFill>
                </w14:textFill>
              </w:rPr>
              <w:t>滞留液体：无；</w:t>
            </w:r>
          </w:p>
          <w:p>
            <w:pPr>
              <w:adjustRightInd w:val="0"/>
              <w:snapToGrid w:val="0"/>
              <w:rPr>
                <w:rFonts w:ascii="宋体" w:hAnsi="宋体"/>
                <w:color w:val="000000" w:themeColor="text1"/>
                <w:sz w:val="21"/>
                <w:szCs w:val="21"/>
                <w:lang w:val="da-DK"/>
                <w14:textFill>
                  <w14:solidFill>
                    <w14:schemeClr w14:val="tx1"/>
                  </w14:solidFill>
                </w14:textFill>
              </w:rPr>
            </w:pPr>
            <w:r>
              <w:rPr>
                <w:rFonts w:ascii="宋体" w:hAnsi="宋体"/>
                <w:color w:val="000000" w:themeColor="text1"/>
                <w:sz w:val="21"/>
                <w:szCs w:val="21"/>
                <w:lang w:val="da-DK"/>
                <w14:textFill>
                  <w14:solidFill>
                    <w14:schemeClr w14:val="tx1"/>
                  </w14:solidFill>
                </w14:textFill>
              </w:rPr>
              <w:t xml:space="preserve">4.3.7 </w:t>
            </w:r>
            <w:r>
              <w:rPr>
                <w:rFonts w:hint="eastAsia" w:ascii="宋体" w:hAnsi="宋体"/>
                <w:color w:val="000000" w:themeColor="text1"/>
                <w:sz w:val="21"/>
                <w:szCs w:val="21"/>
                <w:lang w:val="da-DK"/>
                <w14:textFill>
                  <w14:solidFill>
                    <w14:schemeClr w14:val="tx1"/>
                  </w14:solidFill>
                </w14:textFill>
              </w:rPr>
              <w:t>噪音水平：</w:t>
            </w:r>
            <w:r>
              <w:rPr>
                <w:rFonts w:ascii="宋体" w:hAnsi="宋体"/>
                <w:color w:val="000000" w:themeColor="text1"/>
                <w:sz w:val="21"/>
                <w:szCs w:val="21"/>
                <w:lang w:val="da-DK"/>
                <w14:textFill>
                  <w14:solidFill>
                    <w14:schemeClr w14:val="tx1"/>
                  </w14:solidFill>
                </w14:textFill>
              </w:rPr>
              <w:t>54 dB(A) @ 1m</w:t>
            </w:r>
            <w:r>
              <w:rPr>
                <w:rFonts w:hint="eastAsia" w:ascii="宋体" w:hAnsi="宋体"/>
                <w:color w:val="000000" w:themeColor="text1"/>
                <w:sz w:val="21"/>
                <w:szCs w:val="21"/>
                <w:lang w:val="da-DK"/>
                <w14:textFill>
                  <w14:solidFill>
                    <w14:schemeClr w14:val="tx1"/>
                  </w14:solidFill>
                </w14:textFill>
              </w:rPr>
              <w:t>。</w:t>
            </w:r>
          </w:p>
          <w:p>
            <w:pPr>
              <w:adjustRightInd w:val="0"/>
              <w:snapToGrid w:val="0"/>
              <w:rPr>
                <w:rFonts w:ascii="宋体" w:hAnsi="宋体"/>
                <w:b/>
                <w:color w:val="000000" w:themeColor="text1"/>
                <w:sz w:val="21"/>
                <w:szCs w:val="21"/>
                <w:lang w:val="da-DK"/>
                <w14:textFill>
                  <w14:solidFill>
                    <w14:schemeClr w14:val="tx1"/>
                  </w14:solidFill>
                </w14:textFill>
              </w:rPr>
            </w:pPr>
            <w:r>
              <w:rPr>
                <w:rFonts w:ascii="宋体" w:hAnsi="宋体"/>
                <w:b/>
                <w:color w:val="000000" w:themeColor="text1"/>
                <w:sz w:val="21"/>
                <w:szCs w:val="21"/>
                <w:lang w:val="da-DK"/>
                <w14:textFill>
                  <w14:solidFill>
                    <w14:schemeClr w14:val="tx1"/>
                  </w14:solidFill>
                </w14:textFill>
              </w:rPr>
              <w:t>5</w:t>
            </w:r>
            <w:r>
              <w:rPr>
                <w:rFonts w:hint="eastAsia" w:ascii="宋体" w:hAnsi="宋体"/>
                <w:b/>
                <w:color w:val="000000" w:themeColor="text1"/>
                <w:sz w:val="21"/>
                <w:szCs w:val="21"/>
                <w14:textFill>
                  <w14:solidFill>
                    <w14:schemeClr w14:val="tx1"/>
                  </w14:solidFill>
                </w14:textFill>
              </w:rPr>
              <w:t>、基本配置</w:t>
            </w:r>
            <w:r>
              <w:rPr>
                <w:rFonts w:hint="eastAsia" w:ascii="宋体" w:hAnsi="宋体"/>
                <w:b/>
                <w:color w:val="000000" w:themeColor="text1"/>
                <w:sz w:val="21"/>
                <w:szCs w:val="21"/>
                <w:lang w:val="da-DK"/>
                <w14:textFill>
                  <w14:solidFill>
                    <w14:schemeClr w14:val="tx1"/>
                  </w14:solidFill>
                </w14:textFill>
              </w:rPr>
              <w:t>：</w:t>
            </w:r>
          </w:p>
          <w:p>
            <w:pPr>
              <w:adjustRightInd w:val="0"/>
              <w:snapToGrid w:val="0"/>
              <w:rPr>
                <w:rFonts w:ascii="宋体" w:hAnsi="宋体"/>
                <w:color w:val="000000" w:themeColor="text1"/>
                <w:sz w:val="21"/>
                <w:szCs w:val="21"/>
                <w:lang w:val="da-DK"/>
                <w14:textFill>
                  <w14:solidFill>
                    <w14:schemeClr w14:val="tx1"/>
                  </w14:solidFill>
                </w14:textFill>
              </w:rPr>
            </w:pPr>
            <w:r>
              <w:rPr>
                <w:rFonts w:ascii="宋体" w:hAnsi="宋体"/>
                <w:color w:val="000000" w:themeColor="text1"/>
                <w:sz w:val="21"/>
                <w:szCs w:val="21"/>
                <w:lang w:val="da-DK"/>
                <w14:textFill>
                  <w14:solidFill>
                    <w14:schemeClr w14:val="tx1"/>
                  </w14:solidFill>
                </w14:textFill>
              </w:rPr>
              <w:t xml:space="preserve">5.1 </w:t>
            </w:r>
            <w:r>
              <w:rPr>
                <w:rFonts w:hint="eastAsia" w:ascii="宋体" w:hAnsi="宋体"/>
                <w:color w:val="000000" w:themeColor="text1"/>
                <w:sz w:val="21"/>
                <w:szCs w:val="21"/>
                <w14:textFill>
                  <w14:solidFill>
                    <w14:schemeClr w14:val="tx1"/>
                  </w14:solidFill>
                </w14:textFill>
              </w:rPr>
              <w:t>质谱部分</w:t>
            </w:r>
          </w:p>
          <w:p>
            <w:pPr>
              <w:adjustRightInd w:val="0"/>
              <w:snapToGrid w:val="0"/>
              <w:rPr>
                <w:rFonts w:ascii="宋体" w:hAnsi="宋体"/>
                <w:color w:val="000000" w:themeColor="text1"/>
                <w:sz w:val="21"/>
                <w:szCs w:val="21"/>
                <w:lang w:val="da-DK"/>
                <w14:textFill>
                  <w14:solidFill>
                    <w14:schemeClr w14:val="tx1"/>
                  </w14:solidFill>
                </w14:textFill>
              </w:rPr>
            </w:pPr>
            <w:r>
              <w:rPr>
                <w:rFonts w:ascii="宋体" w:hAnsi="宋体"/>
                <w:color w:val="000000" w:themeColor="text1"/>
                <w:sz w:val="21"/>
                <w:szCs w:val="21"/>
                <w:lang w:val="da-DK"/>
                <w14:textFill>
                  <w14:solidFill>
                    <w14:schemeClr w14:val="tx1"/>
                  </w14:solidFill>
                </w14:textFill>
              </w:rPr>
              <w:t xml:space="preserve">5.1.1 </w:t>
            </w:r>
            <w:r>
              <w:rPr>
                <w:rFonts w:hint="eastAsia" w:ascii="宋体" w:hAnsi="宋体"/>
                <w:color w:val="000000" w:themeColor="text1"/>
                <w:sz w:val="21"/>
                <w:szCs w:val="21"/>
                <w14:textFill>
                  <w14:solidFill>
                    <w14:schemeClr w14:val="tx1"/>
                  </w14:solidFill>
                </w14:textFill>
              </w:rPr>
              <w:t>串接四极杆液质主机</w:t>
            </w:r>
            <w:r>
              <w:rPr>
                <w:rFonts w:ascii="宋体" w:hAnsi="宋体"/>
                <w:color w:val="000000" w:themeColor="text1"/>
                <w:sz w:val="21"/>
                <w:szCs w:val="21"/>
                <w:lang w:val="da-DK"/>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台</w:t>
            </w:r>
            <w:r>
              <w:rPr>
                <w:rFonts w:hint="eastAsia" w:ascii="宋体" w:hAnsi="宋体"/>
                <w:color w:val="000000" w:themeColor="text1"/>
                <w:sz w:val="21"/>
                <w:szCs w:val="21"/>
                <w:lang w:val="da-DK"/>
                <w14:textFill>
                  <w14:solidFill>
                    <w14:schemeClr w14:val="tx1"/>
                  </w14:solidFill>
                </w14:textFill>
              </w:rPr>
              <w:t>；</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5.1.2 </w:t>
            </w:r>
            <w:r>
              <w:rPr>
                <w:rFonts w:hint="eastAsia" w:ascii="宋体" w:hAnsi="宋体"/>
                <w:color w:val="000000" w:themeColor="text1"/>
                <w:sz w:val="21"/>
                <w:szCs w:val="21"/>
                <w14:textFill>
                  <w14:solidFill>
                    <w14:schemeClr w14:val="tx1"/>
                  </w14:solidFill>
                </w14:textFill>
              </w:rPr>
              <w:t>真空机械泵</w:t>
            </w:r>
            <w:r>
              <w:rPr>
                <w:rFonts w:ascii="宋体" w:hAnsi="宋体"/>
                <w:color w:val="000000" w:themeColor="text1"/>
                <w:sz w:val="21"/>
                <w:szCs w:val="21"/>
                <w14:textFill>
                  <w14:solidFill>
                    <w14:schemeClr w14:val="tx1"/>
                  </w14:solidFill>
                </w14:textFill>
              </w:rPr>
              <w:t xml:space="preserve"> 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5.1.3 </w:t>
            </w:r>
            <w:r>
              <w:rPr>
                <w:rFonts w:hint="eastAsia" w:ascii="宋体" w:hAnsi="宋体"/>
                <w:color w:val="000000" w:themeColor="text1"/>
                <w:sz w:val="21"/>
                <w:szCs w:val="21"/>
                <w14:textFill>
                  <w14:solidFill>
                    <w14:schemeClr w14:val="tx1"/>
                  </w14:solidFill>
                </w14:textFill>
              </w:rPr>
              <w:t>液质接口离子源ESI源</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5.1.4 </w:t>
            </w:r>
            <w:r>
              <w:rPr>
                <w:rFonts w:hint="eastAsia" w:ascii="宋体" w:hAnsi="宋体"/>
                <w:color w:val="000000" w:themeColor="text1"/>
                <w:sz w:val="21"/>
                <w:szCs w:val="21"/>
                <w14:textFill>
                  <w14:solidFill>
                    <w14:schemeClr w14:val="tx1"/>
                  </w14:solidFill>
                </w14:textFill>
              </w:rPr>
              <w:t>耐高压流路切换阀</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5.1.5 </w:t>
            </w:r>
            <w:r>
              <w:rPr>
                <w:rFonts w:hint="eastAsia" w:ascii="宋体" w:hAnsi="宋体"/>
                <w:color w:val="000000" w:themeColor="text1"/>
                <w:sz w:val="21"/>
                <w:szCs w:val="21"/>
                <w14:textFill>
                  <w14:solidFill>
                    <w14:schemeClr w14:val="tx1"/>
                  </w14:solidFill>
                </w14:textFill>
              </w:rPr>
              <w:t>系统操作控制软件（含主机）</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5.1.6 </w:t>
            </w:r>
            <w:r>
              <w:rPr>
                <w:rFonts w:hint="eastAsia" w:ascii="宋体" w:hAnsi="宋体"/>
                <w:color w:val="000000" w:themeColor="text1"/>
                <w:sz w:val="21"/>
                <w:szCs w:val="21"/>
                <w14:textFill>
                  <w14:solidFill>
                    <w14:schemeClr w14:val="tx1"/>
                  </w14:solidFill>
                </w14:textFill>
              </w:rPr>
              <w:t>液质配套用氮气发生器</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台；</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5.2 </w:t>
            </w:r>
            <w:r>
              <w:rPr>
                <w:rFonts w:hint="eastAsia" w:ascii="宋体" w:hAnsi="宋体"/>
                <w:color w:val="000000" w:themeColor="text1"/>
                <w:sz w:val="21"/>
                <w:szCs w:val="21"/>
                <w14:textFill>
                  <w14:solidFill>
                    <w14:schemeClr w14:val="tx1"/>
                  </w14:solidFill>
                </w14:textFill>
              </w:rPr>
              <w:t>超高效液相部分</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5.2.1 </w:t>
            </w:r>
            <w:r>
              <w:rPr>
                <w:rFonts w:hint="eastAsia" w:ascii="宋体" w:hAnsi="宋体"/>
                <w:color w:val="000000" w:themeColor="text1"/>
                <w:sz w:val="21"/>
                <w:szCs w:val="21"/>
                <w14:textFill>
                  <w14:solidFill>
                    <w14:schemeClr w14:val="tx1"/>
                  </w14:solidFill>
                </w14:textFill>
              </w:rPr>
              <w:t>二元梯度泵</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5.2.2 </w:t>
            </w:r>
            <w:r>
              <w:rPr>
                <w:rFonts w:hint="eastAsia" w:ascii="宋体" w:hAnsi="宋体"/>
                <w:color w:val="000000" w:themeColor="text1"/>
                <w:sz w:val="21"/>
                <w:szCs w:val="21"/>
                <w14:textFill>
                  <w14:solidFill>
                    <w14:schemeClr w14:val="tx1"/>
                  </w14:solidFill>
                </w14:textFill>
              </w:rPr>
              <w:t>自动进样器</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5.2.3 </w:t>
            </w:r>
            <w:r>
              <w:rPr>
                <w:rFonts w:hint="eastAsia" w:ascii="宋体" w:hAnsi="宋体"/>
                <w:color w:val="000000" w:themeColor="text1"/>
                <w:sz w:val="21"/>
                <w:szCs w:val="21"/>
                <w14:textFill>
                  <w14:solidFill>
                    <w14:schemeClr w14:val="tx1"/>
                  </w14:solidFill>
                </w14:textFill>
              </w:rPr>
              <w:t>柱温箱</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5.2.4 </w:t>
            </w:r>
            <w:r>
              <w:rPr>
                <w:rFonts w:hint="eastAsia" w:ascii="宋体" w:hAnsi="宋体"/>
                <w:color w:val="000000" w:themeColor="text1"/>
                <w:sz w:val="21"/>
                <w:szCs w:val="21"/>
                <w14:textFill>
                  <w14:solidFill>
                    <w14:schemeClr w14:val="tx1"/>
                  </w14:solidFill>
                </w14:textFill>
              </w:rPr>
              <w:t>柱塞杆清洗装置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5.3 </w:t>
            </w:r>
            <w:r>
              <w:rPr>
                <w:rFonts w:hint="eastAsia" w:ascii="宋体" w:hAnsi="宋体"/>
                <w:color w:val="000000" w:themeColor="text1"/>
                <w:sz w:val="21"/>
                <w:szCs w:val="21"/>
                <w14:textFill>
                  <w14:solidFill>
                    <w14:schemeClr w14:val="tx1"/>
                  </w14:solidFill>
                </w14:textFill>
              </w:rPr>
              <w:t>随机消耗品</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5.3.1 </w:t>
            </w:r>
            <w:r>
              <w:rPr>
                <w:rFonts w:hint="eastAsia" w:ascii="宋体" w:hAnsi="宋体"/>
                <w:color w:val="000000" w:themeColor="text1"/>
                <w:sz w:val="21"/>
                <w:szCs w:val="21"/>
                <w14:textFill>
                  <w14:solidFill>
                    <w14:schemeClr w14:val="tx1"/>
                  </w14:solidFill>
                </w14:textFill>
              </w:rPr>
              <w:t>色谱柱1套（包含C18 1套，C81套）；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5.3.2 </w:t>
            </w:r>
            <w:r>
              <w:rPr>
                <w:rFonts w:hint="eastAsia" w:ascii="宋体" w:hAnsi="宋体"/>
                <w:color w:val="000000" w:themeColor="text1"/>
                <w:sz w:val="21"/>
                <w:szCs w:val="21"/>
                <w14:textFill>
                  <w14:solidFill>
                    <w14:schemeClr w14:val="tx1"/>
                  </w14:solidFill>
                </w14:textFill>
              </w:rPr>
              <w:t>在线过滤器及滤芯</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5.3.3 PEEK</w:t>
            </w:r>
            <w:r>
              <w:rPr>
                <w:rFonts w:hint="eastAsia" w:ascii="宋体" w:hAnsi="宋体"/>
                <w:color w:val="000000" w:themeColor="text1"/>
                <w:sz w:val="21"/>
                <w:szCs w:val="21"/>
                <w14:textFill>
                  <w14:solidFill>
                    <w14:schemeClr w14:val="tx1"/>
                  </w14:solidFill>
                </w14:textFill>
              </w:rPr>
              <w:t>接头</w:t>
            </w:r>
            <w:r>
              <w:rPr>
                <w:rFonts w:ascii="宋体" w:hAnsi="宋体"/>
                <w:color w:val="000000" w:themeColor="text1"/>
                <w:sz w:val="21"/>
                <w:szCs w:val="21"/>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个；</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5.3.4 </w:t>
            </w:r>
            <w:r>
              <w:rPr>
                <w:rFonts w:hint="eastAsia" w:ascii="宋体" w:hAnsi="宋体"/>
                <w:color w:val="000000" w:themeColor="text1"/>
                <w:sz w:val="21"/>
                <w:szCs w:val="21"/>
                <w14:textFill>
                  <w14:solidFill>
                    <w14:schemeClr w14:val="tx1"/>
                  </w14:solidFill>
                </w14:textFill>
              </w:rPr>
              <w:t>样品瓶套件</w:t>
            </w:r>
            <w:r>
              <w:rPr>
                <w:rFonts w:ascii="宋体" w:hAnsi="宋体"/>
                <w:color w:val="000000" w:themeColor="text1"/>
                <w:sz w:val="21"/>
                <w:szCs w:val="21"/>
                <w14:textFill>
                  <w14:solidFill>
                    <w14:schemeClr w14:val="tx1"/>
                  </w14:solidFill>
                </w14:textFill>
              </w:rPr>
              <w:t>300</w:t>
            </w:r>
            <w:r>
              <w:rPr>
                <w:rFonts w:hint="eastAsia" w:ascii="宋体" w:hAnsi="宋体"/>
                <w:color w:val="000000" w:themeColor="text1"/>
                <w:sz w:val="21"/>
                <w:szCs w:val="21"/>
                <w14:textFill>
                  <w14:solidFill>
                    <w14:schemeClr w14:val="tx1"/>
                  </w14:solidFill>
                </w14:textFill>
              </w:rPr>
              <w:t>个</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含瓶盖及垫片</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，额外的瓶盖及垫片</w:t>
            </w:r>
            <w:r>
              <w:rPr>
                <w:rFonts w:ascii="宋体" w:hAnsi="宋体"/>
                <w:color w:val="000000" w:themeColor="text1"/>
                <w:sz w:val="21"/>
                <w:szCs w:val="21"/>
                <w14:textFill>
                  <w14:solidFill>
                    <w14:schemeClr w14:val="tx1"/>
                  </w14:solidFill>
                </w14:textFill>
              </w:rPr>
              <w:t>300</w:t>
            </w:r>
            <w:r>
              <w:rPr>
                <w:rFonts w:hint="eastAsia" w:ascii="宋体" w:hAnsi="宋体"/>
                <w:color w:val="000000" w:themeColor="text1"/>
                <w:sz w:val="21"/>
                <w:szCs w:val="21"/>
                <w14:textFill>
                  <w14:solidFill>
                    <w14:schemeClr w14:val="tx1"/>
                  </w14:solidFill>
                </w14:textFill>
              </w:rPr>
              <w:t>个；</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5.3.5 </w:t>
            </w:r>
            <w:r>
              <w:rPr>
                <w:rFonts w:hint="eastAsia" w:ascii="宋体" w:hAnsi="宋体"/>
                <w:color w:val="000000" w:themeColor="text1"/>
                <w:sz w:val="21"/>
                <w:szCs w:val="21"/>
                <w14:textFill>
                  <w14:solidFill>
                    <w14:schemeClr w14:val="tx1"/>
                  </w14:solidFill>
                </w14:textFill>
              </w:rPr>
              <w:t>三路在线脱气机1套；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5.3.6 </w:t>
            </w:r>
            <w:r>
              <w:rPr>
                <w:rFonts w:hint="eastAsia" w:ascii="宋体" w:hAnsi="宋体"/>
                <w:color w:val="000000" w:themeColor="text1"/>
                <w:sz w:val="21"/>
                <w:szCs w:val="21"/>
                <w14:textFill>
                  <w14:solidFill>
                    <w14:schemeClr w14:val="tx1"/>
                  </w14:solidFill>
                </w14:textFill>
              </w:rPr>
              <w:t>流动相溶剂瓶</w:t>
            </w:r>
            <w:r>
              <w:rPr>
                <w:rFonts w:ascii="宋体" w:hAnsi="宋体"/>
                <w:color w:val="000000" w:themeColor="text1"/>
                <w:sz w:val="21"/>
                <w:szCs w:val="21"/>
                <w14:textFill>
                  <w14:solidFill>
                    <w14:schemeClr w14:val="tx1"/>
                  </w14:solidFill>
                </w14:textFill>
              </w:rPr>
              <w:t>(1L)6</w:t>
            </w:r>
            <w:r>
              <w:rPr>
                <w:rFonts w:hint="eastAsia" w:ascii="宋体" w:hAnsi="宋体"/>
                <w:color w:val="000000" w:themeColor="text1"/>
                <w:sz w:val="21"/>
                <w:szCs w:val="21"/>
                <w14:textFill>
                  <w14:solidFill>
                    <w14:schemeClr w14:val="tx1"/>
                  </w14:solidFill>
                </w14:textFill>
              </w:rPr>
              <w:t>个；</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5.3.7 </w:t>
            </w:r>
            <w:r>
              <w:rPr>
                <w:rFonts w:hint="eastAsia" w:ascii="宋体" w:hAnsi="宋体"/>
                <w:color w:val="000000" w:themeColor="text1"/>
                <w:sz w:val="21"/>
                <w:szCs w:val="21"/>
                <w14:textFill>
                  <w14:solidFill>
                    <w14:schemeClr w14:val="tx1"/>
                  </w14:solidFill>
                </w14:textFill>
              </w:rPr>
              <w:t>两年消耗品包 1套；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、可选件：无。</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rPr>
                <w:sz w:val="21"/>
                <w:szCs w:val="21"/>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1"/>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气相色谱</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串联质谱仪</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、货物名称：气相色谱-串联质谱仪</w:t>
            </w:r>
          </w:p>
          <w:p>
            <w:pPr>
              <w:adjustRightInd w:val="0"/>
              <w:snapToGrid w:val="0"/>
              <w:rPr>
                <w:rFonts w:ascii="宋体" w:hAnsi="宋体" w:cs="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、主要用途：主要用于对水稻</w:t>
            </w:r>
            <w:r>
              <w:rPr>
                <w:rFonts w:hint="eastAsia" w:ascii="宋体" w:hAnsi="宋体" w:cs="宋体"/>
                <w:color w:val="000000" w:themeColor="text1"/>
                <w:kern w:val="0"/>
                <w:sz w:val="21"/>
                <w:szCs w:val="21"/>
                <w14:textFill>
                  <w14:solidFill>
                    <w14:schemeClr w14:val="tx1"/>
                  </w14:solidFill>
                </w14:textFill>
              </w:rPr>
              <w:t>香味以及味道进行气相色谱仪部分</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3</w:t>
            </w:r>
            <w:r>
              <w:rPr>
                <w:rFonts w:hint="eastAsia" w:ascii="宋体" w:hAnsi="宋体"/>
                <w:color w:val="000000" w:themeColor="text1"/>
                <w:kern w:val="0"/>
                <w:sz w:val="21"/>
                <w:szCs w:val="21"/>
                <w14:textFill>
                  <w14:solidFill>
                    <w14:schemeClr w14:val="tx1"/>
                  </w14:solidFill>
                </w14:textFill>
              </w:rPr>
              <w:t>、工作条件：见《通用技术要求》</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3.1</w:t>
            </w:r>
            <w:r>
              <w:rPr>
                <w:rFonts w:hint="eastAsia" w:ascii="宋体" w:hAnsi="宋体"/>
                <w:color w:val="000000" w:themeColor="text1"/>
                <w:kern w:val="0"/>
                <w:sz w:val="21"/>
                <w:szCs w:val="21"/>
                <w14:textFill>
                  <w14:solidFill>
                    <w14:schemeClr w14:val="tx1"/>
                  </w14:solidFill>
                </w14:textFill>
              </w:rPr>
              <w:t>使用环境条件：环境温度</w:t>
            </w:r>
            <w:r>
              <w:rPr>
                <w:rFonts w:ascii="宋体" w:hAnsi="宋体" w:cs="Calibri"/>
                <w:color w:val="000000" w:themeColor="text1"/>
                <w:kern w:val="0"/>
                <w:sz w:val="21"/>
                <w:szCs w:val="21"/>
                <w14:textFill>
                  <w14:solidFill>
                    <w14:schemeClr w14:val="tx1"/>
                  </w14:solidFill>
                </w14:textFill>
              </w:rPr>
              <w:t>15</w:t>
            </w:r>
            <w:r>
              <w:rPr>
                <w:rFonts w:hint="eastAsia" w:ascii="宋体" w:hAnsi="宋体" w:cs="宋体"/>
                <w:color w:val="000000" w:themeColor="text1"/>
                <w:kern w:val="0"/>
                <w:sz w:val="21"/>
                <w:szCs w:val="21"/>
                <w14:textFill>
                  <w14:solidFill>
                    <w14:schemeClr w14:val="tx1"/>
                  </w14:solidFill>
                </w14:textFill>
              </w:rPr>
              <w:t>℃</w:t>
            </w:r>
            <w:r>
              <w:rPr>
                <w:rFonts w:ascii="宋体" w:hAnsi="宋体" w:cs="Calibri"/>
                <w:color w:val="000000" w:themeColor="text1"/>
                <w:kern w:val="0"/>
                <w:sz w:val="21"/>
                <w:szCs w:val="21"/>
                <w14:textFill>
                  <w14:solidFill>
                    <w14:schemeClr w14:val="tx1"/>
                  </w14:solidFill>
                </w14:textFill>
              </w:rPr>
              <w:t>—40</w:t>
            </w: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olor w:val="000000" w:themeColor="text1"/>
                <w:kern w:val="0"/>
                <w:sz w:val="21"/>
                <w:szCs w:val="21"/>
                <w14:textFill>
                  <w14:solidFill>
                    <w14:schemeClr w14:val="tx1"/>
                  </w14:solidFill>
                </w14:textFill>
              </w:rPr>
              <w:t>。</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4</w:t>
            </w:r>
            <w:r>
              <w:rPr>
                <w:rFonts w:hint="eastAsia" w:ascii="宋体" w:hAnsi="宋体"/>
                <w:color w:val="000000" w:themeColor="text1"/>
                <w:kern w:val="0"/>
                <w:sz w:val="21"/>
                <w:szCs w:val="21"/>
                <w14:textFill>
                  <w14:solidFill>
                    <w14:schemeClr w14:val="tx1"/>
                  </w14:solidFill>
                </w14:textFill>
              </w:rPr>
              <w:t>、技术指标：</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气相色谱仪部分：</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.1.柱箱：</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1.1.操作温度范围：室温以上2℃～450℃；</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.1.2.标配柱箱升温速率： 最大±250℃/min，支持程序降温（无需升级）；</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.1.3.程序升温的阶数：32阶33平台；</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.1.4.温度设定精度：0.1℃；</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.1.5.控温准确性：0.01℃；</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.1.6.温度稳定性：周围温度每变化1℃，柱温箱温度变化小于0.01℃；</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.1.7.冷却速度：从 450 降到 50℃ ≤3.4min（204s）；</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.1.8.最大运行时间：9999.99分钟；</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.1.9.气相色谱主机采用不小于7英寸的彩色触摸屏进行操控；</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.1.10.柱温箱可升级配置氢气传感器，其具有氢气漏气报警功能，可实时监控泄漏，确保安全使用；</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.1.11.具有一键设置柱温箱降温速率功能，可依据不同色谱柱自由设置降温速率，有效延长色谱柱使用寿命。柱温箱内置耐高温智能灯，柱箱门开启时自动点亮，照亮柱箱内空间方便安装和更换色谱柱；</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.1.12.色谱与质谱须相同品牌。</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.2.流路系统：</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.2.1.支持双柱双流路系统；</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.2.2.两个柱流量控制系统均采用先进的流量控制单元；</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.2.3.具有室温补偿和自动环境补偿功能；</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.3.分流/不分流毛细管进样口；</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.3.1.压力、流量和分流比可通过先进的流量控制系统进行数字化设定；</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.3.2.配备全自动电子流量控制系统，具备室温补偿和自动环境补偿功能；</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.3.3.支持恒流，恒压，程序增加流速，程序升压及压力脉冲等操作模式，同时具有恒线速度控制功能；</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.3.4.进样口标配智能锁功能，徒手无需任何工具1秒内即可完成进样口的打开或关闭，仪器自动感知最佳气密位置，大幅简化维护操作；</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.3.5.最高温度：450℃；</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.3.6.压力设定范围：0 ～ 1035kPa；</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.3.7.速率设定范围：-400 ～ 400kPa/min；</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.3.8.压力程序的阶数：7；</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.3.9.分流比设定范围：0 ～ 9999.9；</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.3.10.流量设定范围：0 ～ 1280mL/min；</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.3.11.隔垫吹扫流量设置范围：0 ～ 200ml/min；</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.3.12.仪器主机最多可同时安装3个SPL进样口。</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.4.自动进样器单元：</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.4.1.样品位：≥150位样品盘；</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.4.2.进样量范围：0.01~150 uL，10μL 注射器以0.1μL 步进；交叉污染：小于10-4 (使用4种溶剂清洗, 测定正己烷中1% 联苯)</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.4.3.具有样品优先模式：当进行样品批处理进样时, 可对某样品进行优先进样设定, 而后继续完成批处理设定；</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.4.4.可升级双塔双柱进样系统；</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.4.5.可升级样品架冷却和加热功能；</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.4.6.保留时间重复性：&lt;0.001min；</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.4.7.峰面积重复性：&lt;1% RSD。</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质谱部分</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.1.基本性能</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.1.1.须提供在售全新仪器，不得为停产型号或翻新机；</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.1.2.质谱与气相色谱须相同品牌；</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.1.3.涡轮分子泵抽力＞390L/s；</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.1.4.质量数范围: 2 ～ 1080 u；</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.1.5.灵敏度：</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.1.5.1.EI Scan : 1pg OFN, S/N ≥ 1400（氦气做载气）；</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.1.5.2.EI Scan : 1pg   OFN, S/N ≥ 300（氢气做载气）</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.1.5.3.100fg OFN, S/N ≥ 17000 ，须采用30米毛细柱进行验收；</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.1.5.4.IDL(MRM): 10fg OFN 连续8次进样，统计学上99%置信度水平，IDL≤4fg；</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.1.6.分辨率：0.5 ～ 3.0u，可调；</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.1.7.碰撞能：0～55eV，可调；</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.1.8.质量稳定性：±0.1u/48h；</w:t>
            </w:r>
          </w:p>
          <w:p>
            <w:pPr>
              <w:adjustRightInd w:val="0"/>
              <w:snapToGrid w:val="0"/>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w:t>
            </w: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.1.9.最大扫描速度：20,000 u/sec；</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.1.10.软件支持显示扫描速度数值；</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.1.11.最小驻留时间(Dwell Time)：0.5ms；</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.1.12.最小Event time：3ms；</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.1.13.最大Event数：2000 events；</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.1.14.最大MRM速度：850通道/sec；</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.1.15.最大离子监测通道数：15ch/1 event；</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.1.16.一次进样能够设置的通道数不少于30000个。</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.2.离子源：</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2.2.1.EI</w:t>
            </w:r>
            <w:r>
              <w:rPr>
                <w:rFonts w:hint="eastAsia" w:ascii="宋体" w:hAnsi="宋体"/>
                <w:color w:val="000000" w:themeColor="text1"/>
                <w:kern w:val="0"/>
                <w:sz w:val="21"/>
                <w:szCs w:val="21"/>
                <w14:textFill>
                  <w14:solidFill>
                    <w14:schemeClr w14:val="tx1"/>
                  </w14:solidFill>
                </w14:textFill>
              </w:rPr>
              <w:t>；</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.2.2.离子化能量：10 ～ 200eV；</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.2.3.离子源温度：独立控温，150 ～ 350℃；</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.2.4.灯丝电流：5 ～ 210μA（发射电流）；</w:t>
            </w:r>
          </w:p>
          <w:p>
            <w:pPr>
              <w:adjustRightInd w:val="0"/>
              <w:snapToGrid w:val="0"/>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w:t>
            </w: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.2.5.双灯丝设计，且双灯丝分别安装在离子源盒的两侧，位置完全对称，非双灯丝在同侧，从而当灯丝切换使用时，保证了数据的可靠性；</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.2.6.GCMS 接口温度：50 ～ 350℃；</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.2.7.离子源采用前开门式设计，非侧开门式。可从仪器正前面简单拆装，方便离子源清洗维护和灯丝更换；</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3.2.8.维护离子源和灯丝时无需暴露四极杆，杜绝因此造成的四极杆损伤风险。</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.3.质量分析器：</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.3.1配备预四极的高精度全金属钼四极杆。无须控温更优；</w:t>
            </w:r>
          </w:p>
          <w:p>
            <w:pPr>
              <w:adjustRightInd w:val="0"/>
              <w:snapToGrid w:val="0"/>
              <w:jc w:val="left"/>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.3.2.预四极可转动，主四极杆可清洗打磨，有效抗污染，预四极杆要求为非S型，避免出现死体积点和污染点；</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.3.3.四极杆以不控温为优，无需控温即可实现0.1amu/48h稳定；</w:t>
            </w:r>
          </w:p>
          <w:p>
            <w:pPr>
              <w:adjustRightInd w:val="0"/>
              <w:snapToGrid w:val="0"/>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w:t>
            </w: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.3.4.四极杆具有自动优化加速功能：对于高质量端离子的自动电场补偿技术，提升离子通过四极杆的速度，以提升全质量范围的信号质量，在高速扫描时保证数据灵敏度和质谱图正确性；</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.3.5.采用八极杆超快速碰撞室，实现快速MRM性能，能有效消除记忆效应和交叉污染。先进的马蹄型加速电势场（带弯曲）加碰撞气压控制，同时进行线性高压加速，有效消除记忆效应和交叉污染；</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.3.6.碰撞池采用氩气作为碰撞气,无需使用昂贵的氦气；</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.3.7.离轴设计，降低中性分子引起的背景噪声。</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.4.扫描功能：</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.4.1.扫描功能:</w:t>
            </w:r>
          </w:p>
          <w:p>
            <w:pPr>
              <w:adjustRightInd w:val="0"/>
              <w:snapToGrid w:val="0"/>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全扫描、子离子扫描、母离子扫描、中性丢失扫描、选择离子扫描模式、多反应扫描模式，以任意多种采集模式为组合进行同时扫描，例如Scan/MRM同时扫描、Scan/Product Ion Scan同时扫描等等；</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.4.2.支持多种监测模式的同时扫描,例如Scan/MRM同时扫描、Scan/Product Ion Scan同时扫描等等，获得高灵敏度定量数据的同时不丢失化合物的质谱信息（最大程度的减小高速扫描时数据灵敏度下降和质谱图正确性下降的问题）</w:t>
            </w:r>
            <w:r>
              <w:rPr>
                <w:rFonts w:hint="eastAsia" w:ascii="宋体" w:hAnsi="宋体" w:cs="宋体"/>
                <w:color w:val="000000" w:themeColor="text1"/>
                <w:sz w:val="21"/>
                <w:szCs w:val="21"/>
                <w14:textFill>
                  <w14:solidFill>
                    <w14:schemeClr w14:val="tx1"/>
                  </w14:solidFill>
                </w14:textFill>
              </w:rPr>
              <w:t>。</w:t>
            </w:r>
          </w:p>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5.</w:t>
            </w:r>
            <w:r>
              <w:rPr>
                <w:rFonts w:hint="eastAsia" w:ascii="宋体" w:hAnsi="宋体"/>
                <w:color w:val="000000" w:themeColor="text1"/>
                <w:kern w:val="0"/>
                <w:sz w:val="21"/>
                <w:szCs w:val="21"/>
                <w14:textFill>
                  <w14:solidFill>
                    <w14:schemeClr w14:val="tx1"/>
                  </w14:solidFill>
                </w14:textFill>
              </w:rPr>
              <w:t>基本配置：</w:t>
            </w:r>
          </w:p>
          <w:p>
            <w:pPr>
              <w:adjustRightInd w:val="0"/>
              <w:snapToGrid w:val="0"/>
              <w:jc w:val="left"/>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5.1</w:t>
            </w:r>
            <w:r>
              <w:rPr>
                <w:rFonts w:hint="eastAsia" w:ascii="宋体" w:hAnsi="宋体"/>
                <w:color w:val="000000" w:themeColor="text1"/>
                <w:kern w:val="0"/>
                <w:sz w:val="21"/>
                <w:szCs w:val="21"/>
                <w14:textFill>
                  <w14:solidFill>
                    <w14:schemeClr w14:val="tx1"/>
                  </w14:solidFill>
                </w14:textFill>
              </w:rPr>
              <w:t xml:space="preserve">气相色谱-串联质谱仪      </w:t>
            </w:r>
            <w:r>
              <w:rPr>
                <w:rFonts w:ascii="宋体" w:hAnsi="宋体" w:cs="Calibri"/>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台；</w:t>
            </w:r>
          </w:p>
          <w:p>
            <w:pPr>
              <w:adjustRightInd w:val="0"/>
              <w:snapToGrid w:val="0"/>
              <w:jc w:val="left"/>
              <w:rPr>
                <w:rFonts w:ascii="宋体" w:hAnsi="宋体" w:cs="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5</w:t>
            </w: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配套工作站1</w:t>
            </w:r>
            <w:r>
              <w:rPr>
                <w:rFonts w:hint="eastAsia" w:ascii="宋体" w:hAnsi="宋体" w:cs="宋体"/>
                <w:color w:val="000000" w:themeColor="text1"/>
                <w:kern w:val="0"/>
                <w:sz w:val="21"/>
                <w:szCs w:val="21"/>
                <w14:textFill>
                  <w14:solidFill>
                    <w14:schemeClr w14:val="tx1"/>
                  </w14:solidFill>
                </w14:textFill>
              </w:rPr>
              <w:t>套（配套工作站</w:t>
            </w:r>
            <w:r>
              <w:rPr>
                <w:rFonts w:hint="eastAsia" w:ascii="宋体" w:hAnsi="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配置不低于：</w:t>
            </w:r>
            <w:r>
              <w:rPr>
                <w:rFonts w:hint="eastAsia" w:ascii="宋体" w:hAnsi="宋体"/>
                <w:color w:val="000000" w:themeColor="text1"/>
                <w:kern w:val="0"/>
                <w:sz w:val="21"/>
                <w:szCs w:val="21"/>
                <w14:textFill>
                  <w14:solidFill>
                    <w14:schemeClr w14:val="tx1"/>
                  </w14:solidFill>
                </w14:textFill>
              </w:rPr>
              <w:t>intel</w:t>
            </w:r>
            <w:r>
              <w:rPr>
                <w:rFonts w:hint="eastAsia" w:ascii="宋体" w:hAnsi="宋体" w:cs="宋体"/>
                <w:color w:val="000000" w:themeColor="text1"/>
                <w:kern w:val="0"/>
                <w:sz w:val="21"/>
                <w:szCs w:val="21"/>
                <w14:textFill>
                  <w14:solidFill>
                    <w14:schemeClr w14:val="tx1"/>
                  </w14:solidFill>
                </w14:textFill>
              </w:rPr>
              <w:t>酷睿</w:t>
            </w:r>
            <w:r>
              <w:rPr>
                <w:rFonts w:hint="eastAsia" w:ascii="宋体" w:hAnsi="宋体"/>
                <w:color w:val="000000" w:themeColor="text1"/>
                <w:kern w:val="0"/>
                <w:sz w:val="21"/>
                <w:szCs w:val="21"/>
                <w14:textFill>
                  <w14:solidFill>
                    <w14:schemeClr w14:val="tx1"/>
                  </w14:solidFill>
                </w14:textFill>
              </w:rPr>
              <w:t>i5</w:t>
            </w:r>
            <w:r>
              <w:rPr>
                <w:rFonts w:hint="eastAsia" w:ascii="宋体" w:hAnsi="宋体" w:cs="宋体"/>
                <w:color w:val="000000" w:themeColor="text1"/>
                <w:kern w:val="0"/>
                <w:sz w:val="21"/>
                <w:szCs w:val="21"/>
                <w14:textFill>
                  <w14:solidFill>
                    <w14:schemeClr w14:val="tx1"/>
                  </w14:solidFill>
                </w14:textFill>
              </w:rPr>
              <w:t>处理器</w:t>
            </w:r>
            <w:r>
              <w:rPr>
                <w:rFonts w:hint="eastAsia" w:ascii="宋体" w:hAnsi="宋体"/>
                <w:color w:val="000000" w:themeColor="text1"/>
                <w:kern w:val="0"/>
                <w:sz w:val="21"/>
                <w:szCs w:val="21"/>
                <w14:textFill>
                  <w14:solidFill>
                    <w14:schemeClr w14:val="tx1"/>
                  </w14:solidFill>
                </w14:textFill>
              </w:rPr>
              <w:t>/8GB DDR4</w:t>
            </w:r>
            <w:r>
              <w:rPr>
                <w:rFonts w:hint="eastAsia" w:ascii="宋体" w:hAnsi="宋体" w:cs="宋体"/>
                <w:color w:val="000000" w:themeColor="text1"/>
                <w:kern w:val="0"/>
                <w:sz w:val="21"/>
                <w:szCs w:val="21"/>
                <w14:textFill>
                  <w14:solidFill>
                    <w14:schemeClr w14:val="tx1"/>
                  </w14:solidFill>
                </w14:textFill>
              </w:rPr>
              <w:t>内存</w:t>
            </w:r>
            <w:r>
              <w:rPr>
                <w:rFonts w:hint="eastAsia" w:ascii="宋体" w:hAnsi="宋体"/>
                <w:color w:val="000000" w:themeColor="text1"/>
                <w:kern w:val="0"/>
                <w:sz w:val="21"/>
                <w:szCs w:val="21"/>
                <w14:textFill>
                  <w14:solidFill>
                    <w14:schemeClr w14:val="tx1"/>
                  </w14:solidFill>
                </w14:textFill>
              </w:rPr>
              <w:t>/1TB</w:t>
            </w:r>
            <w:r>
              <w:rPr>
                <w:rFonts w:hint="eastAsia" w:ascii="宋体" w:hAnsi="宋体" w:cs="宋体"/>
                <w:color w:val="000000" w:themeColor="text1"/>
                <w:kern w:val="0"/>
                <w:sz w:val="21"/>
                <w:szCs w:val="21"/>
                <w14:textFill>
                  <w14:solidFill>
                    <w14:schemeClr w14:val="tx1"/>
                  </w14:solidFill>
                </w14:textFill>
              </w:rPr>
              <w:t>硬盘</w:t>
            </w:r>
            <w:r>
              <w:rPr>
                <w:rFonts w:hint="eastAsia" w:ascii="宋体" w:hAnsi="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独立显卡（显存</w:t>
            </w:r>
            <w:r>
              <w:rPr>
                <w:rFonts w:hint="eastAsia" w:ascii="宋体" w:hAnsi="宋体"/>
                <w:color w:val="000000" w:themeColor="text1"/>
                <w:kern w:val="0"/>
                <w:sz w:val="21"/>
                <w:szCs w:val="21"/>
                <w14:textFill>
                  <w14:solidFill>
                    <w14:schemeClr w14:val="tx1"/>
                  </w14:solidFill>
                </w14:textFill>
              </w:rPr>
              <w:t>1GB</w:t>
            </w:r>
            <w:r>
              <w:rPr>
                <w:rFonts w:hint="eastAsia" w:ascii="宋体" w:hAnsi="宋体" w:cs="宋体"/>
                <w:color w:val="000000" w:themeColor="text1"/>
                <w:kern w:val="0"/>
                <w:sz w:val="21"/>
                <w:szCs w:val="21"/>
                <w14:textFill>
                  <w14:solidFill>
                    <w14:schemeClr w14:val="tx1"/>
                  </w14:solidFill>
                </w14:textFill>
              </w:rPr>
              <w:t>以上）</w:t>
            </w:r>
            <w:r>
              <w:rPr>
                <w:rFonts w:hint="eastAsia" w:ascii="宋体" w:hAnsi="宋体"/>
                <w:color w:val="000000" w:themeColor="text1"/>
                <w:kern w:val="0"/>
                <w:sz w:val="21"/>
                <w:szCs w:val="21"/>
                <w14:textFill>
                  <w14:solidFill>
                    <w14:schemeClr w14:val="tx1"/>
                  </w14:solidFill>
                </w14:textFill>
              </w:rPr>
              <w:t>/DVD</w:t>
            </w:r>
            <w:r>
              <w:rPr>
                <w:rFonts w:hint="eastAsia" w:ascii="宋体" w:hAnsi="宋体" w:cs="宋体"/>
                <w:color w:val="000000" w:themeColor="text1"/>
                <w:kern w:val="0"/>
                <w:sz w:val="21"/>
                <w:szCs w:val="21"/>
                <w14:textFill>
                  <w14:solidFill>
                    <w14:schemeClr w14:val="tx1"/>
                  </w14:solidFill>
                </w14:textFill>
              </w:rPr>
              <w:t>刻录机</w:t>
            </w:r>
            <w:r>
              <w:rPr>
                <w:rFonts w:hint="eastAsia" w:ascii="宋体" w:hAnsi="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千兆网卡</w:t>
            </w:r>
            <w:r>
              <w:rPr>
                <w:rFonts w:hint="eastAsia" w:ascii="宋体" w:hAnsi="宋体"/>
                <w:color w:val="000000" w:themeColor="text1"/>
                <w:kern w:val="0"/>
                <w:sz w:val="21"/>
                <w:szCs w:val="21"/>
                <w14:textFill>
                  <w14:solidFill>
                    <w14:schemeClr w14:val="tx1"/>
                  </w14:solidFill>
                </w14:textFill>
              </w:rPr>
              <w:t>/USB3.0</w:t>
            </w:r>
            <w:r>
              <w:rPr>
                <w:rFonts w:hint="eastAsia" w:ascii="宋体" w:hAnsi="宋体" w:cs="宋体"/>
                <w:color w:val="000000" w:themeColor="text1"/>
                <w:kern w:val="0"/>
                <w:sz w:val="21"/>
                <w:szCs w:val="21"/>
                <w14:textFill>
                  <w14:solidFill>
                    <w14:schemeClr w14:val="tx1"/>
                  </w14:solidFill>
                </w14:textFill>
              </w:rPr>
              <w:t>接口</w:t>
            </w:r>
            <w:r>
              <w:rPr>
                <w:rFonts w:hint="eastAsia" w:ascii="宋体" w:hAnsi="宋体"/>
                <w:color w:val="000000" w:themeColor="text1"/>
                <w:kern w:val="0"/>
                <w:sz w:val="21"/>
                <w:szCs w:val="21"/>
                <w14:textFill>
                  <w14:solidFill>
                    <w14:schemeClr w14:val="tx1"/>
                  </w14:solidFill>
                </w14:textFill>
              </w:rPr>
              <w:t>/USB</w:t>
            </w:r>
            <w:r>
              <w:rPr>
                <w:rFonts w:hint="eastAsia" w:ascii="宋体" w:hAnsi="宋体" w:cs="宋体"/>
                <w:color w:val="000000" w:themeColor="text1"/>
                <w:kern w:val="0"/>
                <w:sz w:val="21"/>
                <w:szCs w:val="21"/>
                <w14:textFill>
                  <w14:solidFill>
                    <w14:schemeClr w14:val="tx1"/>
                  </w14:solidFill>
                </w14:textFill>
              </w:rPr>
              <w:t>键鼠</w:t>
            </w:r>
            <w:r>
              <w:rPr>
                <w:rFonts w:hint="eastAsia" w:ascii="宋体" w:hAnsi="宋体"/>
                <w:color w:val="000000" w:themeColor="text1"/>
                <w:kern w:val="0"/>
                <w:sz w:val="21"/>
                <w:szCs w:val="21"/>
                <w14:textFill>
                  <w14:solidFill>
                    <w14:schemeClr w14:val="tx1"/>
                  </w14:solidFill>
                </w14:textFill>
              </w:rPr>
              <w:t>/19</w:t>
            </w:r>
            <w:r>
              <w:rPr>
                <w:rFonts w:hint="eastAsia" w:ascii="宋体" w:hAnsi="宋体" w:cs="宋体"/>
                <w:color w:val="000000" w:themeColor="text1"/>
                <w:kern w:val="0"/>
                <w:sz w:val="21"/>
                <w:szCs w:val="21"/>
                <w14:textFill>
                  <w14:solidFill>
                    <w14:schemeClr w14:val="tx1"/>
                  </w14:solidFill>
                </w14:textFill>
              </w:rPr>
              <w:t>英寸以上高清显示器）1套；</w:t>
            </w:r>
          </w:p>
          <w:p>
            <w:pPr>
              <w:pStyle w:val="2"/>
              <w:rPr>
                <w:rFonts w:ascii="宋体" w:hAnsi="宋体"/>
                <w:color w:val="000000"/>
                <w:kern w:val="0"/>
                <w:sz w:val="21"/>
                <w:szCs w:val="21"/>
              </w:rPr>
            </w:pPr>
            <w:r>
              <w:rPr>
                <w:rFonts w:hint="eastAsia" w:ascii="宋体" w:hAnsi="宋体"/>
                <w:color w:val="000000"/>
                <w:kern w:val="0"/>
                <w:sz w:val="21"/>
                <w:szCs w:val="21"/>
              </w:rPr>
              <w:t>5.3 NIST质谱谱库，2020版（包含AMDIS自动解卷积程序）1套；</w:t>
            </w:r>
          </w:p>
          <w:p>
            <w:pPr>
              <w:pStyle w:val="2"/>
              <w:rPr>
                <w:rFonts w:ascii="宋体" w:hAnsi="宋体"/>
                <w:color w:val="000000"/>
                <w:kern w:val="0"/>
                <w:sz w:val="21"/>
                <w:szCs w:val="21"/>
              </w:rPr>
            </w:pPr>
            <w:r>
              <w:rPr>
                <w:rFonts w:hint="eastAsia" w:ascii="宋体" w:hAnsi="宋体"/>
                <w:color w:val="000000"/>
                <w:kern w:val="0"/>
                <w:sz w:val="21"/>
                <w:szCs w:val="21"/>
              </w:rPr>
              <w:t>5.4</w:t>
            </w:r>
            <w:r>
              <w:rPr>
                <w:rFonts w:hint="eastAsia"/>
                <w:sz w:val="21"/>
                <w:szCs w:val="21"/>
              </w:rPr>
              <w:t>色谱柱</w:t>
            </w:r>
            <w:r>
              <w:rPr>
                <w:rFonts w:hint="eastAsia" w:ascii="宋体" w:hAnsi="宋体"/>
                <w:color w:val="000000"/>
                <w:kern w:val="0"/>
                <w:sz w:val="21"/>
                <w:szCs w:val="21"/>
              </w:rPr>
              <w:t>1</w:t>
            </w:r>
            <w:r>
              <w:rPr>
                <w:rFonts w:hint="eastAsia"/>
                <w:sz w:val="21"/>
                <w:szCs w:val="21"/>
              </w:rPr>
              <w:t>根</w:t>
            </w:r>
            <w:r>
              <w:rPr>
                <w:rFonts w:ascii="宋体" w:hAnsi="宋体"/>
                <w:color w:val="000000"/>
                <w:kern w:val="0"/>
                <w:sz w:val="21"/>
                <w:szCs w:val="21"/>
              </w:rPr>
              <w:t>,30m×0.25mm×0.25um</w:t>
            </w:r>
            <w:r>
              <w:rPr>
                <w:rFonts w:hint="eastAsia" w:ascii="宋体" w:hAnsi="宋体"/>
                <w:color w:val="000000"/>
                <w:kern w:val="0"/>
                <w:sz w:val="21"/>
                <w:szCs w:val="21"/>
              </w:rPr>
              <w:t>；</w:t>
            </w:r>
          </w:p>
          <w:p>
            <w:pPr>
              <w:pStyle w:val="2"/>
              <w:rPr>
                <w:rFonts w:ascii="宋体" w:hAnsi="宋体"/>
                <w:color w:val="000000"/>
                <w:kern w:val="0"/>
                <w:sz w:val="21"/>
                <w:szCs w:val="21"/>
              </w:rPr>
            </w:pPr>
            <w:r>
              <w:rPr>
                <w:rFonts w:hint="eastAsia" w:ascii="宋体" w:hAnsi="宋体"/>
                <w:color w:val="000000"/>
                <w:kern w:val="0"/>
                <w:sz w:val="21"/>
                <w:szCs w:val="21"/>
              </w:rPr>
              <w:t>5.5程序升温进样口1个；</w:t>
            </w:r>
          </w:p>
          <w:p>
            <w:pPr>
              <w:pStyle w:val="2"/>
              <w:rPr>
                <w:rFonts w:ascii="宋体" w:hAnsi="宋体"/>
                <w:color w:val="000000"/>
                <w:kern w:val="0"/>
                <w:sz w:val="21"/>
                <w:szCs w:val="21"/>
              </w:rPr>
            </w:pPr>
            <w:r>
              <w:rPr>
                <w:rFonts w:hint="eastAsia" w:ascii="宋体" w:hAnsi="宋体"/>
                <w:color w:val="000000"/>
                <w:kern w:val="0"/>
                <w:sz w:val="21"/>
                <w:szCs w:val="21"/>
              </w:rPr>
              <w:t>5.6 150位液体自动进样器 1套；</w:t>
            </w:r>
          </w:p>
          <w:p>
            <w:pPr>
              <w:pStyle w:val="2"/>
              <w:rPr>
                <w:rFonts w:ascii="宋体" w:hAnsi="宋体" w:cs="宋体"/>
                <w:color w:val="000000" w:themeColor="text1"/>
                <w:kern w:val="0"/>
                <w:sz w:val="21"/>
                <w:szCs w:val="21"/>
                <w14:textFill>
                  <w14:solidFill>
                    <w14:schemeClr w14:val="tx1"/>
                  </w14:solidFill>
                </w14:textFill>
              </w:rPr>
            </w:pPr>
            <w:r>
              <w:rPr>
                <w:rFonts w:hint="eastAsia" w:ascii="宋体" w:hAnsi="宋体"/>
                <w:color w:val="000000"/>
                <w:kern w:val="0"/>
                <w:sz w:val="21"/>
                <w:szCs w:val="21"/>
              </w:rPr>
              <w:t>5.7 1.5mL样品瓶套装,带盖和隔垫 (100个/包) 5包。</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微波消解仪</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1、货物名称：微波消解仪</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2、主要用途：用于分析化学各种样品的前处理，为原子吸收（AA）、等离子体发射光谱仪（ICP）等仪器分析各种样品中的痕量金属元素提供快速制备样品。</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3、工作条件：</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3.1环境温度：5℃～35℃；相对湿度：10～85％ RH</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3.2电压：220VAC±10%；50Hz±1%</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4、技术指标：</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1.安装功率3000W-3500W，输出功率1800W，采用同步冷却微波能量控制技术,最大化的利用微波能效，保证磁控管无衰减，长寿命；</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.主机内置可随时修改正在运行的方法参数，修改后无需停止方法自动识别修改内容。具有智能程序升温、梯度升温功能，升温速度和时间软件设定，实时精确显示反应罐内的温度曲线和温度功率曲线；</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主机外壳采用通用安全材质，微波门体为双层全不锈钢材质，不得采用塑料和玻璃等材质，有效防爆和防微波泄露作用，门体具有自动平移泻压功能，遇到意外事故可自动迅速向外平移，解除隐患后能自动恢复原状，门体可自吸式关闭，避免关门不严微波泄漏；</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.温度控制系统：采用底部红外温度控制系统，无需外接电脑及软件即可在仪器屏幕上显示所有反应罐内温度 .检测范围：室温-500℃，精度为0.1℃；</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.压力控制系统：同时控制所有消解罐内的压力任何消解罐内的压力达到设定压力，无需外接电脑及软件即可在仪器屏幕上控制所有反应罐内压力；</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6</w:t>
            </w:r>
            <w:r>
              <w:rPr>
                <w:rFonts w:hint="eastAsia" w:ascii="宋体" w:hAnsi="宋体" w:cs="宋体"/>
                <w:color w:val="000000" w:themeColor="text1"/>
                <w:sz w:val="21"/>
                <w:szCs w:val="21"/>
                <w14:textFill>
                  <w14:solidFill>
                    <w14:schemeClr w14:val="tx1"/>
                  </w14:solidFill>
                </w14:textFill>
              </w:rPr>
              <w:t>.采用高分辨率彩色触摸式智能控制终端，图标式菜单，一键操作智能消解，内置EPA、GB等国际国内通用方法；</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.全自动消解罐识别系统，根据用户消解样品的数量和消解罐类型，全自动调节微波输出功率大小，确保每次试验的重现性；</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8</w:t>
            </w:r>
            <w:r>
              <w:rPr>
                <w:rFonts w:hint="eastAsia" w:ascii="宋体" w:hAnsi="宋体" w:cs="宋体"/>
                <w:color w:val="000000" w:themeColor="text1"/>
                <w:sz w:val="21"/>
                <w:szCs w:val="21"/>
                <w14:textFill>
                  <w14:solidFill>
                    <w14:schemeClr w14:val="tx1"/>
                  </w14:solidFill>
                </w14:textFill>
              </w:rPr>
              <w:t>.微波泄露检测可以执行IEC国际标准检测方法或者零负载检测标准,防止罐量少或不加反应罐及反应电偶极性剧变时，保证极端条件下人身安全，微波泄露&lt;0.05mw/cm2；</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9</w:t>
            </w:r>
            <w:r>
              <w:rPr>
                <w:rFonts w:hint="eastAsia" w:ascii="宋体" w:hAnsi="宋体" w:cs="宋体"/>
                <w:color w:val="000000" w:themeColor="text1"/>
                <w:sz w:val="21"/>
                <w:szCs w:val="21"/>
                <w14:textFill>
                  <w14:solidFill>
                    <w14:schemeClr w14:val="tx1"/>
                  </w14:solidFill>
                </w14:textFill>
              </w:rPr>
              <w:t>.排风和冷却系统：采用加速风扇，强制风冷，消解完成后高压罐无需手动搬运水冷，风冷至安全温度用时不超过10分钟；</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r>
              <w:rPr>
                <w:rFonts w:ascii="宋体" w:hAnsi="宋体" w:cs="宋体"/>
                <w:color w:val="000000" w:themeColor="text1"/>
                <w:sz w:val="21"/>
                <w:szCs w:val="21"/>
                <w14:textFill>
                  <w14:solidFill>
                    <w14:schemeClr w14:val="tx1"/>
                  </w14:solidFill>
                </w14:textFill>
              </w:rPr>
              <w:t>0</w:t>
            </w:r>
            <w:r>
              <w:rPr>
                <w:rFonts w:hint="eastAsia" w:ascii="宋体" w:hAnsi="宋体" w:cs="宋体"/>
                <w:color w:val="000000" w:themeColor="text1"/>
                <w:sz w:val="21"/>
                <w:szCs w:val="21"/>
                <w14:textFill>
                  <w14:solidFill>
                    <w14:schemeClr w14:val="tx1"/>
                  </w14:solidFill>
                </w14:textFill>
              </w:rPr>
              <w:t>.消解组件：需具备40位转盘及相关内外罐组件，消解内罐必须带原厂防伪标志；</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 耐压外套及转盘材料应为高安全阻燃的纤维增强PEEK材质，具有高强度、高耐热性、和高导热性，微波可完全穿透，垂直定向防爆功能。</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 内罐材质：高纯TFM材料，无任何金属材质的零部件，为降低做样过程中的样品空白值，要求消解内罐（包含罐体，内塞）可以泡酸清洗。消解盖需不含有金属材质垫片等，内罐无凹凸，完全和外罐贴合。</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（3）罐最高温度≥330℃，最高压力≥1mpa，大批处理量≥40个样品/批，体积：≥60ml</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5、基本配置：</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5.1微波消解萃取系统主机                       1套；</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5.2底部红外温控系统                           </w:t>
            </w: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套；</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5.3全罐压力监控系统                           1套；</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智能方法系统 1套；</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5.4容积≥60ml消解罐（含内外罐及密封组件）     1套；</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5.5插孔式赶酸电热板                           1台。</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年，腔体质保5年，质保期自安装调试完成经用户确认合格次日起算；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荧光定量PCR仪</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1、货物名称：荧光定量PCR仪   </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2、主要用途：用于水稻DNA和RNA的绝对定量分析；基因表达差异分析；基因分型，例如SNP 检测，甲基化检测等。</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3、工作条件：</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3.1常规工作环境，</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4、技术指标：</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4.1仪器机械结构设计：为一体化设计，而非反应模块和光学系统现场组装；</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 样本通量：单管、8联管、96孔板；</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4.3反应体积：0.1ml或0.2ml热循环模块可选；</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4.4激发光源：高亮度白光半导体光源（工作寿命大于5年）；</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4.5通道数：</w:t>
            </w: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色激发光通道和</w:t>
            </w: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色检测光通道，同时激发同时检测，可升级为6色激发通道和6色检测光通道，数据同时采集</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4.6精确数码控温模块：具备3个以上独立控温模块，每个模块可独立精确设定反应温度，模块之间温度可高低交错设定；</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4.7温控模块最高升温速率：≥5°C/秒；</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4.8温度均一性：小于0.4°C；</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4.9温度精确度：小于0.25°C；</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4.10精密度：可分辨至少1.5倍拷贝数差异，置信度大于99.7%；</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4.11运行时间：小于30分钟完成96孔板40个循环反应；</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4.12温控范围： 0℃–100℃；</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4.13光学系统：高亮度白光半导体、</w:t>
            </w: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色激发滤光片，</w:t>
            </w: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色检测滤光片、光梭扫描收集荧光信号，确保反应孔之间没有光程差，保障检测灵敏度和分辨率；</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4.14支持的荧光染料： FAM™, SYBR®, SYTO®9 (MeltDoctor™), Fluorescein, SYPRO® Orange，VIC®, JOE™, TET™, HEX™，TAMRA™, NED™，Texas Red®；</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4.15被动染料校正功能：即插即用，无需添加各种荧光染料进行光程差的边缘效应校正；</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4.16数据同时采集：所有反应孔相同光强和光程采集荧光数据，不同孔之间不存在光程差；</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4.17内置触摸屏电脑：自带存储100次以上的实验数据；仪器触摸屏提供一键式的实验方案，可快速地设置多种应用；</w:t>
            </w:r>
          </w:p>
          <w:p>
            <w:pPr>
              <w:adjustRightInd w:val="0"/>
              <w:snapToGrid w:val="0"/>
              <w:rPr>
                <w:rFonts w:ascii="宋体" w:hAnsi="宋体" w:cs="宋体"/>
                <w:sz w:val="21"/>
                <w:szCs w:val="21"/>
              </w:rPr>
            </w:pPr>
            <w:r>
              <w:rPr>
                <w:rFonts w:hint="eastAsia" w:ascii="宋体" w:hAnsi="宋体" w:cs="宋体"/>
                <w:sz w:val="21"/>
                <w:szCs w:val="21"/>
              </w:rPr>
              <w:t>4.18数据储存平台：主机实时存储用户的实验数据，可以通过数据处理系统导出外置设备，确保实验数据安全；</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4.19基于标准曲线的绝对定量；</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4.20相对标准曲线；</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4.21基于比较Ct值的相对定量；</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4.22内置基因表达 (RQ) 相对定量分析功能，可同时分析100块板的实验数据，并用热点图和散点图提供数据质量的快速检查；</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4.23实时监控基因分型聚类分析：在基因分型实验中，能利用实时荧光定量PCR进程监控器优化基因分型运行，以确定聚类分析的理想循环；</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4.24融解曲线分析；</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4.25基于或非基于实时扩增的基因分型；</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4.26基于荧光定量PCR的蛋白表达分析功能，并提供同品牌原厂试剂和专门分析软件；</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4.27基于荧光定量PCR的Non-coding RNA和microRNA分析，并提供同品牌原厂试剂和专门分析软件；</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4.28基于荧光定量PCR的基因拷贝数（CNV）分析，并提供同品牌原厂试剂和专门分析软件；</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4.29基于荧光定量PCR的肿瘤稀有突变分析，可检测占背景野生型细胞0.1%的微量突变细胞或DNA，并提供同品牌原厂试剂和专门分析软件。</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5、基本配置：</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5.1 高通量荧光定量PCR仪1台；</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5.2 配套工作站（处理器：Intel i5 6代以上；内存容量：4G以上；硬盘容量：500G以上，显卡：集成显卡，21寸显示器）；</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5.3 正版引物探针设计软件1套；</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5.4  96孔标准反应模块1套；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、可选件：无。</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正置荧光显微镜</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1、货物名称：正置荧光显微镜</w:t>
            </w:r>
          </w:p>
          <w:p>
            <w:pPr>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2、主要用途：用于对水稻韧皮部筛管、花粉管伸长、ROS，PCD的观察等。</w:t>
            </w:r>
          </w:p>
          <w:p>
            <w:pPr>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、技术指标：</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3.1显微镜主机部分：</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3.1.1光学系统：透射及荧光光路采用H</w:t>
            </w:r>
            <w:r>
              <w:rPr>
                <w:rFonts w:ascii="宋体" w:hAnsi="宋体" w:cs="宋体"/>
                <w:color w:val="000000" w:themeColor="text1"/>
                <w:sz w:val="21"/>
                <w:szCs w:val="21"/>
                <w14:textFill>
                  <w14:solidFill>
                    <w14:schemeClr w14:val="tx1"/>
                  </w14:solidFill>
                </w14:textFill>
              </w:rPr>
              <w:t>C</w:t>
            </w:r>
            <w:r>
              <w:rPr>
                <w:rFonts w:hint="eastAsia" w:ascii="宋体" w:hAnsi="宋体" w:cs="宋体"/>
                <w:color w:val="000000" w:themeColor="text1"/>
                <w:sz w:val="21"/>
                <w:szCs w:val="21"/>
                <w14:textFill>
                  <w14:solidFill>
                    <w14:schemeClr w14:val="tx1"/>
                  </w14:solidFill>
                </w14:textFill>
              </w:rPr>
              <w:t>无限远色差反差双重校正光学系统，可实现观察方法：明场、暗场、荧光；</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3.1.2同轴粗微调焦机构，内置免调节防下滑机构，不采用易损的外部松紧调节环；</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3.1.3明场照明装置：</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3.1.3.1主动光强管理系统，可适用于所有物镜，用于自动调节对应物镜和滤块位置的光强度；</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3.1.3.2内置透射光科勒照明器，高亮度高演色性LED长寿命光源，无需额外供电，可兼容DIC观察方式。</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3.1.4机身具有六位透射光滤片转轮；主机带有L</w:t>
            </w:r>
            <w:r>
              <w:rPr>
                <w:rFonts w:ascii="宋体" w:hAnsi="宋体" w:cs="宋体"/>
                <w:color w:val="000000" w:themeColor="text1"/>
                <w:sz w:val="21"/>
                <w:szCs w:val="21"/>
                <w14:textFill>
                  <w14:solidFill>
                    <w14:schemeClr w14:val="tx1"/>
                  </w14:solidFill>
                </w14:textFill>
              </w:rPr>
              <w:t>CD</w:t>
            </w:r>
            <w:r>
              <w:rPr>
                <w:rFonts w:hint="eastAsia" w:ascii="宋体" w:hAnsi="宋体" w:cs="宋体"/>
                <w:color w:val="000000" w:themeColor="text1"/>
                <w:sz w:val="21"/>
                <w:szCs w:val="21"/>
                <w14:textFill>
                  <w14:solidFill>
                    <w14:schemeClr w14:val="tx1"/>
                  </w14:solidFill>
                </w14:textFill>
              </w:rPr>
              <w:t>显示屏</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3.1.5载物台：高抗磨损性圆角、无槽金属阳极化处理载物台，载物台手柄松紧度高度可调。</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3.1.5宽视野三目镜筒，视场数≥2</w:t>
            </w: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mm，倾角30度。目镜筒360度自由旋转，实现≥40mm观察高度调节；具有光闸功能，荧光观察时可屏蔽外界光进入目镜造成的干扰；</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3.1.6 10倍超宽视野目镜，高眼点设计，视场数≥2</w:t>
            </w: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mm，双目屈光度可调；</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3.1.7 ≥6位编码型物镜转换器，不同倍数物镜可分别定义光强，切换时自动匹配亮度。同时，切换不同倍数镜头时，自动计算标尺；</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3.1.8全套高品质物镜：</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平场消色差物镜5×，</w:t>
            </w:r>
            <w:r>
              <w:rPr>
                <w:rFonts w:ascii="宋体" w:hAnsi="宋体" w:cs="宋体"/>
                <w:color w:val="000000" w:themeColor="text1"/>
                <w:sz w:val="21"/>
                <w:szCs w:val="21"/>
                <w14:textFill>
                  <w14:solidFill>
                    <w14:schemeClr w14:val="tx1"/>
                  </w14:solidFill>
                </w14:textFill>
              </w:rPr>
              <w:t xml:space="preserve">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增强反差型荧光物镜10×</w:t>
            </w:r>
            <w:r>
              <w:rPr>
                <w:rFonts w:ascii="宋体" w:hAnsi="宋体" w:cs="宋体"/>
                <w:color w:val="000000" w:themeColor="text1"/>
                <w:sz w:val="21"/>
                <w:szCs w:val="21"/>
                <w14:textFill>
                  <w14:solidFill>
                    <w14:schemeClr w14:val="tx1"/>
                  </w14:solidFill>
                </w14:textFill>
              </w:rPr>
              <w:t xml:space="preserve">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增强反差型荧光物镜20×</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增强反差型荧光物镜40×</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增强反差型荧光物镜100×（油镜）</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3.1.9电动控制万能聚光镜，多功能消色差消球差聚光镜NA≥0.9，支持明场、相差、暗场、DIC等观察方式；</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3.1.10主机架上下分体，可加垫高模块，增大样品空间，不用化学药品的绿色环保防霉技术；</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3.1.11样品空间：视标本厚度的不同以及配置不同，样品空间从0-110mm连续可调,满足大样本的观察需要；</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3.2荧光系统：</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3.2.1高效超级荧光光源,液体导管隔热,≥2000小时超长寿命；</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3.2.2机身集成透射光反射光电动光闸，一键切换荧光及透射光观察方式，切换到荧光时，透射光光闸自动关闭；</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3.2.3荧光滤色镜套：红蓝绿三组滤色块。</w:t>
            </w:r>
            <w:r>
              <w:rPr>
                <w:rFonts w:ascii="宋体" w:hAnsi="宋体" w:cs="宋体"/>
                <w:color w:val="000000" w:themeColor="text1"/>
                <w:sz w:val="21"/>
                <w:szCs w:val="21"/>
                <w14:textFill>
                  <w14:solidFill>
                    <w14:schemeClr w14:val="tx1"/>
                  </w14:solidFill>
                </w14:textFill>
              </w:rPr>
              <w:t xml:space="preserve">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3.2.4编码型荧光激发块转盘：≥6孔，复消色差荧光光路。支持荧光滤块在线更换并自动识别，荧光光路具有六位方形以及圆形孔径光阑。</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3.3原厂同品牌成像系统：</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3.3.1 CCD芯片尺寸≥</w:t>
            </w:r>
            <w:r>
              <w:rPr>
                <w:rFonts w:ascii="宋体" w:hAnsi="宋体" w:cs="宋体"/>
                <w:color w:val="000000" w:themeColor="text1"/>
                <w:sz w:val="21"/>
                <w:szCs w:val="21"/>
                <w14:textFill>
                  <w14:solidFill>
                    <w14:schemeClr w14:val="tx1"/>
                  </w14:solidFill>
                </w14:textFill>
              </w:rPr>
              <w:t>2/3</w:t>
            </w:r>
            <w:r>
              <w:rPr>
                <w:rFonts w:hint="eastAsia" w:ascii="宋体" w:hAnsi="宋体" w:cs="宋体"/>
                <w:color w:val="000000" w:themeColor="text1"/>
                <w:sz w:val="21"/>
                <w:szCs w:val="21"/>
                <w14:textFill>
                  <w14:solidFill>
                    <w14:schemeClr w14:val="tx1"/>
                  </w14:solidFill>
                </w14:textFill>
              </w:rPr>
              <w:t>英寸，半导体制冷,制冷温度低于室温3</w:t>
            </w:r>
            <w:r>
              <w:rPr>
                <w:rFonts w:ascii="宋体" w:hAnsi="宋体" w:cs="宋体"/>
                <w:color w:val="000000" w:themeColor="text1"/>
                <w:sz w:val="21"/>
                <w:szCs w:val="21"/>
                <w14:textFill>
                  <w14:solidFill>
                    <w14:schemeClr w14:val="tx1"/>
                  </w14:solidFill>
                </w14:textFill>
              </w:rPr>
              <w:t>0</w:t>
            </w:r>
            <w:r>
              <w:rPr>
                <w:rFonts w:hint="eastAsia" w:ascii="宋体" w:hAnsi="宋体" w:cs="宋体"/>
                <w:color w:val="000000" w:themeColor="text1"/>
                <w:sz w:val="21"/>
                <w:szCs w:val="21"/>
                <w14:textFill>
                  <w14:solidFill>
                    <w14:schemeClr w14:val="tx1"/>
                  </w14:solidFill>
                </w14:textFill>
              </w:rPr>
              <w:t>度；</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3.3.2像素点≥4.54μm×4.54μm；</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3.3.3可在彩色和单色模式下实现高达 </w:t>
            </w:r>
            <w:r>
              <w:rPr>
                <w:rFonts w:ascii="宋体" w:hAnsi="宋体" w:cs="宋体"/>
                <w:color w:val="000000" w:themeColor="text1"/>
                <w:sz w:val="21"/>
                <w:szCs w:val="21"/>
                <w14:textFill>
                  <w14:solidFill>
                    <w14:schemeClr w14:val="tx1"/>
                  </w14:solidFill>
                </w14:textFill>
              </w:rPr>
              <w:t>60</w:t>
            </w:r>
            <w:r>
              <w:rPr>
                <w:rFonts w:hint="eastAsia" w:ascii="宋体" w:hAnsi="宋体" w:cs="宋体"/>
                <w:color w:val="000000" w:themeColor="text1"/>
                <w:sz w:val="21"/>
                <w:szCs w:val="21"/>
                <w14:textFill>
                  <w14:solidFill>
                    <w14:schemeClr w14:val="tx1"/>
                  </w14:solidFill>
                </w14:textFill>
              </w:rPr>
              <w:t xml:space="preserve"> fps以上；</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3.3.4全幅拍摄速度≥</w:t>
            </w:r>
            <w:r>
              <w:rPr>
                <w:rFonts w:ascii="宋体" w:hAnsi="宋体" w:cs="宋体"/>
                <w:color w:val="000000" w:themeColor="text1"/>
                <w:sz w:val="21"/>
                <w:szCs w:val="21"/>
                <w14:textFill>
                  <w14:solidFill>
                    <w14:schemeClr w14:val="tx1"/>
                  </w14:solidFill>
                </w14:textFill>
              </w:rPr>
              <w:t>20FPS</w:t>
            </w:r>
            <w:r>
              <w:rPr>
                <w:rFonts w:hint="eastAsia" w:ascii="宋体" w:hAnsi="宋体" w:cs="宋体"/>
                <w:color w:val="000000" w:themeColor="text1"/>
                <w:sz w:val="21"/>
                <w:szCs w:val="21"/>
                <w14:textFill>
                  <w14:solidFill>
                    <w14:schemeClr w14:val="tx1"/>
                  </w14:solidFill>
                </w14:textFill>
              </w:rPr>
              <w:t>；</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3.3.5 USB 3.0接口供电及数据传输。</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3.4原厂同品牌成像软件分析系统：</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3.4.1景深扩展功能，可实现超景深拍摄；</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3.4.2大图拼接功能，实现超大视野拍摄；</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3.4.3多通道叠加功能，实现多个通道图像叠加；</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3.4.4视频拍摄功能；</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3.4.5在显示器上用户操作界面可以连续缩小或放大到最适合用户操作的尺寸；</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3.4.6可以进行交互式测量包括：面积，间距，周长，灰度值，角度等；</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3.4.7可同时进行多幅图像的对比，可以阵列预览，可以通道预览，可以2.5D图像预览；</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3.4.8支持bmp, tif, jpg, gif, tga, png, j2k, jp2, mac, msp, ras, pct, eps, wmf, psd, img, cmp, zvi, lsm, czi等格式图像输入。支持bmp, jpg, tif, tga, png, psd, cmp, avi, lsm, mov, j2k, jp2, pcx, tga, wmf, pcf等格式图像输出；</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3.4.9可对图像进行反差、明暗、伽马值、色彩、平滑、锐度等处理；</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3.4.10对图像进行标记：添加文本或箭头、标尺等；</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3.4.11曝光模式自动、测光、手动可选；</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3.4.12灰度测量值12位动态范围；</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3.4.13可手动或自动白平衡调节。</w:t>
            </w:r>
          </w:p>
          <w:p>
            <w:pPr>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、基本配置：</w:t>
            </w:r>
          </w:p>
          <w:p>
            <w:pPr>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正置荧光显微镜主机1台</w:t>
            </w:r>
          </w:p>
          <w:p>
            <w:pPr>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4.2</w:t>
            </w:r>
            <w:r>
              <w:rPr>
                <w:rFonts w:hint="eastAsia" w:ascii="宋体" w:hAnsi="宋体" w:cs="宋体"/>
                <w:color w:val="000000" w:themeColor="text1"/>
                <w:sz w:val="21"/>
                <w:szCs w:val="21"/>
                <w14:textFill>
                  <w14:solidFill>
                    <w14:schemeClr w14:val="tx1"/>
                  </w14:solidFill>
                </w14:textFill>
              </w:rPr>
              <w:t>高品质物镜5颗</w:t>
            </w:r>
          </w:p>
          <w:p>
            <w:pPr>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透射光源1套</w:t>
            </w:r>
          </w:p>
          <w:p>
            <w:pPr>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4.4</w:t>
            </w:r>
            <w:r>
              <w:rPr>
                <w:rFonts w:hint="eastAsia" w:ascii="宋体" w:hAnsi="宋体" w:cs="宋体"/>
                <w:color w:val="000000" w:themeColor="text1"/>
                <w:sz w:val="21"/>
                <w:szCs w:val="21"/>
                <w14:textFill>
                  <w14:solidFill>
                    <w14:schemeClr w14:val="tx1"/>
                  </w14:solidFill>
                </w14:textFill>
              </w:rPr>
              <w:t>荧光装置1套</w:t>
            </w:r>
          </w:p>
          <w:p>
            <w:pPr>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4.5</w:t>
            </w:r>
            <w:r>
              <w:rPr>
                <w:rFonts w:hint="eastAsia" w:ascii="宋体" w:hAnsi="宋体" w:cs="宋体"/>
                <w:color w:val="000000" w:themeColor="text1"/>
                <w:sz w:val="21"/>
                <w:szCs w:val="21"/>
                <w14:textFill>
                  <w14:solidFill>
                    <w14:schemeClr w14:val="tx1"/>
                  </w14:solidFill>
                </w14:textFill>
              </w:rPr>
              <w:t>原厂同品牌成像系统1套</w:t>
            </w:r>
          </w:p>
          <w:p>
            <w:pPr>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4.6</w:t>
            </w:r>
            <w:r>
              <w:rPr>
                <w:rFonts w:hint="eastAsia" w:ascii="宋体" w:hAnsi="宋体" w:cs="宋体"/>
                <w:color w:val="000000" w:themeColor="text1"/>
                <w:sz w:val="21"/>
                <w:szCs w:val="21"/>
                <w14:textFill>
                  <w14:solidFill>
                    <w14:schemeClr w14:val="tx1"/>
                  </w14:solidFill>
                </w14:textFill>
              </w:rPr>
              <w:t>原厂同品牌成像软件分析系统1套；</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 xml:space="preserve">4.7 </w:t>
            </w:r>
            <w:r>
              <w:rPr>
                <w:rFonts w:hint="eastAsia" w:ascii="宋体" w:hAnsi="宋体" w:cs="宋体"/>
                <w:color w:val="000000" w:themeColor="text1"/>
                <w:sz w:val="21"/>
                <w:szCs w:val="21"/>
                <w14:textFill>
                  <w14:solidFill>
                    <w14:schemeClr w14:val="tx1"/>
                  </w14:solidFill>
                </w14:textFill>
              </w:rPr>
              <w:t>配套工作站1套（处理器：Intel i5 6代以上；内存容量：4G以上；硬盘容量：500G以上，显卡：集成显卡，21寸显示）</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、可选件：</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、技术资料</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6.1 </w:t>
            </w:r>
            <w:r>
              <w:rPr>
                <w:rFonts w:hint="eastAsia" w:ascii="宋体" w:hAnsi="宋体"/>
                <w:color w:val="000000" w:themeColor="text1"/>
                <w:sz w:val="21"/>
                <w:szCs w:val="21"/>
                <w14:textFill>
                  <w14:solidFill>
                    <w14:schemeClr w14:val="tx1"/>
                  </w14:solidFill>
                </w14:textFill>
              </w:rPr>
              <w:t>操作及维护说明书</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6.2 </w:t>
            </w:r>
            <w:r>
              <w:rPr>
                <w:rFonts w:hint="eastAsia" w:ascii="宋体" w:hAnsi="宋体"/>
                <w:color w:val="000000" w:themeColor="text1"/>
                <w:sz w:val="21"/>
                <w:szCs w:val="21"/>
                <w14:textFill>
                  <w14:solidFill>
                    <w14:schemeClr w14:val="tx1"/>
                  </w14:solidFill>
                </w14:textFill>
              </w:rPr>
              <w:t>装箱清单及质量保证书</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、售后服务与培训</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免费安装调试</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7.3 </w:t>
            </w:r>
            <w:r>
              <w:rPr>
                <w:rFonts w:hint="eastAsia" w:ascii="宋体" w:hAnsi="宋体"/>
                <w:color w:val="000000" w:themeColor="text1"/>
                <w:sz w:val="21"/>
                <w:szCs w:val="21"/>
                <w14:textFill>
                  <w14:solidFill>
                    <w14:schemeClr w14:val="tx1"/>
                  </w14:solidFill>
                </w14:textFill>
              </w:rPr>
              <w:t>设备终身维修</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6</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多功能酶标仪</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货物名称：多功能酶标仪</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、主要用途：</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主要用于水稻的激素、叶绿素等成分进行检测分析</w:t>
            </w:r>
          </w:p>
          <w:p>
            <w:pPr>
              <w:adjustRightInd w:val="0"/>
              <w:snapToGrid w:val="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、主要功能和技术指标：</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1、检测类型：可适用于1 - 1536孔板，微量检测板, 细胞计数板，立式/卧式比色皿；</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2、支持板型：6-384板板</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3、应用范围：基于四光栅技术：吸收光、荧光强度、化学发光和荧光共振能量转移</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4、光源：高能氙闪灯光</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6、温度均一性：± 0.</w:t>
            </w: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 xml:space="preserve">°C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7、温度准确度：±1℃@37℃</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8、震荡方式：线性、圆周、双轨模式可选且振幅和频率可调</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9、检测器：光吸收、荧光、化学发光均使用独立检测器，光吸收检测器: 光电二极管;荧光检测器: 红外敏感光电倍增管（PMT）;发光检测器: 低暗电流单光子计数光电倍增管；</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10、波长选择：1nm步进</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11、检测模式：终点法（所有模式），动力学（所有模式），全波长扫描（所有模式），区域扫描（可达20X20密度/孔）</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13、吸收光：</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13.1、波长范围：</w:t>
            </w:r>
            <w:r>
              <w:rPr>
                <w:rFonts w:ascii="宋体" w:hAnsi="宋体" w:cs="宋体"/>
                <w:color w:val="000000" w:themeColor="text1"/>
                <w:sz w:val="21"/>
                <w:szCs w:val="21"/>
                <w14:textFill>
                  <w14:solidFill>
                    <w14:schemeClr w14:val="tx1"/>
                  </w14:solidFill>
                </w14:textFill>
              </w:rPr>
              <w:t>23</w:t>
            </w:r>
            <w:r>
              <w:rPr>
                <w:rFonts w:hint="eastAsia" w:ascii="宋体" w:hAnsi="宋体" w:cs="宋体"/>
                <w:color w:val="000000" w:themeColor="text1"/>
                <w:sz w:val="21"/>
                <w:szCs w:val="21"/>
                <w14:textFill>
                  <w14:solidFill>
                    <w14:schemeClr w14:val="tx1"/>
                  </w14:solidFill>
                </w14:textFill>
              </w:rPr>
              <w:t>0nm-1000nm，1nm可调</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13.2、波长带宽：</w:t>
            </w:r>
            <w:r>
              <w:rPr>
                <w:rFonts w:ascii="宋体" w:hAnsi="宋体" w:cs="宋体"/>
                <w:color w:val="000000" w:themeColor="text1"/>
                <w:sz w:val="21"/>
                <w:szCs w:val="21"/>
                <w14:textFill>
                  <w14:solidFill>
                    <w14:schemeClr w14:val="tx1"/>
                  </w14:solidFill>
                </w14:textFill>
              </w:rPr>
              <w:t>3.5</w:t>
            </w:r>
            <w:r>
              <w:rPr>
                <w:rFonts w:hint="eastAsia" w:ascii="宋体" w:hAnsi="宋体" w:cs="宋体"/>
                <w:color w:val="000000" w:themeColor="text1"/>
                <w:sz w:val="21"/>
                <w:szCs w:val="21"/>
                <w14:textFill>
                  <w14:solidFill>
                    <w14:schemeClr w14:val="tx1"/>
                  </w14:solidFill>
                </w14:textFill>
              </w:rPr>
              <w:t xml:space="preserve">nm或4nm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13.3、波长准确度：≤±</w:t>
            </w:r>
            <w:r>
              <w:rPr>
                <w:rFonts w:ascii="宋体" w:hAnsi="宋体" w:cs="宋体"/>
                <w:color w:val="000000" w:themeColor="text1"/>
                <w:sz w:val="21"/>
                <w:szCs w:val="21"/>
                <w14:textFill>
                  <w14:solidFill>
                    <w14:schemeClr w14:val="tx1"/>
                  </w14:solidFill>
                </w14:textFill>
              </w:rPr>
              <w:t>0.5</w:t>
            </w:r>
            <w:r>
              <w:rPr>
                <w:rFonts w:hint="eastAsia" w:ascii="宋体" w:hAnsi="宋体" w:cs="宋体"/>
                <w:color w:val="000000" w:themeColor="text1"/>
                <w:sz w:val="21"/>
                <w:szCs w:val="21"/>
                <w14:textFill>
                  <w14:solidFill>
                    <w14:schemeClr w14:val="tx1"/>
                  </w14:solidFill>
                </w14:textFill>
              </w:rPr>
              <w:t xml:space="preserve">nm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13.4、波长重复性：≤±</w:t>
            </w:r>
            <w:r>
              <w:rPr>
                <w:rFonts w:ascii="宋体" w:hAnsi="宋体" w:cs="宋体"/>
                <w:color w:val="000000" w:themeColor="text1"/>
                <w:sz w:val="21"/>
                <w:szCs w:val="21"/>
                <w14:textFill>
                  <w14:solidFill>
                    <w14:schemeClr w14:val="tx1"/>
                  </w14:solidFill>
                </w14:textFill>
              </w:rPr>
              <w:t>0.5</w:t>
            </w:r>
            <w:r>
              <w:rPr>
                <w:rFonts w:hint="eastAsia" w:ascii="宋体" w:hAnsi="宋体" w:cs="宋体"/>
                <w:color w:val="000000" w:themeColor="text1"/>
                <w:sz w:val="21"/>
                <w:szCs w:val="21"/>
                <w14:textFill>
                  <w14:solidFill>
                    <w14:schemeClr w14:val="tx1"/>
                  </w14:solidFill>
                </w14:textFill>
              </w:rPr>
              <w:t xml:space="preserve">nm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13.5、光度量范围：0-4.0(OD)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13.6、分光检测分辨率：：0.001OD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13.7、测定准确度：≤0.5%</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13.8、测定精确度：≤ 0.2 %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13.9、杂散光：＜0.05%@230nm </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13.10光程校正技术：配有光径传感器技术，可以将实测的光密度值校正为1cm光径下的吸光度值，使对微孔板的测读达到分光光度计的精度，校正结果不随温度变化而变化</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14、荧光强度：</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14.1、荧光检测支持：微孔板顶部及底部检测</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14.2、波长范围：2</w:t>
            </w:r>
            <w:r>
              <w:rPr>
                <w:rFonts w:ascii="宋体" w:hAnsi="宋体" w:cs="宋体"/>
                <w:color w:val="000000" w:themeColor="text1"/>
                <w:sz w:val="21"/>
                <w:szCs w:val="21"/>
                <w14:textFill>
                  <w14:solidFill>
                    <w14:schemeClr w14:val="tx1"/>
                  </w14:solidFill>
                </w14:textFill>
              </w:rPr>
              <w:t>30</w:t>
            </w:r>
            <w:r>
              <w:rPr>
                <w:rFonts w:hint="eastAsia" w:ascii="宋体" w:hAnsi="宋体" w:cs="宋体"/>
                <w:color w:val="000000" w:themeColor="text1"/>
                <w:sz w:val="21"/>
                <w:szCs w:val="21"/>
                <w14:textFill>
                  <w14:solidFill>
                    <w14:schemeClr w14:val="tx1"/>
                  </w14:solidFill>
                </w14:textFill>
              </w:rPr>
              <w:t>nm—</w:t>
            </w:r>
            <w:r>
              <w:rPr>
                <w:rFonts w:ascii="宋体" w:hAnsi="宋体" w:cs="宋体"/>
                <w:color w:val="000000" w:themeColor="text1"/>
                <w:sz w:val="21"/>
                <w:szCs w:val="21"/>
                <w14:textFill>
                  <w14:solidFill>
                    <w14:schemeClr w14:val="tx1"/>
                  </w14:solidFill>
                </w14:textFill>
              </w:rPr>
              <w:t>850</w:t>
            </w:r>
            <w:r>
              <w:rPr>
                <w:rFonts w:hint="eastAsia" w:ascii="宋体" w:hAnsi="宋体" w:cs="宋体"/>
                <w:color w:val="000000" w:themeColor="text1"/>
                <w:sz w:val="21"/>
                <w:szCs w:val="21"/>
                <w14:textFill>
                  <w14:solidFill>
                    <w14:schemeClr w14:val="tx1"/>
                  </w14:solidFill>
                </w14:textFill>
              </w:rPr>
              <w:t>nm，1nm可调</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14.3、带宽：(EX)15nm；( EM)25nm或</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14.4、动态学范围：&gt;6个数量级</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14.5 四光栅灵敏度(优化)：&lt; </w:t>
            </w:r>
            <w:r>
              <w:rPr>
                <w:rFonts w:ascii="宋体" w:hAnsi="宋体" w:cs="宋体"/>
                <w:color w:val="000000" w:themeColor="text1"/>
                <w:sz w:val="21"/>
                <w:szCs w:val="21"/>
                <w14:textFill>
                  <w14:solidFill>
                    <w14:schemeClr w14:val="tx1"/>
                  </w14:solidFill>
                </w14:textFill>
              </w:rPr>
              <w:t>0.5</w:t>
            </w:r>
            <w:r>
              <w:rPr>
                <w:rFonts w:hint="eastAsia" w:ascii="宋体" w:hAnsi="宋体" w:cs="宋体"/>
                <w:color w:val="000000" w:themeColor="text1"/>
                <w:sz w:val="21"/>
                <w:szCs w:val="21"/>
                <w14:textFill>
                  <w14:solidFill>
                    <w14:schemeClr w14:val="tx1"/>
                  </w14:solidFill>
                </w14:textFill>
              </w:rPr>
              <w:t>pM荧光素，（5</w:t>
            </w:r>
            <w:r>
              <w:rPr>
                <w:rFonts w:ascii="宋体" w:hAnsi="宋体" w:cs="宋体"/>
                <w:color w:val="000000" w:themeColor="text1"/>
                <w:sz w:val="21"/>
                <w:szCs w:val="21"/>
                <w14:textFill>
                  <w14:solidFill>
                    <w14:schemeClr w14:val="tx1"/>
                  </w14:solidFill>
                </w14:textFill>
              </w:rPr>
              <w:t>0</w:t>
            </w:r>
            <w:r>
              <w:rPr>
                <w:rFonts w:hint="eastAsia" w:ascii="宋体" w:hAnsi="宋体" w:cs="宋体"/>
                <w:color w:val="000000" w:themeColor="text1"/>
                <w:sz w:val="21"/>
                <w:szCs w:val="21"/>
                <w14:textFill>
                  <w14:solidFill>
                    <w14:schemeClr w14:val="tx1"/>
                  </w14:solidFill>
                </w14:textFill>
              </w:rPr>
              <w:t>amol/孔，1</w:t>
            </w:r>
            <w:r>
              <w:rPr>
                <w:rFonts w:ascii="宋体" w:hAnsi="宋体" w:cs="宋体"/>
                <w:color w:val="000000" w:themeColor="text1"/>
                <w:sz w:val="21"/>
                <w:szCs w:val="21"/>
                <w14:textFill>
                  <w14:solidFill>
                    <w14:schemeClr w14:val="tx1"/>
                  </w14:solidFill>
                </w14:textFill>
              </w:rPr>
              <w:t>00</w:t>
            </w:r>
            <w:r>
              <w:rPr>
                <w:rFonts w:hint="eastAsia" w:ascii="宋体" w:hAnsi="宋体" w:cs="宋体"/>
                <w:color w:val="000000" w:themeColor="text1"/>
                <w:sz w:val="21"/>
                <w:szCs w:val="21"/>
                <w14:textFill>
                  <w14:solidFill>
                    <w14:schemeClr w14:val="tx1"/>
                  </w14:solidFill>
                </w14:textFill>
              </w:rPr>
              <w:t>ul，384孔板）；</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15、化学发光：</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15.1、化学发光检测支持：微孔板顶部检测</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15.2、波长范围：3</w:t>
            </w:r>
            <w:r>
              <w:rPr>
                <w:rFonts w:ascii="宋体" w:hAnsi="宋体" w:cs="宋体"/>
                <w:color w:val="000000" w:themeColor="text1"/>
                <w:sz w:val="21"/>
                <w:szCs w:val="21"/>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0nm—</w:t>
            </w:r>
            <w:r>
              <w:rPr>
                <w:rFonts w:ascii="宋体" w:hAnsi="宋体" w:cs="宋体"/>
                <w:color w:val="000000" w:themeColor="text1"/>
                <w:sz w:val="21"/>
                <w:szCs w:val="21"/>
                <w14:textFill>
                  <w14:solidFill>
                    <w14:schemeClr w14:val="tx1"/>
                  </w14:solidFill>
                </w14:textFill>
              </w:rPr>
              <w:t>700</w:t>
            </w:r>
            <w:r>
              <w:rPr>
                <w:rFonts w:hint="eastAsia" w:ascii="宋体" w:hAnsi="宋体" w:cs="宋体"/>
                <w:color w:val="000000" w:themeColor="text1"/>
                <w:sz w:val="21"/>
                <w:szCs w:val="21"/>
                <w14:textFill>
                  <w14:solidFill>
                    <w14:schemeClr w14:val="tx1"/>
                  </w14:solidFill>
                </w14:textFill>
              </w:rPr>
              <w:t>nm，1nm可调</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15.3、动态学范围：&gt;</w:t>
            </w:r>
            <w:r>
              <w:rPr>
                <w:rFonts w:ascii="宋体" w:hAnsi="宋体" w:cs="宋体"/>
                <w:color w:val="000000" w:themeColor="text1"/>
                <w:sz w:val="21"/>
                <w:szCs w:val="21"/>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个数量级</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、灵敏度（闪光）：</w:t>
            </w:r>
            <w:r>
              <w:rPr>
                <w:sz w:val="21"/>
                <w:szCs w:val="21"/>
              </w:rPr>
              <w:t>&lt;20amol ATP</w:t>
            </w:r>
            <w:r>
              <w:rPr>
                <w:rFonts w:hint="eastAsia"/>
                <w:sz w:val="21"/>
                <w:szCs w:val="21"/>
              </w:rPr>
              <w:t>；</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、孔间干扰：&lt;0.1%，白色96和&lt;0.2%，白色384孔板</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16、检测时间：96孔板，384孔板</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吸收光：25秒，1分25秒</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荧光强度：</w:t>
            </w:r>
            <w:r>
              <w:rPr>
                <w:rFonts w:ascii="宋体" w:hAnsi="宋体" w:cs="宋体"/>
                <w:color w:val="000000" w:themeColor="text1"/>
                <w:sz w:val="21"/>
                <w:szCs w:val="21"/>
                <w14:textFill>
                  <w14:solidFill>
                    <w14:schemeClr w14:val="tx1"/>
                  </w14:solidFill>
                </w14:textFill>
              </w:rPr>
              <w:t>13</w:t>
            </w:r>
            <w:r>
              <w:rPr>
                <w:rFonts w:hint="eastAsia" w:ascii="宋体" w:hAnsi="宋体" w:cs="宋体"/>
                <w:color w:val="000000" w:themeColor="text1"/>
                <w:sz w:val="21"/>
                <w:szCs w:val="21"/>
                <w14:textFill>
                  <w14:solidFill>
                    <w14:schemeClr w14:val="tx1"/>
                  </w14:solidFill>
                </w14:textFill>
              </w:rPr>
              <w:t>秒，</w:t>
            </w:r>
            <w:r>
              <w:rPr>
                <w:rFonts w:ascii="宋体" w:hAnsi="宋体" w:cs="宋体"/>
                <w:color w:val="000000" w:themeColor="text1"/>
                <w:sz w:val="21"/>
                <w:szCs w:val="21"/>
                <w14:textFill>
                  <w14:solidFill>
                    <w14:schemeClr w14:val="tx1"/>
                  </w14:solidFill>
                </w14:textFill>
              </w:rPr>
              <w:t>30</w:t>
            </w:r>
            <w:r>
              <w:rPr>
                <w:rFonts w:hint="eastAsia" w:ascii="宋体" w:hAnsi="宋体" w:cs="宋体"/>
                <w:color w:val="000000" w:themeColor="text1"/>
                <w:sz w:val="21"/>
                <w:szCs w:val="21"/>
                <w14:textFill>
                  <w14:solidFill>
                    <w14:schemeClr w14:val="tx1"/>
                  </w14:solidFill>
                </w14:textFill>
              </w:rPr>
              <w:t>秒</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化学发光：26秒，1分01秒</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17</w:t>
            </w:r>
            <w:r>
              <w:rPr>
                <w:rFonts w:hint="eastAsia" w:ascii="宋体" w:hAnsi="宋体" w:cs="宋体"/>
                <w:color w:val="000000" w:themeColor="text1"/>
                <w:sz w:val="21"/>
                <w:szCs w:val="21"/>
                <w14:textFill>
                  <w14:solidFill>
                    <w14:schemeClr w14:val="tx1"/>
                  </w14:solidFill>
                </w14:textFill>
              </w:rPr>
              <w:t>、可选注射器模块：</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17</w:t>
            </w:r>
            <w:r>
              <w:rPr>
                <w:rFonts w:hint="eastAsia" w:ascii="宋体" w:hAnsi="宋体" w:cs="宋体"/>
                <w:color w:val="000000" w:themeColor="text1"/>
                <w:sz w:val="21"/>
                <w:szCs w:val="21"/>
                <w14:textFill>
                  <w14:solidFill>
                    <w14:schemeClr w14:val="tx1"/>
                  </w14:solidFill>
                </w14:textFill>
              </w:rPr>
              <w:t>.1、注射器通道：内置双通道</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17</w:t>
            </w:r>
            <w:r>
              <w:rPr>
                <w:rFonts w:hint="eastAsia" w:ascii="宋体" w:hAnsi="宋体" w:cs="宋体"/>
                <w:color w:val="000000" w:themeColor="text1"/>
                <w:sz w:val="21"/>
                <w:szCs w:val="21"/>
                <w14:textFill>
                  <w14:solidFill>
                    <w14:schemeClr w14:val="tx1"/>
                  </w14:solidFill>
                </w14:textFill>
              </w:rPr>
              <w:t>.2、支持的模式：ABS, FI和Lumi</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17</w:t>
            </w:r>
            <w:r>
              <w:rPr>
                <w:rFonts w:hint="eastAsia" w:ascii="宋体" w:hAnsi="宋体" w:cs="宋体"/>
                <w:color w:val="000000" w:themeColor="text1"/>
                <w:sz w:val="21"/>
                <w:szCs w:val="21"/>
                <w14:textFill>
                  <w14:solidFill>
                    <w14:schemeClr w14:val="tx1"/>
                  </w14:solidFill>
                </w14:textFill>
              </w:rPr>
              <w:t>.3、分液准确性：≤ 0.5% @450 μl</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17</w:t>
            </w:r>
            <w:r>
              <w:rPr>
                <w:rFonts w:hint="eastAsia" w:ascii="宋体" w:hAnsi="宋体" w:cs="宋体"/>
                <w:color w:val="000000" w:themeColor="text1"/>
                <w:sz w:val="21"/>
                <w:szCs w:val="21"/>
                <w14:textFill>
                  <w14:solidFill>
                    <w14:schemeClr w14:val="tx1"/>
                  </w14:solidFill>
                </w14:textFill>
              </w:rPr>
              <w:t>.4、分液精确性：&lt;0.5% @450 μl</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17</w:t>
            </w:r>
            <w:r>
              <w:rPr>
                <w:rFonts w:hint="eastAsia" w:ascii="宋体" w:hAnsi="宋体" w:cs="宋体"/>
                <w:color w:val="000000" w:themeColor="text1"/>
                <w:sz w:val="21"/>
                <w:szCs w:val="21"/>
                <w14:textFill>
                  <w14:solidFill>
                    <w14:schemeClr w14:val="tx1"/>
                  </w14:solidFill>
                </w14:textFill>
              </w:rPr>
              <w:t xml:space="preserve">.5、死体积：管路体积: </w:t>
            </w:r>
            <w:r>
              <w:rPr>
                <w:rFonts w:ascii="宋体" w:hAnsi="宋体" w:cs="宋体"/>
                <w:color w:val="000000" w:themeColor="text1"/>
                <w:sz w:val="21"/>
                <w:szCs w:val="21"/>
                <w14:textFill>
                  <w14:solidFill>
                    <w14:schemeClr w14:val="tx1"/>
                  </w14:solidFill>
                </w14:textFill>
              </w:rPr>
              <w:t>10</w:t>
            </w:r>
            <w:r>
              <w:rPr>
                <w:rFonts w:hint="eastAsia" w:ascii="宋体" w:hAnsi="宋体" w:cs="宋体"/>
                <w:color w:val="000000" w:themeColor="text1"/>
                <w:sz w:val="21"/>
                <w:szCs w:val="21"/>
                <w14:textFill>
                  <w14:solidFill>
                    <w14:schemeClr w14:val="tx1"/>
                  </w14:solidFill>
                </w14:textFill>
              </w:rPr>
              <w:t>0 μL；回流死体积：&lt; 10 μL</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18</w:t>
            </w:r>
            <w:r>
              <w:rPr>
                <w:rFonts w:hint="eastAsia" w:ascii="宋体" w:hAnsi="宋体" w:cs="宋体"/>
                <w:color w:val="000000" w:themeColor="text1"/>
                <w:sz w:val="21"/>
                <w:szCs w:val="21"/>
                <w14:textFill>
                  <w14:solidFill>
                    <w14:schemeClr w14:val="tx1"/>
                  </w14:solidFill>
                </w14:textFill>
              </w:rPr>
              <w:t>、软件数据分析软件可自动进行数据的运算及存储；可完成图表曲线制作，并可完成坐标轴的自由定义和转换，21种曲线拟合方式；完成自编公式和程序的存储及运行；仪器的各种功能均可通过计算机控制完成；软件符合GLP/GMP规范要求，数据不得修改验证包、IQ/OQ/PQ验证手册可选），针对Windows 7 /Windows8/ Windows 10和Mac系统均兼容。</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数据导入支持：Excel或XML格式的外部数据导入功能，支持模板分组导入功能、支持多种模式（ABS\FI）检测导入到同一protocol，数据导出格式：excel、TXT和XML。</w:t>
            </w:r>
          </w:p>
          <w:p>
            <w:pPr>
              <w:widowControl/>
              <w:shd w:val="clear" w:color="auto" w:fill="FFFFFF"/>
              <w:adjustRightInd w:val="0"/>
              <w:snapToGrid w:val="0"/>
              <w:jc w:val="left"/>
              <w:rPr>
                <w:rFonts w:ascii="宋体" w:hAnsi="宋体" w:cs="宋体"/>
                <w:color w:val="000000" w:themeColor="text1"/>
                <w:sz w:val="21"/>
                <w:szCs w:val="21"/>
                <w:shd w:val="clear" w:color="auto" w:fill="FFFFFF"/>
                <w14:textFill>
                  <w14:solidFill>
                    <w14:schemeClr w14:val="tx1"/>
                  </w14:solidFill>
                </w14:textFill>
              </w:rPr>
            </w:pPr>
            <w:r>
              <w:rPr>
                <w:rFonts w:ascii="宋体" w:hAnsi="宋体" w:cs="宋体"/>
                <w:color w:val="000000" w:themeColor="text1"/>
                <w:sz w:val="21"/>
                <w:szCs w:val="21"/>
                <w:shd w:val="clear" w:color="auto" w:fill="FFFFFF"/>
                <w14:textFill>
                  <w14:solidFill>
                    <w14:schemeClr w14:val="tx1"/>
                  </w14:solidFill>
                </w14:textFill>
              </w:rPr>
              <w:t>4</w:t>
            </w:r>
            <w:r>
              <w:rPr>
                <w:rFonts w:hint="eastAsia" w:ascii="宋体" w:hAnsi="宋体" w:cs="宋体"/>
                <w:color w:val="000000" w:themeColor="text1"/>
                <w:sz w:val="21"/>
                <w:szCs w:val="21"/>
                <w:shd w:val="clear" w:color="auto" w:fill="FFFFFF"/>
                <w14:textFill>
                  <w14:solidFill>
                    <w14:schemeClr w14:val="tx1"/>
                  </w14:solidFill>
                </w14:textFill>
              </w:rPr>
              <w:t>基本配置：</w:t>
            </w:r>
          </w:p>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4.1酶标仪主机1套，配套工作站1套（处理器：Intel i5 6代以上；内存容量：4G以上；硬盘容量：500G以上，显卡：集成显卡，21寸显示）</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、可选件：</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、技术资料</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6.1 </w:t>
            </w:r>
            <w:r>
              <w:rPr>
                <w:rFonts w:hint="eastAsia" w:ascii="宋体" w:hAnsi="宋体"/>
                <w:color w:val="000000" w:themeColor="text1"/>
                <w:sz w:val="21"/>
                <w:szCs w:val="21"/>
                <w14:textFill>
                  <w14:solidFill>
                    <w14:schemeClr w14:val="tx1"/>
                  </w14:solidFill>
                </w14:textFill>
              </w:rPr>
              <w:t>操作及维护说明书</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6.2 </w:t>
            </w:r>
            <w:r>
              <w:rPr>
                <w:rFonts w:hint="eastAsia" w:ascii="宋体" w:hAnsi="宋体"/>
                <w:color w:val="000000" w:themeColor="text1"/>
                <w:sz w:val="21"/>
                <w:szCs w:val="21"/>
                <w14:textFill>
                  <w14:solidFill>
                    <w14:schemeClr w14:val="tx1"/>
                  </w14:solidFill>
                </w14:textFill>
              </w:rPr>
              <w:t>装箱清单及质量保证书</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、售后服务与培训</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免费安装调试</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7.3 </w:t>
            </w:r>
            <w:r>
              <w:rPr>
                <w:rFonts w:hint="eastAsia" w:ascii="宋体" w:hAnsi="宋体"/>
                <w:color w:val="000000" w:themeColor="text1"/>
                <w:sz w:val="21"/>
                <w:szCs w:val="21"/>
                <w14:textFill>
                  <w14:solidFill>
                    <w14:schemeClr w14:val="tx1"/>
                  </w14:solidFill>
                </w14:textFill>
              </w:rPr>
              <w:t>设备终身维修</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spacing w:line="288"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7</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高速冷冻离心机</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1、货物名称：高速冷冻离心机</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、主要用途：主要用于实验室反应液混匀离心、核酸提取、细菌、酵母等的菌液收集、细胞收集，血液离心以及工作板离心。</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、工作条件：</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3.1 </w:t>
            </w:r>
            <w:r>
              <w:rPr>
                <w:rFonts w:hint="eastAsia" w:ascii="宋体" w:hAnsi="宋体"/>
                <w:color w:val="000000" w:themeColor="text1"/>
                <w:sz w:val="21"/>
                <w:szCs w:val="21"/>
                <w14:textFill>
                  <w14:solidFill>
                    <w14:schemeClr w14:val="tx1"/>
                  </w14:solidFill>
                </w14:textFill>
              </w:rPr>
              <w:t>见《通用技术要求》；</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3.2 </w:t>
            </w:r>
            <w:r>
              <w:rPr>
                <w:rFonts w:hint="eastAsia" w:ascii="宋体" w:hAnsi="宋体"/>
                <w:color w:val="000000" w:themeColor="text1"/>
                <w:sz w:val="21"/>
                <w:szCs w:val="21"/>
                <w14:textFill>
                  <w14:solidFill>
                    <w14:schemeClr w14:val="tx1"/>
                  </w14:solidFill>
                </w14:textFill>
              </w:rPr>
              <w:t>工作时间：连续工作</w:t>
            </w:r>
            <w:r>
              <w:rPr>
                <w:rFonts w:hint="eastAsia" w:ascii="宋体" w:hAnsi="宋体" w:cs="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小时以上；</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3.3 </w:t>
            </w:r>
            <w:r>
              <w:rPr>
                <w:rFonts w:hint="eastAsia" w:ascii="宋体" w:hAnsi="宋体"/>
                <w:color w:val="000000" w:themeColor="text1"/>
                <w:sz w:val="21"/>
                <w:szCs w:val="21"/>
                <w14:textFill>
                  <w14:solidFill>
                    <w14:schemeClr w14:val="tx1"/>
                  </w14:solidFill>
                </w14:textFill>
              </w:rPr>
              <w:t>操作环境的温度应保持在</w:t>
            </w:r>
            <w:r>
              <w:rPr>
                <w:rFonts w:hint="eastAsia" w:ascii="宋体" w:hAnsi="宋体" w:cs="宋体"/>
                <w:color w:val="000000" w:themeColor="text1"/>
                <w:sz w:val="21"/>
                <w:szCs w:val="21"/>
                <w14:textFill>
                  <w14:solidFill>
                    <w14:schemeClr w14:val="tx1"/>
                  </w14:solidFill>
                </w14:textFill>
              </w:rPr>
              <w:t xml:space="preserve"> 15</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30</w:t>
            </w:r>
            <w:r>
              <w:rPr>
                <w:rFonts w:hint="eastAsia" w:ascii="宋体" w:hAnsi="宋体"/>
                <w:color w:val="000000" w:themeColor="text1"/>
                <w:sz w:val="21"/>
                <w:szCs w:val="21"/>
                <w14:textFill>
                  <w14:solidFill>
                    <w14:schemeClr w14:val="tx1"/>
                  </w14:solidFill>
                </w14:textFill>
              </w:rPr>
              <w:t>℃之间。</w:t>
            </w:r>
          </w:p>
          <w:p>
            <w:pPr>
              <w:adjustRightInd w:val="0"/>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、技术指标：</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.1、最高转速≥15</w:t>
            </w:r>
            <w:r>
              <w:rPr>
                <w:rFonts w:ascii="宋体" w:hAnsi="宋体" w:cs="宋体"/>
                <w:color w:val="000000" w:themeColor="text1"/>
                <w:sz w:val="21"/>
                <w:szCs w:val="21"/>
                <w14:textFill>
                  <w14:solidFill>
                    <w14:schemeClr w14:val="tx1"/>
                  </w14:solidFill>
                </w14:textFill>
              </w:rPr>
              <w:t>0</w:t>
            </w:r>
            <w:r>
              <w:rPr>
                <w:rFonts w:hint="eastAsia" w:ascii="宋体" w:hAnsi="宋体" w:cs="宋体"/>
                <w:color w:val="000000" w:themeColor="text1"/>
                <w:sz w:val="21"/>
                <w:szCs w:val="21"/>
                <w14:textFill>
                  <w14:solidFill>
                    <w14:schemeClr w14:val="tx1"/>
                  </w14:solidFill>
                </w14:textFill>
              </w:rPr>
              <w:t>00转/分；</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.2、转速设定精度1转/分；</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.3、最大离心力≥</w:t>
            </w: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5</w:t>
            </w:r>
            <w:r>
              <w:rPr>
                <w:rFonts w:ascii="宋体" w:hAnsi="宋体" w:cs="宋体"/>
                <w:color w:val="000000" w:themeColor="text1"/>
                <w:sz w:val="21"/>
                <w:szCs w:val="21"/>
                <w14:textFill>
                  <w14:solidFill>
                    <w14:schemeClr w14:val="tx1"/>
                  </w14:solidFill>
                </w14:textFill>
              </w:rPr>
              <w:t>000</w:t>
            </w:r>
            <w:r>
              <w:rPr>
                <w:rFonts w:hint="eastAsia" w:ascii="宋体" w:hAnsi="宋体" w:cs="宋体"/>
                <w:color w:val="000000" w:themeColor="text1"/>
                <w:sz w:val="21"/>
                <w:szCs w:val="21"/>
                <w14:textFill>
                  <w14:solidFill>
                    <w14:schemeClr w14:val="tx1"/>
                  </w14:solidFill>
                </w14:textFill>
              </w:rPr>
              <w:t>×g；</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.4、最大离心容量 水平转子4×1000ml，角转子 6×250ml，通用吊篮设计，可同时离心工作板和离心管，无需购买单独的工作板吊篮；</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.5、驱动系统</w:t>
            </w:r>
            <w:r>
              <w:rPr>
                <w:rFonts w:hint="eastAsia" w:asciiTheme="minorEastAsia" w:hAnsiTheme="minorEastAsia" w:eastAsiaTheme="minorEastAsia"/>
                <w:sz w:val="21"/>
                <w:szCs w:val="21"/>
              </w:rPr>
              <w:t>无碳刷大力矩电机直接驱动；</w:t>
            </w:r>
            <w:r>
              <w:rPr>
                <w:rFonts w:hint="eastAsia" w:ascii="宋体" w:hAnsi="宋体" w:cs="宋体"/>
                <w:color w:val="000000" w:themeColor="text1"/>
                <w:sz w:val="21"/>
                <w:szCs w:val="21"/>
                <w14:textFill>
                  <w14:solidFill>
                    <w14:schemeClr w14:val="tx1"/>
                  </w14:solidFill>
                </w14:textFill>
              </w:rPr>
              <w:t>；</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.6、</w:t>
            </w:r>
            <w:r>
              <w:rPr>
                <w:rFonts w:hint="eastAsia" w:asciiTheme="minorEastAsia" w:hAnsiTheme="minorEastAsia" w:eastAsiaTheme="minorEastAsia"/>
                <w:sz w:val="21"/>
                <w:szCs w:val="21"/>
              </w:rPr>
              <w:t>微处理器控制系统，全彩色触摸屏，让操作和运行一目了然</w:t>
            </w:r>
            <w:r>
              <w:rPr>
                <w:rFonts w:hint="eastAsia" w:ascii="宋体" w:hAnsi="宋体" w:cs="宋体"/>
                <w:color w:val="000000" w:themeColor="text1"/>
                <w:sz w:val="21"/>
                <w:szCs w:val="21"/>
                <w14:textFill>
                  <w14:solidFill>
                    <w14:schemeClr w14:val="tx1"/>
                  </w14:solidFill>
                </w14:textFill>
              </w:rPr>
              <w:t>；</w:t>
            </w:r>
          </w:p>
          <w:p>
            <w:pPr>
              <w:adjustRightInd w:val="0"/>
              <w:snapToGrid w:val="0"/>
              <w:jc w:val="left"/>
              <w:rPr>
                <w:rFonts w:ascii="宋体" w:hAnsi="宋体" w:cs="宋体" w:eastAsiaTheme="minorEastAsia"/>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.7、</w:t>
            </w:r>
            <w:r>
              <w:rPr>
                <w:rFonts w:hint="eastAsia" w:asciiTheme="minorEastAsia" w:hAnsiTheme="minorEastAsia" w:eastAsiaTheme="minorEastAsia"/>
                <w:sz w:val="21"/>
                <w:szCs w:val="21"/>
              </w:rPr>
              <w:t>运行时间控制:最长99小时59分59秒；采用连续和定制式脉冲模式；</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.8、加/减速选择9加速/9减速；</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.9、温度控制范围 从 -10 到 +40 度；</w:t>
            </w:r>
          </w:p>
          <w:p>
            <w:pPr>
              <w:adjustRightInd w:val="0"/>
              <w:snapToGrid w:val="0"/>
              <w:jc w:val="left"/>
              <w:rPr>
                <w:rFonts w:ascii="宋体" w:hAnsi="宋体" w:cs="宋体" w:eastAsiaTheme="minorEastAsia"/>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.10、程序</w:t>
            </w:r>
            <w:r>
              <w:rPr>
                <w:rFonts w:hint="eastAsia" w:asciiTheme="minorEastAsia" w:hAnsiTheme="minorEastAsia" w:eastAsiaTheme="minorEastAsia"/>
                <w:sz w:val="21"/>
                <w:szCs w:val="21"/>
              </w:rPr>
              <w:t>可存储100个程序，每个程序可以进行多步骤程序设定；</w:t>
            </w:r>
          </w:p>
          <w:p>
            <w:pPr>
              <w:rPr>
                <w:rFonts w:asciiTheme="minorEastAsia" w:hAnsiTheme="minorEastAsia" w:eastAsiaTheme="minorEastAsia"/>
                <w:sz w:val="21"/>
                <w:szCs w:val="21"/>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.11、</w:t>
            </w:r>
            <w:r>
              <w:rPr>
                <w:rFonts w:hint="eastAsia" w:asciiTheme="minorEastAsia" w:hAnsiTheme="minorEastAsia" w:eastAsiaTheme="minorEastAsia"/>
                <w:sz w:val="21"/>
                <w:szCs w:val="21"/>
              </w:rPr>
              <w:t>转头锁定系统：转头自锁，具有转头自动锁定装置，可以在3秒内实现转头的安全锁定、转头更换；生物安全性保证：可以单手操作，无需旋盖及搭扣，并可以确保密封；</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.12、不平衡监测；</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.13、防手指夹伤,防撞结构；</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.14、状态自诊断；</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.15、自动锁盖及内锁装置；</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w:t>
            </w:r>
            <w:r>
              <w:rPr>
                <w:rFonts w:ascii="宋体" w:hAnsi="宋体" w:cs="宋体"/>
                <w:color w:val="000000" w:themeColor="text1"/>
                <w:sz w:val="21"/>
                <w:szCs w:val="21"/>
                <w14:textFill>
                  <w14:solidFill>
                    <w14:schemeClr w14:val="tx1"/>
                  </w14:solidFill>
                </w14:textFill>
              </w:rPr>
              <w:t>6</w:t>
            </w:r>
            <w:r>
              <w:rPr>
                <w:rFonts w:hint="eastAsia" w:ascii="宋体" w:hAnsi="宋体" w:cs="宋体"/>
                <w:color w:val="000000" w:themeColor="text1"/>
                <w:sz w:val="21"/>
                <w:szCs w:val="21"/>
                <w14:textFill>
                  <w14:solidFill>
                    <w14:schemeClr w14:val="tx1"/>
                  </w14:solidFill>
                </w14:textFill>
              </w:rPr>
              <w:t>、整机质保2年，压缩机及转子质保5年；</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.1</w:t>
            </w:r>
            <w:r>
              <w:rPr>
                <w:rFonts w:ascii="宋体" w:hAnsi="宋体" w:cs="宋体"/>
                <w:color w:val="000000" w:themeColor="text1"/>
                <w:sz w:val="21"/>
                <w:szCs w:val="21"/>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、可以通过 USB 端口提取所有运行，警报，健康状况数据，以获取正确的文档；</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18</w:t>
            </w:r>
            <w:r>
              <w:rPr>
                <w:rFonts w:hint="eastAsia" w:ascii="宋体" w:hAnsi="宋体" w:cs="宋体"/>
                <w:color w:val="000000" w:themeColor="text1"/>
                <w:sz w:val="21"/>
                <w:szCs w:val="21"/>
                <w14:textFill>
                  <w14:solidFill>
                    <w14:schemeClr w14:val="tx1"/>
                  </w14:solidFill>
                </w14:textFill>
              </w:rPr>
              <w:t>、具有语言选择，可选择在离心结束时声音提醒功能和状态提示功能，可选择显示离心腔温度或样品温度，可同时显示设定参数及实际运行参数，可设定腔门开启保护密码；</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19</w:t>
            </w:r>
            <w:r>
              <w:rPr>
                <w:rFonts w:hint="eastAsia" w:ascii="宋体" w:hAnsi="宋体" w:cs="宋体"/>
                <w:color w:val="000000" w:themeColor="text1"/>
                <w:sz w:val="21"/>
                <w:szCs w:val="21"/>
                <w14:textFill>
                  <w14:solidFill>
                    <w14:schemeClr w14:val="tx1"/>
                  </w14:solidFill>
                </w14:textFill>
              </w:rPr>
              <w:t>、噪音 &lt;</w:t>
            </w: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5 dB。</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5、基本配置：</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5.1离心机：1台；</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5.2 30*1.5ml角孔转子1个；</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5.3 4×1000ml水平转子1套；</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5.4 15 mL/50 mL 锥形管和工作板适配器1套（可同时离心机40个50ml离心管或96个15ml离心管或24块标准板）；</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5.5 6*250ml角转1套 ；</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5.6 15ml/50ml适配器1套；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、可选件：无。</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8</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马弗炉</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1、货物名称：马弗炉</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2、主要用途：用于样品灰化等。</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3、工作条件：</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3.1环境温度15℃—40℃，</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3.2工作电压：200V-240V，50Hz—60Hz。</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4、技术指标：</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2.1、陶瓷纤维保温层：快速升/降温，加快用户处理多批次样品的速度；</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2.2、并提高热辐射的效率，增加炉腔内温度的均一性，减少能量消耗和增强应对高热量的弹性；</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2.3、高效率保温层内置加热元件；</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2.4、双侧外壳设计保护使用者安全，减少能耗；</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2.5、侧开门方便操作并增加空间利用率；</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2.6、顶部排气孔（直径1 英寸）和后部进气孔（直径0.375 英寸）用于通惰性气体，炉门处会有泄漏；</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2.7、开关位于控制面板，便于操作；</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2.8、炉门安全开关，打开炉门的同时切断加热电源，保护加热元件和操作者的安全；</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2.9、带有可调节超温保护功能；</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2.10、还可控制升温速率防止过热；</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2.11、具有绝缘和加热元件降低炉体外表面温度，同时确保了腔体内温度均一性；</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2.12、炉腔容积：不低于42.5L；</w:t>
            </w:r>
          </w:p>
          <w:p>
            <w:pPr>
              <w:widowControl/>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2.13、控制器类型：一体化数字型多段程序温度控制器；</w:t>
            </w:r>
          </w:p>
          <w:p>
            <w:pPr>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2.14、控温范围：不少于100-1100℃；</w:t>
            </w:r>
          </w:p>
          <w:p>
            <w:pPr>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5、基本配置：</w:t>
            </w:r>
          </w:p>
          <w:p>
            <w:pPr>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5.1马弗炉主机1台.</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、可选件：无。</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9</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旋转蒸发仪</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1、货物名称：旋转蒸发仪</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2、主要用途：用于农产品中农药残留、生物毒素等物质的浓缩、溶剂转化等</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3、工作条件：工作电压220V，50Hz，</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4、技术指标：</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 转速5~300rpm可调，最低转速不高于5rpm，数字显示；</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 带人体感应器和锁定键的升降把手，左右手两边都有解锁按键，升降行程120mm。下降终点有固定的60mm安全距离，防止碰撞；</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.3. 直流无刷马达，头部角度可调0-45°，使用方便，寿命长；</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.4. PTFE抗腐蚀材质密封圈，安装方便，经久耐用；</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.5. 三层冷凝管设计，全部可通冷却液，全方位冷凝。冷凝面积不低于1500cm2；</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.6. 可平稳启动，转速100RPM，有效防止热水泼溅；</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.7. 配置真空缓冲回流瓶，有效保护真空泵；</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.8. 加热锅可外延140mm，无需任何额外配件可实现连接转换接头或4L大体积蒸馏；</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.9. 专用退瓶夹扣一体化设计，轻松取下和固定蒸发瓶；</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.10. 电源中断时，蒸发瓶将自动提升至加热锅以上位置，保护样品，防止爆沸；</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.11. 加热锅温度数字显示，控温范围：RT-180℃，全量程温度范围内控制精度 ±1 ℃，加热功率1350W；</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.12.加热锅带锁定功能键，避免误操作；</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.13.加热锅安全温度调节范围：50~190°C，非固定安全温度，可根据实际应用调节；</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.14. 加热锅底部采用椭圆形设计，快速升温，有效缩短实验前期的等待时间，最大程度利用有效容积。加热锅可以单独使用，水油浴一体；</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.15. 蒸发管具有双重锁定保护，未安全锁定状态下，会有红色标识；</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5、基本配置：</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5.1旋转蒸发仪主机1台；</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5.2玻璃组件：冷凝管，1L接收瓶和1L蒸发瓶1套；</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5.3数字显示加热锅1套.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、可选件：无。</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10</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氮吹仪</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套</w:t>
            </w:r>
          </w:p>
        </w:tc>
        <w:tc>
          <w:tcPr>
            <w:tcW w:w="6269"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1、货物名称：氮吹仪</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2、主要用途：用于农产品中农药残留、生物毒素等物质的浓缩；</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3、工作条件：工作电压220V，50Hz；</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4、技术指标：</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.1.样品位数≥12位；最大功率500W；</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.2.容纳样品试管直径范围≥10～30mm、样品容量范围≥1～50ml；</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.3气体流量范围≥0-10L/min；</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.4气体输入压力范围≥30～150psi，气体输出压力范围≥0～30psi；</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.水浴温度控制范围≥室温～130℃；±1℃；</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.圆周型样品支架，可旋转，底部装有环型弹簧支撑装置，可升降支架进出，可同时使用氮气或空气吹扫样品表面，适用于试管、锥形瓶、离心管等；</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氮气消耗量≤330ml/min/样品；</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.带针阀的气体流量计，可控制气体消耗量；</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每个位置上都带有一个针形阀，可分别调节各个位置上的气体流量；</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0</w:t>
            </w:r>
            <w:r>
              <w:rPr>
                <w:rFonts w:hint="eastAsia" w:ascii="宋体" w:hAnsi="宋体"/>
                <w:color w:val="000000" w:themeColor="text1"/>
                <w:sz w:val="21"/>
                <w:szCs w:val="21"/>
                <w14:textFill>
                  <w14:solidFill>
                    <w14:schemeClr w14:val="tx1"/>
                  </w14:solidFill>
                </w14:textFill>
              </w:rPr>
              <w:t>.针：不锈钢材质（可更换）；</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.所有部件均为实验室级，可耐受有机溶剂；</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5、基本配置：</w:t>
            </w:r>
          </w:p>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 氮吹仪主机((包含：底座、支架装置、样品架、气体分配系统、试管夹、支撑盘</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1件；</w:t>
            </w:r>
          </w:p>
          <w:p>
            <w:pPr>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5.2 水浴锅1件。</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、可选件：无。</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、技术资料</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7.1 </w:t>
            </w:r>
            <w:r>
              <w:rPr>
                <w:rFonts w:hint="eastAsia" w:ascii="宋体" w:hAnsi="宋体"/>
                <w:color w:val="000000" w:themeColor="text1"/>
                <w:sz w:val="21"/>
                <w:szCs w:val="21"/>
                <w14:textFill>
                  <w14:solidFill>
                    <w14:schemeClr w14:val="tx1"/>
                  </w14:solidFill>
                </w14:textFill>
              </w:rPr>
              <w:t>操作及维护说明书；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7.2 </w:t>
            </w:r>
            <w:r>
              <w:rPr>
                <w:rFonts w:hint="eastAsia" w:ascii="宋体" w:hAnsi="宋体"/>
                <w:color w:val="000000" w:themeColor="text1"/>
                <w:sz w:val="21"/>
                <w:szCs w:val="21"/>
                <w14:textFill>
                  <w14:solidFill>
                    <w14:schemeClr w14:val="tx1"/>
                  </w14:solidFill>
                </w14:textFill>
              </w:rPr>
              <w:t>装箱清单及质量保证书；</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、售后服务与培训</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8.1 </w:t>
            </w:r>
            <w:r>
              <w:rPr>
                <w:rFonts w:hint="eastAsia" w:ascii="宋体" w:hAnsi="宋体"/>
                <w:color w:val="000000" w:themeColor="text1"/>
                <w:sz w:val="21"/>
                <w:szCs w:val="21"/>
                <w14:textFill>
                  <w14:solidFill>
                    <w14:schemeClr w14:val="tx1"/>
                  </w14:solidFill>
                </w14:textFill>
              </w:rPr>
              <w:t>免费安装调试；</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8.2 </w:t>
            </w:r>
            <w:r>
              <w:rPr>
                <w:rFonts w:hint="eastAsia" w:ascii="宋体" w:hAnsi="宋体"/>
                <w:color w:val="000000" w:themeColor="text1"/>
                <w:sz w:val="21"/>
                <w:szCs w:val="21"/>
                <w14:textFill>
                  <w14:solidFill>
                    <w14:schemeClr w14:val="tx1"/>
                  </w14:solidFill>
                </w14:textFill>
              </w:rPr>
              <w:t>设备整机保修</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年，质保期自安装调试完成经用户确认合格次日起算；</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8.3 </w:t>
            </w:r>
            <w:r>
              <w:rPr>
                <w:rFonts w:hint="eastAsia" w:ascii="宋体" w:hAnsi="宋体"/>
                <w:color w:val="000000" w:themeColor="text1"/>
                <w:sz w:val="21"/>
                <w:szCs w:val="21"/>
                <w14:textFill>
                  <w14:solidFill>
                    <w14:schemeClr w14:val="tx1"/>
                  </w14:solidFill>
                </w14:textFill>
              </w:rPr>
              <w:t>设备终身维修；</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8.4 </w:t>
            </w:r>
            <w:r>
              <w:rPr>
                <w:rFonts w:hint="eastAsia" w:ascii="宋体" w:hAnsi="宋体"/>
                <w:color w:val="000000" w:themeColor="text1"/>
                <w:sz w:val="21"/>
                <w:szCs w:val="21"/>
                <w14:textFill>
                  <w14:solidFill>
                    <w14:schemeClr w14:val="tx1"/>
                  </w14:solidFill>
                </w14:textFill>
              </w:rPr>
              <w:t>保修期内免费升级软件，同类机型的软件升级国内外应同步；</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8.5 </w:t>
            </w:r>
            <w:r>
              <w:rPr>
                <w:rFonts w:hint="eastAsia" w:ascii="宋体" w:hAnsi="宋体"/>
                <w:color w:val="000000" w:themeColor="text1"/>
                <w:sz w:val="21"/>
                <w:szCs w:val="21"/>
                <w14:textFill>
                  <w14:solidFill>
                    <w14:schemeClr w14:val="tx1"/>
                  </w14:solidFill>
                </w14:textFill>
              </w:rPr>
              <w:t>中标人对售后服务的需求必须在</w:t>
            </w:r>
            <w:r>
              <w:rPr>
                <w:rFonts w:ascii="宋体" w:hAnsi="宋体"/>
                <w:color w:val="000000" w:themeColor="text1"/>
                <w:sz w:val="21"/>
                <w:szCs w:val="21"/>
                <w14:textFill>
                  <w14:solidFill>
                    <w14:schemeClr w14:val="tx1"/>
                  </w14:solidFill>
                </w14:textFill>
              </w:rPr>
              <w:t>24</w:t>
            </w:r>
            <w:r>
              <w:rPr>
                <w:rFonts w:hint="eastAsia" w:ascii="宋体" w:hAnsi="宋体"/>
                <w:color w:val="000000" w:themeColor="text1"/>
                <w:sz w:val="21"/>
                <w:szCs w:val="21"/>
                <w14:textFill>
                  <w14:solidFill>
                    <w14:schemeClr w14:val="tx1"/>
                  </w14:solidFill>
                </w14:textFill>
              </w:rPr>
              <w:t>小时答复，在</w:t>
            </w:r>
            <w:r>
              <w:rPr>
                <w:rFonts w:ascii="宋体" w:hAnsi="宋体"/>
                <w:color w:val="000000" w:themeColor="text1"/>
                <w:sz w:val="21"/>
                <w:szCs w:val="21"/>
                <w14:textFill>
                  <w14:solidFill>
                    <w14:schemeClr w14:val="tx1"/>
                  </w14:solidFill>
                </w14:textFill>
              </w:rPr>
              <w:t>48</w:t>
            </w:r>
            <w:r>
              <w:rPr>
                <w:rFonts w:hint="eastAsia" w:ascii="宋体" w:hAnsi="宋体"/>
                <w:color w:val="000000" w:themeColor="text1"/>
                <w:sz w:val="21"/>
                <w:szCs w:val="21"/>
                <w14:textFill>
                  <w14:solidFill>
                    <w14:schemeClr w14:val="tx1"/>
                  </w14:solidFill>
                </w14:textFill>
              </w:rPr>
              <w:t>小时内提供技术服务；</w:t>
            </w:r>
          </w:p>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8.6 </w:t>
            </w:r>
            <w:r>
              <w:rPr>
                <w:rFonts w:hint="eastAsia" w:ascii="宋体" w:hAnsi="宋体"/>
                <w:color w:val="000000" w:themeColor="text1"/>
                <w:sz w:val="21"/>
                <w:szCs w:val="21"/>
                <w14:textFill>
                  <w14:solidFill>
                    <w14:schemeClr w14:val="tx1"/>
                  </w14:solidFill>
                </w14:textFill>
              </w:rPr>
              <w:t>中标人长期为采购人提供备件采购和供应服务；</w:t>
            </w:r>
          </w:p>
          <w:p>
            <w:pPr>
              <w:adjustRightInd w:val="0"/>
              <w:snapToGrid w:val="0"/>
              <w:jc w:val="left"/>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8.7 </w:t>
            </w:r>
            <w:r>
              <w:rPr>
                <w:rFonts w:hint="eastAsia" w:ascii="宋体" w:hAnsi="宋体"/>
                <w:color w:val="000000" w:themeColor="text1"/>
                <w:sz w:val="21"/>
                <w:szCs w:val="21"/>
                <w14:textFill>
                  <w14:solidFill>
                    <w14:schemeClr w14:val="tx1"/>
                  </w14:solidFill>
                </w14:textFill>
              </w:rPr>
              <w:t>免费培训</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人至能完全独立操作。</w:t>
            </w:r>
          </w:p>
        </w:tc>
      </w:tr>
    </w:tbl>
    <w:p>
      <w:pPr>
        <w:adjustRightInd w:val="0"/>
        <w:snapToGrid w:val="0"/>
        <w:rPr>
          <w:rFonts w:ascii="宋体" w:hAnsi="宋体"/>
          <w:b/>
          <w:bCs/>
          <w:sz w:val="21"/>
          <w:szCs w:val="21"/>
        </w:rPr>
      </w:pPr>
    </w:p>
    <w:bookmarkEnd w:id="29"/>
    <w:p>
      <w:pPr>
        <w:adjustRightInd w:val="0"/>
        <w:snapToGrid w:val="0"/>
        <w:jc w:val="center"/>
        <w:outlineLvl w:val="1"/>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需提供的证明材料</w:t>
      </w:r>
    </w:p>
    <w:p>
      <w:pPr>
        <w:adjustRightInd w:val="0"/>
        <w:snapToGrid w:val="0"/>
        <w:jc w:val="center"/>
        <w:outlineLvl w:val="1"/>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（技术要求需提供的证明材料以此表为准，未提供证明材料或提供材料不符合技术要求均视为该指标负偏离）</w:t>
      </w:r>
    </w:p>
    <w:tbl>
      <w:tblPr>
        <w:tblStyle w:val="5"/>
        <w:tblW w:w="96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2551"/>
        <w:gridCol w:w="379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1418"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设备名称</w:t>
            </w:r>
          </w:p>
        </w:tc>
        <w:tc>
          <w:tcPr>
            <w:tcW w:w="2551"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证明材料名称</w:t>
            </w:r>
          </w:p>
        </w:tc>
        <w:tc>
          <w:tcPr>
            <w:tcW w:w="379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验证指标（每项为一指标项）</w:t>
            </w:r>
          </w:p>
        </w:tc>
        <w:tc>
          <w:tcPr>
            <w:tcW w:w="1134"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1</w:t>
            </w:r>
          </w:p>
        </w:tc>
        <w:tc>
          <w:tcPr>
            <w:tcW w:w="1418" w:type="dxa"/>
            <w:vMerge w:val="restart"/>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液相色谱-串联质谱仪</w:t>
            </w:r>
          </w:p>
        </w:tc>
        <w:tc>
          <w:tcPr>
            <w:tcW w:w="2551" w:type="dxa"/>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提供灵敏度测试报告文件作为证明</w:t>
            </w:r>
          </w:p>
        </w:tc>
        <w:tc>
          <w:tcPr>
            <w:tcW w:w="3799" w:type="dxa"/>
            <w:vAlign w:val="center"/>
          </w:tcPr>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 xml:space="preserve">20 </w:t>
            </w:r>
            <w:r>
              <w:rPr>
                <w:rFonts w:hint="eastAsia" w:ascii="宋体" w:hAnsi="宋体"/>
                <w:color w:val="000000" w:themeColor="text1"/>
                <w:sz w:val="21"/>
                <w:szCs w:val="21"/>
                <w14:textFill>
                  <w14:solidFill>
                    <w14:schemeClr w14:val="tx1"/>
                  </w14:solidFill>
                </w14:textFill>
              </w:rPr>
              <w:t>ESI源正离子方式：1pg 利血平，MRM（609-&gt;195）,信噪比S/N &gt;300000:1（RMS）</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2</w:t>
            </w:r>
          </w:p>
        </w:tc>
        <w:tc>
          <w:tcPr>
            <w:tcW w:w="1418" w:type="dxa"/>
            <w:vMerge w:val="continue"/>
            <w:vAlign w:val="center"/>
          </w:tcPr>
          <w:p>
            <w:pPr>
              <w:adjustRightInd w:val="0"/>
              <w:snapToGrid w:val="0"/>
              <w:jc w:val="center"/>
              <w:rPr>
                <w:rFonts w:ascii="宋体" w:hAnsi="宋体"/>
                <w:color w:val="000000" w:themeColor="text1"/>
                <w:sz w:val="21"/>
                <w:szCs w:val="21"/>
                <w14:textFill>
                  <w14:solidFill>
                    <w14:schemeClr w14:val="tx1"/>
                  </w14:solidFill>
                </w14:textFill>
              </w:rPr>
            </w:pPr>
          </w:p>
        </w:tc>
        <w:tc>
          <w:tcPr>
            <w:tcW w:w="2551" w:type="dxa"/>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提供灵敏度测试报告文件作为证明</w:t>
            </w:r>
          </w:p>
        </w:tc>
        <w:tc>
          <w:tcPr>
            <w:tcW w:w="3799" w:type="dxa"/>
            <w:vAlign w:val="center"/>
          </w:tcPr>
          <w:p>
            <w:pPr>
              <w:adjustRightInd w:val="0"/>
              <w:snapToGrid w:val="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4.1.21 </w:t>
            </w:r>
            <w:r>
              <w:rPr>
                <w:rFonts w:hint="eastAsia" w:ascii="宋体" w:hAnsi="宋体"/>
                <w:color w:val="000000" w:themeColor="text1"/>
                <w:sz w:val="21"/>
                <w:szCs w:val="21"/>
                <w14:textFill>
                  <w14:solidFill>
                    <w14:schemeClr w14:val="tx1"/>
                  </w14:solidFill>
                </w14:textFill>
              </w:rPr>
              <w:t>ESI负离子方式:1pg 氯霉素，MRM（321-&gt;152），信噪比&gt;300000:1 (RMS)</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bl>
    <w:p>
      <w:pPr>
        <w:adjustRightInd w:val="0"/>
        <w:snapToGrid w:val="0"/>
        <w:rPr>
          <w:rFonts w:ascii="宋体" w:hAnsi="宋体"/>
          <w:b/>
          <w:bCs/>
          <w:color w:val="000000" w:themeColor="text1"/>
          <w:sz w:val="21"/>
          <w:szCs w:val="21"/>
          <w14:textFill>
            <w14:solidFill>
              <w14:schemeClr w14:val="tx1"/>
            </w14:solidFill>
          </w14:textFill>
        </w:rPr>
      </w:pPr>
    </w:p>
    <w:tbl>
      <w:tblPr>
        <w:tblStyle w:val="5"/>
        <w:tblW w:w="96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2551"/>
        <w:gridCol w:w="379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1418"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设备名称</w:t>
            </w:r>
          </w:p>
        </w:tc>
        <w:tc>
          <w:tcPr>
            <w:tcW w:w="2551"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证明材料名称</w:t>
            </w:r>
          </w:p>
        </w:tc>
        <w:tc>
          <w:tcPr>
            <w:tcW w:w="379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验证指标（每项为一指标项）</w:t>
            </w:r>
          </w:p>
        </w:tc>
        <w:tc>
          <w:tcPr>
            <w:tcW w:w="1134"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1</w:t>
            </w:r>
          </w:p>
        </w:tc>
        <w:tc>
          <w:tcPr>
            <w:tcW w:w="1418" w:type="dxa"/>
            <w:vMerge w:val="restart"/>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气相色谱</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串联质谱仪</w:t>
            </w:r>
          </w:p>
        </w:tc>
        <w:tc>
          <w:tcPr>
            <w:tcW w:w="2551" w:type="dxa"/>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提供安装智能灯的柱箱内部图片证明。</w:t>
            </w:r>
          </w:p>
        </w:tc>
        <w:tc>
          <w:tcPr>
            <w:tcW w:w="3799" w:type="dxa"/>
            <w:vAlign w:val="center"/>
          </w:tcPr>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.1.11.具有一键设置柱温箱降温速率功能，可依据不同色谱柱自由设置降温速率，有效延长色谱柱使用寿命。柱温箱内置耐高温智能灯，柱箱门开启时自动点亮，照亮柱箱内空间方便安装和更换色谱柱；</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2</w:t>
            </w:r>
          </w:p>
        </w:tc>
        <w:tc>
          <w:tcPr>
            <w:tcW w:w="1418" w:type="dxa"/>
            <w:vMerge w:val="continue"/>
            <w:vAlign w:val="center"/>
          </w:tcPr>
          <w:p>
            <w:pPr>
              <w:adjustRightInd w:val="0"/>
              <w:snapToGrid w:val="0"/>
              <w:jc w:val="center"/>
              <w:rPr>
                <w:rFonts w:ascii="宋体" w:hAnsi="宋体"/>
                <w:b/>
                <w:color w:val="000000" w:themeColor="text1"/>
                <w:sz w:val="21"/>
                <w:szCs w:val="21"/>
                <w14:textFill>
                  <w14:solidFill>
                    <w14:schemeClr w14:val="tx1"/>
                  </w14:solidFill>
                </w14:textFill>
              </w:rPr>
            </w:pPr>
          </w:p>
        </w:tc>
        <w:tc>
          <w:tcPr>
            <w:tcW w:w="2551" w:type="dxa"/>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提供软件截图和采用横线速度分析样品的应用文章证明。</w:t>
            </w:r>
          </w:p>
        </w:tc>
        <w:tc>
          <w:tcPr>
            <w:tcW w:w="3799" w:type="dxa"/>
            <w:vAlign w:val="center"/>
          </w:tcPr>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.3.3.支持恒流，恒压，程序增加流速，程序升压及压力脉冲等操作模式，同时具有恒线速度控制功能；</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3</w:t>
            </w:r>
          </w:p>
        </w:tc>
        <w:tc>
          <w:tcPr>
            <w:tcW w:w="1418" w:type="dxa"/>
            <w:vMerge w:val="continue"/>
            <w:vAlign w:val="center"/>
          </w:tcPr>
          <w:p>
            <w:pPr>
              <w:adjustRightInd w:val="0"/>
              <w:snapToGrid w:val="0"/>
              <w:jc w:val="center"/>
              <w:rPr>
                <w:rFonts w:ascii="宋体" w:hAnsi="宋体"/>
                <w:color w:val="000000" w:themeColor="text1"/>
                <w:sz w:val="21"/>
                <w:szCs w:val="21"/>
                <w14:textFill>
                  <w14:solidFill>
                    <w14:schemeClr w14:val="tx1"/>
                  </w14:solidFill>
                </w14:textFill>
              </w:rPr>
            </w:pPr>
          </w:p>
        </w:tc>
        <w:tc>
          <w:tcPr>
            <w:tcW w:w="2551" w:type="dxa"/>
            <w:vAlign w:val="center"/>
          </w:tcPr>
          <w:p>
            <w:pPr>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提供“智能锁”技术的图片和视频证明材料</w:t>
            </w:r>
          </w:p>
        </w:tc>
        <w:tc>
          <w:tcPr>
            <w:tcW w:w="3799" w:type="dxa"/>
            <w:vAlign w:val="center"/>
          </w:tcPr>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.3.4.进样口标配智能锁功能，徒手无需任何工具1秒内即可完成进样口的打开或关闭，仪器自动感知最佳气密位置，大幅简化维护操作；</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4</w:t>
            </w:r>
          </w:p>
        </w:tc>
        <w:tc>
          <w:tcPr>
            <w:tcW w:w="1418" w:type="dxa"/>
            <w:vMerge w:val="continue"/>
            <w:vAlign w:val="center"/>
          </w:tcPr>
          <w:p>
            <w:pPr>
              <w:adjustRightInd w:val="0"/>
              <w:snapToGrid w:val="0"/>
              <w:jc w:val="center"/>
              <w:rPr>
                <w:rFonts w:ascii="宋体" w:hAnsi="宋体"/>
                <w:color w:val="000000" w:themeColor="text1"/>
                <w:sz w:val="21"/>
                <w:szCs w:val="21"/>
                <w14:textFill>
                  <w14:solidFill>
                    <w14:schemeClr w14:val="tx1"/>
                  </w14:solidFill>
                </w14:textFill>
              </w:rPr>
            </w:pPr>
          </w:p>
        </w:tc>
        <w:tc>
          <w:tcPr>
            <w:tcW w:w="2551" w:type="dxa"/>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提供“同时安装3个SPL进样口的安装位置图示”的证明材料</w:t>
            </w:r>
          </w:p>
        </w:tc>
        <w:tc>
          <w:tcPr>
            <w:tcW w:w="3799" w:type="dxa"/>
            <w:vAlign w:val="center"/>
          </w:tcPr>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1</w:t>
            </w:r>
            <w:r>
              <w:rPr>
                <w:rFonts w:hint="eastAsia" w:ascii="宋体" w:hAnsi="宋体"/>
                <w:color w:val="000000" w:themeColor="text1"/>
                <w:kern w:val="0"/>
                <w:sz w:val="21"/>
                <w:szCs w:val="21"/>
                <w14:textFill>
                  <w14:solidFill>
                    <w14:schemeClr w14:val="tx1"/>
                  </w14:solidFill>
                </w14:textFill>
              </w:rPr>
              <w:t>.3.12.仪器主机最多可同时安装3个SPL进样口。</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5</w:t>
            </w:r>
          </w:p>
        </w:tc>
        <w:tc>
          <w:tcPr>
            <w:tcW w:w="1418" w:type="dxa"/>
            <w:vMerge w:val="continue"/>
            <w:vAlign w:val="center"/>
          </w:tcPr>
          <w:p>
            <w:pPr>
              <w:adjustRightInd w:val="0"/>
              <w:snapToGrid w:val="0"/>
              <w:jc w:val="center"/>
              <w:rPr>
                <w:rFonts w:ascii="宋体" w:hAnsi="宋体"/>
                <w:color w:val="000000" w:themeColor="text1"/>
                <w:sz w:val="21"/>
                <w:szCs w:val="21"/>
                <w14:textFill>
                  <w14:solidFill>
                    <w14:schemeClr w14:val="tx1"/>
                  </w14:solidFill>
                </w14:textFill>
              </w:rPr>
            </w:pPr>
          </w:p>
        </w:tc>
        <w:tc>
          <w:tcPr>
            <w:tcW w:w="2551" w:type="dxa"/>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提供涡轮分子泵抽力的证明图片。</w:t>
            </w:r>
          </w:p>
        </w:tc>
        <w:tc>
          <w:tcPr>
            <w:tcW w:w="3799" w:type="dxa"/>
            <w:vAlign w:val="center"/>
          </w:tcPr>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.1.3.涡轮分子泵抽力＞390L/s；</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6</w:t>
            </w:r>
          </w:p>
        </w:tc>
        <w:tc>
          <w:tcPr>
            <w:tcW w:w="1418" w:type="dxa"/>
            <w:vMerge w:val="continue"/>
            <w:vAlign w:val="center"/>
          </w:tcPr>
          <w:p>
            <w:pPr>
              <w:adjustRightInd w:val="0"/>
              <w:snapToGrid w:val="0"/>
              <w:jc w:val="center"/>
              <w:rPr>
                <w:rFonts w:ascii="宋体" w:hAnsi="宋体"/>
                <w:b/>
                <w:color w:val="000000" w:themeColor="text1"/>
                <w:sz w:val="21"/>
                <w:szCs w:val="21"/>
                <w14:textFill>
                  <w14:solidFill>
                    <w14:schemeClr w14:val="tx1"/>
                  </w14:solidFill>
                </w14:textFill>
              </w:rPr>
            </w:pPr>
          </w:p>
        </w:tc>
        <w:tc>
          <w:tcPr>
            <w:tcW w:w="2551" w:type="dxa"/>
            <w:vAlign w:val="center"/>
          </w:tcPr>
          <w:p>
            <w:pPr>
              <w:adjustRightInd w:val="0"/>
              <w:snapToGrid w:val="0"/>
              <w:jc w:val="left"/>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提供仪器图片证明。</w:t>
            </w:r>
          </w:p>
        </w:tc>
        <w:tc>
          <w:tcPr>
            <w:tcW w:w="3799" w:type="dxa"/>
            <w:vAlign w:val="center"/>
          </w:tcPr>
          <w:p>
            <w:pPr>
              <w:adjustRightInd w:val="0"/>
              <w:snapToGrid w:val="0"/>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.3.2.预四极可转动，主四极杆可清洗打磨，有效抗污染，预四极杆要求为非S型，避免出现死体积点和污染点；</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djustRightInd w:val="0"/>
              <w:snapToGrid w:val="0"/>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7</w:t>
            </w:r>
          </w:p>
        </w:tc>
        <w:tc>
          <w:tcPr>
            <w:tcW w:w="1418" w:type="dxa"/>
            <w:vMerge w:val="continue"/>
            <w:vAlign w:val="center"/>
          </w:tcPr>
          <w:p>
            <w:pPr>
              <w:adjustRightInd w:val="0"/>
              <w:snapToGrid w:val="0"/>
              <w:jc w:val="center"/>
              <w:rPr>
                <w:rFonts w:ascii="宋体" w:hAnsi="宋体"/>
                <w:color w:val="000000" w:themeColor="text1"/>
                <w:sz w:val="21"/>
                <w:szCs w:val="21"/>
                <w14:textFill>
                  <w14:solidFill>
                    <w14:schemeClr w14:val="tx1"/>
                  </w14:solidFill>
                </w14:textFill>
              </w:rPr>
            </w:pPr>
          </w:p>
        </w:tc>
        <w:tc>
          <w:tcPr>
            <w:tcW w:w="2551" w:type="dxa"/>
            <w:vAlign w:val="center"/>
          </w:tcPr>
          <w:p>
            <w:pPr>
              <w:adjustRightInd w:val="0"/>
              <w:snapToGrid w:val="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提供采用“Scan/MRM同时扫描”和“Scan/Product Ion Scan同时扫描”分析样品的应用报告。</w:t>
            </w:r>
          </w:p>
        </w:tc>
        <w:tc>
          <w:tcPr>
            <w:tcW w:w="3799" w:type="dxa"/>
            <w:vAlign w:val="center"/>
          </w:tcPr>
          <w:p>
            <w:pPr>
              <w:adjustRightInd w:val="0"/>
              <w:snapToGrid w:val="0"/>
              <w:jc w:val="left"/>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.4.2.支持多种监测模式的同时扫描,例如Scan/MRM同时扫描、Scan/Product Ion Scan同时扫描等等，获得高灵敏度定量数据的同时不丢失化合物的质谱信息（最大程度的减小高速扫描时数据灵敏度下降和质谱图正确性下降的问题）</w:t>
            </w:r>
            <w:r>
              <w:rPr>
                <w:rFonts w:hint="eastAsia" w:ascii="宋体" w:hAnsi="宋体" w:cs="宋体"/>
                <w:color w:val="000000" w:themeColor="text1"/>
                <w:sz w:val="21"/>
                <w:szCs w:val="21"/>
                <w14:textFill>
                  <w14:solidFill>
                    <w14:schemeClr w14:val="tx1"/>
                  </w14:solidFill>
                </w14:textFill>
              </w:rPr>
              <w:t>。</w:t>
            </w:r>
          </w:p>
        </w:tc>
        <w:tc>
          <w:tcPr>
            <w:tcW w:w="1134" w:type="dxa"/>
            <w:vAlign w:val="center"/>
          </w:tcPr>
          <w:p>
            <w:pPr>
              <w:tabs>
                <w:tab w:val="left" w:pos="312"/>
              </w:tabs>
              <w:adjustRightInd w:val="0"/>
              <w:snapToGrid w:val="0"/>
              <w:jc w:val="center"/>
              <w:rPr>
                <w:rFonts w:ascii="宋体" w:hAnsi="宋体" w:cs="Segoe UI Emoji"/>
                <w:color w:val="000000" w:themeColor="text1"/>
                <w:sz w:val="21"/>
                <w:szCs w:val="21"/>
                <w14:textFill>
                  <w14:solidFill>
                    <w14:schemeClr w14:val="tx1"/>
                  </w14:solidFill>
                </w14:textFill>
              </w:rPr>
            </w:pPr>
          </w:p>
        </w:tc>
      </w:tr>
    </w:tbl>
    <w:p>
      <w:bookmarkStart w:id="30" w:name="_GoBack"/>
      <w:bookmarkEnd w:id="3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3160D"/>
    <w:rsid w:val="3493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Plain Text"/>
    <w:basedOn w:val="1"/>
    <w:qFormat/>
    <w:uiPriority w:val="0"/>
    <w:pPr>
      <w:spacing w:beforeLines="50" w:afterLines="50" w:line="400" w:lineRule="atLeast"/>
    </w:pPr>
    <w:rPr>
      <w:rFonts w:ascii="宋体" w:hAnsi="Courier New"/>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2021-11-05T09:00:00Z</dcterms:created>
  <dc:creator>amander</dc:creator>
  <cp:lastModifiedBy>amander</cp:lastModifiedBy>
  <dcterms:modified xsi:type="dcterms:W3CDTF">2021-11-05T09:00:53Z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161F54EE7CC34DB59CF38A45E0584232</vt:lpwstr>
  </property>
</Properties>
</file>