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spacing w:line="240" w:lineRule="auto"/>
        <w:ind w:leftChars="0"/>
        <w:rPr>
          <w:rFonts w:hint="eastAsia" w:asciiTheme="minorEastAsia" w:hAnsiTheme="minorEastAsia" w:eastAsiaTheme="minorEastAsia" w:cstheme="minorEastAsia"/>
          <w:color w:val="auto"/>
          <w:sz w:val="28"/>
          <w:szCs w:val="28"/>
          <w:highlight w:val="none"/>
          <w:lang w:val="en-US" w:eastAsia="zh-CN"/>
        </w:rPr>
      </w:pPr>
      <w:bookmarkStart w:id="0" w:name="_Toc24996"/>
      <w:r>
        <w:rPr>
          <w:rFonts w:hint="eastAsia" w:asciiTheme="minorEastAsia" w:hAnsiTheme="minorEastAsia" w:eastAsiaTheme="minorEastAsia" w:cstheme="minorEastAsia"/>
          <w:color w:val="auto"/>
          <w:sz w:val="28"/>
          <w:szCs w:val="28"/>
          <w:highlight w:val="none"/>
          <w:lang w:val="en-US" w:eastAsia="zh-CN"/>
        </w:rPr>
        <w:t>技术需求</w:t>
      </w:r>
      <w:bookmarkEnd w:id="0"/>
    </w:p>
    <w:p>
      <w:pPr>
        <w:rPr>
          <w:rFonts w:hint="eastAsia"/>
          <w:b/>
          <w:bCs/>
          <w:lang w:val="fr-FR"/>
        </w:rPr>
      </w:pPr>
      <w:r>
        <w:rPr>
          <w:rFonts w:hint="eastAsia" w:asciiTheme="minorEastAsia" w:hAnsiTheme="minorEastAsia" w:eastAsiaTheme="minorEastAsia" w:cstheme="minorEastAsia"/>
          <w:b/>
          <w:bCs/>
          <w:color w:val="auto"/>
          <w:sz w:val="28"/>
          <w:szCs w:val="28"/>
          <w:highlight w:val="none"/>
          <w:lang w:val="en-US" w:eastAsia="zh-CN"/>
        </w:rPr>
        <w:t>1.采购清单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84"/>
        <w:gridCol w:w="1312"/>
        <w:gridCol w:w="1524"/>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4384" w:type="dxa"/>
          </w:tcPr>
          <w:p>
            <w:pPr>
              <w:spacing w:line="360" w:lineRule="auto"/>
              <w:jc w:val="center"/>
              <w:rPr>
                <w:rFonts w:hint="eastAsia" w:asciiTheme="minorEastAsia" w:hAnsiTheme="minorEastAsia" w:eastAsiaTheme="minorEastAsia" w:cstheme="minorEastAsia"/>
                <w:b/>
                <w:bCs/>
                <w:color w:val="auto"/>
                <w:sz w:val="24"/>
                <w:szCs w:val="24"/>
                <w:highlight w:val="none"/>
                <w:vertAlign w:val="baseline"/>
                <w:lang w:val="fr-FR" w:eastAsia="zh-CN"/>
              </w:rPr>
            </w:pPr>
            <w:r>
              <w:rPr>
                <w:rFonts w:hint="eastAsia" w:asciiTheme="minorEastAsia" w:hAnsiTheme="minorEastAsia" w:eastAsiaTheme="minorEastAsia" w:cstheme="minorEastAsia"/>
                <w:b/>
                <w:bCs/>
                <w:color w:val="auto"/>
                <w:sz w:val="24"/>
                <w:szCs w:val="24"/>
                <w:highlight w:val="none"/>
                <w:vertAlign w:val="baseline"/>
                <w:lang w:val="fr-FR" w:eastAsia="zh-CN"/>
              </w:rPr>
              <w:t>名称</w:t>
            </w:r>
          </w:p>
        </w:tc>
        <w:tc>
          <w:tcPr>
            <w:tcW w:w="1312" w:type="dxa"/>
          </w:tcPr>
          <w:p>
            <w:pPr>
              <w:spacing w:line="360" w:lineRule="auto"/>
              <w:jc w:val="center"/>
              <w:rPr>
                <w:rFonts w:hint="eastAsia" w:asciiTheme="minorEastAsia" w:hAnsiTheme="minorEastAsia" w:eastAsiaTheme="minorEastAsia" w:cstheme="minorEastAsia"/>
                <w:b/>
                <w:bCs/>
                <w:color w:val="auto"/>
                <w:sz w:val="24"/>
                <w:szCs w:val="24"/>
                <w:highlight w:val="none"/>
                <w:vertAlign w:val="baseline"/>
                <w:lang w:val="fr-FR" w:eastAsia="zh-CN"/>
              </w:rPr>
            </w:pPr>
            <w:r>
              <w:rPr>
                <w:rFonts w:hint="eastAsia" w:asciiTheme="minorEastAsia" w:hAnsiTheme="minorEastAsia" w:eastAsiaTheme="minorEastAsia" w:cstheme="minorEastAsia"/>
                <w:b/>
                <w:bCs/>
                <w:color w:val="auto"/>
                <w:sz w:val="24"/>
                <w:szCs w:val="24"/>
                <w:highlight w:val="none"/>
                <w:vertAlign w:val="baseline"/>
                <w:lang w:val="fr-FR" w:eastAsia="zh-CN"/>
              </w:rPr>
              <w:t>数量</w:t>
            </w:r>
          </w:p>
        </w:tc>
        <w:tc>
          <w:tcPr>
            <w:tcW w:w="1524" w:type="dxa"/>
          </w:tcPr>
          <w:p>
            <w:pPr>
              <w:spacing w:line="360" w:lineRule="auto"/>
              <w:jc w:val="center"/>
              <w:rPr>
                <w:rFonts w:hint="eastAsia" w:asciiTheme="minorEastAsia" w:hAnsiTheme="minorEastAsia" w:eastAsiaTheme="minorEastAsia" w:cstheme="minorEastAsia"/>
                <w:b/>
                <w:bCs/>
                <w:color w:val="auto"/>
                <w:sz w:val="24"/>
                <w:szCs w:val="24"/>
                <w:highlight w:val="none"/>
                <w:vertAlign w:val="baseline"/>
                <w:lang w:val="fr-FR" w:eastAsia="zh-CN"/>
              </w:rPr>
            </w:pPr>
            <w:r>
              <w:rPr>
                <w:rFonts w:hint="eastAsia" w:asciiTheme="minorEastAsia" w:hAnsiTheme="minorEastAsia" w:eastAsiaTheme="minorEastAsia" w:cstheme="minorEastAsia"/>
                <w:b/>
                <w:bCs/>
                <w:color w:val="auto"/>
                <w:sz w:val="24"/>
                <w:szCs w:val="24"/>
                <w:highlight w:val="none"/>
                <w:vertAlign w:val="baseline"/>
                <w:lang w:val="fr-FR" w:eastAsia="zh-CN"/>
              </w:rPr>
              <w:t>预算单价</w:t>
            </w:r>
          </w:p>
        </w:tc>
        <w:tc>
          <w:tcPr>
            <w:tcW w:w="2407" w:type="dxa"/>
          </w:tcPr>
          <w:p>
            <w:pPr>
              <w:spacing w:line="360" w:lineRule="auto"/>
              <w:jc w:val="center"/>
              <w:rPr>
                <w:rFonts w:hint="eastAsia" w:asciiTheme="minorEastAsia" w:hAnsiTheme="minorEastAsia" w:eastAsiaTheme="minorEastAsia" w:cstheme="minorEastAsia"/>
                <w:b/>
                <w:bCs/>
                <w:color w:val="auto"/>
                <w:sz w:val="24"/>
                <w:szCs w:val="24"/>
                <w:highlight w:val="none"/>
                <w:vertAlign w:val="baseline"/>
                <w:lang w:val="fr-FR" w:eastAsia="zh-CN"/>
              </w:rPr>
            </w:pPr>
            <w:r>
              <w:rPr>
                <w:rFonts w:hint="eastAsia" w:asciiTheme="minorEastAsia" w:hAnsiTheme="minorEastAsia" w:eastAsiaTheme="minorEastAsia" w:cstheme="minorEastAsia"/>
                <w:b/>
                <w:bCs/>
                <w:color w:val="auto"/>
                <w:sz w:val="24"/>
                <w:szCs w:val="24"/>
                <w:highlight w:val="none"/>
                <w:vertAlign w:val="baseline"/>
                <w:lang w:val="fr-FR"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384" w:type="dxa"/>
          </w:tcPr>
          <w:p>
            <w:pPr>
              <w:spacing w:line="360" w:lineRule="auto"/>
              <w:jc w:val="center"/>
              <w:rPr>
                <w:rFonts w:hint="eastAsia" w:asciiTheme="minorEastAsia" w:hAnsiTheme="minorEastAsia" w:eastAsiaTheme="minorEastAsia" w:cstheme="minorEastAsia"/>
                <w:b w:val="0"/>
                <w:bCs w:val="0"/>
                <w:color w:val="auto"/>
                <w:sz w:val="24"/>
                <w:szCs w:val="24"/>
                <w:highlight w:val="none"/>
                <w:vertAlign w:val="baseline"/>
                <w:lang w:val="fr-FR" w:eastAsia="zh-CN"/>
              </w:rPr>
            </w:pPr>
            <w:r>
              <w:rPr>
                <w:rFonts w:hint="eastAsia" w:asciiTheme="minorEastAsia" w:hAnsiTheme="minorEastAsia" w:eastAsiaTheme="minorEastAsia" w:cstheme="minorEastAsia"/>
                <w:sz w:val="24"/>
                <w:szCs w:val="24"/>
                <w:highlight w:val="none"/>
                <w:lang w:eastAsia="zh-CN"/>
              </w:rPr>
              <w:t>全自动核酸工作站</w:t>
            </w:r>
          </w:p>
        </w:tc>
        <w:tc>
          <w:tcPr>
            <w:tcW w:w="1312" w:type="dxa"/>
          </w:tcPr>
          <w:p>
            <w:pPr>
              <w:spacing w:line="360" w:lineRule="auto"/>
              <w:jc w:val="center"/>
              <w:rPr>
                <w:rFonts w:hint="eastAsia" w:asciiTheme="minorEastAsia" w:hAnsiTheme="minorEastAsia" w:eastAsiaTheme="minorEastAsia" w:cstheme="minorEastAsia"/>
                <w:sz w:val="24"/>
                <w:szCs w:val="24"/>
                <w:highlight w:val="none"/>
                <w:lang w:val="fr-FR" w:eastAsia="zh-CN"/>
              </w:rPr>
            </w:pPr>
            <w:r>
              <w:rPr>
                <w:rFonts w:hint="eastAsia" w:asciiTheme="minorEastAsia" w:hAnsiTheme="minorEastAsia" w:eastAsiaTheme="minorEastAsia" w:cstheme="minorEastAsia"/>
                <w:sz w:val="24"/>
                <w:szCs w:val="24"/>
                <w:highlight w:val="none"/>
              </w:rPr>
              <w:t>1套</w:t>
            </w:r>
          </w:p>
        </w:tc>
        <w:tc>
          <w:tcPr>
            <w:tcW w:w="1524" w:type="dxa"/>
          </w:tcPr>
          <w:p>
            <w:pPr>
              <w:spacing w:line="360" w:lineRule="auto"/>
              <w:jc w:val="center"/>
              <w:rPr>
                <w:rFonts w:hint="default" w:asciiTheme="minorEastAsia" w:hAnsiTheme="minorEastAsia" w:eastAsiaTheme="minorEastAsia" w:cstheme="minorEastAsia"/>
                <w:b w:val="0"/>
                <w:bCs w:val="0"/>
                <w:color w:val="auto"/>
                <w:sz w:val="24"/>
                <w:szCs w:val="24"/>
                <w:highlight w:val="none"/>
                <w:vertAlign w:val="baseline"/>
                <w:lang w:val="en-US" w:eastAsia="zh-CN"/>
              </w:rPr>
            </w:pPr>
            <w:r>
              <w:rPr>
                <w:rFonts w:hint="eastAsia" w:asciiTheme="minorEastAsia" w:hAnsiTheme="minorEastAsia" w:eastAsiaTheme="minorEastAsia" w:cstheme="minorEastAsia"/>
                <w:b w:val="0"/>
                <w:bCs w:val="0"/>
                <w:color w:val="auto"/>
                <w:sz w:val="24"/>
                <w:szCs w:val="24"/>
                <w:highlight w:val="none"/>
                <w:vertAlign w:val="baseline"/>
                <w:lang w:val="en-US" w:eastAsia="zh-CN"/>
              </w:rPr>
              <w:t>62万元</w:t>
            </w:r>
          </w:p>
        </w:tc>
        <w:tc>
          <w:tcPr>
            <w:tcW w:w="2407" w:type="dxa"/>
          </w:tcPr>
          <w:p>
            <w:pPr>
              <w:spacing w:line="360" w:lineRule="auto"/>
              <w:jc w:val="center"/>
              <w:rPr>
                <w:rFonts w:hint="eastAsia" w:asciiTheme="minorEastAsia" w:hAnsiTheme="minorEastAsia" w:eastAsiaTheme="minorEastAsia" w:cstheme="minorEastAsia"/>
                <w:b w:val="0"/>
                <w:bCs w:val="0"/>
                <w:i w:val="0"/>
                <w:iCs w:val="0"/>
                <w:color w:val="auto"/>
                <w:sz w:val="24"/>
                <w:szCs w:val="24"/>
                <w:highlight w:val="none"/>
                <w:vertAlign w:val="baseline"/>
                <w:lang w:val="en-US" w:eastAsia="zh-CN"/>
              </w:rPr>
            </w:pPr>
            <w:r>
              <w:rPr>
                <w:rFonts w:hint="eastAsia" w:asciiTheme="minorEastAsia" w:hAnsiTheme="minorEastAsia" w:eastAsiaTheme="minorEastAsia" w:cstheme="minorEastAsia"/>
                <w:b w:val="0"/>
                <w:bCs w:val="0"/>
                <w:i w:val="0"/>
                <w:iCs w:val="0"/>
                <w:color w:val="auto"/>
                <w:sz w:val="24"/>
                <w:szCs w:val="24"/>
                <w:highlight w:val="none"/>
                <w:vertAlign w:val="baseline"/>
                <w:lang w:val="en-US" w:eastAsia="zh-CN"/>
              </w:rPr>
              <w:t>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84" w:type="dxa"/>
            <w:vAlign w:val="center"/>
          </w:tcPr>
          <w:p>
            <w:pPr>
              <w:spacing w:line="360" w:lineRule="auto"/>
              <w:jc w:val="center"/>
              <w:rPr>
                <w:rFonts w:hint="eastAsia" w:asciiTheme="minorEastAsia" w:hAnsiTheme="minorEastAsia" w:eastAsiaTheme="minorEastAsia" w:cstheme="minorEastAsia"/>
                <w:color w:val="auto"/>
                <w:sz w:val="24"/>
                <w:szCs w:val="24"/>
                <w:highlight w:val="none"/>
                <w:vertAlign w:val="baseline"/>
                <w:lang w:val="fr-FR"/>
              </w:rPr>
            </w:pPr>
            <w:r>
              <w:rPr>
                <w:rFonts w:hint="eastAsia" w:asciiTheme="minorEastAsia" w:hAnsiTheme="minorEastAsia" w:eastAsiaTheme="minorEastAsia" w:cstheme="minorEastAsia"/>
                <w:sz w:val="24"/>
                <w:szCs w:val="24"/>
                <w:highlight w:val="none"/>
              </w:rPr>
              <w:t>全自动核酸蛋白</w:t>
            </w:r>
            <w:r>
              <w:rPr>
                <w:rFonts w:hint="eastAsia" w:asciiTheme="minorEastAsia" w:hAnsiTheme="minorEastAsia" w:eastAsiaTheme="minorEastAsia" w:cstheme="minorEastAsia"/>
                <w:sz w:val="24"/>
                <w:szCs w:val="24"/>
                <w:highlight w:val="none"/>
                <w:lang w:eastAsia="zh-CN"/>
              </w:rPr>
              <w:t>测定</w:t>
            </w:r>
            <w:r>
              <w:rPr>
                <w:rFonts w:hint="eastAsia" w:asciiTheme="minorEastAsia" w:hAnsiTheme="minorEastAsia" w:eastAsiaTheme="minorEastAsia" w:cstheme="minorEastAsia"/>
                <w:sz w:val="24"/>
                <w:szCs w:val="24"/>
                <w:highlight w:val="none"/>
              </w:rPr>
              <w:t xml:space="preserve">系统 </w:t>
            </w:r>
          </w:p>
        </w:tc>
        <w:tc>
          <w:tcPr>
            <w:tcW w:w="1312" w:type="dxa"/>
          </w:tcPr>
          <w:p>
            <w:pPr>
              <w:spacing w:line="360" w:lineRule="auto"/>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eastAsia="zh-CN"/>
              </w:rPr>
              <w:t>套</w:t>
            </w:r>
          </w:p>
        </w:tc>
        <w:tc>
          <w:tcPr>
            <w:tcW w:w="1524" w:type="dxa"/>
          </w:tcPr>
          <w:p>
            <w:pPr>
              <w:spacing w:line="360" w:lineRule="auto"/>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30万元</w:t>
            </w:r>
          </w:p>
        </w:tc>
        <w:tc>
          <w:tcPr>
            <w:tcW w:w="2407" w:type="dxa"/>
          </w:tcPr>
          <w:p>
            <w:pPr>
              <w:spacing w:line="360" w:lineRule="auto"/>
              <w:jc w:val="center"/>
              <w:rPr>
                <w:rFonts w:hint="eastAsia" w:asciiTheme="minorEastAsia" w:hAnsiTheme="minorEastAsia" w:eastAsiaTheme="minorEastAsia" w:cstheme="minorEastAsia"/>
                <w:sz w:val="24"/>
                <w:szCs w:val="24"/>
                <w:highlight w:val="none"/>
                <w:lang w:val="fr-FR" w:eastAsia="zh-CN"/>
              </w:rPr>
            </w:pPr>
            <w:r>
              <w:rPr>
                <w:rFonts w:hint="eastAsia" w:asciiTheme="minorEastAsia" w:hAnsiTheme="minorEastAsia" w:eastAsiaTheme="minorEastAsia" w:cstheme="minorEastAsia"/>
                <w:sz w:val="24"/>
                <w:szCs w:val="24"/>
                <w:highlight w:val="none"/>
                <w:lang w:val="en-US" w:eastAsia="zh-CN"/>
              </w:rPr>
              <w:t>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84" w:type="dxa"/>
            <w:vAlign w:val="center"/>
          </w:tcPr>
          <w:p>
            <w:pPr>
              <w:spacing w:line="360" w:lineRule="auto"/>
              <w:jc w:val="center"/>
              <w:rPr>
                <w:rFonts w:hint="eastAsia" w:asciiTheme="minorEastAsia" w:hAnsiTheme="minorEastAsia" w:eastAsiaTheme="minorEastAsia" w:cstheme="minorEastAsia"/>
                <w:color w:val="auto"/>
                <w:sz w:val="24"/>
                <w:szCs w:val="24"/>
                <w:highlight w:val="none"/>
                <w:vertAlign w:val="baseline"/>
                <w:lang w:val="fr-FR" w:eastAsia="zh-CN"/>
              </w:rPr>
            </w:pPr>
            <w:r>
              <w:rPr>
                <w:rFonts w:hint="eastAsia" w:asciiTheme="minorEastAsia" w:hAnsiTheme="minorEastAsia" w:eastAsiaTheme="minorEastAsia" w:cstheme="minorEastAsia"/>
                <w:color w:val="auto"/>
                <w:sz w:val="24"/>
                <w:szCs w:val="24"/>
                <w:highlight w:val="none"/>
                <w:vertAlign w:val="baseline"/>
                <w:lang w:val="fr-FR" w:eastAsia="zh-CN"/>
              </w:rPr>
              <w:t>三代基因测序系统</w:t>
            </w:r>
          </w:p>
        </w:tc>
        <w:tc>
          <w:tcPr>
            <w:tcW w:w="1312" w:type="dxa"/>
          </w:tcPr>
          <w:p>
            <w:pPr>
              <w:spacing w:line="360" w:lineRule="auto"/>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1套</w:t>
            </w:r>
          </w:p>
        </w:tc>
        <w:tc>
          <w:tcPr>
            <w:tcW w:w="1524" w:type="dxa"/>
          </w:tcPr>
          <w:p>
            <w:pPr>
              <w:spacing w:line="360" w:lineRule="auto"/>
              <w:jc w:val="center"/>
              <w:rPr>
                <w:rFonts w:hint="default"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75万元</w:t>
            </w:r>
          </w:p>
        </w:tc>
        <w:tc>
          <w:tcPr>
            <w:tcW w:w="2407" w:type="dxa"/>
          </w:tcPr>
          <w:p>
            <w:pPr>
              <w:spacing w:line="360" w:lineRule="auto"/>
              <w:jc w:val="center"/>
              <w:rPr>
                <w:rFonts w:hint="eastAsia" w:asciiTheme="minorEastAsia" w:hAnsiTheme="minorEastAsia" w:eastAsiaTheme="minorEastAsia" w:cstheme="minorEastAsia"/>
                <w:b w:val="0"/>
                <w:bCs w:val="0"/>
                <w:i w:val="0"/>
                <w:iCs w:val="0"/>
                <w:color w:val="auto"/>
                <w:sz w:val="24"/>
                <w:szCs w:val="24"/>
                <w:highlight w:val="none"/>
                <w:vertAlign w:val="baseline"/>
                <w:lang w:val="fr-FR"/>
              </w:rPr>
            </w:pPr>
            <w:r>
              <w:rPr>
                <w:rFonts w:hint="eastAsia" w:asciiTheme="minorEastAsia" w:hAnsiTheme="minorEastAsia" w:eastAsiaTheme="minorEastAsia" w:cstheme="minorEastAsia"/>
                <w:b w:val="0"/>
                <w:bCs w:val="0"/>
                <w:i w:val="0"/>
                <w:iCs w:val="0"/>
                <w:color w:val="auto"/>
                <w:sz w:val="24"/>
                <w:szCs w:val="24"/>
                <w:highlight w:val="none"/>
                <w:vertAlign w:val="baseline"/>
                <w:lang w:val="en-US" w:eastAsia="zh-CN"/>
              </w:rPr>
              <w:t>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4" w:type="dxa"/>
            <w:vAlign w:val="center"/>
          </w:tcPr>
          <w:p>
            <w:pPr>
              <w:spacing w:line="360" w:lineRule="auto"/>
              <w:jc w:val="center"/>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细菌超声分散计数仪</w:t>
            </w:r>
          </w:p>
        </w:tc>
        <w:tc>
          <w:tcPr>
            <w:tcW w:w="1312" w:type="dxa"/>
          </w:tcPr>
          <w:p>
            <w:pPr>
              <w:spacing w:line="360" w:lineRule="auto"/>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1台</w:t>
            </w:r>
          </w:p>
        </w:tc>
        <w:tc>
          <w:tcPr>
            <w:tcW w:w="1524" w:type="dxa"/>
          </w:tcPr>
          <w:p>
            <w:pPr>
              <w:spacing w:line="360" w:lineRule="auto"/>
              <w:jc w:val="center"/>
              <w:rPr>
                <w:rFonts w:hint="default"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13万元</w:t>
            </w:r>
          </w:p>
        </w:tc>
        <w:tc>
          <w:tcPr>
            <w:tcW w:w="2407" w:type="dxa"/>
          </w:tcPr>
          <w:p>
            <w:pPr>
              <w:spacing w:line="360" w:lineRule="auto"/>
              <w:jc w:val="center"/>
              <w:rPr>
                <w:rFonts w:hint="eastAsia" w:asciiTheme="minorEastAsia" w:hAnsiTheme="minorEastAsia" w:eastAsiaTheme="minorEastAsia" w:cstheme="minorEastAsia"/>
                <w:b w:val="0"/>
                <w:bCs w:val="0"/>
                <w:i w:val="0"/>
                <w:iCs w:val="0"/>
                <w:color w:val="auto"/>
                <w:sz w:val="24"/>
                <w:szCs w:val="24"/>
                <w:highlight w:val="none"/>
                <w:vertAlign w:val="baseline"/>
                <w:lang w:val="fr-FR"/>
              </w:rPr>
            </w:pPr>
            <w:r>
              <w:rPr>
                <w:rFonts w:hint="eastAsia" w:asciiTheme="minorEastAsia" w:hAnsiTheme="minorEastAsia" w:eastAsiaTheme="minorEastAsia" w:cstheme="minorEastAsia"/>
                <w:b w:val="0"/>
                <w:bCs w:val="0"/>
                <w:i w:val="0"/>
                <w:iCs w:val="0"/>
                <w:color w:val="auto"/>
                <w:sz w:val="24"/>
                <w:szCs w:val="24"/>
                <w:highlight w:val="none"/>
                <w:vertAlign w:val="baseline"/>
                <w:lang w:val="en-US" w:eastAsia="zh-CN"/>
              </w:rPr>
              <w:t>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27" w:type="dxa"/>
            <w:gridSpan w:val="4"/>
          </w:tcPr>
          <w:p>
            <w:pPr>
              <w:spacing w:line="360" w:lineRule="auto"/>
              <w:jc w:val="left"/>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lang w:val="fr-FR" w:eastAsia="zh-CN"/>
              </w:rPr>
              <w:t>预算总价：</w:t>
            </w:r>
            <w:r>
              <w:rPr>
                <w:rFonts w:hint="eastAsia" w:asciiTheme="minorEastAsia" w:hAnsiTheme="minorEastAsia" w:eastAsiaTheme="minorEastAsia" w:cstheme="minorEastAsia"/>
                <w:b/>
                <w:bCs/>
                <w:sz w:val="24"/>
                <w:szCs w:val="24"/>
                <w:lang w:val="en-US" w:eastAsia="zh-CN"/>
              </w:rPr>
              <w:t>1800000元(本项目最高限价为1770000元，投标人的总报价不得高于最高限价，否则作无效标处理。）</w:t>
            </w:r>
          </w:p>
          <w:p>
            <w:pPr>
              <w:pStyle w:val="7"/>
              <w:spacing w:line="360" w:lineRule="auto"/>
              <w:ind w:left="0" w:leftChars="0" w:firstLine="0" w:firstLineChars="0"/>
              <w:jc w:val="left"/>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2、投标人所投产品的单项报价不得高于以上产品的单项预算单价，否则作无效标处理。</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3、以上注明为进口产品的，若国产产品能满足招标参数要求，也可参与投标。</w:t>
            </w:r>
          </w:p>
        </w:tc>
      </w:tr>
    </w:tbl>
    <w:p>
      <w:pPr>
        <w:rPr>
          <w:rFonts w:hint="eastAsia" w:asciiTheme="minorEastAsia" w:hAnsiTheme="minorEastAsia" w:eastAsiaTheme="minorEastAsia" w:cstheme="minorEastAsia"/>
          <w:color w:val="auto"/>
          <w:sz w:val="28"/>
          <w:szCs w:val="28"/>
          <w:highlight w:val="none"/>
          <w:lang w:val="en-US" w:eastAsia="zh-CN"/>
        </w:rPr>
      </w:pPr>
    </w:p>
    <w:p>
      <w:pPr>
        <w:pStyle w:val="2"/>
        <w:rPr>
          <w:rFonts w:hint="eastAsia"/>
          <w:lang w:val="fr-FR"/>
        </w:rPr>
      </w:pPr>
    </w:p>
    <w:p>
      <w:pPr>
        <w:rPr>
          <w:rFonts w:hint="eastAsia" w:eastAsia="宋体"/>
          <w:b/>
          <w:bCs/>
          <w:sz w:val="28"/>
          <w:szCs w:val="36"/>
          <w:lang w:val="fr-FR" w:eastAsia="zh-CN"/>
        </w:rPr>
      </w:pPr>
      <w:r>
        <w:rPr>
          <w:rFonts w:hint="eastAsia"/>
          <w:b/>
          <w:bCs/>
          <w:sz w:val="28"/>
          <w:szCs w:val="36"/>
          <w:lang w:val="fr-FR" w:eastAsia="zh-CN"/>
        </w:rPr>
        <w:t>全自动核酸工作站</w:t>
      </w:r>
    </w:p>
    <w:p>
      <w:pPr>
        <w:pStyle w:val="2"/>
        <w:rPr>
          <w:rFonts w:hint="eastAsia"/>
          <w:lang w:val="fr-F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1、功能要求：集样本扫描、样本加载、核酸提取、PCR体系构建等功能于一体，能够在短时间内从各种血液、拭子洗液、尿液等样本中提取所需核酸，保证下游的具体应用。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2、样本通量：96；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3、检测能力：每次可完成192人次检测，4个不同体系的PCR-setup（PCR反应液配制）。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sz w:val="24"/>
          <w:szCs w:val="24"/>
          <w:lang w:val="en-US" w:eastAsia="zh-CN"/>
        </w:rPr>
        <w:t>4、样本架兼容性：可使用各种规格的采血管、1.5ml和2.0ml的离心管、冻存管及加样杯</w:t>
      </w:r>
      <w:r>
        <w:rPr>
          <w:rFonts w:hint="eastAsia" w:asciiTheme="minorEastAsia" w:hAnsiTheme="minorEastAsia" w:eastAsiaTheme="minorEastAsia" w:cstheme="minorEastAsia"/>
          <w:bCs/>
          <w:color w:val="auto"/>
          <w:sz w:val="24"/>
          <w:szCs w:val="24"/>
          <w:lang w:val="en-US"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5、加样通道：移液臂中有不少于4个独立的加样通道，并具有电容/压力感应液面检测功能；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6、移液性能：移液的准确性用相对偏差计算，移液的重复性用变异系数计算；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1）：15μl以下：准确性：A≤2.0%，重复性CV，%≤3.0%；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2）：15~50 μl：准确性：A≤1.5%，重复性CV，%≤1.5%；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3）：50μl 以上：准确性：A≤1.0%，重复性CV，%≤1.2%；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7、温控模块：可在裂解、洗脱两步骤进行加热，在35~110℃之间根据需要自由控温；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8、提取原理：采用磁珠法核酸提取原理，通过磁棒保护套的持续运动而非吸头的反复抽吸达到样本与试剂的充分混合；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9、分区设置：具有独立的封闭性核酸提取区域，并可定向排风，形成完整的内部负压系统；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10、PCR试剂仓：采用避光式设计，且具备开机自动制冷功能，实现4℃~15℃的试剂低温冷藏；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11、线性：浓度样本检测结果Ct值与浓度对数的线性相关系数r≥0.98；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12、操控方式：内置不小于12寸的嵌入式操作屏，无需外接电脑，即可实现单机操作；并具有多模块实时状态提示灯功能；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13、信息识别：可识别原厂家配套的提取试剂盒条码，自动解析其中的提取程序信息，使用时无需人工输入；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14、视觉监控：能够对仪器内部摆放的耗材进行实时检测，出现短缺时能够进行报警提示；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color w:val="auto"/>
          <w:sz w:val="24"/>
          <w:szCs w:val="24"/>
          <w:lang w:val="en-US" w:eastAsia="zh-CN"/>
        </w:rPr>
      </w:pPr>
    </w:p>
    <w:p>
      <w:pPr>
        <w:pStyle w:val="2"/>
        <w:rPr>
          <w:rFonts w:hint="eastAsia"/>
          <w:color w:val="auto"/>
          <w:lang w:val="fr-FR"/>
        </w:rPr>
      </w:pPr>
    </w:p>
    <w:p>
      <w:pPr>
        <w:rPr>
          <w:rFonts w:hint="eastAsia"/>
          <w:b/>
          <w:bCs/>
          <w:color w:val="auto"/>
          <w:sz w:val="28"/>
          <w:szCs w:val="36"/>
          <w:lang w:val="fr-FR"/>
        </w:rPr>
      </w:pPr>
    </w:p>
    <w:p>
      <w:pPr>
        <w:rPr>
          <w:rFonts w:hint="eastAsia"/>
          <w:b/>
          <w:bCs/>
          <w:color w:val="auto"/>
          <w:sz w:val="28"/>
          <w:szCs w:val="36"/>
          <w:lang w:val="fr-FR"/>
        </w:rPr>
      </w:pPr>
    </w:p>
    <w:p>
      <w:pPr>
        <w:rPr>
          <w:rFonts w:hint="eastAsia"/>
          <w:b/>
          <w:bCs/>
          <w:color w:val="auto"/>
          <w:sz w:val="28"/>
          <w:szCs w:val="36"/>
          <w:lang w:val="fr-FR"/>
        </w:rPr>
      </w:pPr>
    </w:p>
    <w:p>
      <w:pPr>
        <w:rPr>
          <w:rFonts w:hint="eastAsia"/>
          <w:b/>
          <w:bCs/>
          <w:color w:val="auto"/>
          <w:sz w:val="28"/>
          <w:szCs w:val="36"/>
          <w:lang w:val="fr-FR"/>
        </w:rPr>
      </w:pPr>
    </w:p>
    <w:p>
      <w:pPr>
        <w:rPr>
          <w:rFonts w:hint="eastAsia"/>
          <w:b/>
          <w:bCs/>
          <w:color w:val="auto"/>
          <w:sz w:val="28"/>
          <w:szCs w:val="36"/>
          <w:lang w:val="fr-FR"/>
        </w:rPr>
      </w:pPr>
    </w:p>
    <w:p>
      <w:pPr>
        <w:rPr>
          <w:rFonts w:hint="eastAsia"/>
          <w:b/>
          <w:bCs/>
          <w:color w:val="auto"/>
          <w:sz w:val="28"/>
          <w:szCs w:val="36"/>
          <w:lang w:val="fr-FR"/>
        </w:rPr>
      </w:pPr>
    </w:p>
    <w:p>
      <w:pPr>
        <w:rPr>
          <w:rFonts w:hint="eastAsia"/>
          <w:b/>
          <w:bCs/>
          <w:color w:val="auto"/>
          <w:sz w:val="28"/>
          <w:szCs w:val="36"/>
          <w:lang w:val="fr-FR"/>
        </w:rPr>
      </w:pPr>
    </w:p>
    <w:p>
      <w:pPr>
        <w:rPr>
          <w:rFonts w:hint="eastAsia"/>
          <w:b/>
          <w:bCs/>
          <w:color w:val="auto"/>
          <w:sz w:val="28"/>
          <w:szCs w:val="36"/>
          <w:lang w:val="fr-FR"/>
        </w:rPr>
      </w:pPr>
    </w:p>
    <w:p>
      <w:pPr>
        <w:rPr>
          <w:rFonts w:hint="eastAsia"/>
          <w:b/>
          <w:bCs/>
          <w:color w:val="auto"/>
          <w:sz w:val="28"/>
          <w:szCs w:val="36"/>
          <w:lang w:val="fr-FR"/>
        </w:rPr>
      </w:pPr>
    </w:p>
    <w:p>
      <w:pPr>
        <w:rPr>
          <w:rFonts w:hint="eastAsia"/>
          <w:b/>
          <w:bCs/>
          <w:color w:val="auto"/>
          <w:sz w:val="28"/>
          <w:szCs w:val="36"/>
          <w:lang w:val="fr-FR"/>
        </w:rPr>
      </w:pPr>
    </w:p>
    <w:p>
      <w:pPr>
        <w:rPr>
          <w:rFonts w:hint="eastAsia"/>
          <w:b/>
          <w:bCs/>
          <w:color w:val="auto"/>
          <w:sz w:val="28"/>
          <w:szCs w:val="36"/>
          <w:lang w:val="fr-FR"/>
        </w:rPr>
      </w:pPr>
    </w:p>
    <w:p>
      <w:pPr>
        <w:rPr>
          <w:rFonts w:hint="eastAsia"/>
          <w:b/>
          <w:bCs/>
          <w:color w:val="auto"/>
          <w:sz w:val="28"/>
          <w:szCs w:val="36"/>
          <w:lang w:val="fr-FR"/>
        </w:rPr>
      </w:pPr>
    </w:p>
    <w:p>
      <w:pPr>
        <w:rPr>
          <w:rFonts w:hint="eastAsia"/>
          <w:b/>
          <w:bCs/>
          <w:color w:val="auto"/>
          <w:sz w:val="28"/>
          <w:szCs w:val="36"/>
          <w:lang w:val="fr-FR"/>
        </w:rPr>
      </w:pPr>
    </w:p>
    <w:p>
      <w:pPr>
        <w:rPr>
          <w:rFonts w:hint="eastAsia"/>
          <w:b/>
          <w:bCs/>
          <w:color w:val="auto"/>
          <w:sz w:val="28"/>
          <w:szCs w:val="36"/>
          <w:lang w:val="fr-FR"/>
        </w:rPr>
      </w:pPr>
    </w:p>
    <w:p>
      <w:pPr>
        <w:rPr>
          <w:rFonts w:hint="eastAsia"/>
          <w:b/>
          <w:bCs/>
          <w:color w:val="auto"/>
          <w:sz w:val="28"/>
          <w:szCs w:val="36"/>
          <w:lang w:val="fr-FR"/>
        </w:rPr>
      </w:pPr>
    </w:p>
    <w:p>
      <w:pPr>
        <w:rPr>
          <w:rFonts w:hint="eastAsia"/>
          <w:b/>
          <w:bCs/>
          <w:color w:val="auto"/>
          <w:sz w:val="28"/>
          <w:szCs w:val="36"/>
          <w:lang w:val="fr-FR"/>
        </w:rPr>
      </w:pPr>
    </w:p>
    <w:p>
      <w:pPr>
        <w:rPr>
          <w:rFonts w:hint="eastAsia"/>
          <w:b/>
          <w:bCs/>
          <w:color w:val="auto"/>
          <w:sz w:val="28"/>
          <w:szCs w:val="36"/>
          <w:lang w:val="fr-FR"/>
        </w:rPr>
      </w:pPr>
    </w:p>
    <w:p>
      <w:pPr>
        <w:rPr>
          <w:rFonts w:hint="eastAsia"/>
          <w:b/>
          <w:bCs/>
          <w:color w:val="auto"/>
          <w:sz w:val="28"/>
          <w:szCs w:val="36"/>
          <w:lang w:val="fr-FR"/>
        </w:rPr>
      </w:pPr>
    </w:p>
    <w:p>
      <w:pPr>
        <w:pStyle w:val="2"/>
        <w:rPr>
          <w:rFonts w:hint="eastAsia"/>
          <w:color w:val="auto"/>
          <w:lang w:val="fr-FR"/>
        </w:rPr>
      </w:pPr>
    </w:p>
    <w:p>
      <w:pPr>
        <w:rPr>
          <w:rFonts w:hint="eastAsia"/>
          <w:b/>
          <w:bCs/>
          <w:color w:val="auto"/>
          <w:sz w:val="28"/>
          <w:szCs w:val="36"/>
          <w:lang w:val="fr-FR"/>
        </w:rPr>
      </w:pPr>
    </w:p>
    <w:p>
      <w:pPr>
        <w:rPr>
          <w:rFonts w:hint="eastAsia"/>
          <w:b/>
          <w:bCs/>
          <w:color w:val="auto"/>
          <w:sz w:val="28"/>
          <w:szCs w:val="36"/>
          <w:lang w:val="fr-FR"/>
        </w:rPr>
      </w:pPr>
    </w:p>
    <w:p>
      <w:pPr>
        <w:rPr>
          <w:rFonts w:hint="eastAsia"/>
          <w:b/>
          <w:bCs/>
          <w:color w:val="auto"/>
          <w:sz w:val="28"/>
          <w:szCs w:val="36"/>
          <w:lang w:val="fr-FR"/>
        </w:rPr>
      </w:pPr>
    </w:p>
    <w:p>
      <w:pPr>
        <w:rPr>
          <w:rFonts w:hint="eastAsia"/>
          <w:b/>
          <w:bCs/>
          <w:color w:val="auto"/>
          <w:sz w:val="28"/>
          <w:szCs w:val="36"/>
          <w:lang w:val="fr-FR"/>
        </w:rPr>
      </w:pPr>
    </w:p>
    <w:p>
      <w:pPr>
        <w:rPr>
          <w:rFonts w:hint="eastAsia"/>
          <w:b/>
          <w:bCs/>
          <w:color w:val="auto"/>
          <w:sz w:val="28"/>
          <w:szCs w:val="36"/>
          <w:lang w:val="fr-FR"/>
        </w:rPr>
      </w:pPr>
    </w:p>
    <w:p>
      <w:pPr>
        <w:rPr>
          <w:rFonts w:hint="eastAsia"/>
          <w:b/>
          <w:bCs/>
          <w:color w:val="auto"/>
          <w:sz w:val="28"/>
          <w:szCs w:val="36"/>
          <w:lang w:val="fr-FR"/>
        </w:rPr>
      </w:pPr>
    </w:p>
    <w:p>
      <w:pPr>
        <w:rPr>
          <w:rFonts w:hint="eastAsia"/>
          <w:b/>
          <w:bCs/>
          <w:color w:val="auto"/>
          <w:sz w:val="28"/>
          <w:szCs w:val="36"/>
          <w:lang w:val="fr-FR"/>
        </w:rPr>
      </w:pPr>
    </w:p>
    <w:p>
      <w:pPr>
        <w:rPr>
          <w:rFonts w:hint="eastAsia"/>
          <w:b/>
          <w:bCs/>
          <w:color w:val="auto"/>
          <w:sz w:val="28"/>
          <w:szCs w:val="36"/>
          <w:lang w:val="fr-FR"/>
        </w:rPr>
      </w:pPr>
    </w:p>
    <w:p>
      <w:pPr>
        <w:rPr>
          <w:rFonts w:hint="eastAsia"/>
          <w:b/>
          <w:bCs/>
          <w:color w:val="auto"/>
          <w:sz w:val="28"/>
          <w:szCs w:val="36"/>
          <w:lang w:val="fr-FR"/>
        </w:rPr>
      </w:pPr>
      <w:r>
        <w:rPr>
          <w:rFonts w:hint="eastAsia"/>
          <w:b/>
          <w:bCs/>
          <w:color w:val="auto"/>
          <w:sz w:val="28"/>
          <w:szCs w:val="36"/>
          <w:lang w:val="fr-FR"/>
        </w:rPr>
        <w:t xml:space="preserve">全自动核酸蛋白测定系统 </w:t>
      </w:r>
    </w:p>
    <w:p>
      <w:pPr>
        <w:pStyle w:val="2"/>
        <w:rPr>
          <w:rFonts w:hint="eastAsia"/>
          <w:color w:val="auto"/>
          <w:lang w:val="fr-FR"/>
        </w:rPr>
      </w:pP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1、功能：采用毛细管电泳原理，可应用于DNA、RNA等核酸的电泳分析，能进行全自动的核酸片段大小测定，核酸质控，浓度测定，具有2bp-3bp分辨率的高分辨率功能；</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2、光源：LED光源，高灵敏度的光电倍增管检测；</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3、自动化程度：采用预装式卡夹，即插即用，无须人工制胶、灌胶、上样，整个过程全部由仪器自动来完成；每轮分析后，仪器自动清洗毛细管，无须人工清洗；无需手工添加染料，无需人工更换毛细管模块 </w:t>
      </w:r>
    </w:p>
    <w:p>
      <w:pPr>
        <w:spacing w:line="360" w:lineRule="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4、上样形式：直接兼容常规单管0.2ml离心管、常规8联管，具有8孔模块</w:t>
      </w:r>
      <w:r>
        <w:rPr>
          <w:rFonts w:hint="eastAsia" w:asciiTheme="minorEastAsia" w:hAnsiTheme="minorEastAsia" w:eastAsiaTheme="minorEastAsia" w:cstheme="minorEastAsia"/>
          <w:color w:val="auto"/>
          <w:sz w:val="24"/>
          <w:szCs w:val="24"/>
          <w:highlight w:val="none"/>
          <w:lang w:eastAsia="zh-CN"/>
        </w:rPr>
        <w:t>和</w:t>
      </w:r>
      <w:r>
        <w:rPr>
          <w:rFonts w:hint="eastAsia" w:asciiTheme="minorEastAsia" w:hAnsiTheme="minorEastAsia" w:eastAsiaTheme="minorEastAsia" w:cstheme="minorEastAsia"/>
          <w:color w:val="auto"/>
          <w:sz w:val="24"/>
          <w:szCs w:val="24"/>
          <w:highlight w:val="none"/>
          <w:lang w:val="en-US" w:eastAsia="zh-CN"/>
        </w:rPr>
        <w:t>12孔</w:t>
      </w:r>
      <w:r>
        <w:rPr>
          <w:rFonts w:hint="eastAsia" w:asciiTheme="minorEastAsia" w:hAnsiTheme="minorEastAsia" w:eastAsiaTheme="minorEastAsia" w:cstheme="minorEastAsia"/>
          <w:color w:val="auto"/>
          <w:sz w:val="24"/>
          <w:szCs w:val="24"/>
          <w:highlight w:val="none"/>
        </w:rPr>
        <w:t>模块</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5、可单次自动检测处理单个样本不造成浪费；</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6、电泳时间：分析时间：最快可达1-2分钟内完成一次电泳； </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7、检测片段范围：15bp-50kb，</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8、灵敏度：无需对样品进行纯化，可以直接对PCR产物原液进行检测。DNA样品的检测灵敏度可达≤5pg/ul；</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9、样品上样量：小于0.1 ul；</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10、卡夹：提供预制胶卡夹试剂盒，适用于DNA高分辨率分析、DNA标准卡夹、DNA快速筛查分析、RNA质量控制分析等应用；具有RNA完整性评估值RQN值和数字化DNA完整性评估值DQN值。</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11、分辨率：对&lt;500bp的DNA片段，可达</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-4bp的分辨率，200bp片段可达2bp的分辨率;</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12、软件功能：软件可以自动输出电泳胶图、峰图、样品浓度、片段大小等一系列数据，并可以以报告形式完整打印输出； PDF， WORD，JPG都可以输出；具有NGS片段分析功能；同时具有英文版本软件和中文版本软件</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13、无污染：系统中仪器、耗材及检测过程均为全封闭式，避免了核酸染色剂等有害物质与操作人员的接触；</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14、可选择通卡夹配件，在仪器外部对卡夹进行通胶，可以对卡夹中毛细管中的胶进行更好的置换，对过期卡夹或者保存不当卡夹进行处理。</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15、采用空气压缩机或其他给压装置，操作方便，小巧便于放置和移动，无需氮气钢瓶，无需后期灌气；</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16、配置清单</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16.1、主机一台 </w:t>
      </w:r>
      <w:r>
        <w:rPr>
          <w:rFonts w:hint="eastAsia" w:asciiTheme="minorEastAsia" w:hAnsiTheme="minorEastAsia" w:eastAsiaTheme="minorEastAsia" w:cstheme="minorEastAsia"/>
          <w:color w:val="auto"/>
          <w:sz w:val="24"/>
          <w:szCs w:val="24"/>
          <w:lang w:val="en-US" w:eastAsia="zh-CN"/>
        </w:rPr>
        <w:t>8孔和12孔模块各一个</w:t>
      </w:r>
      <w:r>
        <w:rPr>
          <w:rFonts w:hint="eastAsia" w:asciiTheme="minorEastAsia" w:hAnsiTheme="minorEastAsia" w:eastAsiaTheme="minorEastAsia" w:cstheme="minorEastAsia"/>
          <w:color w:val="auto"/>
          <w:sz w:val="24"/>
          <w:szCs w:val="24"/>
        </w:rPr>
        <w:t xml:space="preserve">                 </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16.2、操作电脑一台</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16.3、分析软件一套</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16.4、1个预制胶卡夹</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16.5、DNA  Alignment  Marker 1支</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16.6、DNA  SIZE  Marker 1 支</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16.7、缓冲液试剂一套</w:t>
      </w:r>
    </w:p>
    <w:p>
      <w:pPr>
        <w:pStyle w:val="2"/>
        <w:rPr>
          <w:rFonts w:hint="eastAsia"/>
          <w:lang w:val="fr-FR"/>
        </w:rPr>
      </w:pPr>
    </w:p>
    <w:p>
      <w:pPr>
        <w:pStyle w:val="2"/>
        <w:rPr>
          <w:rFonts w:hint="eastAsia"/>
          <w:lang w:val="fr-FR"/>
        </w:rPr>
      </w:pPr>
    </w:p>
    <w:p>
      <w:pPr>
        <w:rPr>
          <w:rFonts w:hint="eastAsia"/>
          <w:lang w:val="fr-FR"/>
        </w:rPr>
      </w:pPr>
    </w:p>
    <w:p>
      <w:pPr>
        <w:pStyle w:val="2"/>
        <w:rPr>
          <w:rFonts w:hint="eastAsia"/>
          <w:lang w:val="fr-FR"/>
        </w:rPr>
      </w:pPr>
    </w:p>
    <w:p>
      <w:pPr>
        <w:rPr>
          <w:rFonts w:hint="eastAsia"/>
          <w:lang w:val="fr-FR"/>
        </w:rPr>
      </w:pPr>
    </w:p>
    <w:p>
      <w:pPr>
        <w:pStyle w:val="2"/>
        <w:rPr>
          <w:rFonts w:hint="eastAsia"/>
          <w:lang w:val="fr-FR"/>
        </w:rPr>
      </w:pPr>
    </w:p>
    <w:p>
      <w:pPr>
        <w:rPr>
          <w:rFonts w:hint="eastAsia"/>
          <w:lang w:val="fr-FR"/>
        </w:rPr>
      </w:pPr>
    </w:p>
    <w:p>
      <w:pPr>
        <w:pStyle w:val="2"/>
        <w:rPr>
          <w:rFonts w:hint="eastAsia"/>
          <w:lang w:val="fr-FR"/>
        </w:rPr>
      </w:pPr>
    </w:p>
    <w:p>
      <w:pPr>
        <w:rPr>
          <w:rFonts w:hint="eastAsia"/>
          <w:lang w:val="fr-FR"/>
        </w:rPr>
      </w:pPr>
    </w:p>
    <w:p>
      <w:pPr>
        <w:pStyle w:val="2"/>
        <w:rPr>
          <w:rFonts w:hint="eastAsia"/>
          <w:lang w:val="fr-FR"/>
        </w:rPr>
      </w:pPr>
    </w:p>
    <w:p>
      <w:pPr>
        <w:rPr>
          <w:rFonts w:hint="eastAsia"/>
          <w:lang w:val="fr-FR"/>
        </w:rPr>
      </w:pPr>
    </w:p>
    <w:p>
      <w:pPr>
        <w:pStyle w:val="2"/>
        <w:rPr>
          <w:rFonts w:hint="eastAsia"/>
          <w:lang w:val="fr-FR"/>
        </w:rPr>
      </w:pPr>
    </w:p>
    <w:p>
      <w:pPr>
        <w:rPr>
          <w:rFonts w:hint="eastAsia"/>
          <w:lang w:val="fr-FR"/>
        </w:rPr>
      </w:pPr>
    </w:p>
    <w:p>
      <w:pPr>
        <w:pStyle w:val="2"/>
        <w:rPr>
          <w:rFonts w:hint="eastAsia"/>
          <w:lang w:val="fr-FR"/>
        </w:rPr>
      </w:pPr>
    </w:p>
    <w:p>
      <w:pPr>
        <w:rPr>
          <w:rFonts w:hint="eastAsia"/>
          <w:lang w:val="fr-FR"/>
        </w:rPr>
      </w:pPr>
    </w:p>
    <w:p>
      <w:pPr>
        <w:pStyle w:val="2"/>
        <w:rPr>
          <w:rFonts w:hint="eastAsia"/>
          <w:lang w:val="fr-FR"/>
        </w:rPr>
      </w:pPr>
    </w:p>
    <w:p>
      <w:pPr>
        <w:rPr>
          <w:rFonts w:hint="eastAsia"/>
          <w:lang w:val="fr-FR"/>
        </w:rPr>
      </w:pPr>
    </w:p>
    <w:p>
      <w:pPr>
        <w:pStyle w:val="2"/>
        <w:rPr>
          <w:rFonts w:hint="eastAsia"/>
          <w:lang w:val="fr-FR"/>
        </w:rPr>
      </w:pPr>
    </w:p>
    <w:p>
      <w:pPr>
        <w:rPr>
          <w:rFonts w:hint="eastAsia"/>
          <w:lang w:val="fr-FR"/>
        </w:rPr>
      </w:pPr>
    </w:p>
    <w:p>
      <w:pPr>
        <w:pStyle w:val="2"/>
        <w:rPr>
          <w:rFonts w:hint="eastAsia"/>
          <w:lang w:val="fr-FR"/>
        </w:rPr>
      </w:pPr>
    </w:p>
    <w:p>
      <w:pPr>
        <w:rPr>
          <w:rFonts w:hint="eastAsia"/>
          <w:lang w:val="fr-FR"/>
        </w:rPr>
      </w:pPr>
    </w:p>
    <w:p>
      <w:pPr>
        <w:pStyle w:val="2"/>
        <w:rPr>
          <w:rFonts w:hint="eastAsia"/>
          <w:lang w:val="fr-FR"/>
        </w:rPr>
      </w:pPr>
    </w:p>
    <w:p>
      <w:pPr>
        <w:rPr>
          <w:rFonts w:hint="eastAsia"/>
          <w:lang w:val="fr-FR"/>
        </w:rPr>
      </w:pPr>
    </w:p>
    <w:p>
      <w:pPr>
        <w:pStyle w:val="2"/>
        <w:rPr>
          <w:rFonts w:hint="eastAsia"/>
          <w:lang w:val="fr-FR"/>
        </w:rPr>
      </w:pPr>
    </w:p>
    <w:p>
      <w:pPr>
        <w:rPr>
          <w:rFonts w:hint="eastAsia"/>
          <w:lang w:val="fr-FR"/>
        </w:rPr>
      </w:pPr>
    </w:p>
    <w:p>
      <w:pPr>
        <w:pStyle w:val="2"/>
        <w:rPr>
          <w:rFonts w:hint="eastAsia"/>
          <w:lang w:val="fr-FR"/>
        </w:rPr>
      </w:pPr>
    </w:p>
    <w:p>
      <w:pPr>
        <w:rPr>
          <w:rFonts w:hint="eastAsia"/>
          <w:lang w:val="fr-FR"/>
        </w:rPr>
      </w:pPr>
    </w:p>
    <w:p>
      <w:pPr>
        <w:pStyle w:val="2"/>
        <w:rPr>
          <w:rFonts w:hint="eastAsia"/>
          <w:lang w:val="fr-FR"/>
        </w:rPr>
      </w:pPr>
    </w:p>
    <w:p>
      <w:pPr>
        <w:rPr>
          <w:rFonts w:hint="eastAsia"/>
          <w:lang w:val="fr-FR"/>
        </w:rPr>
      </w:pPr>
    </w:p>
    <w:p>
      <w:pPr>
        <w:pStyle w:val="2"/>
        <w:rPr>
          <w:rFonts w:hint="eastAsia"/>
          <w:lang w:val="fr-FR"/>
        </w:rPr>
      </w:pPr>
    </w:p>
    <w:p>
      <w:pPr>
        <w:rPr>
          <w:rFonts w:hint="eastAsia"/>
          <w:lang w:val="fr-FR"/>
        </w:rPr>
      </w:pPr>
    </w:p>
    <w:p>
      <w:pPr>
        <w:pStyle w:val="2"/>
        <w:rPr>
          <w:rFonts w:hint="eastAsia"/>
          <w:lang w:val="fr-FR"/>
        </w:rPr>
      </w:pPr>
    </w:p>
    <w:p>
      <w:pPr>
        <w:rPr>
          <w:rFonts w:hint="eastAsia"/>
          <w:lang w:val="fr-FR"/>
        </w:rPr>
      </w:pPr>
    </w:p>
    <w:p>
      <w:pPr>
        <w:pStyle w:val="2"/>
        <w:rPr>
          <w:rFonts w:hint="eastAsia"/>
          <w:lang w:val="fr-FR"/>
        </w:rPr>
      </w:pPr>
    </w:p>
    <w:p>
      <w:pPr>
        <w:rPr>
          <w:rFonts w:hint="eastAsia"/>
          <w:lang w:val="fr-FR"/>
        </w:rPr>
      </w:pPr>
    </w:p>
    <w:p>
      <w:pPr>
        <w:rPr>
          <w:rFonts w:hint="eastAsia"/>
          <w:lang w:val="fr-FR"/>
        </w:rPr>
      </w:pPr>
    </w:p>
    <w:p>
      <w:pPr>
        <w:pStyle w:val="2"/>
        <w:rPr>
          <w:rFonts w:hint="eastAsia"/>
          <w:lang w:val="fr-FR"/>
        </w:rPr>
      </w:pPr>
    </w:p>
    <w:p>
      <w:pPr>
        <w:rPr>
          <w:rFonts w:hint="eastAsia"/>
          <w:lang w:val="fr-FR"/>
        </w:rPr>
      </w:pPr>
    </w:p>
    <w:p>
      <w:pPr>
        <w:rPr>
          <w:rFonts w:hint="eastAsia"/>
          <w:b/>
          <w:bCs/>
          <w:sz w:val="28"/>
          <w:szCs w:val="36"/>
          <w:lang w:val="fr-FR" w:eastAsia="zh-CN"/>
        </w:rPr>
      </w:pPr>
      <w:r>
        <w:rPr>
          <w:rFonts w:hint="eastAsia"/>
          <w:b/>
          <w:bCs/>
          <w:sz w:val="28"/>
          <w:szCs w:val="36"/>
          <w:lang w:val="fr-FR" w:eastAsia="zh-CN"/>
        </w:rPr>
        <w:t>三代基因测序系统（进口产品）</w:t>
      </w:r>
    </w:p>
    <w:p>
      <w:pPr>
        <w:pStyle w:val="2"/>
        <w:rPr>
          <w:rFonts w:hint="eastAsia"/>
          <w:lang w:val="fr-FR" w:eastAsia="zh-CN"/>
        </w:rPr>
      </w:pPr>
    </w:p>
    <w:p>
      <w:pP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配置清单：</w:t>
      </w:r>
    </w:p>
    <w:p>
      <w:pPr>
        <w:pStyle w:val="8"/>
        <w:numPr>
          <w:ilvl w:val="0"/>
          <w:numId w:val="2"/>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测序仪主机  1台</w:t>
      </w:r>
    </w:p>
    <w:p>
      <w:pPr>
        <w:pStyle w:val="8"/>
        <w:numPr>
          <w:ilvl w:val="0"/>
          <w:numId w:val="2"/>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广谱病原微生物分析软件 1套</w:t>
      </w:r>
    </w:p>
    <w:p>
      <w:pPr>
        <w:pStyle w:val="8"/>
        <w:numPr>
          <w:ilvl w:val="0"/>
          <w:numId w:val="2"/>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高性能配置服务器 1台</w:t>
      </w:r>
    </w:p>
    <w:p>
      <w:pPr>
        <w:pStyle w:val="8"/>
        <w:numPr>
          <w:ilvl w:val="0"/>
          <w:numId w:val="2"/>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磁力架  1台</w:t>
      </w:r>
    </w:p>
    <w:p>
      <w:pPr>
        <w:pStyle w:val="8"/>
        <w:numPr>
          <w:ilvl w:val="0"/>
          <w:numId w:val="2"/>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旋转混匀仪  1台</w:t>
      </w:r>
    </w:p>
    <w:p>
      <w:pPr>
        <w:pStyle w:val="8"/>
        <w:numPr>
          <w:ilvl w:val="0"/>
          <w:numId w:val="2"/>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超微量分光光度计 1台</w:t>
      </w:r>
    </w:p>
    <w:p>
      <w:pPr>
        <w:pStyle w:val="8"/>
        <w:numPr>
          <w:ilvl w:val="0"/>
          <w:numId w:val="2"/>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荧光光度计 1台</w:t>
      </w:r>
    </w:p>
    <w:p>
      <w:pPr>
        <w:pStyle w:val="8"/>
        <w:numPr>
          <w:ilvl w:val="0"/>
          <w:numId w:val="2"/>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PCR扩增仪  1台</w:t>
      </w:r>
    </w:p>
    <w:p>
      <w:pPr>
        <w:pStyle w:val="8"/>
        <w:numPr>
          <w:ilvl w:val="0"/>
          <w:numId w:val="2"/>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移液器      1套</w:t>
      </w:r>
    </w:p>
    <w:p>
      <w:pPr>
        <w:pStyle w:val="8"/>
        <w:numPr>
          <w:ilvl w:val="0"/>
          <w:numId w:val="2"/>
        </w:numPr>
        <w:tabs>
          <w:tab w:val="left" w:pos="612"/>
        </w:tabs>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掌上离心机   1台</w:t>
      </w:r>
    </w:p>
    <w:p>
      <w:pPr>
        <w:pStyle w:val="8"/>
        <w:numPr>
          <w:ilvl w:val="0"/>
          <w:numId w:val="2"/>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微生物检测试剂 ≥6人次</w:t>
      </w:r>
    </w:p>
    <w:p>
      <w:pP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测序仪主要参数：</w:t>
      </w:r>
    </w:p>
    <w:p>
      <w:pPr>
        <w:pStyle w:val="9"/>
        <w:numPr>
          <w:ilvl w:val="0"/>
          <w:numId w:val="3"/>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测序读长≥150bp长度的样品，经过比对组装获得完整的序列</w:t>
      </w:r>
    </w:p>
    <w:p>
      <w:pPr>
        <w:pStyle w:val="9"/>
        <w:numPr>
          <w:ilvl w:val="0"/>
          <w:numId w:val="3"/>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建库可不经过PCR扩增，采用酶切的方式实现文库构建；</w:t>
      </w:r>
    </w:p>
    <w:p>
      <w:pPr>
        <w:pStyle w:val="9"/>
        <w:numPr>
          <w:ilvl w:val="0"/>
          <w:numId w:val="3"/>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测序通量：单次运行理论产出≥15Gb；</w:t>
      </w:r>
    </w:p>
    <w:p>
      <w:pPr>
        <w:pStyle w:val="9"/>
        <w:numPr>
          <w:ilvl w:val="0"/>
          <w:numId w:val="3"/>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测序深度达到30X时，准确度≥99.9%，40X时准确度≥99.99%；</w:t>
      </w:r>
    </w:p>
    <w:p>
      <w:pPr>
        <w:pStyle w:val="9"/>
        <w:numPr>
          <w:ilvl w:val="0"/>
          <w:numId w:val="3"/>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可用于基因组DNA、cDNA和PCR产物以及其它方法捕获或者扩增的靶向测序；</w:t>
      </w:r>
    </w:p>
    <w:p>
      <w:pPr>
        <w:pStyle w:val="9"/>
        <w:numPr>
          <w:ilvl w:val="0"/>
          <w:numId w:val="3"/>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核酸修饰检测：结合对应的建库方式，可对核酸分子的DNA和RNA修饰进行检测；</w:t>
      </w:r>
    </w:p>
    <w:p>
      <w:pPr>
        <w:pStyle w:val="9"/>
        <w:numPr>
          <w:ilvl w:val="0"/>
          <w:numId w:val="3"/>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模板制备时最少DNA需要量：1ng；</w:t>
      </w:r>
    </w:p>
    <w:p>
      <w:pPr>
        <w:pStyle w:val="9"/>
        <w:numPr>
          <w:ilvl w:val="0"/>
          <w:numId w:val="3"/>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可用于16S/18S/ITS序列测序，进行生物群落分析，用于宏基因组样品分析；</w:t>
      </w:r>
    </w:p>
    <w:p>
      <w:pPr>
        <w:pStyle w:val="9"/>
        <w:numPr>
          <w:ilvl w:val="0"/>
          <w:numId w:val="3"/>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进行RNA样品测序时，可用于分析转录本可变剪切模式；</w:t>
      </w:r>
    </w:p>
    <w:p>
      <w:pPr>
        <w:pStyle w:val="9"/>
        <w:numPr>
          <w:ilvl w:val="0"/>
          <w:numId w:val="3"/>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最快建库时间≤1小时；</w:t>
      </w:r>
    </w:p>
    <w:p>
      <w:pPr>
        <w:pStyle w:val="9"/>
        <w:numPr>
          <w:ilvl w:val="0"/>
          <w:numId w:val="3"/>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可通过结合Barcode实现扩增子的Multiplex测序，可提供≥96种Barcode序列，进一步降低测序成本。</w:t>
      </w:r>
    </w:p>
    <w:p>
      <w:pPr>
        <w:pStyle w:val="9"/>
        <w:numPr>
          <w:ilvl w:val="0"/>
          <w:numId w:val="3"/>
        </w:numPr>
        <w:snapToGrid w:val="0"/>
        <w:spacing w:line="300" w:lineRule="auto"/>
        <w:ind w:firstLineChars="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芯片使用次数：1次或可重复使用</w:t>
      </w:r>
    </w:p>
    <w:p>
      <w:pPr>
        <w:pStyle w:val="9"/>
        <w:numPr>
          <w:ilvl w:val="0"/>
          <w:numId w:val="0"/>
        </w:numPr>
        <w:snapToGrid w:val="0"/>
        <w:spacing w:line="300" w:lineRule="auto"/>
        <w:ind w:leftChars="0"/>
        <w:rPr>
          <w:rFonts w:hint="eastAsia" w:asciiTheme="minorEastAsia" w:hAnsiTheme="minorEastAsia" w:eastAsiaTheme="minorEastAsia" w:cstheme="minorEastAsia"/>
          <w:b w:val="0"/>
          <w:bCs w:val="0"/>
          <w:color w:val="auto"/>
          <w:sz w:val="24"/>
          <w:szCs w:val="24"/>
        </w:rPr>
      </w:pPr>
    </w:p>
    <w:p>
      <w:pP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广谱病原微生物分析软件参数：</w:t>
      </w:r>
    </w:p>
    <w:p>
      <w:pPr>
        <w:pStyle w:val="8"/>
        <w:numPr>
          <w:ilvl w:val="0"/>
          <w:numId w:val="4"/>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支持主流二代或三代测序下机数据的分析，中文版界面；</w:t>
      </w:r>
    </w:p>
    <w:p>
      <w:pPr>
        <w:pStyle w:val="8"/>
        <w:numPr>
          <w:ilvl w:val="0"/>
          <w:numId w:val="4"/>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支持单样本和多样本数据导入分析；</w:t>
      </w:r>
    </w:p>
    <w:p>
      <w:pPr>
        <w:pStyle w:val="8"/>
        <w:numPr>
          <w:ilvl w:val="0"/>
          <w:numId w:val="4"/>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可同时检测≥30000种物种信息条目，包括病毒、细菌、真菌、原虫、古菌等；</w:t>
      </w:r>
    </w:p>
    <w:p>
      <w:pPr>
        <w:pStyle w:val="8"/>
        <w:numPr>
          <w:ilvl w:val="0"/>
          <w:numId w:val="4"/>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提供物种相对丰度、致病性等信息；</w:t>
      </w:r>
    </w:p>
    <w:p>
      <w:pPr>
        <w:pStyle w:val="8"/>
        <w:numPr>
          <w:ilvl w:val="0"/>
          <w:numId w:val="4"/>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提供耐药元件鉴定、耐药机理和耐药药物鉴定等分析；</w:t>
      </w:r>
    </w:p>
    <w:p>
      <w:pPr>
        <w:pStyle w:val="8"/>
        <w:numPr>
          <w:ilvl w:val="0"/>
          <w:numId w:val="4"/>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提供毒力元件鉴定、毒力机理等分析；</w:t>
      </w:r>
    </w:p>
    <w:p>
      <w:pPr>
        <w:pStyle w:val="8"/>
        <w:numPr>
          <w:ilvl w:val="0"/>
          <w:numId w:val="4"/>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微生物物种分类结果展示界面，支持根据序列数量对展示结果进行动态筛选和展示；</w:t>
      </w:r>
    </w:p>
    <w:p>
      <w:pPr>
        <w:pStyle w:val="8"/>
        <w:numPr>
          <w:ilvl w:val="0"/>
          <w:numId w:val="4"/>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组装分析支持多个主流组装软件选择，提供无参，有参和混合组装三种组装方式；</w:t>
      </w:r>
    </w:p>
    <w:p>
      <w:pPr>
        <w:pStyle w:val="8"/>
        <w:numPr>
          <w:ilvl w:val="0"/>
          <w:numId w:val="4"/>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提供结果数据做图、统计功能以及图表输出功能；</w:t>
      </w:r>
    </w:p>
    <w:p>
      <w:pPr>
        <w:pStyle w:val="8"/>
        <w:numPr>
          <w:ilvl w:val="0"/>
          <w:numId w:val="4"/>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提供样本管理系统，支持输入样本的具体信息，包括样本病案信息、取样信息、临床诊断信息，支持样本信息和数据分析管理关联等；</w:t>
      </w:r>
    </w:p>
    <w:p>
      <w:pPr>
        <w:pStyle w:val="8"/>
        <w:numPr>
          <w:ilvl w:val="0"/>
          <w:numId w:val="4"/>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支持一键输出可打印的分析报告，支持图形和表格等结果的下载和输出；</w:t>
      </w:r>
    </w:p>
    <w:p>
      <w:pPr>
        <w:snapToGrid w:val="0"/>
        <w:spacing w:line="300" w:lineRule="auto"/>
        <w:rPr>
          <w:rFonts w:hint="eastAsia" w:asciiTheme="minorEastAsia" w:hAnsiTheme="minorEastAsia" w:eastAsiaTheme="minorEastAsia" w:cstheme="minorEastAsia"/>
          <w:color w:val="auto"/>
          <w:sz w:val="24"/>
          <w:szCs w:val="24"/>
        </w:rPr>
      </w:pPr>
    </w:p>
    <w:p>
      <w:pPr>
        <w:numPr>
          <w:ilvl w:val="0"/>
          <w:numId w:val="0"/>
        </w:numPr>
        <w:snapToGrid w:val="0"/>
        <w:spacing w:line="300" w:lineRule="auto"/>
        <w:ind w:left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高性能配置服务器性能参数：</w:t>
      </w:r>
      <w:r>
        <w:rPr>
          <w:rFonts w:hint="eastAsia" w:asciiTheme="minorEastAsia" w:hAnsiTheme="minorEastAsia" w:eastAsiaTheme="minorEastAsia" w:cstheme="minorEastAsia"/>
          <w:color w:val="auto"/>
          <w:sz w:val="24"/>
          <w:szCs w:val="24"/>
        </w:rPr>
        <w:t>；</w:t>
      </w:r>
    </w:p>
    <w:p>
      <w:pPr>
        <w:pStyle w:val="8"/>
        <w:numPr>
          <w:ilvl w:val="0"/>
          <w:numId w:val="5"/>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CPU数量≥1，主频≥2.4GHz，核心数≥10核，线程数≥20；</w:t>
      </w:r>
    </w:p>
    <w:p>
      <w:pPr>
        <w:pStyle w:val="8"/>
        <w:numPr>
          <w:ilvl w:val="0"/>
          <w:numId w:val="5"/>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GPU数量≥1，显存≥8Gb，CUDA核心≥2304；</w:t>
      </w:r>
    </w:p>
    <w:p>
      <w:pPr>
        <w:pStyle w:val="8"/>
        <w:numPr>
          <w:ilvl w:val="0"/>
          <w:numId w:val="5"/>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内存：≥64G，固态硬盘≥1T；企业级机械硬盘容量≥8Tb；</w:t>
      </w:r>
    </w:p>
    <w:p>
      <w:pPr>
        <w:pStyle w:val="8"/>
        <w:numPr>
          <w:ilvl w:val="0"/>
          <w:numId w:val="5"/>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显示器：≥ 24英寸；分辨率：≥1920×1080。</w:t>
      </w:r>
    </w:p>
    <w:p>
      <w:pP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磁力架参数：</w:t>
      </w:r>
    </w:p>
    <w:p>
      <w:pPr>
        <w:pStyle w:val="8"/>
        <w:numPr>
          <w:ilvl w:val="0"/>
          <w:numId w:val="6"/>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可适配1.5-mL；</w:t>
      </w:r>
    </w:p>
    <w:p>
      <w:pPr>
        <w:pStyle w:val="8"/>
        <w:numPr>
          <w:ilvl w:val="0"/>
          <w:numId w:val="6"/>
        </w:numPr>
        <w:snapToGrid w:val="0"/>
        <w:spacing w:line="300" w:lineRule="auto"/>
        <w:ind w:left="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最多可用于16个1.5-mL离心管的磁性吸附；</w:t>
      </w:r>
    </w:p>
    <w:p>
      <w:pPr>
        <w:snapToGrid w:val="0"/>
        <w:spacing w:line="300" w:lineRule="auto"/>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旋转混匀仪参数：</w:t>
      </w:r>
    </w:p>
    <w:p>
      <w:pPr>
        <w:pStyle w:val="8"/>
        <w:numPr>
          <w:ilvl w:val="0"/>
          <w:numId w:val="7"/>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速度范围：10 - 70rpm；</w:t>
      </w:r>
    </w:p>
    <w:p>
      <w:pPr>
        <w:pStyle w:val="8"/>
        <w:numPr>
          <w:ilvl w:val="-1"/>
          <w:numId w:val="0"/>
        </w:numPr>
        <w:snapToGrid w:val="0"/>
        <w:spacing w:line="300" w:lineRule="auto"/>
        <w:ind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2）适用1.5-50ml微量管；</w:t>
      </w:r>
    </w:p>
    <w:p>
      <w:pPr>
        <w:snapToGrid w:val="0"/>
        <w:spacing w:line="300" w:lineRule="auto"/>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超微量分光光度计参数：</w:t>
      </w:r>
    </w:p>
    <w:p>
      <w:pPr>
        <w:pStyle w:val="8"/>
        <w:numPr>
          <w:ilvl w:val="0"/>
          <w:numId w:val="8"/>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光谱范围：200~1000nm；</w:t>
      </w:r>
    </w:p>
    <w:p>
      <w:pPr>
        <w:pStyle w:val="8"/>
        <w:numPr>
          <w:ilvl w:val="0"/>
          <w:numId w:val="8"/>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灯源：脉冲氙灯或LED或氘灯； </w:t>
      </w:r>
    </w:p>
    <w:p>
      <w:pPr>
        <w:pStyle w:val="8"/>
        <w:numPr>
          <w:ilvl w:val="-1"/>
          <w:numId w:val="0"/>
        </w:numPr>
        <w:snapToGrid w:val="0"/>
        <w:spacing w:line="30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3）最小样品量：≤2ul；</w:t>
      </w:r>
    </w:p>
    <w:p>
      <w:pP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荧光定量仪参数</w:t>
      </w:r>
    </w:p>
    <w:p>
      <w:pPr>
        <w:pStyle w:val="8"/>
        <w:numPr>
          <w:ilvl w:val="0"/>
          <w:numId w:val="9"/>
        </w:numPr>
        <w:snapToGrid w:val="0"/>
        <w:spacing w:line="300" w:lineRule="auto"/>
        <w:ind w:left="0"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上样范围：1-20uL；</w:t>
      </w:r>
    </w:p>
    <w:p>
      <w:pPr>
        <w:pStyle w:val="8"/>
        <w:numPr>
          <w:ilvl w:val="0"/>
          <w:numId w:val="9"/>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处理时间：≤5秒/样品；</w:t>
      </w:r>
    </w:p>
    <w:p>
      <w:pPr>
        <w:snapToGrid w:val="0"/>
        <w:spacing w:line="300" w:lineRule="auto"/>
        <w:rPr>
          <w:rFonts w:hint="eastAsia" w:asciiTheme="minorEastAsia" w:hAnsiTheme="minorEastAsia" w:eastAsiaTheme="minorEastAsia" w:cstheme="minorEastAsia"/>
          <w:color w:val="auto"/>
          <w:sz w:val="24"/>
          <w:szCs w:val="24"/>
        </w:rPr>
      </w:pPr>
    </w:p>
    <w:p>
      <w:pPr>
        <w:numPr>
          <w:ilvl w:val="0"/>
          <w:numId w:val="0"/>
        </w:numPr>
        <w:snapToGrid w:val="0"/>
        <w:spacing w:line="300" w:lineRule="auto"/>
        <w:ind w:left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PCR扩增仪参数：</w:t>
      </w:r>
    </w:p>
    <w:p>
      <w:pPr>
        <w:pStyle w:val="8"/>
        <w:numPr>
          <w:ilvl w:val="0"/>
          <w:numId w:val="10"/>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标准反应模板：96-well  0.2 ml 反应板或96个0.2ml PCR管；</w:t>
      </w:r>
    </w:p>
    <w:p>
      <w:pPr>
        <w:pStyle w:val="8"/>
        <w:numPr>
          <w:ilvl w:val="0"/>
          <w:numId w:val="10"/>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反应体系1-50ul；</w:t>
      </w:r>
    </w:p>
    <w:p>
      <w:pPr>
        <w:pStyle w:val="8"/>
        <w:numPr>
          <w:ilvl w:val="0"/>
          <w:numId w:val="10"/>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最大升降温速率：≥2.5℃/秒；</w:t>
      </w:r>
    </w:p>
    <w:p>
      <w:pPr>
        <w:pStyle w:val="8"/>
        <w:numPr>
          <w:ilvl w:val="0"/>
          <w:numId w:val="10"/>
        </w:numPr>
        <w:snapToGrid w:val="0"/>
        <w:spacing w:line="300" w:lineRule="auto"/>
        <w:ind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具有温度梯度功能：</w:t>
      </w:r>
    </w:p>
    <w:p>
      <w:pPr>
        <w:numPr>
          <w:ilvl w:val="0"/>
          <w:numId w:val="0"/>
        </w:numP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color w:val="auto"/>
          <w:sz w:val="24"/>
          <w:szCs w:val="24"/>
        </w:rPr>
        <w:t>移液器参数：</w:t>
      </w:r>
      <w:r>
        <w:rPr>
          <w:rFonts w:hint="eastAsia" w:asciiTheme="minorEastAsia" w:hAnsiTheme="minorEastAsia" w:eastAsiaTheme="minorEastAsia" w:cstheme="minorEastAsia"/>
          <w:color w:val="auto"/>
          <w:sz w:val="24"/>
          <w:szCs w:val="24"/>
        </w:rPr>
        <w:t xml:space="preserve">  </w:t>
      </w:r>
    </w:p>
    <w:p>
      <w:pPr>
        <w:pStyle w:val="8"/>
        <w:numPr>
          <w:ilvl w:val="0"/>
          <w:numId w:val="11"/>
        </w:numPr>
        <w:snapToGrid w:val="0"/>
        <w:spacing w:line="300" w:lineRule="auto"/>
        <w:ind w:left="425" w:leftChars="0" w:hanging="425" w:firstLineChars="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整支可消毒</w:t>
      </w:r>
    </w:p>
    <w:p>
      <w:pPr>
        <w:pStyle w:val="8"/>
        <w:numPr>
          <w:ilvl w:val="0"/>
          <w:numId w:val="11"/>
        </w:numPr>
        <w:snapToGrid w:val="0"/>
        <w:spacing w:line="300" w:lineRule="auto"/>
        <w:ind w:left="425" w:leftChars="0" w:hanging="425" w:firstLineChars="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配置量程：0.1-2.5μl</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0.5-10μl</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10-100μl</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20-200μl</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100-1,000 μl</w:t>
      </w:r>
      <w:r>
        <w:rPr>
          <w:rFonts w:hint="eastAsia" w:asciiTheme="minorEastAsia" w:hAnsiTheme="minorEastAsia" w:eastAsiaTheme="minorEastAsia" w:cstheme="minorEastAsia"/>
          <w:b w:val="0"/>
          <w:bCs w:val="0"/>
          <w:color w:val="auto"/>
          <w:sz w:val="24"/>
          <w:szCs w:val="24"/>
          <w:lang w:val="en-US" w:eastAsia="zh-CN"/>
        </w:rPr>
        <w:t xml:space="preserve"> </w:t>
      </w:r>
    </w:p>
    <w:p>
      <w:pPr>
        <w:numPr>
          <w:ilvl w:val="0"/>
          <w:numId w:val="0"/>
        </w:numP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掌上离心机</w:t>
      </w:r>
    </w:p>
    <w:p>
      <w:pPr>
        <w:pStyle w:val="8"/>
        <w:numPr>
          <w:ilvl w:val="0"/>
          <w:numId w:val="12"/>
        </w:numPr>
        <w:snapToGrid w:val="0"/>
        <w:spacing w:line="30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运行安静，噪音≤100Db,</w:t>
      </w:r>
    </w:p>
    <w:p>
      <w:pPr>
        <w:pStyle w:val="8"/>
        <w:numPr>
          <w:ilvl w:val="0"/>
          <w:numId w:val="12"/>
        </w:numPr>
        <w:snapToGrid w:val="0"/>
        <w:spacing w:line="300" w:lineRule="auto"/>
        <w:ind w:left="425" w:leftChars="0" w:hanging="425"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最高转速≥5000rpm，最大相对离心力≥1360 x g</w:t>
      </w:r>
    </w:p>
    <w:p>
      <w:pPr>
        <w:pStyle w:val="8"/>
        <w:widowControl w:val="0"/>
        <w:numPr>
          <w:ilvl w:val="0"/>
          <w:numId w:val="0"/>
        </w:numPr>
        <w:snapToGrid w:val="0"/>
        <w:spacing w:line="300" w:lineRule="auto"/>
        <w:jc w:val="both"/>
        <w:rPr>
          <w:rFonts w:hint="eastAsia" w:asciiTheme="minorEastAsia" w:hAnsiTheme="minorEastAsia" w:eastAsiaTheme="minorEastAsia" w:cstheme="minorEastAsia"/>
          <w:color w:val="auto"/>
          <w:sz w:val="24"/>
          <w:szCs w:val="24"/>
        </w:rPr>
      </w:pPr>
    </w:p>
    <w:p>
      <w:pPr>
        <w:pStyle w:val="8"/>
        <w:widowControl w:val="0"/>
        <w:numPr>
          <w:ilvl w:val="0"/>
          <w:numId w:val="0"/>
        </w:numPr>
        <w:snapToGrid w:val="0"/>
        <w:spacing w:line="300" w:lineRule="auto"/>
        <w:jc w:val="both"/>
        <w:rPr>
          <w:rFonts w:hint="eastAsia" w:asciiTheme="minorEastAsia" w:hAnsiTheme="minorEastAsia" w:eastAsiaTheme="minorEastAsia" w:cstheme="minorEastAsia"/>
          <w:color w:val="auto"/>
          <w:sz w:val="24"/>
          <w:szCs w:val="24"/>
        </w:rPr>
      </w:pPr>
    </w:p>
    <w:p>
      <w:pPr>
        <w:pStyle w:val="8"/>
        <w:widowControl w:val="0"/>
        <w:numPr>
          <w:ilvl w:val="0"/>
          <w:numId w:val="0"/>
        </w:numPr>
        <w:snapToGrid w:val="0"/>
        <w:spacing w:line="300" w:lineRule="auto"/>
        <w:jc w:val="both"/>
        <w:rPr>
          <w:rFonts w:hint="eastAsia" w:asciiTheme="minorEastAsia" w:hAnsiTheme="minorEastAsia" w:eastAsiaTheme="minorEastAsia" w:cstheme="minorEastAsia"/>
          <w:color w:val="auto"/>
          <w:sz w:val="24"/>
          <w:szCs w:val="24"/>
        </w:rPr>
      </w:pPr>
    </w:p>
    <w:p>
      <w:pPr>
        <w:pStyle w:val="8"/>
        <w:widowControl w:val="0"/>
        <w:numPr>
          <w:ilvl w:val="0"/>
          <w:numId w:val="0"/>
        </w:numPr>
        <w:snapToGrid w:val="0"/>
        <w:spacing w:line="300" w:lineRule="auto"/>
        <w:jc w:val="both"/>
        <w:rPr>
          <w:rFonts w:hint="eastAsia" w:asciiTheme="minorEastAsia" w:hAnsiTheme="minorEastAsia" w:eastAsiaTheme="minorEastAsia" w:cstheme="minorEastAsia"/>
          <w:color w:val="auto"/>
          <w:sz w:val="24"/>
          <w:szCs w:val="24"/>
        </w:rPr>
      </w:pPr>
    </w:p>
    <w:p>
      <w:pPr>
        <w:pStyle w:val="8"/>
        <w:widowControl w:val="0"/>
        <w:numPr>
          <w:ilvl w:val="0"/>
          <w:numId w:val="0"/>
        </w:numPr>
        <w:snapToGrid w:val="0"/>
        <w:spacing w:line="300" w:lineRule="auto"/>
        <w:jc w:val="both"/>
        <w:rPr>
          <w:rFonts w:hint="eastAsia" w:asciiTheme="minorEastAsia" w:hAnsiTheme="minorEastAsia" w:eastAsiaTheme="minorEastAsia" w:cstheme="minorEastAsia"/>
          <w:color w:val="auto"/>
          <w:sz w:val="24"/>
          <w:szCs w:val="24"/>
        </w:rPr>
      </w:pPr>
    </w:p>
    <w:p>
      <w:pPr>
        <w:pStyle w:val="2"/>
        <w:rPr>
          <w:rFonts w:hint="eastAsia"/>
          <w:b/>
          <w:bCs/>
          <w:sz w:val="28"/>
          <w:szCs w:val="36"/>
          <w:lang w:val="fr-FR" w:eastAsia="zh-CN"/>
        </w:rPr>
      </w:pPr>
    </w:p>
    <w:p>
      <w:pPr>
        <w:rPr>
          <w:rFonts w:hint="eastAsia"/>
          <w:lang w:val="fr-FR" w:eastAsia="zh-CN"/>
        </w:rPr>
      </w:pPr>
    </w:p>
    <w:p>
      <w:pPr>
        <w:pStyle w:val="2"/>
        <w:rPr>
          <w:rFonts w:hint="eastAsia"/>
          <w:lang w:val="fr-FR" w:eastAsia="zh-CN"/>
        </w:rPr>
      </w:pPr>
    </w:p>
    <w:p>
      <w:pPr>
        <w:pStyle w:val="2"/>
        <w:rPr>
          <w:rFonts w:hint="eastAsia"/>
          <w:lang w:val="fr-FR" w:eastAsia="zh-CN"/>
        </w:rPr>
      </w:pPr>
    </w:p>
    <w:p>
      <w:pPr>
        <w:pStyle w:val="2"/>
        <w:rPr>
          <w:rFonts w:hint="eastAsia"/>
          <w:b/>
          <w:bCs/>
          <w:sz w:val="28"/>
          <w:szCs w:val="36"/>
          <w:lang w:val="fr-FR" w:eastAsia="zh-CN"/>
        </w:rPr>
      </w:pPr>
    </w:p>
    <w:p>
      <w:pPr>
        <w:rPr>
          <w:rFonts w:hint="eastAsia"/>
          <w:b/>
          <w:bCs/>
          <w:sz w:val="28"/>
          <w:szCs w:val="36"/>
          <w:lang w:val="fr-FR" w:eastAsia="zh-CN"/>
        </w:rPr>
      </w:pPr>
    </w:p>
    <w:p>
      <w:pPr>
        <w:pStyle w:val="2"/>
        <w:rPr>
          <w:rFonts w:hint="eastAsia"/>
          <w:b/>
          <w:bCs/>
          <w:sz w:val="28"/>
          <w:szCs w:val="36"/>
          <w:lang w:val="fr-FR" w:eastAsia="zh-CN"/>
        </w:rPr>
      </w:pPr>
    </w:p>
    <w:p>
      <w:pPr>
        <w:rPr>
          <w:rFonts w:hint="eastAsia"/>
          <w:b/>
          <w:bCs/>
          <w:sz w:val="28"/>
          <w:szCs w:val="36"/>
          <w:lang w:val="fr-FR" w:eastAsia="zh-CN"/>
        </w:rPr>
      </w:pPr>
    </w:p>
    <w:p>
      <w:pPr>
        <w:rPr>
          <w:rFonts w:hint="eastAsia"/>
          <w:b/>
          <w:bCs/>
          <w:sz w:val="28"/>
          <w:szCs w:val="36"/>
          <w:lang w:val="fr-FR" w:eastAsia="zh-CN"/>
        </w:rPr>
      </w:pPr>
    </w:p>
    <w:p>
      <w:pPr>
        <w:rPr>
          <w:rFonts w:hint="eastAsia"/>
          <w:b/>
          <w:bCs/>
          <w:sz w:val="28"/>
          <w:szCs w:val="36"/>
          <w:lang w:val="fr-FR" w:eastAsia="zh-CN"/>
        </w:rPr>
      </w:pPr>
    </w:p>
    <w:p>
      <w:pPr>
        <w:rPr>
          <w:rFonts w:hint="eastAsia"/>
          <w:b/>
          <w:bCs/>
          <w:sz w:val="28"/>
          <w:szCs w:val="36"/>
          <w:lang w:val="fr-FR" w:eastAsia="zh-CN"/>
        </w:rPr>
      </w:pPr>
    </w:p>
    <w:p>
      <w:pPr>
        <w:rPr>
          <w:rFonts w:hint="eastAsia"/>
          <w:b/>
          <w:bCs/>
          <w:sz w:val="28"/>
          <w:szCs w:val="36"/>
          <w:lang w:val="fr-FR" w:eastAsia="zh-CN"/>
        </w:rPr>
      </w:pPr>
    </w:p>
    <w:p>
      <w:pPr>
        <w:rPr>
          <w:rFonts w:hint="eastAsia"/>
          <w:b/>
          <w:bCs/>
          <w:sz w:val="28"/>
          <w:szCs w:val="36"/>
          <w:lang w:val="fr-FR" w:eastAsia="zh-CN"/>
        </w:rPr>
      </w:pPr>
    </w:p>
    <w:p>
      <w:pPr>
        <w:rPr>
          <w:rFonts w:hint="eastAsia"/>
          <w:b/>
          <w:bCs/>
          <w:sz w:val="28"/>
          <w:szCs w:val="36"/>
          <w:lang w:val="fr-FR" w:eastAsia="zh-CN"/>
        </w:rPr>
      </w:pPr>
    </w:p>
    <w:p>
      <w:pPr>
        <w:rPr>
          <w:rFonts w:hint="eastAsia"/>
          <w:b/>
          <w:bCs/>
          <w:sz w:val="28"/>
          <w:szCs w:val="36"/>
          <w:lang w:val="fr-FR" w:eastAsia="zh-CN"/>
        </w:rPr>
      </w:pPr>
    </w:p>
    <w:p>
      <w:pPr>
        <w:rPr>
          <w:rFonts w:hint="eastAsia"/>
          <w:b/>
          <w:bCs/>
          <w:sz w:val="28"/>
          <w:szCs w:val="36"/>
          <w:lang w:val="fr-FR" w:eastAsia="zh-CN"/>
        </w:rPr>
      </w:pPr>
    </w:p>
    <w:p>
      <w:pPr>
        <w:rPr>
          <w:rFonts w:hint="eastAsia"/>
          <w:b/>
          <w:bCs/>
          <w:sz w:val="28"/>
          <w:szCs w:val="36"/>
          <w:lang w:val="fr-FR" w:eastAsia="zh-CN"/>
        </w:rPr>
      </w:pPr>
    </w:p>
    <w:p>
      <w:pPr>
        <w:rPr>
          <w:rFonts w:hint="eastAsia"/>
          <w:b/>
          <w:bCs/>
          <w:sz w:val="28"/>
          <w:szCs w:val="36"/>
          <w:lang w:val="fr-FR" w:eastAsia="zh-CN"/>
        </w:rPr>
      </w:pPr>
    </w:p>
    <w:p>
      <w:pPr>
        <w:rPr>
          <w:rFonts w:hint="eastAsia"/>
          <w:b/>
          <w:bCs/>
          <w:sz w:val="28"/>
          <w:szCs w:val="36"/>
          <w:lang w:val="fr-FR" w:eastAsia="zh-CN"/>
        </w:rPr>
      </w:pPr>
    </w:p>
    <w:p>
      <w:pPr>
        <w:pStyle w:val="2"/>
        <w:rPr>
          <w:rFonts w:hint="eastAsia"/>
          <w:lang w:val="fr-FR" w:eastAsia="zh-CN"/>
        </w:rPr>
      </w:pPr>
    </w:p>
    <w:p>
      <w:pPr>
        <w:rPr>
          <w:rFonts w:hint="eastAsia"/>
          <w:lang w:val="fr-FR" w:eastAsia="zh-CN"/>
        </w:rPr>
      </w:pPr>
    </w:p>
    <w:p>
      <w:pPr>
        <w:pStyle w:val="2"/>
        <w:rPr>
          <w:rFonts w:hint="eastAsia"/>
          <w:lang w:val="fr-FR" w:eastAsia="zh-CN"/>
        </w:rPr>
      </w:pPr>
    </w:p>
    <w:p>
      <w:pPr>
        <w:rPr>
          <w:rFonts w:hint="eastAsia"/>
          <w:lang w:val="fr-FR" w:eastAsia="zh-CN"/>
        </w:rPr>
      </w:pPr>
    </w:p>
    <w:p>
      <w:pPr>
        <w:pStyle w:val="2"/>
        <w:rPr>
          <w:rFonts w:hint="eastAsia"/>
          <w:lang w:val="fr-FR" w:eastAsia="zh-CN"/>
        </w:rPr>
      </w:pPr>
    </w:p>
    <w:p>
      <w:pPr>
        <w:rPr>
          <w:rFonts w:hint="eastAsia"/>
          <w:lang w:val="fr-FR" w:eastAsia="zh-CN"/>
        </w:rPr>
      </w:pPr>
    </w:p>
    <w:p>
      <w:pPr>
        <w:rPr>
          <w:rFonts w:hint="eastAsia"/>
          <w:b/>
          <w:bCs/>
          <w:sz w:val="28"/>
          <w:szCs w:val="36"/>
          <w:lang w:val="fr-FR" w:eastAsia="zh-CN"/>
        </w:rPr>
      </w:pPr>
    </w:p>
    <w:p>
      <w:pPr>
        <w:rPr>
          <w:rFonts w:hint="eastAsia"/>
          <w:b/>
          <w:bCs/>
          <w:sz w:val="28"/>
          <w:szCs w:val="36"/>
          <w:lang w:val="fr-FR" w:eastAsia="zh-CN"/>
        </w:rPr>
      </w:pPr>
    </w:p>
    <w:p>
      <w:pPr>
        <w:rPr>
          <w:rFonts w:hint="eastAsia"/>
          <w:b/>
          <w:bCs/>
          <w:sz w:val="28"/>
          <w:szCs w:val="36"/>
          <w:lang w:val="fr-FR" w:eastAsia="zh-CN"/>
        </w:rPr>
      </w:pPr>
    </w:p>
    <w:p>
      <w:pPr>
        <w:rPr>
          <w:rFonts w:hint="eastAsia"/>
          <w:b/>
          <w:bCs/>
          <w:sz w:val="28"/>
          <w:szCs w:val="36"/>
          <w:lang w:val="fr-FR" w:eastAsia="zh-CN"/>
        </w:rPr>
      </w:pPr>
    </w:p>
    <w:p>
      <w:pPr>
        <w:rPr>
          <w:rFonts w:hint="eastAsia"/>
          <w:b/>
          <w:bCs/>
          <w:sz w:val="28"/>
          <w:szCs w:val="36"/>
          <w:lang w:val="fr-FR" w:eastAsia="zh-CN"/>
        </w:rPr>
      </w:pPr>
    </w:p>
    <w:p>
      <w:pPr>
        <w:rPr>
          <w:rFonts w:hint="eastAsia"/>
          <w:b/>
          <w:bCs/>
          <w:sz w:val="28"/>
          <w:szCs w:val="36"/>
          <w:lang w:val="fr-FR" w:eastAsia="zh-CN"/>
        </w:rPr>
      </w:pPr>
    </w:p>
    <w:p>
      <w:pPr>
        <w:rPr>
          <w:rFonts w:hint="eastAsia"/>
          <w:b/>
          <w:bCs/>
          <w:sz w:val="28"/>
          <w:szCs w:val="36"/>
          <w:lang w:val="fr-FR" w:eastAsia="zh-CN"/>
        </w:rPr>
      </w:pPr>
    </w:p>
    <w:p>
      <w:pPr>
        <w:rPr>
          <w:rFonts w:hint="eastAsia"/>
          <w:b/>
          <w:bCs/>
          <w:sz w:val="28"/>
          <w:szCs w:val="36"/>
          <w:lang w:val="fr-FR" w:eastAsia="zh-CN"/>
        </w:rPr>
      </w:pPr>
    </w:p>
    <w:p>
      <w:pPr>
        <w:rPr>
          <w:rFonts w:hint="eastAsia"/>
          <w:b/>
          <w:bCs/>
          <w:sz w:val="28"/>
          <w:szCs w:val="36"/>
          <w:lang w:val="fr-FR" w:eastAsia="zh-CN"/>
        </w:rPr>
      </w:pPr>
    </w:p>
    <w:p>
      <w:pPr>
        <w:rPr>
          <w:rFonts w:hint="eastAsia"/>
          <w:b/>
          <w:bCs/>
          <w:sz w:val="28"/>
          <w:szCs w:val="36"/>
          <w:lang w:val="fr-FR" w:eastAsia="zh-CN"/>
        </w:rPr>
      </w:pPr>
    </w:p>
    <w:p>
      <w:pPr>
        <w:rPr>
          <w:rFonts w:hint="eastAsia" w:eastAsia="宋体"/>
          <w:b/>
          <w:bCs/>
          <w:sz w:val="28"/>
          <w:szCs w:val="36"/>
          <w:lang w:val="fr-FR" w:eastAsia="zh-CN"/>
        </w:rPr>
      </w:pPr>
      <w:r>
        <w:rPr>
          <w:rFonts w:hint="eastAsia"/>
          <w:b/>
          <w:bCs/>
          <w:sz w:val="28"/>
          <w:szCs w:val="36"/>
          <w:lang w:val="fr-FR" w:eastAsia="zh-CN"/>
        </w:rPr>
        <w:t>细菌超声分散计数仪</w:t>
      </w:r>
    </w:p>
    <w:p>
      <w:pPr>
        <w:rPr>
          <w:rFonts w:hint="eastAsia"/>
          <w:b/>
          <w:bCs/>
          <w:sz w:val="28"/>
          <w:szCs w:val="36"/>
          <w:lang w:val="fr-FR" w:eastAsia="zh-CN"/>
        </w:rPr>
      </w:pPr>
    </w:p>
    <w:p>
      <w:pPr>
        <w:rPr>
          <w:rFonts w:hint="eastAsia"/>
          <w:b/>
          <w:bCs/>
          <w:sz w:val="28"/>
          <w:szCs w:val="36"/>
          <w:lang w:val="fr-FR" w:eastAsia="zh-CN"/>
        </w:rPr>
      </w:pPr>
      <w:bookmarkStart w:id="1" w:name="_GoBack"/>
      <w:bookmarkEnd w:id="1"/>
    </w:p>
    <w:p>
      <w:pPr>
        <w:rPr>
          <w:rFonts w:hint="eastAsia"/>
          <w:b/>
          <w:bCs/>
          <w:sz w:val="28"/>
          <w:szCs w:val="36"/>
          <w:lang w:val="fr-FR" w:eastAsia="zh-CN"/>
        </w:rPr>
      </w:pPr>
    </w:p>
    <w:tbl>
      <w:tblPr>
        <w:tblStyle w:val="4"/>
        <w:tblpPr w:leftFromText="180" w:rightFromText="180" w:vertAnchor="page" w:horzAnchor="page" w:tblpXSpec="center" w:tblpY="2259"/>
        <w:tblOverlap w:val="never"/>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886" w:type="dxa"/>
            <w:vAlign w:val="center"/>
          </w:tcPr>
          <w:p>
            <w:pPr>
              <w:spacing w:line="360" w:lineRule="auto"/>
              <w:jc w:val="center"/>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b/>
                <w:bCs/>
                <w:color w:val="000000"/>
                <w:sz w:val="24"/>
                <w:szCs w:val="24"/>
                <w:lang w:eastAsia="zh-CN"/>
              </w:rPr>
              <w:t>序号</w:t>
            </w:r>
          </w:p>
        </w:tc>
        <w:tc>
          <w:tcPr>
            <w:tcW w:w="8472" w:type="dxa"/>
            <w:vAlign w:val="center"/>
          </w:tcPr>
          <w:p>
            <w:pPr>
              <w:spacing w:line="360" w:lineRule="auto"/>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lang w:eastAsia="zh-CN"/>
              </w:rPr>
              <w:t>参数</w:t>
            </w:r>
            <w:r>
              <w:rPr>
                <w:rFonts w:hint="eastAsia" w:asciiTheme="minorEastAsia" w:hAnsiTheme="minorEastAsia" w:eastAsiaTheme="minorEastAsia" w:cstheme="minorEastAsia"/>
                <w:b/>
                <w:bCs/>
                <w:color w:val="000000"/>
                <w:sz w:val="24"/>
                <w:szCs w:val="24"/>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 w:type="dxa"/>
          </w:tcPr>
          <w:p>
            <w:pPr>
              <w:spacing w:line="360" w:lineRule="auto"/>
              <w:jc w:val="center"/>
              <w:rPr>
                <w:rFonts w:hint="eastAsia" w:asciiTheme="minorEastAsia" w:hAnsiTheme="minorEastAsia" w:eastAsiaTheme="minorEastAsia" w:cstheme="minorEastAsia"/>
                <w:color w:val="000000"/>
                <w:kern w:val="0"/>
                <w:sz w:val="24"/>
                <w:szCs w:val="24"/>
                <w:lang w:val="en-US" w:eastAsia="zh-CN" w:bidi="he-IL"/>
              </w:rPr>
            </w:pPr>
            <w:r>
              <w:rPr>
                <w:rFonts w:hint="eastAsia" w:asciiTheme="minorEastAsia" w:hAnsiTheme="minorEastAsia" w:eastAsiaTheme="minorEastAsia" w:cstheme="minorEastAsia"/>
                <w:color w:val="000000"/>
                <w:kern w:val="0"/>
                <w:sz w:val="24"/>
                <w:szCs w:val="24"/>
                <w:lang w:val="en-US" w:eastAsia="zh-CN" w:bidi="he-IL"/>
              </w:rPr>
              <w:t>1</w:t>
            </w:r>
          </w:p>
        </w:tc>
        <w:tc>
          <w:tcPr>
            <w:tcW w:w="8472" w:type="dxa"/>
          </w:tcPr>
          <w:p>
            <w:pPr>
              <w:spacing w:line="360" w:lineRule="auto"/>
              <w:rPr>
                <w:rFonts w:hint="eastAsia" w:asciiTheme="minorEastAsia" w:hAnsiTheme="minorEastAsia" w:eastAsiaTheme="minorEastAsia" w:cstheme="minorEastAsia"/>
                <w:color w:val="000000"/>
                <w:kern w:val="0"/>
                <w:sz w:val="24"/>
                <w:szCs w:val="24"/>
                <w:lang w:bidi="he-IL"/>
              </w:rPr>
            </w:pPr>
            <w:r>
              <w:rPr>
                <w:rFonts w:hint="eastAsia" w:asciiTheme="minorEastAsia" w:hAnsiTheme="minorEastAsia" w:eastAsiaTheme="minorEastAsia" w:cstheme="minorEastAsia"/>
                <w:color w:val="000000"/>
                <w:kern w:val="0"/>
                <w:sz w:val="24"/>
                <w:szCs w:val="24"/>
                <w:lang w:bidi="he-IL"/>
              </w:rPr>
              <w:t>超声分散后可同步读取浊度参数。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886" w:type="dxa"/>
          </w:tcPr>
          <w:p>
            <w:pPr>
              <w:spacing w:line="360" w:lineRule="auto"/>
              <w:jc w:val="center"/>
              <w:rPr>
                <w:rFonts w:hint="eastAsia" w:asciiTheme="minorEastAsia" w:hAnsiTheme="minorEastAsia" w:eastAsiaTheme="minorEastAsia" w:cstheme="minorEastAsia"/>
                <w:color w:val="000000"/>
                <w:kern w:val="0"/>
                <w:sz w:val="24"/>
                <w:szCs w:val="24"/>
                <w:lang w:val="en-US" w:eastAsia="zh-CN" w:bidi="he-IL"/>
              </w:rPr>
            </w:pPr>
            <w:r>
              <w:rPr>
                <w:rFonts w:hint="eastAsia" w:asciiTheme="minorEastAsia" w:hAnsiTheme="minorEastAsia" w:eastAsiaTheme="minorEastAsia" w:cstheme="minorEastAsia"/>
                <w:color w:val="000000"/>
                <w:kern w:val="0"/>
                <w:sz w:val="24"/>
                <w:szCs w:val="24"/>
                <w:lang w:val="en-US" w:eastAsia="zh-CN" w:bidi="he-IL"/>
              </w:rPr>
              <w:t>2</w:t>
            </w:r>
          </w:p>
        </w:tc>
        <w:tc>
          <w:tcPr>
            <w:tcW w:w="8472" w:type="dxa"/>
          </w:tcPr>
          <w:p>
            <w:pPr>
              <w:spacing w:line="360" w:lineRule="auto"/>
              <w:rPr>
                <w:rFonts w:hint="eastAsia" w:asciiTheme="minorEastAsia" w:hAnsiTheme="minorEastAsia" w:eastAsiaTheme="minorEastAsia" w:cstheme="minorEastAsia"/>
                <w:color w:val="000000"/>
                <w:kern w:val="0"/>
                <w:sz w:val="24"/>
                <w:szCs w:val="24"/>
                <w:lang w:bidi="he-IL"/>
              </w:rPr>
            </w:pPr>
            <w:r>
              <w:rPr>
                <w:rFonts w:hint="eastAsia" w:asciiTheme="minorEastAsia" w:hAnsiTheme="minorEastAsia" w:eastAsiaTheme="minorEastAsia" w:cstheme="minorEastAsia"/>
                <w:color w:val="000000"/>
                <w:kern w:val="0"/>
                <w:sz w:val="24"/>
                <w:szCs w:val="24"/>
                <w:lang w:bidi="he-IL"/>
              </w:rPr>
              <w:t>麦氏浊度检测线性范围：0.50-4.00MCF。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886" w:type="dxa"/>
          </w:tcPr>
          <w:p>
            <w:pPr>
              <w:spacing w:line="360" w:lineRule="auto"/>
              <w:jc w:val="center"/>
              <w:rPr>
                <w:rFonts w:hint="eastAsia" w:asciiTheme="minorEastAsia" w:hAnsiTheme="minorEastAsia" w:eastAsiaTheme="minorEastAsia" w:cstheme="minorEastAsia"/>
                <w:color w:val="000000"/>
                <w:kern w:val="0"/>
                <w:sz w:val="24"/>
                <w:szCs w:val="24"/>
                <w:lang w:val="en-US" w:eastAsia="zh-CN" w:bidi="he-IL"/>
              </w:rPr>
            </w:pPr>
            <w:r>
              <w:rPr>
                <w:rFonts w:hint="eastAsia" w:asciiTheme="minorEastAsia" w:hAnsiTheme="minorEastAsia" w:eastAsiaTheme="minorEastAsia" w:cstheme="minorEastAsia"/>
                <w:color w:val="000000"/>
                <w:kern w:val="0"/>
                <w:sz w:val="24"/>
                <w:szCs w:val="24"/>
                <w:lang w:val="en-US" w:eastAsia="zh-CN" w:bidi="he-IL"/>
              </w:rPr>
              <w:t>3</w:t>
            </w:r>
          </w:p>
        </w:tc>
        <w:tc>
          <w:tcPr>
            <w:tcW w:w="8472" w:type="dxa"/>
          </w:tcPr>
          <w:p>
            <w:pPr>
              <w:spacing w:line="360" w:lineRule="auto"/>
              <w:rPr>
                <w:rFonts w:hint="eastAsia" w:asciiTheme="minorEastAsia" w:hAnsiTheme="minorEastAsia" w:eastAsiaTheme="minorEastAsia" w:cstheme="minorEastAsia"/>
                <w:color w:val="000000"/>
                <w:kern w:val="0"/>
                <w:sz w:val="24"/>
                <w:szCs w:val="24"/>
                <w:lang w:bidi="he-IL"/>
              </w:rPr>
            </w:pPr>
            <w:r>
              <w:rPr>
                <w:rFonts w:hint="eastAsia" w:asciiTheme="minorEastAsia" w:hAnsiTheme="minorEastAsia" w:eastAsiaTheme="minorEastAsia" w:cstheme="minorEastAsia"/>
                <w:color w:val="000000"/>
                <w:kern w:val="0"/>
                <w:sz w:val="24"/>
                <w:szCs w:val="24"/>
                <w:lang w:bidi="he-IL"/>
              </w:rPr>
              <w:t>可自动换算稀释到目标浊度需要的稀释体积，目标麦氏浓度0.50或1.00MCF可设。试管内菌液体积1.50-3.00mL可设，步进0.01mL。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886" w:type="dxa"/>
          </w:tcPr>
          <w:p>
            <w:pPr>
              <w:spacing w:line="360" w:lineRule="auto"/>
              <w:jc w:val="center"/>
              <w:rPr>
                <w:rFonts w:hint="eastAsia" w:asciiTheme="minorEastAsia" w:hAnsiTheme="minorEastAsia" w:eastAsiaTheme="minorEastAsia" w:cstheme="minorEastAsia"/>
                <w:color w:val="000000"/>
                <w:kern w:val="0"/>
                <w:sz w:val="24"/>
                <w:szCs w:val="24"/>
                <w:lang w:val="en-US" w:eastAsia="zh-CN" w:bidi="he-IL"/>
              </w:rPr>
            </w:pPr>
            <w:r>
              <w:rPr>
                <w:rFonts w:hint="eastAsia" w:asciiTheme="minorEastAsia" w:hAnsiTheme="minorEastAsia" w:eastAsiaTheme="minorEastAsia" w:cstheme="minorEastAsia"/>
                <w:color w:val="000000"/>
                <w:kern w:val="0"/>
                <w:sz w:val="24"/>
                <w:szCs w:val="24"/>
                <w:lang w:val="en-US" w:eastAsia="zh-CN" w:bidi="he-IL"/>
              </w:rPr>
              <w:t>4</w:t>
            </w:r>
          </w:p>
        </w:tc>
        <w:tc>
          <w:tcPr>
            <w:tcW w:w="8472" w:type="dxa"/>
          </w:tcPr>
          <w:p>
            <w:pPr>
              <w:spacing w:line="360" w:lineRule="auto"/>
              <w:rPr>
                <w:rFonts w:hint="eastAsia" w:asciiTheme="minorEastAsia" w:hAnsiTheme="minorEastAsia" w:eastAsiaTheme="minorEastAsia" w:cstheme="minorEastAsia"/>
                <w:color w:val="000000"/>
                <w:kern w:val="0"/>
                <w:sz w:val="24"/>
                <w:szCs w:val="24"/>
                <w:lang w:bidi="he-IL"/>
              </w:rPr>
            </w:pPr>
            <w:r>
              <w:rPr>
                <w:rFonts w:hint="eastAsia" w:asciiTheme="minorEastAsia" w:hAnsiTheme="minorEastAsia" w:eastAsiaTheme="minorEastAsia" w:cstheme="minorEastAsia"/>
                <w:color w:val="000000"/>
                <w:kern w:val="0"/>
                <w:sz w:val="24"/>
                <w:szCs w:val="24"/>
                <w:lang w:bidi="he-IL"/>
              </w:rPr>
              <w:t>浊度校正程序是0、0.5、1、2、4MCF，5点校正。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886" w:type="dxa"/>
          </w:tcPr>
          <w:p>
            <w:pPr>
              <w:spacing w:line="360" w:lineRule="auto"/>
              <w:jc w:val="center"/>
              <w:rPr>
                <w:rFonts w:hint="default" w:asciiTheme="minorEastAsia" w:hAnsiTheme="minorEastAsia" w:eastAsiaTheme="minorEastAsia" w:cstheme="minorEastAsia"/>
                <w:color w:val="000000"/>
                <w:kern w:val="0"/>
                <w:sz w:val="24"/>
                <w:szCs w:val="24"/>
                <w:lang w:val="en-US" w:eastAsia="zh-CN" w:bidi="he-IL"/>
              </w:rPr>
            </w:pPr>
            <w:r>
              <w:rPr>
                <w:rFonts w:hint="eastAsia" w:asciiTheme="minorEastAsia" w:hAnsiTheme="minorEastAsia" w:eastAsiaTheme="minorEastAsia" w:cstheme="minorEastAsia"/>
                <w:color w:val="000000"/>
                <w:kern w:val="0"/>
                <w:sz w:val="24"/>
                <w:szCs w:val="24"/>
                <w:lang w:val="en-US" w:eastAsia="zh-CN" w:bidi="he-IL"/>
              </w:rPr>
              <w:t>5</w:t>
            </w:r>
          </w:p>
        </w:tc>
        <w:tc>
          <w:tcPr>
            <w:tcW w:w="8472" w:type="dxa"/>
          </w:tcPr>
          <w:p>
            <w:pPr>
              <w:spacing w:line="360" w:lineRule="auto"/>
              <w:rPr>
                <w:rFonts w:hint="eastAsia" w:asciiTheme="minorEastAsia" w:hAnsiTheme="minorEastAsia" w:eastAsiaTheme="minorEastAsia" w:cstheme="minorEastAsia"/>
                <w:color w:val="000000"/>
                <w:kern w:val="0"/>
                <w:sz w:val="24"/>
                <w:szCs w:val="24"/>
                <w:lang w:bidi="he-IL"/>
              </w:rPr>
            </w:pPr>
            <w:r>
              <w:rPr>
                <w:rFonts w:hint="eastAsia" w:asciiTheme="minorEastAsia" w:hAnsiTheme="minorEastAsia" w:eastAsiaTheme="minorEastAsia" w:cstheme="minorEastAsia"/>
                <w:color w:val="000000"/>
                <w:kern w:val="0"/>
                <w:sz w:val="24"/>
                <w:szCs w:val="24"/>
                <w:lang w:bidi="he-IL"/>
              </w:rPr>
              <w:t>超声分散总时间0-120秒可调，工作时间0-20秒可设，间歇时间0-20秒可设，步进1秒。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86" w:type="dxa"/>
          </w:tcPr>
          <w:p>
            <w:pPr>
              <w:spacing w:line="360" w:lineRule="auto"/>
              <w:jc w:val="center"/>
              <w:rPr>
                <w:rFonts w:hint="eastAsia" w:asciiTheme="minorEastAsia" w:hAnsiTheme="minorEastAsia" w:eastAsiaTheme="minorEastAsia" w:cstheme="minorEastAsia"/>
                <w:color w:val="000000"/>
                <w:kern w:val="0"/>
                <w:sz w:val="24"/>
                <w:szCs w:val="24"/>
                <w:lang w:val="en-US" w:eastAsia="zh-CN" w:bidi="he-IL"/>
              </w:rPr>
            </w:pPr>
            <w:r>
              <w:rPr>
                <w:rFonts w:hint="eastAsia" w:asciiTheme="minorEastAsia" w:hAnsiTheme="minorEastAsia" w:eastAsiaTheme="minorEastAsia" w:cstheme="minorEastAsia"/>
                <w:color w:val="000000"/>
                <w:kern w:val="0"/>
                <w:sz w:val="24"/>
                <w:szCs w:val="24"/>
                <w:lang w:val="en-US" w:eastAsia="zh-CN" w:bidi="he-IL"/>
              </w:rPr>
              <w:t>6</w:t>
            </w:r>
          </w:p>
        </w:tc>
        <w:tc>
          <w:tcPr>
            <w:tcW w:w="8472" w:type="dxa"/>
          </w:tcPr>
          <w:p>
            <w:pPr>
              <w:spacing w:line="360" w:lineRule="auto"/>
              <w:rPr>
                <w:rFonts w:hint="eastAsia" w:asciiTheme="minorEastAsia" w:hAnsiTheme="minorEastAsia" w:eastAsiaTheme="minorEastAsia" w:cstheme="minorEastAsia"/>
                <w:color w:val="000000"/>
                <w:kern w:val="0"/>
                <w:sz w:val="24"/>
                <w:szCs w:val="24"/>
                <w:lang w:bidi="he-IL"/>
              </w:rPr>
            </w:pPr>
            <w:r>
              <w:rPr>
                <w:rFonts w:hint="eastAsia" w:asciiTheme="minorEastAsia" w:hAnsiTheme="minorEastAsia" w:eastAsiaTheme="minorEastAsia" w:cstheme="minorEastAsia"/>
                <w:color w:val="000000"/>
                <w:kern w:val="0"/>
                <w:sz w:val="24"/>
                <w:szCs w:val="24"/>
                <w:lang w:bidi="he-IL"/>
              </w:rPr>
              <w:t>具备断电紧急开盖取液功能。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886" w:type="dxa"/>
          </w:tcPr>
          <w:p>
            <w:pPr>
              <w:spacing w:line="360" w:lineRule="auto"/>
              <w:jc w:val="center"/>
              <w:rPr>
                <w:rFonts w:hint="eastAsia" w:asciiTheme="minorEastAsia" w:hAnsiTheme="minorEastAsia" w:eastAsiaTheme="minorEastAsia" w:cstheme="minorEastAsia"/>
                <w:color w:val="000000"/>
                <w:kern w:val="0"/>
                <w:sz w:val="24"/>
                <w:szCs w:val="24"/>
                <w:lang w:val="en-US" w:eastAsia="zh-CN" w:bidi="he-IL"/>
              </w:rPr>
            </w:pPr>
            <w:r>
              <w:rPr>
                <w:rFonts w:hint="eastAsia" w:asciiTheme="minorEastAsia" w:hAnsiTheme="minorEastAsia" w:eastAsiaTheme="minorEastAsia" w:cstheme="minorEastAsia"/>
                <w:color w:val="000000"/>
                <w:kern w:val="0"/>
                <w:sz w:val="24"/>
                <w:szCs w:val="24"/>
                <w:lang w:val="en-US" w:eastAsia="zh-CN" w:bidi="he-IL"/>
              </w:rPr>
              <w:t>7</w:t>
            </w:r>
          </w:p>
        </w:tc>
        <w:tc>
          <w:tcPr>
            <w:tcW w:w="8472" w:type="dxa"/>
          </w:tcPr>
          <w:p>
            <w:pPr>
              <w:spacing w:line="360" w:lineRule="auto"/>
              <w:rPr>
                <w:rFonts w:hint="eastAsia" w:asciiTheme="minorEastAsia" w:hAnsiTheme="minorEastAsia" w:eastAsiaTheme="minorEastAsia" w:cstheme="minorEastAsia"/>
                <w:color w:val="000000"/>
                <w:kern w:val="0"/>
                <w:sz w:val="24"/>
                <w:szCs w:val="24"/>
                <w:lang w:bidi="he-IL"/>
              </w:rPr>
            </w:pPr>
            <w:r>
              <w:rPr>
                <w:rFonts w:hint="eastAsia" w:asciiTheme="minorEastAsia" w:hAnsiTheme="minorEastAsia" w:eastAsiaTheme="minorEastAsia" w:cstheme="minorEastAsia"/>
                <w:color w:val="000000"/>
                <w:kern w:val="0"/>
                <w:sz w:val="24"/>
                <w:szCs w:val="24"/>
                <w:lang w:bidi="he-IL"/>
              </w:rPr>
              <w:t>超声换能器为损耗性部件，保质期与整机一致。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86" w:type="dxa"/>
          </w:tcPr>
          <w:p>
            <w:pPr>
              <w:spacing w:line="360" w:lineRule="auto"/>
              <w:jc w:val="center"/>
              <w:rPr>
                <w:rFonts w:hint="default" w:asciiTheme="minorEastAsia" w:hAnsiTheme="minorEastAsia" w:eastAsiaTheme="minorEastAsia" w:cstheme="minorEastAsia"/>
                <w:color w:val="000000"/>
                <w:kern w:val="0"/>
                <w:sz w:val="24"/>
                <w:szCs w:val="24"/>
                <w:lang w:val="en-US" w:eastAsia="zh-CN" w:bidi="he-IL"/>
              </w:rPr>
            </w:pPr>
            <w:r>
              <w:rPr>
                <w:rFonts w:hint="eastAsia" w:asciiTheme="minorEastAsia" w:hAnsiTheme="minorEastAsia" w:eastAsiaTheme="minorEastAsia" w:cstheme="minorEastAsia"/>
                <w:color w:val="000000"/>
                <w:kern w:val="0"/>
                <w:sz w:val="24"/>
                <w:szCs w:val="24"/>
                <w:lang w:val="en-US" w:eastAsia="zh-CN" w:bidi="he-IL"/>
              </w:rPr>
              <w:t>8</w:t>
            </w:r>
          </w:p>
        </w:tc>
        <w:tc>
          <w:tcPr>
            <w:tcW w:w="8472" w:type="dxa"/>
          </w:tcPr>
          <w:p>
            <w:pPr>
              <w:spacing w:line="360" w:lineRule="auto"/>
              <w:jc w:val="left"/>
              <w:rPr>
                <w:rFonts w:hint="eastAsia" w:asciiTheme="minorEastAsia" w:hAnsiTheme="minorEastAsia" w:eastAsiaTheme="minorEastAsia" w:cstheme="minorEastAsia"/>
                <w:color w:val="000000"/>
                <w:kern w:val="0"/>
                <w:sz w:val="24"/>
                <w:szCs w:val="24"/>
                <w:lang w:bidi="he-IL"/>
              </w:rPr>
            </w:pPr>
            <w:r>
              <w:rPr>
                <w:rFonts w:hint="eastAsia" w:asciiTheme="minorEastAsia" w:hAnsiTheme="minorEastAsia" w:eastAsiaTheme="minorEastAsia" w:cstheme="minorEastAsia"/>
                <w:color w:val="000000"/>
                <w:kern w:val="0"/>
                <w:sz w:val="24"/>
                <w:szCs w:val="24"/>
                <w:lang w:bidi="he-IL"/>
              </w:rPr>
              <w:t>用户使用权限分级管理，分有普通用户与进阶用户两种，满足不同使用需求。</w:t>
            </w:r>
          </w:p>
        </w:tc>
      </w:tr>
    </w:tbl>
    <w:p>
      <w:pPr>
        <w:rPr>
          <w:rFonts w:hint="eastAsia"/>
          <w:b/>
          <w:bCs/>
          <w:sz w:val="28"/>
          <w:szCs w:val="36"/>
          <w:lang w:val="fr-FR" w:eastAsia="zh-CN"/>
        </w:rPr>
      </w:pPr>
    </w:p>
    <w:p>
      <w:pPr>
        <w:rPr>
          <w:rFonts w:hint="eastAsia"/>
          <w:b/>
          <w:bCs/>
          <w:sz w:val="28"/>
          <w:szCs w:val="36"/>
          <w:lang w:val="fr-FR"/>
        </w:rPr>
      </w:pPr>
    </w:p>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b/>
          <w:bCs/>
          <w:color w:val="auto"/>
          <w:kern w:val="0"/>
          <w:sz w:val="24"/>
          <w:szCs w:val="24"/>
          <w:highlight w:val="none"/>
          <w:lang w:eastAsia="zh-CN"/>
        </w:rPr>
      </w:pP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eastAsiaTheme="minorEastAsia"/>
          <w:color w:val="auto"/>
          <w:highlight w:val="none"/>
          <w:lang w:val="en-US" w:eastAsia="zh-CN"/>
        </w:rPr>
        <w:sectPr>
          <w:pgSz w:w="11907" w:h="16840"/>
          <w:pgMar w:top="1417" w:right="1247" w:bottom="1417" w:left="1247" w:header="851" w:footer="992" w:gutter="0"/>
          <w:cols w:space="0" w:num="1"/>
          <w:titlePg/>
          <w:rtlGutter w:val="0"/>
          <w:docGrid w:linePitch="462" w:charSpace="0"/>
        </w:sectPr>
      </w:pPr>
      <w:r>
        <w:rPr>
          <w:rFonts w:hint="eastAsia" w:asciiTheme="minorEastAsia" w:hAnsiTheme="minorEastAsia" w:eastAsiaTheme="minorEastAsia" w:cstheme="minorEastAsia"/>
          <w:b/>
          <w:bCs/>
          <w:color w:val="auto"/>
          <w:kern w:val="0"/>
          <w:sz w:val="24"/>
          <w:szCs w:val="24"/>
          <w:highlight w:val="none"/>
          <w:lang w:eastAsia="zh-CN"/>
        </w:rPr>
        <w:t>注：</w:t>
      </w:r>
      <w:r>
        <w:rPr>
          <w:rFonts w:hint="eastAsia" w:asciiTheme="minorEastAsia" w:hAnsiTheme="minorEastAsia" w:eastAsiaTheme="minorEastAsia" w:cstheme="minorEastAsia"/>
          <w:b/>
          <w:bCs/>
          <w:color w:val="auto"/>
          <w:kern w:val="0"/>
          <w:sz w:val="24"/>
          <w:szCs w:val="24"/>
          <w:highlight w:val="none"/>
        </w:rPr>
        <w:t>以上</w:t>
      </w:r>
      <w:r>
        <w:rPr>
          <w:rFonts w:hint="eastAsia" w:asciiTheme="minorEastAsia" w:hAnsiTheme="minorEastAsia" w:eastAsiaTheme="minorEastAsia" w:cstheme="minorEastAsia"/>
          <w:b/>
          <w:bCs/>
          <w:color w:val="auto"/>
          <w:kern w:val="0"/>
          <w:sz w:val="24"/>
          <w:szCs w:val="24"/>
          <w:highlight w:val="none"/>
          <w:lang w:eastAsia="zh-CN"/>
        </w:rPr>
        <w:t>技术需求</w:t>
      </w:r>
      <w:r>
        <w:rPr>
          <w:rFonts w:hint="eastAsia" w:asciiTheme="minorEastAsia" w:hAnsiTheme="minorEastAsia" w:eastAsiaTheme="minorEastAsia" w:cstheme="minorEastAsia"/>
          <w:b/>
          <w:bCs/>
          <w:color w:val="auto"/>
          <w:kern w:val="0"/>
          <w:sz w:val="24"/>
          <w:szCs w:val="24"/>
          <w:highlight w:val="none"/>
        </w:rPr>
        <w:t>为采购人最低需求，必须全部满足，有一项不满足视为无效投标。投标人也可提供</w:t>
      </w:r>
      <w:r>
        <w:rPr>
          <w:rFonts w:hint="eastAsia" w:asciiTheme="minorEastAsia" w:hAnsiTheme="minorEastAsia" w:eastAsiaTheme="minorEastAsia" w:cstheme="minorEastAsia"/>
          <w:b/>
          <w:bCs/>
          <w:color w:val="auto"/>
          <w:kern w:val="0"/>
          <w:sz w:val="24"/>
          <w:szCs w:val="24"/>
          <w:highlight w:val="none"/>
          <w:lang w:eastAsia="zh-CN"/>
        </w:rPr>
        <w:t>更</w:t>
      </w:r>
      <w:r>
        <w:rPr>
          <w:rFonts w:hint="eastAsia" w:asciiTheme="minorEastAsia" w:hAnsiTheme="minorEastAsia" w:eastAsiaTheme="minorEastAsia" w:cstheme="minorEastAsia"/>
          <w:b/>
          <w:bCs/>
          <w:color w:val="auto"/>
          <w:kern w:val="0"/>
          <w:sz w:val="24"/>
          <w:szCs w:val="24"/>
          <w:highlight w:val="none"/>
        </w:rPr>
        <w:t>优</w:t>
      </w:r>
      <w:r>
        <w:rPr>
          <w:rFonts w:hint="eastAsia" w:asciiTheme="minorEastAsia" w:hAnsiTheme="minorEastAsia" w:eastAsiaTheme="minorEastAsia" w:cstheme="minorEastAsia"/>
          <w:b/>
          <w:bCs/>
          <w:color w:val="auto"/>
          <w:kern w:val="0"/>
          <w:sz w:val="24"/>
          <w:szCs w:val="24"/>
          <w:highlight w:val="none"/>
          <w:lang w:eastAsia="zh-CN"/>
        </w:rPr>
        <w:t>的技术需求</w:t>
      </w:r>
      <w:r>
        <w:rPr>
          <w:rFonts w:hint="eastAsia" w:asciiTheme="minorEastAsia" w:hAnsiTheme="minorEastAsia" w:eastAsiaTheme="minorEastAsia" w:cstheme="minorEastAsia"/>
          <w:b/>
          <w:bCs/>
          <w:color w:val="auto"/>
          <w:kern w:val="0"/>
          <w:sz w:val="24"/>
          <w:szCs w:val="24"/>
          <w:highlight w:val="none"/>
        </w:rPr>
        <w:t>参与投标。</w:t>
      </w:r>
      <w:r>
        <w:rPr>
          <w:rFonts w:hint="eastAsia" w:asciiTheme="minorEastAsia" w:hAnsiTheme="minorEastAsia" w:eastAsiaTheme="minorEastAsia" w:cstheme="minorEastAsia"/>
          <w:b/>
          <w:bCs/>
          <w:color w:val="auto"/>
          <w:kern w:val="0"/>
          <w:sz w:val="24"/>
          <w:szCs w:val="24"/>
          <w:highlight w:val="none"/>
          <w:lang w:eastAsia="zh-CN"/>
        </w:rPr>
        <w:t>投标人须针对以上需求一一做出响应，否则作无效处理。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suff w:val="nothing"/>
      <w:lvlText w:val="%1、"/>
      <w:lvlJc w:val="left"/>
      <w:pPr>
        <w:ind w:left="0" w:firstLine="0"/>
      </w:pPr>
      <w:rPr>
        <w:b/>
        <w:i w:val="0"/>
        <w:sz w:val="24"/>
      </w:rPr>
    </w:lvl>
    <w:lvl w:ilvl="1" w:tentative="0">
      <w:start w:val="1"/>
      <w:numFmt w:val="decimal"/>
      <w:pStyle w:val="3"/>
      <w:suff w:val="nothing"/>
      <w:lvlText w:val="%2. "/>
      <w:lvlJc w:val="left"/>
      <w:pPr>
        <w:ind w:left="142" w:firstLine="0"/>
      </w:pPr>
      <w:rPr>
        <w:rFonts w:ascii="宋体" w:hAnsi="宋体" w:eastAsia="宋体"/>
        <w:b w:val="0"/>
        <w:i w:val="0"/>
        <w:sz w:val="24"/>
      </w:r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0D745573"/>
    <w:multiLevelType w:val="multilevel"/>
    <w:tmpl w:val="0D74557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0912DBA"/>
    <w:multiLevelType w:val="multilevel"/>
    <w:tmpl w:val="10912DB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3623A3D"/>
    <w:multiLevelType w:val="multilevel"/>
    <w:tmpl w:val="13623A3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A5D2127"/>
    <w:multiLevelType w:val="multilevel"/>
    <w:tmpl w:val="1A5D212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88A6D91"/>
    <w:multiLevelType w:val="multilevel"/>
    <w:tmpl w:val="288A6D9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CCE6EB1"/>
    <w:multiLevelType w:val="multilevel"/>
    <w:tmpl w:val="3CCE6EB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CFF4885"/>
    <w:multiLevelType w:val="multilevel"/>
    <w:tmpl w:val="3CFF488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1F7473F"/>
    <w:multiLevelType w:val="multilevel"/>
    <w:tmpl w:val="51F7473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141B7C3"/>
    <w:multiLevelType w:val="singleLevel"/>
    <w:tmpl w:val="6141B7C3"/>
    <w:lvl w:ilvl="0" w:tentative="0">
      <w:start w:val="1"/>
      <w:numFmt w:val="decimal"/>
      <w:lvlText w:val="%1)"/>
      <w:lvlJc w:val="left"/>
      <w:pPr>
        <w:ind w:left="425" w:leftChars="0" w:hanging="425" w:firstLineChars="0"/>
      </w:pPr>
      <w:rPr>
        <w:rFonts w:hint="default"/>
      </w:rPr>
    </w:lvl>
  </w:abstractNum>
  <w:abstractNum w:abstractNumId="10">
    <w:nsid w:val="6141C033"/>
    <w:multiLevelType w:val="singleLevel"/>
    <w:tmpl w:val="6141C033"/>
    <w:lvl w:ilvl="0" w:tentative="0">
      <w:start w:val="1"/>
      <w:numFmt w:val="decimal"/>
      <w:lvlText w:val="%1)"/>
      <w:lvlJc w:val="left"/>
      <w:pPr>
        <w:ind w:left="425" w:leftChars="0" w:hanging="425" w:firstLineChars="0"/>
      </w:pPr>
      <w:rPr>
        <w:rFonts w:hint="default"/>
      </w:rPr>
    </w:lvl>
  </w:abstractNum>
  <w:abstractNum w:abstractNumId="11">
    <w:nsid w:val="61E72B62"/>
    <w:multiLevelType w:val="multilevel"/>
    <w:tmpl w:val="61E72B6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8"/>
  </w:num>
  <w:num w:numId="3">
    <w:abstractNumId w:val="1"/>
  </w:num>
  <w:num w:numId="4">
    <w:abstractNumId w:val="2"/>
  </w:num>
  <w:num w:numId="5">
    <w:abstractNumId w:val="7"/>
  </w:num>
  <w:num w:numId="6">
    <w:abstractNumId w:val="6"/>
  </w:num>
  <w:num w:numId="7">
    <w:abstractNumId w:val="3"/>
  </w:num>
  <w:num w:numId="8">
    <w:abstractNumId w:val="5"/>
  </w:num>
  <w:num w:numId="9">
    <w:abstractNumId w:val="11"/>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FA70A0"/>
    <w:rsid w:val="1EFA7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numPr>
        <w:ilvl w:val="1"/>
        <w:numId w:val="1"/>
      </w:numPr>
      <w:adjustRightInd w:val="0"/>
      <w:spacing w:before="260" w:after="260" w:line="416" w:lineRule="atLeast"/>
      <w:textAlignment w:val="baseline"/>
      <w:outlineLvl w:val="1"/>
    </w:pPr>
    <w:rPr>
      <w:rFonts w:ascii="Arial" w:hAnsi="Arial" w:eastAsia="黑体"/>
      <w:b/>
      <w:sz w:val="32"/>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adjustRightInd w:val="0"/>
      <w:jc w:val="left"/>
    </w:pPr>
    <w:rPr>
      <w:rFonts w:ascii="宋体"/>
      <w:kern w:val="0"/>
      <w:sz w:val="28"/>
      <w:szCs w:val="20"/>
    </w:rPr>
  </w:style>
  <w:style w:type="table" w:styleId="5">
    <w:name w:val="Table Grid"/>
    <w:basedOn w:val="4"/>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styleId="8">
    <w:name w:val="List Paragraph"/>
    <w:basedOn w:val="1"/>
    <w:qFormat/>
    <w:uiPriority w:val="34"/>
    <w:pPr>
      <w:spacing w:line="312" w:lineRule="atLeast"/>
      <w:ind w:left="510" w:firstLine="420" w:firstLineChars="200"/>
    </w:pPr>
    <w:rPr>
      <w:rFonts w:ascii="Calibri" w:hAnsi="Calibri"/>
      <w:szCs w:val="22"/>
    </w:rPr>
  </w:style>
  <w:style w:type="paragraph" w:customStyle="1" w:styleId="9">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2021-11-01T09:03:00Z</dcterms:created>
  <dc:creator>江西众恒</dc:creator>
  <cp:lastModifiedBy>江西众恒</cp:lastModifiedBy>
  <dcterms:modified xsi:type="dcterms:W3CDTF">2021-11-01T09:05:24Z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45B7050788B248B798A5096DB17D423B</vt:lpwstr>
  </property>
</Properties>
</file>