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72" w:rsidRDefault="00690972" w:rsidP="00690972">
      <w:pPr>
        <w:pStyle w:val="a5"/>
        <w:rPr>
          <w:rFonts w:ascii="宋体" w:hAnsi="宋体" w:cs="宋体" w:hint="eastAsia"/>
          <w:color w:val="000000"/>
        </w:rPr>
      </w:pPr>
      <w:r>
        <w:rPr>
          <w:rFonts w:hint="eastAsia"/>
        </w:rPr>
        <w:t>广西大</w:t>
      </w:r>
      <w:proofErr w:type="gramStart"/>
      <w:r>
        <w:rPr>
          <w:rFonts w:hint="eastAsia"/>
        </w:rPr>
        <w:t>旺建设</w:t>
      </w:r>
      <w:proofErr w:type="gramEnd"/>
      <w:r>
        <w:rPr>
          <w:rFonts w:hint="eastAsia"/>
        </w:rPr>
        <w:t>工程招标有限责任公司关于</w:t>
      </w:r>
      <w:r w:rsidR="001570E6" w:rsidRPr="001570E6">
        <w:rPr>
          <w:rFonts w:ascii="宋体" w:hAnsi="宋体" w:cs="宋体" w:hint="eastAsia"/>
          <w:color w:val="000000"/>
        </w:rPr>
        <w:t>实验室仪器设备</w:t>
      </w:r>
      <w:r>
        <w:rPr>
          <w:rFonts w:ascii="宋体" w:hAnsi="宋体" w:cs="宋体" w:hint="eastAsia"/>
          <w:color w:val="000000"/>
        </w:rPr>
        <w:t>(项目编号:</w:t>
      </w:r>
      <w:r w:rsidRPr="00690972">
        <w:rPr>
          <w:rFonts w:ascii="宋体" w:hAnsi="宋体" w:cs="宋体" w:hint="eastAsia"/>
          <w:color w:val="000000"/>
          <w:szCs w:val="21"/>
        </w:rPr>
        <w:t xml:space="preserve"> </w:t>
      </w:r>
      <w:r w:rsidR="001570E6" w:rsidRPr="001570E6">
        <w:rPr>
          <w:rFonts w:ascii="宋体" w:hAnsi="宋体" w:cs="宋体"/>
          <w:color w:val="000000"/>
          <w:szCs w:val="21"/>
        </w:rPr>
        <w:t>GLZC2018-G1-00542-GXDW</w:t>
      </w:r>
      <w:r>
        <w:rPr>
          <w:rFonts w:ascii="宋体" w:hAnsi="宋体" w:cs="宋体" w:hint="eastAsia"/>
          <w:color w:val="000000"/>
        </w:rPr>
        <w:t>)</w:t>
      </w:r>
      <w:r w:rsidR="001570E6">
        <w:rPr>
          <w:rFonts w:ascii="宋体" w:hAnsi="宋体" w:cs="宋体" w:hint="eastAsia"/>
          <w:color w:val="000000"/>
        </w:rPr>
        <w:t>公开招标</w:t>
      </w:r>
      <w:r>
        <w:rPr>
          <w:rFonts w:ascii="宋体" w:hAnsi="宋体" w:cs="宋体" w:hint="eastAsia"/>
          <w:color w:val="000000"/>
        </w:rPr>
        <w:t>公告</w:t>
      </w:r>
    </w:p>
    <w:p w:rsidR="001570E6" w:rsidRPr="001570E6" w:rsidRDefault="001570E6" w:rsidP="001570E6">
      <w:pPr>
        <w:spacing w:line="380" w:lineRule="exact"/>
        <w:ind w:firstLineChars="200" w:firstLine="480"/>
        <w:jc w:val="left"/>
        <w:rPr>
          <w:rFonts w:asciiTheme="minorEastAsia" w:eastAsiaTheme="minorEastAsia" w:hAnsiTheme="minorEastAsia"/>
          <w:sz w:val="24"/>
        </w:rPr>
      </w:pPr>
      <w:r w:rsidRPr="001570E6">
        <w:rPr>
          <w:rFonts w:asciiTheme="minorEastAsia" w:eastAsiaTheme="minorEastAsia" w:hAnsiTheme="minorEastAsia" w:hint="eastAsia"/>
          <w:sz w:val="24"/>
        </w:rPr>
        <w:t>广西大</w:t>
      </w:r>
      <w:proofErr w:type="gramStart"/>
      <w:r w:rsidRPr="001570E6">
        <w:rPr>
          <w:rFonts w:asciiTheme="minorEastAsia" w:eastAsiaTheme="minorEastAsia" w:hAnsiTheme="minorEastAsia" w:hint="eastAsia"/>
          <w:sz w:val="24"/>
        </w:rPr>
        <w:t>旺建设</w:t>
      </w:r>
      <w:proofErr w:type="gramEnd"/>
      <w:r w:rsidRPr="001570E6">
        <w:rPr>
          <w:rFonts w:asciiTheme="minorEastAsia" w:eastAsiaTheme="minorEastAsia" w:hAnsiTheme="minorEastAsia" w:hint="eastAsia"/>
          <w:sz w:val="24"/>
        </w:rPr>
        <w:t>工程招标有限责任公司受</w:t>
      </w:r>
      <w:r w:rsidRPr="001570E6">
        <w:rPr>
          <w:rFonts w:asciiTheme="minorEastAsia" w:eastAsiaTheme="minorEastAsia" w:hAnsiTheme="minorEastAsia" w:hint="eastAsia"/>
          <w:sz w:val="24"/>
          <w:u w:val="single"/>
        </w:rPr>
        <w:t xml:space="preserve"> 桂林市疾病预防控制中心 </w:t>
      </w:r>
      <w:r w:rsidRPr="001570E6">
        <w:rPr>
          <w:rFonts w:asciiTheme="minorEastAsia" w:eastAsiaTheme="minorEastAsia" w:hAnsiTheme="minorEastAsia" w:hint="eastAsia"/>
          <w:sz w:val="24"/>
        </w:rPr>
        <w:t>委托，根据《中华人民共和国政府采购法》、《中华人民共和国政府采购法实施条例》、《</w:t>
      </w:r>
      <w:r w:rsidRPr="001570E6">
        <w:rPr>
          <w:rFonts w:asciiTheme="minorEastAsia" w:eastAsiaTheme="minorEastAsia" w:hAnsiTheme="minorEastAsia"/>
          <w:sz w:val="24"/>
        </w:rPr>
        <w:t>政府采购货物和服务招标投标管理办法</w:t>
      </w:r>
      <w:r w:rsidRPr="001570E6">
        <w:rPr>
          <w:rFonts w:asciiTheme="minorEastAsia" w:eastAsiaTheme="minorEastAsia" w:hAnsiTheme="minorEastAsia" w:hint="eastAsia"/>
          <w:sz w:val="24"/>
        </w:rPr>
        <w:t>》等规定，现对</w:t>
      </w:r>
      <w:r w:rsidRPr="001570E6">
        <w:rPr>
          <w:rFonts w:asciiTheme="minorEastAsia" w:eastAsiaTheme="minorEastAsia" w:hAnsiTheme="minorEastAsia" w:hint="eastAsia"/>
          <w:sz w:val="24"/>
          <w:u w:val="single"/>
        </w:rPr>
        <w:t xml:space="preserve"> 实验室仪器设备 </w:t>
      </w:r>
      <w:r w:rsidRPr="001570E6">
        <w:rPr>
          <w:rFonts w:asciiTheme="minorEastAsia" w:eastAsiaTheme="minorEastAsia" w:hAnsiTheme="minorEastAsia" w:hint="eastAsia"/>
          <w:sz w:val="24"/>
        </w:rPr>
        <w:t>进行公开招标，现将本次公开招标有关事项公告如下：</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一、采购项目名称：实验室仪器设备</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二、采购项目编号：</w:t>
      </w:r>
      <w:r w:rsidRPr="001570E6">
        <w:rPr>
          <w:rFonts w:asciiTheme="minorEastAsia" w:eastAsiaTheme="minorEastAsia" w:hAnsiTheme="minorEastAsia"/>
          <w:sz w:val="24"/>
        </w:rPr>
        <w:t>GLZC2018-G1-00542-GXDW</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三、采购内容：</w:t>
      </w:r>
    </w:p>
    <w:tbl>
      <w:tblPr>
        <w:tblW w:w="9035" w:type="dxa"/>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846"/>
        <w:gridCol w:w="3407"/>
        <w:gridCol w:w="708"/>
        <w:gridCol w:w="709"/>
        <w:gridCol w:w="2515"/>
      </w:tblGrid>
      <w:tr w:rsidR="001570E6" w:rsidRPr="001570E6" w:rsidTr="00254A03">
        <w:trPr>
          <w:trHeight w:val="246"/>
        </w:trPr>
        <w:tc>
          <w:tcPr>
            <w:tcW w:w="850"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分标号</w:t>
            </w: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序号</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货物名称</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数量</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单位</w:t>
            </w:r>
          </w:p>
        </w:tc>
        <w:tc>
          <w:tcPr>
            <w:tcW w:w="2515"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项目基本概况介绍</w:t>
            </w:r>
          </w:p>
        </w:tc>
      </w:tr>
      <w:tr w:rsidR="001570E6" w:rsidRPr="001570E6" w:rsidTr="00254A03">
        <w:trPr>
          <w:trHeight w:val="465"/>
        </w:trPr>
        <w:tc>
          <w:tcPr>
            <w:tcW w:w="850"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A</w:t>
            </w: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高通量基因测序系统</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套</w:t>
            </w:r>
          </w:p>
        </w:tc>
        <w:tc>
          <w:tcPr>
            <w:tcW w:w="2515" w:type="dxa"/>
            <w:vMerge w:val="restart"/>
            <w:tcBorders>
              <w:top w:val="single" w:sz="4" w:space="0" w:color="auto"/>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用于桂林市疾病预防控制中心安全风险监测生物实验室的组建</w:t>
            </w:r>
          </w:p>
        </w:tc>
      </w:tr>
      <w:tr w:rsidR="001570E6" w:rsidRPr="001570E6" w:rsidTr="00254A03">
        <w:trPr>
          <w:trHeight w:val="465"/>
        </w:trPr>
        <w:tc>
          <w:tcPr>
            <w:tcW w:w="850" w:type="dxa"/>
            <w:vMerge w:val="restart"/>
            <w:tcBorders>
              <w:top w:val="single" w:sz="4" w:space="0" w:color="auto"/>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r w:rsidRPr="001570E6">
              <w:rPr>
                <w:rFonts w:asciiTheme="minorEastAsia" w:eastAsiaTheme="minorEastAsia" w:hAnsiTheme="minorEastAsia" w:hint="eastAsia"/>
                <w:bCs/>
                <w:sz w:val="24"/>
              </w:rPr>
              <w:t>B</w:t>
            </w: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离子色谱仪</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2</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核酸提取仪</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3</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金属浴</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4</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全自动酶免工作站</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5</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微流体芯片</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套</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6</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振荡器</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7</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微生物限度检验仪</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8</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液体分装泵</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9</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均质器</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r w:rsidR="001570E6" w:rsidRPr="001570E6" w:rsidTr="00254A03">
        <w:trPr>
          <w:trHeight w:val="465"/>
        </w:trPr>
        <w:tc>
          <w:tcPr>
            <w:tcW w:w="850" w:type="dxa"/>
            <w:vMerge/>
            <w:tcBorders>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bCs/>
                <w:sz w:val="24"/>
              </w:rPr>
            </w:pPr>
          </w:p>
        </w:tc>
        <w:tc>
          <w:tcPr>
            <w:tcW w:w="846"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10</w:t>
            </w:r>
          </w:p>
        </w:tc>
        <w:tc>
          <w:tcPr>
            <w:tcW w:w="3407"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台式低温高速离心机</w:t>
            </w:r>
          </w:p>
        </w:tc>
        <w:tc>
          <w:tcPr>
            <w:tcW w:w="708"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1570E6" w:rsidRPr="001570E6" w:rsidRDefault="001570E6" w:rsidP="001570E6">
            <w:pPr>
              <w:spacing w:line="380" w:lineRule="exact"/>
              <w:jc w:val="center"/>
              <w:rPr>
                <w:rFonts w:asciiTheme="minorEastAsia" w:eastAsiaTheme="minorEastAsia" w:hAnsiTheme="minorEastAsia"/>
                <w:sz w:val="24"/>
              </w:rPr>
            </w:pPr>
            <w:r w:rsidRPr="001570E6">
              <w:rPr>
                <w:rFonts w:asciiTheme="minorEastAsia" w:eastAsiaTheme="minorEastAsia" w:hAnsiTheme="minorEastAsia" w:hint="eastAsia"/>
                <w:sz w:val="24"/>
              </w:rPr>
              <w:t>台</w:t>
            </w:r>
          </w:p>
        </w:tc>
        <w:tc>
          <w:tcPr>
            <w:tcW w:w="2515" w:type="dxa"/>
            <w:vMerge/>
            <w:tcBorders>
              <w:left w:val="single" w:sz="4" w:space="0" w:color="auto"/>
              <w:bottom w:val="single" w:sz="4" w:space="0" w:color="auto"/>
              <w:right w:val="single" w:sz="4" w:space="0" w:color="auto"/>
            </w:tcBorders>
            <w:vAlign w:val="center"/>
          </w:tcPr>
          <w:p w:rsidR="001570E6" w:rsidRPr="001570E6" w:rsidRDefault="001570E6" w:rsidP="001570E6">
            <w:pPr>
              <w:snapToGrid w:val="0"/>
              <w:spacing w:line="380" w:lineRule="exact"/>
              <w:jc w:val="center"/>
              <w:rPr>
                <w:rFonts w:asciiTheme="minorEastAsia" w:eastAsiaTheme="minorEastAsia" w:hAnsiTheme="minorEastAsia"/>
                <w:sz w:val="24"/>
              </w:rPr>
            </w:pPr>
          </w:p>
        </w:tc>
      </w:tr>
    </w:tbl>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四、采购项目预算金额（人民币）：本项目预算总金额为6700000.00元，其中A分标为3390000元、B分标为3310000元。</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五、本项目需要落实的政府采购政策：</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1.《政府采购促进中小企业发展暂行办法》（财库[2011]181号）；</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2.《关于政府采购支持监狱企业发展有关问题的通知》（财库</w:t>
      </w:r>
      <w:r w:rsidRPr="001570E6">
        <w:rPr>
          <w:rFonts w:asciiTheme="minorEastAsia" w:eastAsiaTheme="minorEastAsia" w:hAnsiTheme="minorEastAsia"/>
          <w:sz w:val="24"/>
        </w:rPr>
        <w:t>[2014]68</w:t>
      </w:r>
      <w:r w:rsidRPr="001570E6">
        <w:rPr>
          <w:rFonts w:asciiTheme="minorEastAsia" w:eastAsiaTheme="minorEastAsia" w:hAnsiTheme="minorEastAsia" w:hint="eastAsia"/>
          <w:sz w:val="24"/>
        </w:rPr>
        <w:t>号）；</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3.《关于促进残疾人就业政府采购政策的通知》（财库</w:t>
      </w:r>
      <w:r w:rsidRPr="001570E6">
        <w:rPr>
          <w:rFonts w:asciiTheme="minorEastAsia" w:eastAsiaTheme="minorEastAsia" w:hAnsiTheme="minorEastAsia"/>
          <w:sz w:val="24"/>
        </w:rPr>
        <w:t>[201</w:t>
      </w:r>
      <w:r w:rsidRPr="001570E6">
        <w:rPr>
          <w:rFonts w:asciiTheme="minorEastAsia" w:eastAsiaTheme="minorEastAsia" w:hAnsiTheme="minorEastAsia" w:hint="eastAsia"/>
          <w:sz w:val="24"/>
        </w:rPr>
        <w:t>7</w:t>
      </w:r>
      <w:r w:rsidRPr="001570E6">
        <w:rPr>
          <w:rFonts w:asciiTheme="minorEastAsia" w:eastAsiaTheme="minorEastAsia" w:hAnsiTheme="minorEastAsia"/>
          <w:sz w:val="24"/>
        </w:rPr>
        <w:t>]</w:t>
      </w:r>
      <w:r w:rsidRPr="001570E6">
        <w:rPr>
          <w:rFonts w:asciiTheme="minorEastAsia" w:eastAsiaTheme="minorEastAsia" w:hAnsiTheme="minorEastAsia" w:hint="eastAsia"/>
          <w:sz w:val="24"/>
        </w:rPr>
        <w:t>141号）；</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4. 强制采购节能产品；</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5. 优先采购环境标志产品、节能产品。</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六、投标人的资格要求：</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sz w:val="24"/>
        </w:rPr>
        <w:lastRenderedPageBreak/>
        <w:t>1</w:t>
      </w:r>
      <w:r w:rsidRPr="001570E6">
        <w:rPr>
          <w:rFonts w:asciiTheme="minorEastAsia" w:eastAsiaTheme="minorEastAsia" w:hAnsiTheme="minorEastAsia" w:hint="eastAsia"/>
          <w:sz w:val="24"/>
        </w:rPr>
        <w:t>、符合《中华人民共和国政府采购法》第二十二条和《中华人民共和国政府采购法实施条例》第十八条规定，具备合法资格的供应商；</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2、B分</w:t>
      </w:r>
      <w:proofErr w:type="gramStart"/>
      <w:r w:rsidRPr="001570E6">
        <w:rPr>
          <w:rFonts w:asciiTheme="minorEastAsia" w:eastAsiaTheme="minorEastAsia" w:hAnsiTheme="minorEastAsia" w:hint="eastAsia"/>
          <w:sz w:val="24"/>
        </w:rPr>
        <w:t>标供应</w:t>
      </w:r>
      <w:proofErr w:type="gramEnd"/>
      <w:r w:rsidRPr="001570E6">
        <w:rPr>
          <w:rFonts w:asciiTheme="minorEastAsia" w:eastAsiaTheme="minorEastAsia" w:hAnsiTheme="minorEastAsia" w:hint="eastAsia"/>
          <w:sz w:val="24"/>
        </w:rPr>
        <w:t>商须具有有效的医疗器械生产许可证或经营相关证明（供应商所投货物为第一类医疗器械的不需提供许可和备案证明；供应商所投货物包含第二类医疗器械的须提供备案证明；供应商所投货物包含第三类医疗器械的须提供经营许可证明）</w:t>
      </w:r>
    </w:p>
    <w:p w:rsidR="001570E6" w:rsidRPr="001570E6" w:rsidRDefault="001570E6" w:rsidP="001570E6">
      <w:pPr>
        <w:spacing w:line="380" w:lineRule="exact"/>
        <w:ind w:firstLineChars="200" w:firstLine="480"/>
        <w:rPr>
          <w:rFonts w:asciiTheme="minorEastAsia" w:eastAsiaTheme="minorEastAsia" w:hAnsiTheme="minorEastAsia" w:cs="宋体"/>
          <w:sz w:val="24"/>
        </w:rPr>
      </w:pPr>
      <w:r w:rsidRPr="001570E6">
        <w:rPr>
          <w:rFonts w:asciiTheme="minorEastAsia" w:eastAsiaTheme="minorEastAsia" w:hAnsiTheme="minorEastAsia" w:hint="eastAsia"/>
          <w:sz w:val="24"/>
        </w:rPr>
        <w:t>3、对在“信用中国”网站</w:t>
      </w:r>
      <w:r w:rsidRPr="001570E6">
        <w:rPr>
          <w:rFonts w:asciiTheme="minorEastAsia" w:eastAsiaTheme="minorEastAsia" w:hAnsiTheme="minorEastAsia"/>
          <w:sz w:val="24"/>
        </w:rPr>
        <w:t>(www.creditchina.gov.cn)</w:t>
      </w:r>
      <w:r w:rsidRPr="001570E6">
        <w:rPr>
          <w:rFonts w:asciiTheme="minorEastAsia" w:eastAsiaTheme="minorEastAsia" w:hAnsiTheme="minorEastAsia" w:hint="eastAsia"/>
          <w:sz w:val="24"/>
        </w:rPr>
        <w:t>、中国政府采购网</w:t>
      </w:r>
      <w:r w:rsidRPr="001570E6">
        <w:rPr>
          <w:rFonts w:asciiTheme="minorEastAsia" w:eastAsiaTheme="minorEastAsia" w:hAnsiTheme="minorEastAsia"/>
          <w:sz w:val="24"/>
        </w:rPr>
        <w:t>(www.ccgp.gov.cn)</w:t>
      </w:r>
      <w:r w:rsidRPr="001570E6">
        <w:rPr>
          <w:rFonts w:asciiTheme="minorEastAsia" w:eastAsiaTheme="minorEastAsia" w:hAnsiTheme="minorEastAsia" w:hint="eastAsia"/>
          <w:sz w:val="24"/>
        </w:rPr>
        <w:t>等渠道列入失信被执行人、重大税收违法案件当事人名单、政府采购严重违法失信行为记录名单及其他不符合《中华人民共和国政府采购法》第二十二条规定条件的供应商，不得参与政府采购活动。</w:t>
      </w:r>
    </w:p>
    <w:p w:rsidR="001570E6" w:rsidRPr="001570E6" w:rsidRDefault="001570E6" w:rsidP="001570E6">
      <w:pPr>
        <w:spacing w:line="380" w:lineRule="exact"/>
        <w:ind w:firstLineChars="200" w:firstLine="480"/>
        <w:rPr>
          <w:rFonts w:asciiTheme="minorEastAsia" w:eastAsiaTheme="minorEastAsia" w:hAnsiTheme="minorEastAsia" w:cs="宋体"/>
          <w:sz w:val="24"/>
        </w:rPr>
      </w:pPr>
      <w:r w:rsidRPr="001570E6">
        <w:rPr>
          <w:rFonts w:asciiTheme="minorEastAsia" w:eastAsiaTheme="minorEastAsia" w:hAnsiTheme="minorEastAsia" w:cs="宋体" w:hint="eastAsia"/>
          <w:sz w:val="24"/>
        </w:rPr>
        <w:t>4、</w:t>
      </w:r>
      <w:r w:rsidRPr="001570E6">
        <w:rPr>
          <w:rFonts w:asciiTheme="minorEastAsia" w:eastAsiaTheme="minorEastAsia" w:hAnsiTheme="minorEastAsia" w:hint="eastAsia"/>
          <w:sz w:val="24"/>
        </w:rPr>
        <w:t>本项目</w:t>
      </w:r>
      <w:r w:rsidRPr="001570E6">
        <w:rPr>
          <w:rFonts w:asciiTheme="minorEastAsia" w:eastAsiaTheme="minorEastAsia" w:hAnsiTheme="minorEastAsia" w:hint="eastAsia"/>
          <w:sz w:val="24"/>
          <w:u w:val="single"/>
        </w:rPr>
        <w:t xml:space="preserve"> 不接受 </w:t>
      </w:r>
      <w:r w:rsidRPr="001570E6">
        <w:rPr>
          <w:rFonts w:asciiTheme="minorEastAsia" w:eastAsiaTheme="minorEastAsia" w:hAnsiTheme="minorEastAsia" w:hint="eastAsia"/>
          <w:sz w:val="24"/>
        </w:rPr>
        <w:t>联合体投标；</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cs="宋体" w:hint="eastAsia"/>
          <w:sz w:val="24"/>
        </w:rPr>
        <w:t>5、本项目不接受未购买招标文件的供应商投标。</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七、供应商报名要求：</w:t>
      </w:r>
    </w:p>
    <w:p w:rsidR="001570E6" w:rsidRPr="001570E6" w:rsidRDefault="001570E6" w:rsidP="001570E6">
      <w:pPr>
        <w:spacing w:line="380" w:lineRule="exact"/>
        <w:ind w:firstLineChars="200" w:firstLine="480"/>
        <w:rPr>
          <w:rFonts w:asciiTheme="minorEastAsia" w:eastAsiaTheme="minorEastAsia" w:hAnsiTheme="minorEastAsia" w:cs="Arial"/>
          <w:sz w:val="24"/>
        </w:rPr>
      </w:pPr>
      <w:r w:rsidRPr="001570E6">
        <w:rPr>
          <w:rFonts w:asciiTheme="minorEastAsia" w:eastAsiaTheme="minorEastAsia" w:hAnsiTheme="minorEastAsia" w:hint="eastAsia"/>
          <w:bCs/>
          <w:sz w:val="24"/>
          <w:shd w:val="clear" w:color="auto" w:fill="FFFFFF"/>
        </w:rPr>
        <w:t>潜在供应商可在桂林市公共资源交易中心平台（</w:t>
      </w:r>
      <w:r w:rsidRPr="001570E6">
        <w:rPr>
          <w:rFonts w:asciiTheme="minorEastAsia" w:eastAsiaTheme="minorEastAsia" w:hAnsiTheme="minorEastAsia"/>
          <w:bCs/>
          <w:sz w:val="24"/>
          <w:shd w:val="clear" w:color="auto" w:fill="FFFFFF"/>
        </w:rPr>
        <w:t>http://ggzy.guilin.cn</w:t>
      </w:r>
      <w:r w:rsidRPr="001570E6">
        <w:rPr>
          <w:rFonts w:asciiTheme="minorEastAsia" w:eastAsiaTheme="minorEastAsia" w:hAnsiTheme="minorEastAsia" w:hint="eastAsia"/>
          <w:bCs/>
          <w:sz w:val="24"/>
          <w:shd w:val="clear" w:color="auto" w:fill="FFFFFF"/>
        </w:rPr>
        <w:t>）以使用企业</w:t>
      </w:r>
      <w:r w:rsidRPr="001570E6">
        <w:rPr>
          <w:rFonts w:asciiTheme="minorEastAsia" w:eastAsiaTheme="minorEastAsia" w:hAnsiTheme="minorEastAsia"/>
          <w:bCs/>
          <w:sz w:val="24"/>
          <w:shd w:val="clear" w:color="auto" w:fill="FFFFFF"/>
        </w:rPr>
        <w:t>CA</w:t>
      </w:r>
      <w:r w:rsidRPr="001570E6">
        <w:rPr>
          <w:rFonts w:asciiTheme="minorEastAsia" w:eastAsiaTheme="minorEastAsia" w:hAnsiTheme="minorEastAsia" w:hint="eastAsia"/>
          <w:bCs/>
          <w:sz w:val="24"/>
          <w:shd w:val="clear" w:color="auto" w:fill="FFFFFF"/>
        </w:rPr>
        <w:t>锁登录方式完成网上报名</w:t>
      </w:r>
      <w:r w:rsidRPr="001570E6">
        <w:rPr>
          <w:rFonts w:asciiTheme="minorEastAsia" w:eastAsiaTheme="minorEastAsia" w:hAnsiTheme="minorEastAsia" w:cs="Arial" w:hint="eastAsia"/>
          <w:sz w:val="24"/>
        </w:rPr>
        <w:t>。</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cs="Arial" w:hint="eastAsia"/>
          <w:sz w:val="24"/>
        </w:rPr>
        <w:t>报名时间：2018年10月12日</w:t>
      </w:r>
      <w:r w:rsidRPr="001570E6">
        <w:rPr>
          <w:rFonts w:asciiTheme="minorEastAsia" w:eastAsiaTheme="minorEastAsia" w:hAnsiTheme="minorEastAsia" w:hint="eastAsia"/>
          <w:sz w:val="24"/>
        </w:rPr>
        <w:t>公告发布之时起</w:t>
      </w:r>
      <w:r w:rsidRPr="001570E6">
        <w:rPr>
          <w:rFonts w:asciiTheme="minorEastAsia" w:eastAsiaTheme="minorEastAsia" w:hAnsiTheme="minorEastAsia" w:cs="Arial" w:hint="eastAsia"/>
          <w:sz w:val="24"/>
        </w:rPr>
        <w:t>至2018年10月19日下午17：30分止。</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八、招标文件的获取及售价：</w:t>
      </w:r>
    </w:p>
    <w:p w:rsidR="001570E6" w:rsidRPr="001570E6" w:rsidRDefault="001570E6" w:rsidP="001570E6">
      <w:pPr>
        <w:spacing w:line="380" w:lineRule="exact"/>
        <w:ind w:firstLineChars="200" w:firstLine="480"/>
        <w:rPr>
          <w:rFonts w:asciiTheme="minorEastAsia" w:eastAsiaTheme="minorEastAsia" w:hAnsiTheme="minorEastAsia" w:cs="宋体"/>
          <w:sz w:val="24"/>
        </w:rPr>
      </w:pPr>
      <w:r w:rsidRPr="001570E6">
        <w:rPr>
          <w:rFonts w:asciiTheme="minorEastAsia" w:eastAsiaTheme="minorEastAsia" w:hAnsiTheme="minorEastAsia"/>
          <w:sz w:val="24"/>
        </w:rPr>
        <w:t>1</w:t>
      </w:r>
      <w:r w:rsidRPr="001570E6">
        <w:rPr>
          <w:rFonts w:asciiTheme="minorEastAsia" w:eastAsiaTheme="minorEastAsia" w:hAnsiTheme="minorEastAsia" w:hint="eastAsia"/>
          <w:sz w:val="24"/>
        </w:rPr>
        <w:t>、获取方式：</w:t>
      </w:r>
      <w:r w:rsidRPr="001570E6">
        <w:rPr>
          <w:rFonts w:asciiTheme="minorEastAsia" w:eastAsiaTheme="minorEastAsia" w:hAnsiTheme="minorEastAsia" w:cs="Arial" w:hint="eastAsia"/>
          <w:sz w:val="24"/>
        </w:rPr>
        <w:t>2018年10月12日</w:t>
      </w:r>
      <w:r w:rsidRPr="001570E6">
        <w:rPr>
          <w:rFonts w:asciiTheme="minorEastAsia" w:eastAsiaTheme="minorEastAsia" w:hAnsiTheme="minorEastAsia" w:hint="eastAsia"/>
          <w:sz w:val="24"/>
        </w:rPr>
        <w:t>公告发布之时起</w:t>
      </w:r>
      <w:r w:rsidRPr="001570E6">
        <w:rPr>
          <w:rFonts w:asciiTheme="minorEastAsia" w:eastAsiaTheme="minorEastAsia" w:hAnsiTheme="minorEastAsia" w:cs="Arial" w:hint="eastAsia"/>
          <w:sz w:val="24"/>
        </w:rPr>
        <w:t>至2018年10月19日下午17：30分止</w:t>
      </w:r>
      <w:r w:rsidRPr="001570E6">
        <w:rPr>
          <w:rFonts w:asciiTheme="minorEastAsia" w:eastAsiaTheme="minorEastAsia" w:hAnsiTheme="minorEastAsia" w:hint="eastAsia"/>
          <w:sz w:val="24"/>
        </w:rPr>
        <w:t>，由潜在供应商登陆桂林市公共资源交易中心平台（http://ggzy.guilin.cn）缴纳招标文件费后在网上下载招标文件电子版，并打印投标报名成功回执。</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2、售价：招标文件250元，售后不退。</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cs="宋体" w:hint="eastAsia"/>
          <w:sz w:val="24"/>
        </w:rPr>
        <w:t>3、</w:t>
      </w:r>
      <w:r w:rsidRPr="001570E6">
        <w:rPr>
          <w:rFonts w:asciiTheme="minorEastAsia" w:eastAsiaTheme="minorEastAsia" w:hAnsiTheme="minorEastAsia" w:hint="eastAsia"/>
          <w:sz w:val="24"/>
        </w:rPr>
        <w:t>请各投标人合理安排时间，采购代理工作人</w:t>
      </w:r>
      <w:bookmarkStart w:id="0" w:name="_GoBack"/>
      <w:bookmarkEnd w:id="0"/>
      <w:r w:rsidRPr="001570E6">
        <w:rPr>
          <w:rFonts w:asciiTheme="minorEastAsia" w:eastAsiaTheme="minorEastAsia" w:hAnsiTheme="minorEastAsia" w:hint="eastAsia"/>
          <w:sz w:val="24"/>
        </w:rPr>
        <w:t>员以投标人在桂林市公共资源交易中心平台（http://ggzy.guilin.cn）打印投标报名成功回执并加盖投标人公章接受投标文件。</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九、公告期限：2018年10月12日至2018年10月19日</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十、投标保证金（人民币）：</w:t>
      </w:r>
      <w:r w:rsidRPr="001570E6">
        <w:rPr>
          <w:rFonts w:asciiTheme="minorEastAsia" w:eastAsiaTheme="minorEastAsia" w:hAnsiTheme="minorEastAsia"/>
          <w:sz w:val="24"/>
        </w:rPr>
        <w:t>A</w:t>
      </w:r>
      <w:r w:rsidRPr="001570E6">
        <w:rPr>
          <w:rFonts w:asciiTheme="minorEastAsia" w:eastAsiaTheme="minorEastAsia" w:hAnsiTheme="minorEastAsia" w:hint="eastAsia"/>
          <w:sz w:val="24"/>
        </w:rPr>
        <w:t>分标为33000元整、</w:t>
      </w:r>
      <w:r w:rsidRPr="001570E6">
        <w:rPr>
          <w:rFonts w:asciiTheme="minorEastAsia" w:eastAsiaTheme="minorEastAsia" w:hAnsiTheme="minorEastAsia"/>
          <w:sz w:val="24"/>
        </w:rPr>
        <w:t>B</w:t>
      </w:r>
      <w:r w:rsidRPr="001570E6">
        <w:rPr>
          <w:rFonts w:asciiTheme="minorEastAsia" w:eastAsiaTheme="minorEastAsia" w:hAnsiTheme="minorEastAsia" w:hint="eastAsia"/>
          <w:sz w:val="24"/>
        </w:rPr>
        <w:t>分标为33000元整(须足额交纳）</w:t>
      </w:r>
      <w:r w:rsidRPr="001570E6">
        <w:rPr>
          <w:rFonts w:asciiTheme="minorEastAsia" w:eastAsiaTheme="minorEastAsia" w:hAnsiTheme="minorEastAsia" w:cs="Arial" w:hint="eastAsia"/>
          <w:sz w:val="24"/>
        </w:rPr>
        <w:t>。</w:t>
      </w:r>
    </w:p>
    <w:p w:rsidR="001570E6" w:rsidRPr="001570E6" w:rsidRDefault="001570E6" w:rsidP="001570E6">
      <w:pPr>
        <w:pStyle w:val="a8"/>
        <w:spacing w:before="0" w:beforeAutospacing="0" w:after="0" w:afterAutospacing="0" w:line="380" w:lineRule="exact"/>
        <w:ind w:firstLine="420"/>
        <w:jc w:val="both"/>
        <w:rPr>
          <w:rFonts w:asciiTheme="minorEastAsia" w:eastAsiaTheme="minorEastAsia" w:hAnsiTheme="minorEastAsia"/>
          <w:kern w:val="2"/>
          <w:szCs w:val="24"/>
        </w:rPr>
      </w:pPr>
      <w:r w:rsidRPr="001570E6">
        <w:rPr>
          <w:rFonts w:asciiTheme="minorEastAsia" w:eastAsiaTheme="minorEastAsia" w:hAnsiTheme="minorEastAsia" w:hint="eastAsia"/>
          <w:spacing w:val="-2"/>
          <w:kern w:val="2"/>
          <w:szCs w:val="24"/>
        </w:rPr>
        <w:t>投标人应于投标截止时间前将投标保证金从投标人银行账户</w:t>
      </w:r>
      <w:proofErr w:type="gramStart"/>
      <w:r w:rsidRPr="001570E6">
        <w:rPr>
          <w:rFonts w:asciiTheme="minorEastAsia" w:eastAsiaTheme="minorEastAsia" w:hAnsiTheme="minorEastAsia" w:hint="eastAsia"/>
          <w:spacing w:val="-2"/>
          <w:kern w:val="2"/>
          <w:szCs w:val="24"/>
        </w:rPr>
        <w:t>通过网银转账</w:t>
      </w:r>
      <w:proofErr w:type="gramEnd"/>
      <w:r w:rsidRPr="001570E6">
        <w:rPr>
          <w:rFonts w:asciiTheme="minorEastAsia" w:eastAsiaTheme="minorEastAsia" w:hAnsiTheme="minorEastAsia" w:hint="eastAsia"/>
          <w:spacing w:val="-2"/>
          <w:kern w:val="2"/>
          <w:szCs w:val="24"/>
        </w:rPr>
        <w:t>形式转出并到达桂林市公共资源交易指定账户，否则视为无效投标保证金；本项目不接受现金形式或从个人账户转出的投标保证金。保证金缴纳银行账户信息请登录桂林市公共资源交易平台（http://ggzy.guilin.cn）自行查看</w:t>
      </w:r>
      <w:r w:rsidRPr="001570E6">
        <w:rPr>
          <w:rFonts w:asciiTheme="minorEastAsia" w:eastAsiaTheme="minorEastAsia" w:hAnsiTheme="minorEastAsia" w:hint="eastAsia"/>
          <w:kern w:val="2"/>
          <w:szCs w:val="24"/>
        </w:rPr>
        <w:t>。</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十一、投标截止时间和地点：</w:t>
      </w:r>
    </w:p>
    <w:p w:rsidR="001570E6" w:rsidRPr="001570E6" w:rsidRDefault="001570E6" w:rsidP="001570E6">
      <w:pPr>
        <w:tabs>
          <w:tab w:val="left" w:pos="7200"/>
        </w:tabs>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投标人应于</w:t>
      </w:r>
      <w:r w:rsidRPr="001570E6">
        <w:rPr>
          <w:rFonts w:asciiTheme="minorEastAsia" w:eastAsiaTheme="minorEastAsia" w:hAnsiTheme="minorEastAsia" w:cs="Arial" w:hint="eastAsia"/>
          <w:sz w:val="24"/>
        </w:rPr>
        <w:t>2018年11月02日上午10时30分</w:t>
      </w:r>
      <w:r w:rsidRPr="001570E6">
        <w:rPr>
          <w:rFonts w:asciiTheme="minorEastAsia" w:eastAsiaTheme="minorEastAsia" w:hAnsiTheme="minorEastAsia" w:hint="eastAsia"/>
          <w:sz w:val="24"/>
        </w:rPr>
        <w:t>前将投标文件密封提交至桂林市公共资源交易中心</w:t>
      </w:r>
      <w:r w:rsidRPr="001570E6">
        <w:rPr>
          <w:rFonts w:asciiTheme="minorEastAsia" w:eastAsiaTheme="minorEastAsia" w:hAnsiTheme="minorEastAsia" w:cs="宋体" w:hint="eastAsia"/>
          <w:sz w:val="24"/>
        </w:rPr>
        <w:t>（广西桂林市临桂区西城中路69号创业大厦西辅楼4楼北区） 3号开标室</w:t>
      </w:r>
      <w:r w:rsidRPr="001570E6">
        <w:rPr>
          <w:rFonts w:asciiTheme="minorEastAsia" w:eastAsiaTheme="minorEastAsia" w:hAnsiTheme="minorEastAsia" w:hint="eastAsia"/>
          <w:sz w:val="24"/>
        </w:rPr>
        <w:t>，逾期送达的将予以拒收。</w:t>
      </w:r>
    </w:p>
    <w:p w:rsidR="001570E6" w:rsidRPr="001570E6" w:rsidRDefault="001570E6" w:rsidP="001570E6">
      <w:pPr>
        <w:tabs>
          <w:tab w:val="left" w:pos="7200"/>
        </w:tabs>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投标文件递交起止时间：</w:t>
      </w:r>
      <w:r w:rsidRPr="001570E6">
        <w:rPr>
          <w:rFonts w:asciiTheme="minorEastAsia" w:eastAsiaTheme="minorEastAsia" w:hAnsiTheme="minorEastAsia" w:cs="Arial" w:hint="eastAsia"/>
          <w:sz w:val="24"/>
        </w:rPr>
        <w:t>2018年11月02日上午10时00分</w:t>
      </w:r>
      <w:r w:rsidRPr="001570E6">
        <w:rPr>
          <w:rFonts w:asciiTheme="minorEastAsia" w:eastAsiaTheme="minorEastAsia" w:hAnsiTheme="minorEastAsia" w:hint="eastAsia"/>
          <w:sz w:val="24"/>
        </w:rPr>
        <w:t>至10时3</w:t>
      </w:r>
      <w:r w:rsidRPr="001570E6">
        <w:rPr>
          <w:rFonts w:asciiTheme="minorEastAsia" w:eastAsiaTheme="minorEastAsia" w:hAnsiTheme="minorEastAsia"/>
          <w:sz w:val="24"/>
        </w:rPr>
        <w:t>0</w:t>
      </w:r>
      <w:r w:rsidRPr="001570E6">
        <w:rPr>
          <w:rFonts w:asciiTheme="minorEastAsia" w:eastAsiaTheme="minorEastAsia" w:hAnsiTheme="minorEastAsia" w:hint="eastAsia"/>
          <w:sz w:val="24"/>
        </w:rPr>
        <w:t>分。</w:t>
      </w:r>
    </w:p>
    <w:p w:rsidR="001570E6" w:rsidRPr="001570E6" w:rsidRDefault="001570E6" w:rsidP="001570E6">
      <w:pPr>
        <w:tabs>
          <w:tab w:val="left" w:pos="7200"/>
        </w:tabs>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投标人递交投标文件时，须同时递交加盖投标人公章的投标报名成功回执和加盖投标人公章的投标</w:t>
      </w:r>
      <w:proofErr w:type="gramStart"/>
      <w:r w:rsidRPr="001570E6">
        <w:rPr>
          <w:rFonts w:asciiTheme="minorEastAsia" w:eastAsiaTheme="minorEastAsia" w:hAnsiTheme="minorEastAsia" w:hint="eastAsia"/>
          <w:sz w:val="24"/>
        </w:rPr>
        <w:t>保证金网银转账</w:t>
      </w:r>
      <w:proofErr w:type="gramEnd"/>
      <w:r w:rsidRPr="001570E6">
        <w:rPr>
          <w:rFonts w:asciiTheme="minorEastAsia" w:eastAsiaTheme="minorEastAsia" w:hAnsiTheme="minorEastAsia" w:hint="eastAsia"/>
          <w:sz w:val="24"/>
        </w:rPr>
        <w:t>电子账单（不需密封，单独提交），未按要求递交以上材料的，招标代理机构有权拒收投标文件。</w:t>
      </w:r>
    </w:p>
    <w:p w:rsidR="001570E6" w:rsidRPr="001570E6" w:rsidRDefault="001570E6" w:rsidP="001570E6">
      <w:pPr>
        <w:tabs>
          <w:tab w:val="left" w:pos="7200"/>
        </w:tabs>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lastRenderedPageBreak/>
        <w:t>十二、开标时间及地点：</w:t>
      </w:r>
    </w:p>
    <w:p w:rsidR="001570E6" w:rsidRPr="001570E6" w:rsidRDefault="001570E6" w:rsidP="001570E6">
      <w:pPr>
        <w:tabs>
          <w:tab w:val="left" w:pos="7200"/>
        </w:tabs>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本次招标将于</w:t>
      </w:r>
      <w:r w:rsidRPr="001570E6">
        <w:rPr>
          <w:rFonts w:asciiTheme="minorEastAsia" w:eastAsiaTheme="minorEastAsia" w:hAnsiTheme="minorEastAsia" w:cs="Arial" w:hint="eastAsia"/>
          <w:sz w:val="24"/>
        </w:rPr>
        <w:t>2018年11月02日上午10时30分</w:t>
      </w:r>
      <w:r w:rsidRPr="001570E6">
        <w:rPr>
          <w:rFonts w:asciiTheme="minorEastAsia" w:eastAsiaTheme="minorEastAsia" w:hAnsiTheme="minorEastAsia" w:hint="eastAsia"/>
          <w:sz w:val="24"/>
        </w:rPr>
        <w:t>，在桂林市公共资源交易中心</w:t>
      </w:r>
      <w:r w:rsidRPr="001570E6">
        <w:rPr>
          <w:rFonts w:asciiTheme="minorEastAsia" w:eastAsiaTheme="minorEastAsia" w:hAnsiTheme="minorEastAsia" w:cs="宋体" w:hint="eastAsia"/>
          <w:sz w:val="24"/>
        </w:rPr>
        <w:t>（广西桂林市临桂区西城中路69号创业大厦西辅楼4楼北区）3号开标室</w:t>
      </w:r>
      <w:r w:rsidRPr="001570E6">
        <w:rPr>
          <w:rFonts w:asciiTheme="minorEastAsia" w:eastAsiaTheme="minorEastAsia" w:hAnsiTheme="minorEastAsia" w:hint="eastAsia"/>
          <w:sz w:val="24"/>
        </w:rPr>
        <w:t>开标，投标人可以由法定代表人或负责人或自然人或其委托代理人出席开标会议（携带本人身份证原件）。</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十三、电子招标文件下载地址：</w:t>
      </w:r>
      <w:r w:rsidRPr="001570E6">
        <w:rPr>
          <w:rFonts w:asciiTheme="minorEastAsia" w:eastAsiaTheme="minorEastAsia" w:hAnsiTheme="minorEastAsia"/>
          <w:sz w:val="24"/>
        </w:rPr>
        <w:t xml:space="preserve"> http://ggzy.guilin.cn/gxglzbw/</w:t>
      </w:r>
      <w:r w:rsidRPr="001570E6">
        <w:rPr>
          <w:rFonts w:asciiTheme="minorEastAsia" w:eastAsiaTheme="minorEastAsia" w:hAnsiTheme="minorEastAsia" w:hint="eastAsia"/>
          <w:sz w:val="24"/>
        </w:rPr>
        <w:t>（桂林市公共资源交易中心网站）。</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十四、信息公告发布媒体：http://www.ccgp.gov.cn（中国政府采购网）、http://</w:t>
      </w:r>
      <w:r w:rsidRPr="001570E6">
        <w:rPr>
          <w:rFonts w:asciiTheme="minorEastAsia" w:eastAsiaTheme="minorEastAsia" w:hAnsiTheme="minorEastAsia" w:cs="宋体" w:hint="eastAsia"/>
          <w:kern w:val="0"/>
          <w:sz w:val="24"/>
        </w:rPr>
        <w:t xml:space="preserve"> ww</w:t>
      </w:r>
      <w:r w:rsidRPr="001570E6">
        <w:rPr>
          <w:rFonts w:asciiTheme="minorEastAsia" w:eastAsiaTheme="minorEastAsia" w:hAnsiTheme="minorEastAsia" w:hint="eastAsia"/>
          <w:sz w:val="24"/>
        </w:rPr>
        <w:t>w.gxzfcg.gov.cn（</w:t>
      </w:r>
      <w:r w:rsidRPr="001570E6">
        <w:rPr>
          <w:rFonts w:asciiTheme="minorEastAsia" w:eastAsiaTheme="minorEastAsia" w:hAnsiTheme="minorEastAsia" w:cs="Arial" w:hint="eastAsia"/>
          <w:sz w:val="24"/>
        </w:rPr>
        <w:t>广西壮族自治区政府采购网</w:t>
      </w:r>
      <w:r w:rsidRPr="001570E6">
        <w:rPr>
          <w:rFonts w:asciiTheme="minorEastAsia" w:eastAsiaTheme="minorEastAsia" w:hAnsiTheme="minorEastAsia" w:hint="eastAsia"/>
          <w:sz w:val="24"/>
        </w:rPr>
        <w:t>）、http://zfcg.guilin.gov.cn（桂林市政府采购网）、http://ggzy.guilin.cn（桂林市公共资源交易中心网）。</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十五、业务联系事项</w:t>
      </w:r>
    </w:p>
    <w:p w:rsidR="001570E6" w:rsidRPr="001570E6" w:rsidRDefault="001570E6" w:rsidP="001570E6">
      <w:pPr>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1、采购人名称：桂林市疾病预防控制中心</w:t>
      </w:r>
    </w:p>
    <w:p w:rsidR="001570E6" w:rsidRPr="001570E6" w:rsidRDefault="001570E6" w:rsidP="001570E6">
      <w:pPr>
        <w:pStyle w:val="a4"/>
        <w:spacing w:line="380" w:lineRule="exact"/>
        <w:ind w:firstLineChars="400" w:firstLine="960"/>
        <w:rPr>
          <w:rFonts w:asciiTheme="minorEastAsia" w:hAnsiTheme="minorEastAsia"/>
          <w:sz w:val="24"/>
          <w:szCs w:val="24"/>
        </w:rPr>
      </w:pPr>
      <w:r w:rsidRPr="001570E6">
        <w:rPr>
          <w:rFonts w:asciiTheme="minorEastAsia" w:hAnsiTheme="minorEastAsia" w:hint="eastAsia"/>
          <w:sz w:val="24"/>
          <w:szCs w:val="24"/>
        </w:rPr>
        <w:t>联系地址：桂林市叠彩区四会路7号</w:t>
      </w:r>
    </w:p>
    <w:p w:rsidR="001570E6" w:rsidRPr="001570E6" w:rsidRDefault="001570E6" w:rsidP="001570E6">
      <w:pPr>
        <w:pStyle w:val="a4"/>
        <w:spacing w:line="380" w:lineRule="exact"/>
        <w:ind w:firstLineChars="400" w:firstLine="960"/>
        <w:rPr>
          <w:rFonts w:asciiTheme="minorEastAsia" w:hAnsiTheme="minorEastAsia"/>
          <w:sz w:val="24"/>
          <w:szCs w:val="24"/>
        </w:rPr>
      </w:pPr>
      <w:r w:rsidRPr="001570E6">
        <w:rPr>
          <w:rFonts w:asciiTheme="minorEastAsia" w:hAnsiTheme="minorEastAsia" w:hint="eastAsia"/>
          <w:sz w:val="24"/>
          <w:szCs w:val="24"/>
        </w:rPr>
        <w:t>联系人：黄  丹      联系电话：18978668118</w:t>
      </w:r>
    </w:p>
    <w:p w:rsidR="001570E6" w:rsidRPr="001570E6" w:rsidRDefault="001570E6" w:rsidP="001570E6">
      <w:pPr>
        <w:snapToGrid w:val="0"/>
        <w:spacing w:line="380" w:lineRule="exact"/>
        <w:ind w:firstLineChars="200" w:firstLine="480"/>
        <w:rPr>
          <w:rFonts w:asciiTheme="minorEastAsia" w:eastAsiaTheme="minorEastAsia" w:hAnsiTheme="minorEastAsia"/>
          <w:sz w:val="24"/>
        </w:rPr>
      </w:pPr>
      <w:r w:rsidRPr="001570E6">
        <w:rPr>
          <w:rFonts w:asciiTheme="minorEastAsia" w:eastAsiaTheme="minorEastAsia" w:hAnsiTheme="minorEastAsia" w:hint="eastAsia"/>
          <w:sz w:val="24"/>
        </w:rPr>
        <w:t>2、招标代理机构名称：广西大</w:t>
      </w:r>
      <w:proofErr w:type="gramStart"/>
      <w:r w:rsidRPr="001570E6">
        <w:rPr>
          <w:rFonts w:asciiTheme="minorEastAsia" w:eastAsiaTheme="minorEastAsia" w:hAnsiTheme="minorEastAsia" w:hint="eastAsia"/>
          <w:sz w:val="24"/>
        </w:rPr>
        <w:t>旺建设</w:t>
      </w:r>
      <w:proofErr w:type="gramEnd"/>
      <w:r w:rsidRPr="001570E6">
        <w:rPr>
          <w:rFonts w:asciiTheme="minorEastAsia" w:eastAsiaTheme="minorEastAsia" w:hAnsiTheme="minorEastAsia" w:hint="eastAsia"/>
          <w:sz w:val="24"/>
        </w:rPr>
        <w:t>工程招标有限责任公司</w:t>
      </w:r>
    </w:p>
    <w:p w:rsidR="001570E6" w:rsidRPr="001570E6" w:rsidRDefault="001570E6" w:rsidP="001570E6">
      <w:pPr>
        <w:spacing w:line="380" w:lineRule="exact"/>
        <w:ind w:firstLineChars="400" w:firstLine="960"/>
        <w:rPr>
          <w:rFonts w:asciiTheme="minorEastAsia" w:eastAsiaTheme="minorEastAsia" w:hAnsiTheme="minorEastAsia"/>
          <w:sz w:val="24"/>
        </w:rPr>
      </w:pPr>
      <w:r w:rsidRPr="001570E6">
        <w:rPr>
          <w:rFonts w:asciiTheme="minorEastAsia" w:eastAsiaTheme="minorEastAsia" w:hAnsiTheme="minorEastAsia" w:hint="eastAsia"/>
          <w:sz w:val="24"/>
        </w:rPr>
        <w:t>地址：广西桂林市红岭路金桂国际10楼</w:t>
      </w:r>
    </w:p>
    <w:p w:rsidR="001570E6" w:rsidRPr="001570E6" w:rsidRDefault="001570E6" w:rsidP="001570E6">
      <w:pPr>
        <w:spacing w:line="380" w:lineRule="exact"/>
        <w:ind w:firstLineChars="400" w:firstLine="960"/>
        <w:rPr>
          <w:rFonts w:asciiTheme="minorEastAsia" w:eastAsiaTheme="minorEastAsia" w:hAnsiTheme="minorEastAsia"/>
          <w:sz w:val="24"/>
        </w:rPr>
      </w:pPr>
      <w:r w:rsidRPr="001570E6">
        <w:rPr>
          <w:rFonts w:asciiTheme="minorEastAsia" w:eastAsiaTheme="minorEastAsia" w:hAnsiTheme="minorEastAsia" w:hint="eastAsia"/>
          <w:sz w:val="24"/>
        </w:rPr>
        <w:t>联系人：刘  南      联系电话：</w:t>
      </w:r>
      <w:r w:rsidRPr="001570E6">
        <w:rPr>
          <w:rFonts w:asciiTheme="minorEastAsia" w:eastAsiaTheme="minorEastAsia" w:hAnsiTheme="minorEastAsia"/>
          <w:sz w:val="24"/>
        </w:rPr>
        <w:t>0773-</w:t>
      </w:r>
      <w:r w:rsidRPr="001570E6">
        <w:rPr>
          <w:rFonts w:asciiTheme="minorEastAsia" w:eastAsiaTheme="minorEastAsia" w:hAnsiTheme="minorEastAsia" w:hint="eastAsia"/>
          <w:sz w:val="24"/>
        </w:rPr>
        <w:t>5636767。</w:t>
      </w:r>
    </w:p>
    <w:p w:rsidR="001570E6" w:rsidRPr="001570E6" w:rsidRDefault="001570E6" w:rsidP="001570E6">
      <w:pPr>
        <w:spacing w:line="380" w:lineRule="exact"/>
        <w:ind w:firstLine="405"/>
        <w:rPr>
          <w:rFonts w:asciiTheme="minorEastAsia" w:eastAsiaTheme="minorEastAsia" w:hAnsiTheme="minorEastAsia"/>
          <w:sz w:val="24"/>
        </w:rPr>
      </w:pPr>
      <w:r w:rsidRPr="001570E6">
        <w:rPr>
          <w:rFonts w:asciiTheme="minorEastAsia" w:eastAsiaTheme="minorEastAsia" w:hAnsiTheme="minorEastAsia" w:hint="eastAsia"/>
          <w:sz w:val="24"/>
        </w:rPr>
        <w:t>3、政府采购监督管理机构：桂林市政府采购管理办公室 0773-2862142。</w:t>
      </w:r>
    </w:p>
    <w:p w:rsidR="001570E6" w:rsidRPr="001570E6" w:rsidRDefault="001570E6" w:rsidP="001570E6">
      <w:pPr>
        <w:spacing w:line="380" w:lineRule="exact"/>
        <w:ind w:firstLine="405"/>
        <w:rPr>
          <w:rFonts w:asciiTheme="minorEastAsia" w:eastAsiaTheme="minorEastAsia" w:hAnsiTheme="minorEastAsia"/>
          <w:sz w:val="24"/>
        </w:rPr>
      </w:pPr>
    </w:p>
    <w:p w:rsidR="001570E6" w:rsidRDefault="001570E6" w:rsidP="001570E6">
      <w:pPr>
        <w:spacing w:line="380" w:lineRule="exact"/>
        <w:ind w:right="480" w:firstLineChars="2450" w:firstLine="5880"/>
        <w:jc w:val="left"/>
        <w:rPr>
          <w:rFonts w:asciiTheme="minorEastAsia" w:eastAsiaTheme="minorEastAsia" w:hAnsiTheme="minorEastAsia" w:hint="eastAsia"/>
          <w:sz w:val="24"/>
        </w:rPr>
      </w:pPr>
    </w:p>
    <w:p w:rsidR="001570E6" w:rsidRPr="001570E6" w:rsidRDefault="001570E6" w:rsidP="001570E6">
      <w:pPr>
        <w:spacing w:line="380" w:lineRule="exact"/>
        <w:ind w:right="480" w:firstLineChars="2185" w:firstLine="5244"/>
        <w:jc w:val="center"/>
        <w:rPr>
          <w:rFonts w:asciiTheme="minorEastAsia" w:eastAsiaTheme="minorEastAsia" w:hAnsiTheme="minorEastAsia"/>
          <w:sz w:val="24"/>
        </w:rPr>
      </w:pPr>
      <w:r w:rsidRPr="001570E6">
        <w:rPr>
          <w:rFonts w:asciiTheme="minorEastAsia" w:eastAsiaTheme="minorEastAsia" w:hAnsiTheme="minorEastAsia" w:hint="eastAsia"/>
          <w:sz w:val="24"/>
        </w:rPr>
        <w:t>广西大</w:t>
      </w:r>
      <w:proofErr w:type="gramStart"/>
      <w:r w:rsidRPr="001570E6">
        <w:rPr>
          <w:rFonts w:asciiTheme="minorEastAsia" w:eastAsiaTheme="minorEastAsia" w:hAnsiTheme="minorEastAsia" w:hint="eastAsia"/>
          <w:sz w:val="24"/>
        </w:rPr>
        <w:t>旺建设</w:t>
      </w:r>
      <w:proofErr w:type="gramEnd"/>
      <w:r w:rsidRPr="001570E6">
        <w:rPr>
          <w:rFonts w:asciiTheme="minorEastAsia" w:eastAsiaTheme="minorEastAsia" w:hAnsiTheme="minorEastAsia" w:hint="eastAsia"/>
          <w:sz w:val="24"/>
        </w:rPr>
        <w:t>工程招标有限责任公司</w:t>
      </w:r>
    </w:p>
    <w:p w:rsidR="001570E6" w:rsidRPr="001570E6" w:rsidRDefault="001570E6" w:rsidP="001570E6">
      <w:pPr>
        <w:spacing w:line="380" w:lineRule="exact"/>
        <w:rPr>
          <w:rFonts w:asciiTheme="minorEastAsia" w:eastAsiaTheme="minorEastAsia" w:hAnsiTheme="minorEastAsia"/>
          <w:sz w:val="24"/>
        </w:rPr>
      </w:pPr>
      <w:r w:rsidRPr="001570E6">
        <w:rPr>
          <w:rFonts w:asciiTheme="minorEastAsia" w:eastAsiaTheme="minorEastAsia" w:hAnsiTheme="minorEastAsia" w:cs="Arial" w:hint="eastAsia"/>
          <w:sz w:val="24"/>
        </w:rPr>
        <w:t xml:space="preserve">           </w:t>
      </w:r>
      <w:r>
        <w:rPr>
          <w:rFonts w:asciiTheme="minorEastAsia" w:eastAsiaTheme="minorEastAsia" w:hAnsiTheme="minorEastAsia" w:cs="Arial" w:hint="eastAsia"/>
          <w:sz w:val="24"/>
        </w:rPr>
        <w:t xml:space="preserve">                                       </w:t>
      </w:r>
      <w:r w:rsidRPr="001570E6">
        <w:rPr>
          <w:rFonts w:asciiTheme="minorEastAsia" w:eastAsiaTheme="minorEastAsia" w:hAnsiTheme="minorEastAsia" w:cs="Arial" w:hint="eastAsia"/>
          <w:sz w:val="24"/>
        </w:rPr>
        <w:t xml:space="preserve">  2018年10月12日</w:t>
      </w:r>
    </w:p>
    <w:sectPr w:rsidR="001570E6" w:rsidRPr="001570E6" w:rsidSect="001570E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5B" w:rsidRDefault="00CA315B" w:rsidP="001570E6">
      <w:r>
        <w:separator/>
      </w:r>
    </w:p>
  </w:endnote>
  <w:endnote w:type="continuationSeparator" w:id="0">
    <w:p w:rsidR="00CA315B" w:rsidRDefault="00CA315B" w:rsidP="0015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5B" w:rsidRDefault="00CA315B" w:rsidP="001570E6">
      <w:r>
        <w:separator/>
      </w:r>
    </w:p>
  </w:footnote>
  <w:footnote w:type="continuationSeparator" w:id="0">
    <w:p w:rsidR="00CA315B" w:rsidRDefault="00CA315B" w:rsidP="0015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72"/>
    <w:rsid w:val="0003376D"/>
    <w:rsid w:val="00131D3A"/>
    <w:rsid w:val="001570E6"/>
    <w:rsid w:val="001D5351"/>
    <w:rsid w:val="003A45AC"/>
    <w:rsid w:val="0052031E"/>
    <w:rsid w:val="00534246"/>
    <w:rsid w:val="0056102D"/>
    <w:rsid w:val="0058706D"/>
    <w:rsid w:val="00690972"/>
    <w:rsid w:val="006B75DA"/>
    <w:rsid w:val="00794928"/>
    <w:rsid w:val="007D30E8"/>
    <w:rsid w:val="00863A03"/>
    <w:rsid w:val="0087721F"/>
    <w:rsid w:val="008A5F2E"/>
    <w:rsid w:val="00931177"/>
    <w:rsid w:val="009C4108"/>
    <w:rsid w:val="00B37C7E"/>
    <w:rsid w:val="00B402B7"/>
    <w:rsid w:val="00CA315B"/>
    <w:rsid w:val="00D51832"/>
    <w:rsid w:val="00EE478A"/>
    <w:rsid w:val="00F54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72"/>
    <w:pPr>
      <w:widowControl w:val="0"/>
      <w:jc w:val="both"/>
    </w:pPr>
    <w:rPr>
      <w:rFonts w:ascii="Times New Roman" w:eastAsia="宋体" w:hAnsi="Times New Roman" w:cs="Times New Roman"/>
      <w:szCs w:val="24"/>
    </w:rPr>
  </w:style>
  <w:style w:type="paragraph" w:styleId="2">
    <w:name w:val="heading 2"/>
    <w:basedOn w:val="a"/>
    <w:next w:val="a"/>
    <w:link w:val="2Char"/>
    <w:qFormat/>
    <w:rsid w:val="0069097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90972"/>
    <w:rPr>
      <w:rFonts w:ascii="Arial" w:eastAsia="黑体" w:hAnsi="Arial" w:cs="Times New Roman"/>
      <w:b/>
      <w:bCs/>
      <w:sz w:val="32"/>
      <w:szCs w:val="32"/>
    </w:rPr>
  </w:style>
  <w:style w:type="character" w:styleId="a3">
    <w:name w:val="Hyperlink"/>
    <w:uiPriority w:val="99"/>
    <w:qFormat/>
    <w:rsid w:val="00690972"/>
    <w:rPr>
      <w:rFonts w:ascii="Arial" w:hAnsi="Arial" w:cs="Arial" w:hint="default"/>
      <w:color w:val="003399"/>
      <w:sz w:val="18"/>
      <w:szCs w:val="18"/>
      <w:u w:val="none"/>
    </w:rPr>
  </w:style>
  <w:style w:type="character" w:customStyle="1" w:styleId="Char">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Texte Char,纯文本 Char1 Char Char Char,小 Char,文字缩进 Char"/>
    <w:link w:val="a4"/>
    <w:qFormat/>
    <w:rsid w:val="00690972"/>
    <w:rPr>
      <w:rFonts w:ascii="宋体" w:hAnsi="Courier New"/>
    </w:rPr>
  </w:style>
  <w:style w:type="paragraph" w:styleId="a4">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普通文字,加粗正"/>
    <w:basedOn w:val="a"/>
    <w:link w:val="Char"/>
    <w:qFormat/>
    <w:rsid w:val="00690972"/>
    <w:rPr>
      <w:rFonts w:ascii="宋体" w:eastAsiaTheme="minorEastAsia" w:hAnsi="Courier New" w:cstheme="minorBidi"/>
      <w:szCs w:val="22"/>
    </w:rPr>
  </w:style>
  <w:style w:type="character" w:customStyle="1" w:styleId="Char1">
    <w:name w:val="纯文本 Char1"/>
    <w:basedOn w:val="a0"/>
    <w:uiPriority w:val="99"/>
    <w:semiHidden/>
    <w:rsid w:val="00690972"/>
    <w:rPr>
      <w:rFonts w:ascii="宋体" w:eastAsia="宋体" w:hAnsi="Courier New" w:cs="Courier New"/>
      <w:szCs w:val="21"/>
    </w:rPr>
  </w:style>
  <w:style w:type="paragraph" w:styleId="a5">
    <w:name w:val="Subtitle"/>
    <w:basedOn w:val="a"/>
    <w:next w:val="a"/>
    <w:link w:val="Char0"/>
    <w:uiPriority w:val="11"/>
    <w:qFormat/>
    <w:rsid w:val="0069097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690972"/>
    <w:rPr>
      <w:rFonts w:asciiTheme="majorHAnsi" w:eastAsia="宋体" w:hAnsiTheme="majorHAnsi" w:cstheme="majorBidi"/>
      <w:b/>
      <w:bCs/>
      <w:kern w:val="28"/>
      <w:sz w:val="32"/>
      <w:szCs w:val="32"/>
    </w:rPr>
  </w:style>
  <w:style w:type="paragraph" w:styleId="a6">
    <w:name w:val="header"/>
    <w:basedOn w:val="a"/>
    <w:link w:val="Char2"/>
    <w:uiPriority w:val="99"/>
    <w:unhideWhenUsed/>
    <w:rsid w:val="001570E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570E6"/>
    <w:rPr>
      <w:rFonts w:ascii="Times New Roman" w:eastAsia="宋体" w:hAnsi="Times New Roman" w:cs="Times New Roman"/>
      <w:sz w:val="18"/>
      <w:szCs w:val="18"/>
    </w:rPr>
  </w:style>
  <w:style w:type="paragraph" w:styleId="a7">
    <w:name w:val="footer"/>
    <w:basedOn w:val="a"/>
    <w:link w:val="Char3"/>
    <w:uiPriority w:val="99"/>
    <w:unhideWhenUsed/>
    <w:rsid w:val="001570E6"/>
    <w:pPr>
      <w:tabs>
        <w:tab w:val="center" w:pos="4153"/>
        <w:tab w:val="right" w:pos="8306"/>
      </w:tabs>
      <w:snapToGrid w:val="0"/>
      <w:jc w:val="left"/>
    </w:pPr>
    <w:rPr>
      <w:sz w:val="18"/>
      <w:szCs w:val="18"/>
    </w:rPr>
  </w:style>
  <w:style w:type="character" w:customStyle="1" w:styleId="Char3">
    <w:name w:val="页脚 Char"/>
    <w:basedOn w:val="a0"/>
    <w:link w:val="a7"/>
    <w:uiPriority w:val="99"/>
    <w:rsid w:val="001570E6"/>
    <w:rPr>
      <w:rFonts w:ascii="Times New Roman" w:eastAsia="宋体" w:hAnsi="Times New Roman" w:cs="Times New Roman"/>
      <w:sz w:val="18"/>
      <w:szCs w:val="18"/>
    </w:rPr>
  </w:style>
  <w:style w:type="paragraph" w:styleId="a8">
    <w:name w:val="Normal (Web)"/>
    <w:basedOn w:val="a"/>
    <w:uiPriority w:val="99"/>
    <w:rsid w:val="001570E6"/>
    <w:pPr>
      <w:widowControl/>
      <w:spacing w:before="100" w:beforeAutospacing="1" w:after="100" w:afterAutospacing="1"/>
      <w:jc w:val="left"/>
    </w:pPr>
    <w:rPr>
      <w:rFonts w:ascii="宋体" w:hAnsi="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72"/>
    <w:pPr>
      <w:widowControl w:val="0"/>
      <w:jc w:val="both"/>
    </w:pPr>
    <w:rPr>
      <w:rFonts w:ascii="Times New Roman" w:eastAsia="宋体" w:hAnsi="Times New Roman" w:cs="Times New Roman"/>
      <w:szCs w:val="24"/>
    </w:rPr>
  </w:style>
  <w:style w:type="paragraph" w:styleId="2">
    <w:name w:val="heading 2"/>
    <w:basedOn w:val="a"/>
    <w:next w:val="a"/>
    <w:link w:val="2Char"/>
    <w:qFormat/>
    <w:rsid w:val="0069097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690972"/>
    <w:rPr>
      <w:rFonts w:ascii="Arial" w:eastAsia="黑体" w:hAnsi="Arial" w:cs="Times New Roman"/>
      <w:b/>
      <w:bCs/>
      <w:sz w:val="32"/>
      <w:szCs w:val="32"/>
    </w:rPr>
  </w:style>
  <w:style w:type="character" w:styleId="a3">
    <w:name w:val="Hyperlink"/>
    <w:uiPriority w:val="99"/>
    <w:qFormat/>
    <w:rsid w:val="00690972"/>
    <w:rPr>
      <w:rFonts w:ascii="Arial" w:hAnsi="Arial" w:cs="Arial" w:hint="default"/>
      <w:color w:val="003399"/>
      <w:sz w:val="18"/>
      <w:szCs w:val="18"/>
      <w:u w:val="none"/>
    </w:rPr>
  </w:style>
  <w:style w:type="character" w:customStyle="1" w:styleId="Char">
    <w:name w:val="纯文本 Char"/>
    <w:aliases w:val="普通文字 Char Char1,普通文字 Char Char Char,正 文 1 Char,普通文字1 Char,普通文字2 Char,普通文字3 Char,普通文字4 Char,普通文字5 Char,普通文字6 Char,普通文字11 Char,普通文字21 Char,普通文字31 Char,普通文字41 Char,普通文字7 Char,普通文字 Char + 居中 Char,Texte Char,纯文本 Char1 Char Char Char,小 Char,文字缩进 Char"/>
    <w:link w:val="a4"/>
    <w:qFormat/>
    <w:rsid w:val="00690972"/>
    <w:rPr>
      <w:rFonts w:ascii="宋体" w:hAnsi="Courier New"/>
    </w:rPr>
  </w:style>
  <w:style w:type="paragraph" w:styleId="a4">
    <w:name w:val="Plain Text"/>
    <w:aliases w:val="普通文字 Char,普通文字 Char Char,正 文 1,普通文字1,普通文字2,普通文字3,普通文字4,普通文字5,普通文字6,普通文字11,普通文字21,普通文字31,普通文字41,普通文字7,普通文字 Char + 居中,Texte,纯文本 Char1 Char Char,纯文本 Char Char Char Char,纯文本 Char Char1,纯文本 Char1 Char,纯文本 Char Char Char,纯文本 Char Char,小,文字缩进,s4,s,普通文字,加粗正"/>
    <w:basedOn w:val="a"/>
    <w:link w:val="Char"/>
    <w:qFormat/>
    <w:rsid w:val="00690972"/>
    <w:rPr>
      <w:rFonts w:ascii="宋体" w:eastAsiaTheme="minorEastAsia" w:hAnsi="Courier New" w:cstheme="minorBidi"/>
      <w:szCs w:val="22"/>
    </w:rPr>
  </w:style>
  <w:style w:type="character" w:customStyle="1" w:styleId="Char1">
    <w:name w:val="纯文本 Char1"/>
    <w:basedOn w:val="a0"/>
    <w:uiPriority w:val="99"/>
    <w:semiHidden/>
    <w:rsid w:val="00690972"/>
    <w:rPr>
      <w:rFonts w:ascii="宋体" w:eastAsia="宋体" w:hAnsi="Courier New" w:cs="Courier New"/>
      <w:szCs w:val="21"/>
    </w:rPr>
  </w:style>
  <w:style w:type="paragraph" w:styleId="a5">
    <w:name w:val="Subtitle"/>
    <w:basedOn w:val="a"/>
    <w:next w:val="a"/>
    <w:link w:val="Char0"/>
    <w:uiPriority w:val="11"/>
    <w:qFormat/>
    <w:rsid w:val="00690972"/>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690972"/>
    <w:rPr>
      <w:rFonts w:asciiTheme="majorHAnsi" w:eastAsia="宋体" w:hAnsiTheme="majorHAnsi" w:cstheme="majorBidi"/>
      <w:b/>
      <w:bCs/>
      <w:kern w:val="28"/>
      <w:sz w:val="32"/>
      <w:szCs w:val="32"/>
    </w:rPr>
  </w:style>
  <w:style w:type="paragraph" w:styleId="a6">
    <w:name w:val="header"/>
    <w:basedOn w:val="a"/>
    <w:link w:val="Char2"/>
    <w:uiPriority w:val="99"/>
    <w:unhideWhenUsed/>
    <w:rsid w:val="001570E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570E6"/>
    <w:rPr>
      <w:rFonts w:ascii="Times New Roman" w:eastAsia="宋体" w:hAnsi="Times New Roman" w:cs="Times New Roman"/>
      <w:sz w:val="18"/>
      <w:szCs w:val="18"/>
    </w:rPr>
  </w:style>
  <w:style w:type="paragraph" w:styleId="a7">
    <w:name w:val="footer"/>
    <w:basedOn w:val="a"/>
    <w:link w:val="Char3"/>
    <w:uiPriority w:val="99"/>
    <w:unhideWhenUsed/>
    <w:rsid w:val="001570E6"/>
    <w:pPr>
      <w:tabs>
        <w:tab w:val="center" w:pos="4153"/>
        <w:tab w:val="right" w:pos="8306"/>
      </w:tabs>
      <w:snapToGrid w:val="0"/>
      <w:jc w:val="left"/>
    </w:pPr>
    <w:rPr>
      <w:sz w:val="18"/>
      <w:szCs w:val="18"/>
    </w:rPr>
  </w:style>
  <w:style w:type="character" w:customStyle="1" w:styleId="Char3">
    <w:name w:val="页脚 Char"/>
    <w:basedOn w:val="a0"/>
    <w:link w:val="a7"/>
    <w:uiPriority w:val="99"/>
    <w:rsid w:val="001570E6"/>
    <w:rPr>
      <w:rFonts w:ascii="Times New Roman" w:eastAsia="宋体" w:hAnsi="Times New Roman" w:cs="Times New Roman"/>
      <w:sz w:val="18"/>
      <w:szCs w:val="18"/>
    </w:rPr>
  </w:style>
  <w:style w:type="paragraph" w:styleId="a8">
    <w:name w:val="Normal (Web)"/>
    <w:basedOn w:val="a"/>
    <w:uiPriority w:val="99"/>
    <w:rsid w:val="001570E6"/>
    <w:pPr>
      <w:widowControl/>
      <w:spacing w:before="100" w:beforeAutospacing="1" w:after="100" w:afterAutospacing="1"/>
      <w:jc w:val="left"/>
    </w:pPr>
    <w:rPr>
      <w:rFonts w:ascii="宋体" w:hAnsi="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379</Words>
  <Characters>2163</Characters>
  <Application>Microsoft Office Word</Application>
  <DocSecurity>0</DocSecurity>
  <Lines>18</Lines>
  <Paragraphs>5</Paragraphs>
  <ScaleCrop>false</ScaleCrop>
  <Company>XiTongPan.Com</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2018-06-11T07:34:00Z</dcterms:created>
  <dcterms:modified xsi:type="dcterms:W3CDTF">2018-10-12T02:02:00Z</dcterms:modified>
</cp:coreProperties>
</file>