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afterLines="350" w:line="1200" w:lineRule="exact"/>
        <w:ind w:left="525" w:leftChars="250" w:right="525" w:rightChars="250"/>
        <w:jc w:val="center"/>
        <w:rPr>
          <w:rFonts w:hint="eastAsia" w:ascii="黑体" w:hAnsi="宋体" w:eastAsia="黑体"/>
          <w:b/>
          <w:bCs/>
          <w:color w:val="000000" w:themeColor="text1"/>
          <w:w w:val="90"/>
          <w:sz w:val="70"/>
          <w:szCs w:val="70"/>
          <w:highlight w:val="none"/>
          <w:lang w:eastAsia="zh-CN"/>
          <w14:textFill>
            <w14:solidFill>
              <w14:schemeClr w14:val="tx1"/>
            </w14:solidFill>
          </w14:textFill>
        </w:rPr>
      </w:pPr>
      <w:bookmarkStart w:id="291" w:name="_GoBack"/>
      <w:r>
        <w:rPr>
          <w:rFonts w:hint="eastAsia" w:ascii="黑体" w:hAnsi="宋体" w:eastAsia="黑体"/>
          <w:b/>
          <w:bCs/>
          <w:color w:val="000000" w:themeColor="text1"/>
          <w:w w:val="90"/>
          <w:sz w:val="72"/>
          <w:szCs w:val="72"/>
          <w:highlight w:val="none"/>
          <w:lang w:eastAsia="zh-CN"/>
          <w14:textFill>
            <w14:solidFill>
              <w14:schemeClr w14:val="tx1"/>
            </w14:solidFill>
          </w14:textFill>
        </w:rPr>
        <w:t>东莞市妇幼保健院医疗设备采购项目</w:t>
      </w:r>
    </w:p>
    <w:p>
      <w:pPr>
        <w:jc w:val="center"/>
        <w:rPr>
          <w:rFonts w:ascii="黑体" w:hAnsi="宋体" w:eastAsia="黑体"/>
          <w:b/>
          <w:bCs/>
          <w:color w:val="000000" w:themeColor="text1"/>
          <w:w w:val="90"/>
          <w:sz w:val="64"/>
          <w:szCs w:val="64"/>
          <w:highlight w:val="none"/>
          <w14:textFill>
            <w14:solidFill>
              <w14:schemeClr w14:val="tx1"/>
            </w14:solidFill>
          </w14:textFill>
        </w:rPr>
      </w:pPr>
      <w:r>
        <w:rPr>
          <w:rFonts w:hint="eastAsia" w:ascii="黑体" w:hAnsi="宋体" w:eastAsia="黑体"/>
          <w:b/>
          <w:bCs/>
          <w:color w:val="000000" w:themeColor="text1"/>
          <w:w w:val="90"/>
          <w:sz w:val="64"/>
          <w:szCs w:val="64"/>
          <w:highlight w:val="none"/>
          <w14:textFill>
            <w14:solidFill>
              <w14:schemeClr w14:val="tx1"/>
            </w14:solidFill>
          </w14:textFill>
        </w:rPr>
        <w:drawing>
          <wp:inline distT="0" distB="0" distL="0" distR="0">
            <wp:extent cx="1331595" cy="1623695"/>
            <wp:effectExtent l="19050" t="0" r="1905" b="0"/>
            <wp:docPr id="1" name="图片 2" descr="QQ图片20160615150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QQ图片20160615150237"/>
                    <pic:cNvPicPr>
                      <a:picLocks noChangeAspect="1" noChangeArrowheads="1"/>
                    </pic:cNvPicPr>
                  </pic:nvPicPr>
                  <pic:blipFill>
                    <a:blip r:embed="rId8" cstate="print"/>
                    <a:srcRect/>
                    <a:stretch>
                      <a:fillRect/>
                    </a:stretch>
                  </pic:blipFill>
                  <pic:spPr>
                    <a:xfrm>
                      <a:off x="0" y="0"/>
                      <a:ext cx="1331595" cy="1623695"/>
                    </a:xfrm>
                    <a:prstGeom prst="rect">
                      <a:avLst/>
                    </a:prstGeom>
                    <a:noFill/>
                    <a:ln w="9525">
                      <a:noFill/>
                      <a:miter lim="800000"/>
                      <a:headEnd/>
                      <a:tailEnd/>
                    </a:ln>
                  </pic:spPr>
                </pic:pic>
              </a:graphicData>
            </a:graphic>
          </wp:inline>
        </w:drawing>
      </w:r>
    </w:p>
    <w:p>
      <w:pPr>
        <w:spacing w:beforeLines="200" w:afterLines="400"/>
        <w:jc w:val="center"/>
        <w:rPr>
          <w:rFonts w:ascii="黑体" w:hAnsi="宋体" w:eastAsia="黑体"/>
          <w:b/>
          <w:bCs/>
          <w:color w:val="000000" w:themeColor="text1"/>
          <w:w w:val="90"/>
          <w:sz w:val="64"/>
          <w:szCs w:val="64"/>
          <w:highlight w:val="none"/>
          <w14:textFill>
            <w14:solidFill>
              <w14:schemeClr w14:val="tx1"/>
            </w14:solidFill>
          </w14:textFill>
        </w:rPr>
      </w:pPr>
      <w:r>
        <w:rPr>
          <w:rFonts w:hint="eastAsia" w:ascii="黑体" w:hAnsi="宋体" w:eastAsia="黑体"/>
          <w:b/>
          <w:bCs/>
          <w:color w:val="000000" w:themeColor="text1"/>
          <w:w w:val="90"/>
          <w:sz w:val="64"/>
          <w:szCs w:val="64"/>
          <w:highlight w:val="none"/>
          <w14:textFill>
            <w14:solidFill>
              <w14:schemeClr w14:val="tx1"/>
            </w14:solidFill>
          </w14:textFill>
        </w:rPr>
        <w:t>公开招标文件</w:t>
      </w:r>
    </w:p>
    <w:tbl>
      <w:tblPr>
        <w:tblStyle w:val="23"/>
        <w:tblW w:w="6760" w:type="dxa"/>
        <w:jc w:val="center"/>
        <w:tblLayout w:type="fixed"/>
        <w:tblCellMar>
          <w:top w:w="0" w:type="dxa"/>
          <w:left w:w="108" w:type="dxa"/>
          <w:bottom w:w="0" w:type="dxa"/>
          <w:right w:w="108" w:type="dxa"/>
        </w:tblCellMar>
      </w:tblPr>
      <w:tblGrid>
        <w:gridCol w:w="2181"/>
        <w:gridCol w:w="4579"/>
      </w:tblGrid>
      <w:tr>
        <w:trPr>
          <w:jc w:val="center"/>
        </w:trPr>
        <w:tc>
          <w:tcPr>
            <w:tcW w:w="2181" w:type="dxa"/>
            <w:shd w:val="clear" w:color="auto" w:fill="auto"/>
          </w:tcPr>
          <w:p>
            <w:pPr>
              <w:jc w:val="distribute"/>
              <w:rPr>
                <w:rFonts w:ascii="黑体" w:hAnsi="宋体" w:eastAsia="黑体"/>
                <w:b/>
                <w:bCs/>
                <w:color w:val="000000" w:themeColor="text1"/>
                <w:w w:val="90"/>
                <w:sz w:val="30"/>
                <w:szCs w:val="30"/>
                <w:highlight w:val="none"/>
                <w14:textFill>
                  <w14:solidFill>
                    <w14:schemeClr w14:val="tx1"/>
                  </w14:solidFill>
                </w14:textFill>
              </w:rPr>
            </w:pPr>
            <w:r>
              <w:rPr>
                <w:rFonts w:hint="eastAsia" w:ascii="黑体" w:hAnsi="宋体" w:eastAsia="黑体"/>
                <w:b/>
                <w:bCs/>
                <w:color w:val="000000" w:themeColor="text1"/>
                <w:w w:val="90"/>
                <w:sz w:val="30"/>
                <w:szCs w:val="30"/>
                <w:highlight w:val="none"/>
                <w14:textFill>
                  <w14:solidFill>
                    <w14:schemeClr w14:val="tx1"/>
                  </w14:solidFill>
                </w14:textFill>
              </w:rPr>
              <w:t>项目编号：</w:t>
            </w:r>
          </w:p>
        </w:tc>
        <w:tc>
          <w:tcPr>
            <w:tcW w:w="4579" w:type="dxa"/>
            <w:shd w:val="clear" w:color="auto" w:fill="auto"/>
          </w:tcPr>
          <w:p>
            <w:pPr>
              <w:rPr>
                <w:rFonts w:ascii="黑体" w:hAnsi="宋体" w:eastAsia="黑体"/>
                <w:b/>
                <w:bCs/>
                <w:color w:val="000000" w:themeColor="text1"/>
                <w:w w:val="90"/>
                <w:sz w:val="30"/>
                <w:szCs w:val="30"/>
                <w:highlight w:val="none"/>
                <w14:textFill>
                  <w14:solidFill>
                    <w14:schemeClr w14:val="tx1"/>
                  </w14:solidFill>
                </w14:textFill>
              </w:rPr>
            </w:pPr>
            <w:r>
              <w:rPr>
                <w:rFonts w:hint="eastAsia" w:ascii="黑体" w:hAnsi="宋体" w:eastAsia="黑体"/>
                <w:b/>
                <w:bCs/>
                <w:color w:val="000000" w:themeColor="text1"/>
                <w:w w:val="90"/>
                <w:sz w:val="30"/>
                <w:szCs w:val="30"/>
                <w:highlight w:val="none"/>
                <w:u w:val="single"/>
                <w:lang w:eastAsia="zh-CN"/>
                <w14:textFill>
                  <w14:solidFill>
                    <w14:schemeClr w14:val="tx1"/>
                  </w14:solidFill>
                </w14:textFill>
              </w:rPr>
              <w:t>441900-202009-0006013001-0056</w:t>
            </w:r>
            <w:r>
              <w:rPr>
                <w:rFonts w:hint="eastAsia" w:ascii="黑体" w:hAnsi="宋体" w:eastAsia="黑体"/>
                <w:b/>
                <w:bCs/>
                <w:color w:val="000000" w:themeColor="text1"/>
                <w:w w:val="90"/>
                <w:sz w:val="30"/>
                <w:szCs w:val="30"/>
                <w:highlight w:val="none"/>
                <w:u w:val="single"/>
                <w14:textFill>
                  <w14:solidFill>
                    <w14:schemeClr w14:val="tx1"/>
                  </w14:solidFill>
                </w14:textFill>
              </w:rPr>
              <w:t xml:space="preserve">                           </w:t>
            </w:r>
          </w:p>
        </w:tc>
      </w:tr>
      <w:tr>
        <w:tblPrEx>
          <w:tblCellMar>
            <w:top w:w="0" w:type="dxa"/>
            <w:left w:w="108" w:type="dxa"/>
            <w:bottom w:w="0" w:type="dxa"/>
            <w:right w:w="108" w:type="dxa"/>
          </w:tblCellMar>
        </w:tblPrEx>
        <w:trPr>
          <w:jc w:val="center"/>
        </w:trPr>
        <w:tc>
          <w:tcPr>
            <w:tcW w:w="2181" w:type="dxa"/>
            <w:shd w:val="clear" w:color="auto" w:fill="auto"/>
          </w:tcPr>
          <w:p>
            <w:pPr>
              <w:jc w:val="distribute"/>
              <w:rPr>
                <w:rFonts w:ascii="黑体" w:hAnsi="宋体" w:eastAsia="黑体"/>
                <w:b/>
                <w:bCs/>
                <w:color w:val="000000" w:themeColor="text1"/>
                <w:w w:val="90"/>
                <w:sz w:val="30"/>
                <w:szCs w:val="30"/>
                <w:highlight w:val="none"/>
                <w14:textFill>
                  <w14:solidFill>
                    <w14:schemeClr w14:val="tx1"/>
                  </w14:solidFill>
                </w14:textFill>
              </w:rPr>
            </w:pPr>
            <w:r>
              <w:rPr>
                <w:rFonts w:hint="eastAsia" w:ascii="黑体" w:hAnsi="宋体" w:eastAsia="黑体"/>
                <w:b/>
                <w:bCs/>
                <w:color w:val="000000" w:themeColor="text1"/>
                <w:w w:val="90"/>
                <w:sz w:val="30"/>
                <w:szCs w:val="30"/>
                <w:highlight w:val="none"/>
                <w14:textFill>
                  <w14:solidFill>
                    <w14:schemeClr w14:val="tx1"/>
                  </w14:solidFill>
                </w14:textFill>
              </w:rPr>
              <w:t>采购单位：</w:t>
            </w:r>
          </w:p>
        </w:tc>
        <w:tc>
          <w:tcPr>
            <w:tcW w:w="4579" w:type="dxa"/>
            <w:shd w:val="clear" w:color="auto" w:fill="auto"/>
          </w:tcPr>
          <w:p>
            <w:pPr>
              <w:rPr>
                <w:rFonts w:hint="default" w:ascii="黑体" w:hAnsi="宋体" w:eastAsia="黑体"/>
                <w:b/>
                <w:bCs/>
                <w:color w:val="000000" w:themeColor="text1"/>
                <w:w w:val="90"/>
                <w:sz w:val="30"/>
                <w:szCs w:val="30"/>
                <w:highlight w:val="none"/>
                <w:lang w:val="en-US" w:eastAsia="zh-CN"/>
                <w14:textFill>
                  <w14:solidFill>
                    <w14:schemeClr w14:val="tx1"/>
                  </w14:solidFill>
                </w14:textFill>
              </w:rPr>
            </w:pPr>
            <w:r>
              <w:rPr>
                <w:rFonts w:hint="eastAsia" w:ascii="黑体" w:hAnsi="黑体" w:eastAsia="黑体"/>
                <w:b/>
                <w:color w:val="000000" w:themeColor="text1"/>
                <w:sz w:val="30"/>
                <w:szCs w:val="30"/>
                <w:highlight w:val="none"/>
                <w:u w:val="single"/>
                <w14:textFill>
                  <w14:solidFill>
                    <w14:schemeClr w14:val="tx1"/>
                  </w14:solidFill>
                </w14:textFill>
              </w:rPr>
              <w:t>东莞市妇幼保健院</w:t>
            </w:r>
            <w:r>
              <w:rPr>
                <w:rFonts w:hint="eastAsia" w:ascii="黑体" w:hAnsi="黑体" w:eastAsia="黑体"/>
                <w:b/>
                <w:color w:val="000000" w:themeColor="text1"/>
                <w:sz w:val="30"/>
                <w:szCs w:val="30"/>
                <w:highlight w:val="none"/>
                <w:u w:val="single"/>
                <w:lang w:val="en-US" w:eastAsia="zh-CN"/>
                <w14:textFill>
                  <w14:solidFill>
                    <w14:schemeClr w14:val="tx1"/>
                  </w14:solidFill>
                </w14:textFill>
              </w:rPr>
              <w:t xml:space="preserve">             </w:t>
            </w:r>
          </w:p>
        </w:tc>
      </w:tr>
      <w:tr>
        <w:tblPrEx>
          <w:tblCellMar>
            <w:top w:w="0" w:type="dxa"/>
            <w:left w:w="108" w:type="dxa"/>
            <w:bottom w:w="0" w:type="dxa"/>
            <w:right w:w="108" w:type="dxa"/>
          </w:tblCellMar>
        </w:tblPrEx>
        <w:trPr>
          <w:jc w:val="center"/>
        </w:trPr>
        <w:tc>
          <w:tcPr>
            <w:tcW w:w="2181" w:type="dxa"/>
            <w:shd w:val="clear" w:color="auto" w:fill="auto"/>
          </w:tcPr>
          <w:p>
            <w:pPr>
              <w:jc w:val="distribute"/>
              <w:rPr>
                <w:rFonts w:ascii="黑体" w:hAnsi="宋体" w:eastAsia="黑体"/>
                <w:b/>
                <w:bCs/>
                <w:color w:val="000000" w:themeColor="text1"/>
                <w:w w:val="90"/>
                <w:sz w:val="30"/>
                <w:szCs w:val="30"/>
                <w:highlight w:val="none"/>
                <w14:textFill>
                  <w14:solidFill>
                    <w14:schemeClr w14:val="tx1"/>
                  </w14:solidFill>
                </w14:textFill>
              </w:rPr>
            </w:pPr>
            <w:r>
              <w:rPr>
                <w:rFonts w:hint="eastAsia" w:ascii="黑体" w:hAnsi="宋体" w:eastAsia="黑体"/>
                <w:b/>
                <w:bCs/>
                <w:color w:val="000000" w:themeColor="text1"/>
                <w:w w:val="90"/>
                <w:sz w:val="30"/>
                <w:szCs w:val="30"/>
                <w:highlight w:val="none"/>
                <w14:textFill>
                  <w14:solidFill>
                    <w14:schemeClr w14:val="tx1"/>
                  </w14:solidFill>
                </w14:textFill>
              </w:rPr>
              <w:t>采购代理机构：</w:t>
            </w:r>
          </w:p>
        </w:tc>
        <w:tc>
          <w:tcPr>
            <w:tcW w:w="4579" w:type="dxa"/>
            <w:shd w:val="clear" w:color="auto" w:fill="auto"/>
          </w:tcPr>
          <w:p>
            <w:pPr>
              <w:rPr>
                <w:rFonts w:hint="default" w:ascii="黑体" w:hAnsi="宋体" w:eastAsia="黑体"/>
                <w:b/>
                <w:bCs/>
                <w:color w:val="000000" w:themeColor="text1"/>
                <w:w w:val="90"/>
                <w:sz w:val="30"/>
                <w:szCs w:val="30"/>
                <w:highlight w:val="none"/>
                <w:lang w:val="en-US" w:eastAsia="zh-CN"/>
                <w14:textFill>
                  <w14:solidFill>
                    <w14:schemeClr w14:val="tx1"/>
                  </w14:solidFill>
                </w14:textFill>
              </w:rPr>
            </w:pPr>
            <w:r>
              <w:rPr>
                <w:rFonts w:hint="eastAsia" w:ascii="黑体" w:hAnsi="宋体" w:eastAsia="黑体"/>
                <w:b/>
                <w:color w:val="000000" w:themeColor="text1"/>
                <w:sz w:val="30"/>
                <w:szCs w:val="30"/>
                <w:highlight w:val="none"/>
                <w:u w:val="single"/>
                <w14:textFill>
                  <w14:solidFill>
                    <w14:schemeClr w14:val="tx1"/>
                  </w14:solidFill>
                </w14:textFill>
              </w:rPr>
              <w:t>广东中凯工程管理咨询有限公司</w:t>
            </w:r>
            <w:r>
              <w:rPr>
                <w:rFonts w:hint="eastAsia" w:ascii="黑体" w:hAnsi="宋体" w:eastAsia="黑体"/>
                <w:b/>
                <w:color w:val="000000" w:themeColor="text1"/>
                <w:sz w:val="30"/>
                <w:szCs w:val="30"/>
                <w:highlight w:val="none"/>
                <w:u w:val="single"/>
                <w:lang w:val="en-US" w:eastAsia="zh-CN"/>
                <w14:textFill>
                  <w14:solidFill>
                    <w14:schemeClr w14:val="tx1"/>
                  </w14:solidFill>
                </w14:textFill>
              </w:rPr>
              <w:t xml:space="preserve">  </w:t>
            </w:r>
          </w:p>
        </w:tc>
      </w:tr>
    </w:tbl>
    <w:p>
      <w:pPr>
        <w:rPr>
          <w:rFonts w:ascii="黑体" w:hAnsi="宋体" w:eastAsia="黑体"/>
          <w:b/>
          <w:bCs/>
          <w:color w:val="000000" w:themeColor="text1"/>
          <w:w w:val="90"/>
          <w:sz w:val="36"/>
          <w:szCs w:val="36"/>
          <w:highlight w:val="none"/>
          <w14:textFill>
            <w14:solidFill>
              <w14:schemeClr w14:val="tx1"/>
            </w14:solidFill>
          </w14:textFill>
        </w:rPr>
      </w:pPr>
    </w:p>
    <w:p>
      <w:pPr>
        <w:jc w:val="center"/>
        <w:rPr>
          <w:rFonts w:ascii="黑体" w:hAnsi="宋体" w:eastAsia="黑体"/>
          <w:b/>
          <w:bCs/>
          <w:color w:val="000000" w:themeColor="text1"/>
          <w:w w:val="90"/>
          <w:sz w:val="40"/>
          <w:szCs w:val="40"/>
          <w:highlight w:val="none"/>
          <w14:textFill>
            <w14:solidFill>
              <w14:schemeClr w14:val="tx1"/>
            </w14:solidFill>
          </w14:textFill>
        </w:rPr>
        <w:sectPr>
          <w:headerReference r:id="rId3" w:type="default"/>
          <w:footerReference r:id="rId5" w:type="default"/>
          <w:headerReference r:id="rId4" w:type="even"/>
          <w:footerReference r:id="rId6" w:type="even"/>
          <w:pgSz w:w="11906" w:h="16838"/>
          <w:pgMar w:top="1474" w:right="1474" w:bottom="1474" w:left="1474" w:header="850" w:footer="907" w:gutter="0"/>
          <w:cols w:space="720" w:num="1"/>
          <w:titlePg/>
          <w:docGrid w:type="lines" w:linePitch="312" w:charSpace="0"/>
        </w:sectPr>
      </w:pPr>
      <w:r>
        <w:rPr>
          <w:rFonts w:hint="eastAsia" w:ascii="黑体" w:hAnsi="宋体" w:eastAsia="黑体"/>
          <w:b/>
          <w:bCs/>
          <w:color w:val="000000" w:themeColor="text1"/>
          <w:w w:val="90"/>
          <w:sz w:val="36"/>
          <w:szCs w:val="36"/>
          <w:highlight w:val="none"/>
          <w14:textFill>
            <w14:solidFill>
              <w14:schemeClr w14:val="tx1"/>
            </w14:solidFill>
          </w14:textFill>
        </w:rPr>
        <w:t>二〇二〇 年 九 月</w:t>
      </w:r>
    </w:p>
    <w:p>
      <w:pPr>
        <w:pStyle w:val="30"/>
        <w:tabs>
          <w:tab w:val="right" w:leader="dot" w:pos="8958"/>
        </w:tabs>
        <w:spacing w:beforeLines="100" w:afterLines="100" w:line="400" w:lineRule="exact"/>
        <w:jc w:val="center"/>
        <w:rPr>
          <w:rFonts w:ascii="宋体" w:hAnsi="宋体" w:cs="宋体"/>
          <w:color w:val="000000" w:themeColor="text1"/>
          <w:szCs w:val="22"/>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目  录</w:t>
      </w:r>
    </w:p>
    <w:p>
      <w:pPr>
        <w:pStyle w:val="16"/>
        <w:tabs>
          <w:tab w:val="right" w:leader="dot" w:pos="8958"/>
        </w:tabs>
        <w:spacing w:line="36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TOC \o "1-3" \h \u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"_Toc6418"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pacing w:val="20"/>
          <w:sz w:val="22"/>
          <w:szCs w:val="22"/>
          <w:highlight w:val="none"/>
          <w14:textFill>
            <w14:solidFill>
              <w14:schemeClr w14:val="tx1"/>
            </w14:solidFill>
          </w14:textFill>
        </w:rPr>
        <w:t>第一部分  投标邀请</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_Toc6418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4</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"_Toc23081"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一、投标邀请函</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_Toc23081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5</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6"/>
        <w:tabs>
          <w:tab w:val="right" w:leader="dot" w:pos="8958"/>
        </w:tabs>
        <w:spacing w:line="360" w:lineRule="exact"/>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"_Toc160"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pacing w:val="20"/>
          <w:sz w:val="22"/>
          <w:szCs w:val="22"/>
          <w:highlight w:val="none"/>
          <w14:textFill>
            <w14:solidFill>
              <w14:schemeClr w14:val="tx1"/>
            </w14:solidFill>
          </w14:textFill>
        </w:rPr>
        <w:t>第二部分  投标人须知</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_Toc160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8</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"_Toc31094"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一、说明</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_Toc31094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"_Toc3565"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1．适用范围及资金来源</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_Toc3565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"_Toc18576"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2．定义</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_Toc18576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"_Toc4546"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3．投标人的资格条件</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_Toc4546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"_Toc26440"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4．合格的货物和服务</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_Toc26440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"_Toc15894"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5．投标费用</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_Toc15894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"_Toc13180"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6. 踏勘现场及答疑会</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_Toc13180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"_Toc9732"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二、招标文件</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_Toc9732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"_Toc21937"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7．招标文件的组成</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_Toc21937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"_Toc29324"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8．招标文件的澄清或修改</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_Toc29324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11</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"_Toc4935"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三、投标文件的编制</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_Toc4935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11</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"_Toc6759"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9．投标文件的语言及度量衡单位</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_Toc6759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11</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"_Toc7040"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10．投标文件的组成</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_Toc7040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11</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"_Toc7543"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11．投标文件格式</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_Toc7543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12</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"_Toc28095"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12．投标文件的编制、数量和签署</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_Toc28095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12</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"_Toc2189"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13．投标报价说明</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_Toc2189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13</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"_Toc10911"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14．投标货币</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_Toc10911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13</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"_Toc27814"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15．投标有效期</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_Toc27814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13</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"_Toc28366"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16．投标保证金</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_Toc28366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14</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"_Toc3276"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四、投标文件的提交</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_Toc3276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15</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"_Toc3549"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17．投标文件的标记和密封</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_Toc3549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15</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"_Toc24635"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18．投标截止时间</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_Toc24635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15</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"_Toc29787"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19．迟交的投标文件</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_Toc29787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16</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"_Toc12929"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20．投标文件的补充、修改与撤回</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_Toc12929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16</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"_Toc29681"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五、开标与评标及定标</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_Toc29681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16</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"_Toc14757"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21．开标</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_Toc14757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16</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"_Toc4459"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22．评标委员会与评标方法</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_Toc4459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17</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"_Toc31399"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23．投标文件的评审</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_Toc31399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18</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"_Toc27580"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六、合同授予</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_Toc27580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26</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"_Toc22223"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24．中标公告及中标通知书</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_Toc22223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26</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"_Toc19596"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七、合同签订和履行</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_Toc19596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27</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"_Toc12456"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25．合同的签订</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_Toc12456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27</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"_Toc13775"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26．履约保证金（如有要求）</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_Toc13775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27</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"_Toc19863"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27.中标服务费</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_Toc19863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28</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"_Toc7539"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八、询问、质疑、投诉</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_Toc7539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"_Toc370"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28.询问</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_Toc370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"_Toc20269"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29.质疑</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_Toc20269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29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"_Toc23426"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30.投诉</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_Toc23426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"_Toc28132"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z w:val="22"/>
          <w:szCs w:val="22"/>
          <w:highlight w:val="none"/>
          <w14:textFill>
            <w14:solidFill>
              <w14:schemeClr w14:val="tx1"/>
            </w14:solidFill>
          </w14:textFill>
        </w:rPr>
        <w:t>九、其他</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_Toc28132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"_Toc2254"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31.适用法律</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_Toc2254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9"/>
        <w:tabs>
          <w:tab w:val="right" w:leader="dot" w:pos="8958"/>
        </w:tabs>
        <w:spacing w:line="360" w:lineRule="exact"/>
        <w:ind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"_Toc6482"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32.招标文件解释权</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_Toc6482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9"/>
        <w:tabs>
          <w:tab w:val="right" w:leader="dot" w:pos="8958"/>
        </w:tabs>
        <w:spacing w:line="360" w:lineRule="exact"/>
        <w:ind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"_Toc32174"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33.无特殊说明各条款适用于各子包</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_Toc32174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6"/>
        <w:tabs>
          <w:tab w:val="right" w:leader="dot" w:pos="8958"/>
        </w:tabs>
        <w:spacing w:line="360" w:lineRule="exact"/>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"_Toc8658"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pacing w:val="20"/>
          <w:sz w:val="22"/>
          <w:szCs w:val="22"/>
          <w:highlight w:val="none"/>
          <w14:textFill>
            <w14:solidFill>
              <w14:schemeClr w14:val="tx1"/>
            </w14:solidFill>
          </w14:textFill>
        </w:rPr>
        <w:t xml:space="preserve">第三部分 </w:t>
      </w:r>
      <w:r>
        <w:rPr>
          <w:rFonts w:hint="eastAsia" w:ascii="宋体" w:hAnsi="宋体" w:cs="宋体"/>
          <w:bCs/>
          <w:color w:val="000000" w:themeColor="text1"/>
          <w:sz w:val="22"/>
          <w:szCs w:val="22"/>
          <w:highlight w:val="none"/>
          <w14:textFill>
            <w14:solidFill>
              <w14:schemeClr w14:val="tx1"/>
            </w14:solidFill>
          </w14:textFill>
        </w:rPr>
        <w:t>采购需求书</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_Toc8658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31</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9"/>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"_Toc18669"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第一章 商务需求书</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_Toc18669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32</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9"/>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"_Toc17268"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第二章 技术需求书</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_Toc17268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34</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6"/>
        <w:tabs>
          <w:tab w:val="right" w:leader="dot" w:pos="8958"/>
        </w:tabs>
        <w:spacing w:line="360" w:lineRule="exact"/>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"_Toc27336"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pacing w:val="20"/>
          <w:sz w:val="22"/>
          <w:szCs w:val="22"/>
          <w:highlight w:val="none"/>
          <w14:textFill>
            <w14:solidFill>
              <w14:schemeClr w14:val="tx1"/>
            </w14:solidFill>
          </w14:textFill>
        </w:rPr>
        <w:t>第四部分  合同文本</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_Toc27336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44</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6"/>
        <w:tabs>
          <w:tab w:val="right" w:leader="dot" w:pos="8958"/>
        </w:tabs>
        <w:spacing w:line="360" w:lineRule="exact"/>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"_Toc16452" </w:instrText>
      </w:r>
      <w:r>
        <w:rPr>
          <w:color w:val="000000" w:themeColor="text1"/>
          <w:highlight w:val="none"/>
          <w14:textFill>
            <w14:solidFill>
              <w14:schemeClr w14:val="tx1"/>
            </w14:solidFill>
          </w14:textFill>
        </w:rPr>
        <w:fldChar w:fldCharType="separate"/>
      </w:r>
      <w:r>
        <w:rPr>
          <w:rFonts w:hint="eastAsia" w:ascii="宋体" w:hAnsi="宋体" w:cs="宋体"/>
          <w:bCs/>
          <w:color w:val="000000" w:themeColor="text1"/>
          <w:spacing w:val="20"/>
          <w:sz w:val="22"/>
          <w:szCs w:val="22"/>
          <w:highlight w:val="none"/>
          <w14:textFill>
            <w14:solidFill>
              <w14:schemeClr w14:val="tx1"/>
            </w14:solidFill>
          </w14:textFill>
        </w:rPr>
        <w:t>第五部分  投标文件格式</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_Toc16452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49</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"_Toc22792"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一、价格文件（独立成册）</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_Toc22792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50</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9"/>
        <w:tabs>
          <w:tab w:val="right" w:leader="dot" w:pos="8958"/>
        </w:tabs>
        <w:spacing w:line="360" w:lineRule="exact"/>
        <w:ind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"_Toc15038"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（一）开标一览表（报价总表）</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_Toc15038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51</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9"/>
        <w:tabs>
          <w:tab w:val="right" w:leader="dot" w:pos="8958"/>
        </w:tabs>
        <w:spacing w:line="360" w:lineRule="exact"/>
        <w:ind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"_Toc27271"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（二）投标分项报价表</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_Toc27271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52</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"_Toc4507"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二、商务技术文件</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_Toc4507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53</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"_Toc6536"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第一章   商务文件</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_Toc6536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54</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42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"_Toc26872"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第二章   技术文件</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_Toc26872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66</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rFonts w:ascii="宋体" w:hAnsi="宋体" w:cs="宋体"/>
          <w:color w:val="000000" w:themeColor="text1"/>
          <w:sz w:val="22"/>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"_Toc29280"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三、唱标信封</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_Toc29280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78</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pStyle w:val="10"/>
        <w:tabs>
          <w:tab w:val="right" w:leader="dot" w:pos="8958"/>
        </w:tabs>
        <w:spacing w:line="360" w:lineRule="exact"/>
        <w:ind w:left="0" w:leftChars="0"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"_Toc32116" </w:instrText>
      </w:r>
      <w:r>
        <w:rPr>
          <w:color w:val="000000" w:themeColor="text1"/>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四、质疑函格式</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fldChar w:fldCharType="begin"/>
      </w:r>
      <w:r>
        <w:rPr>
          <w:rFonts w:hint="eastAsia" w:ascii="宋体" w:hAnsi="宋体" w:cs="宋体"/>
          <w:color w:val="000000" w:themeColor="text1"/>
          <w:sz w:val="22"/>
          <w:szCs w:val="22"/>
          <w:highlight w:val="none"/>
          <w14:textFill>
            <w14:solidFill>
              <w14:schemeClr w14:val="tx1"/>
            </w14:solidFill>
          </w14:textFill>
        </w:rPr>
        <w:instrText xml:space="preserve"> PAGEREF _Toc32116 </w:instrText>
      </w:r>
      <w:r>
        <w:rPr>
          <w:rFonts w:hint="eastAsia" w:ascii="宋体" w:hAnsi="宋体" w:cs="宋体"/>
          <w:color w:val="000000" w:themeColor="text1"/>
          <w:sz w:val="22"/>
          <w:szCs w:val="22"/>
          <w:highlight w:val="none"/>
          <w14:textFill>
            <w14:solidFill>
              <w14:schemeClr w14:val="tx1"/>
            </w14:solidFill>
          </w14:textFill>
        </w:rPr>
        <w:fldChar w:fldCharType="separate"/>
      </w:r>
      <w:r>
        <w:rPr>
          <w:rFonts w:hint="eastAsia" w:ascii="宋体" w:hAnsi="宋体" w:cs="宋体"/>
          <w:color w:val="000000" w:themeColor="text1"/>
          <w:sz w:val="22"/>
          <w:szCs w:val="22"/>
          <w:highlight w:val="none"/>
          <w14:textFill>
            <w14:solidFill>
              <w14:schemeClr w14:val="tx1"/>
            </w14:solidFill>
          </w14:textFill>
        </w:rPr>
        <w:t>85</w:t>
      </w:r>
      <w:r>
        <w:rPr>
          <w:rFonts w:hint="eastAsia" w:ascii="宋体" w:hAnsi="宋体" w:cs="宋体"/>
          <w:color w:val="000000" w:themeColor="text1"/>
          <w:sz w:val="22"/>
          <w:szCs w:val="22"/>
          <w:highlight w:val="none"/>
          <w14:textFill>
            <w14:solidFill>
              <w14:schemeClr w14:val="tx1"/>
            </w14:solidFill>
          </w14:textFill>
        </w:rPr>
        <w:fldChar w:fldCharType="end"/>
      </w:r>
      <w:r>
        <w:rPr>
          <w:rFonts w:hint="eastAsia" w:ascii="宋体" w:hAnsi="宋体" w:cs="宋体"/>
          <w:color w:val="000000" w:themeColor="text1"/>
          <w:sz w:val="22"/>
          <w:szCs w:val="22"/>
          <w:highlight w:val="none"/>
          <w14:textFill>
            <w14:solidFill>
              <w14:schemeClr w14:val="tx1"/>
            </w14:solidFill>
          </w14:textFill>
        </w:rPr>
        <w:fldChar w:fldCharType="end"/>
      </w:r>
    </w:p>
    <w:p>
      <w:pPr>
        <w:spacing w:line="360" w:lineRule="exact"/>
        <w:jc w:val="left"/>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2"/>
          <w:highlight w:val="none"/>
          <w14:textFill>
            <w14:solidFill>
              <w14:schemeClr w14:val="tx1"/>
            </w14:solidFill>
          </w14:textFill>
        </w:rPr>
        <w:fldChar w:fldCharType="end"/>
      </w:r>
      <w:bookmarkStart w:id="0" w:name="_Toc18293"/>
      <w:bookmarkStart w:id="1" w:name="_Toc13731_WPSOffice_Level1"/>
      <w:bookmarkStart w:id="2" w:name="_Toc23796"/>
      <w:bookmarkStart w:id="3" w:name="_Toc12772_WPSOffice_Level1"/>
    </w:p>
    <w:p>
      <w:pPr>
        <w:jc w:val="center"/>
        <w:rPr>
          <w:rFonts w:ascii="宋体" w:hAnsi="宋体" w:cs="宋体"/>
          <w:color w:val="000000" w:themeColor="text1"/>
          <w:szCs w:val="22"/>
          <w:highlight w:val="none"/>
          <w14:textFill>
            <w14:solidFill>
              <w14:schemeClr w14:val="tx1"/>
            </w14:solidFill>
          </w14:textFill>
        </w:rPr>
      </w:pPr>
      <w:r>
        <w:rPr>
          <w:rFonts w:hint="eastAsia" w:ascii="宋体" w:hAnsi="宋体" w:cs="宋体"/>
          <w:color w:val="000000" w:themeColor="text1"/>
          <w:szCs w:val="22"/>
          <w:highlight w:val="none"/>
          <w14:textFill>
            <w14:solidFill>
              <w14:schemeClr w14:val="tx1"/>
            </w14:solidFill>
          </w14:textFill>
        </w:rPr>
        <w:br w:type="page"/>
      </w: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rPr>
          <w:rFonts w:ascii="宋体" w:hAnsi="宋体" w:cs="宋体"/>
          <w:color w:val="000000" w:themeColor="text1"/>
          <w:szCs w:val="22"/>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bookmarkStart w:id="4" w:name="_Toc6418"/>
      <w:r>
        <w:rPr>
          <w:rFonts w:hint="eastAsia" w:ascii="宋体" w:hAnsi="宋体" w:cs="宋体"/>
          <w:b/>
          <w:bCs/>
          <w:color w:val="000000" w:themeColor="text1"/>
          <w:spacing w:val="20"/>
          <w:sz w:val="44"/>
          <w:szCs w:val="44"/>
          <w:highlight w:val="none"/>
          <w14:textFill>
            <w14:solidFill>
              <w14:schemeClr w14:val="tx1"/>
            </w14:solidFill>
          </w14:textFill>
        </w:rPr>
        <w:t>第一部分  投标邀请</w:t>
      </w:r>
      <w:bookmarkEnd w:id="0"/>
      <w:bookmarkEnd w:id="4"/>
    </w:p>
    <w:bookmarkEnd w:id="1"/>
    <w:bookmarkEnd w:id="2"/>
    <w:bookmarkEnd w:id="3"/>
    <w:p>
      <w:pPr>
        <w:pStyle w:val="4"/>
        <w:spacing w:beforeLines="100" w:afterLines="100" w:line="360" w:lineRule="auto"/>
        <w:rPr>
          <w:rFonts w:ascii="宋体" w:eastAsia="宋体"/>
          <w:color w:val="000000" w:themeColor="text1"/>
          <w:sz w:val="28"/>
          <w:highlight w:val="none"/>
          <w14:textFill>
            <w14:solidFill>
              <w14:schemeClr w14:val="tx1"/>
            </w14:solidFill>
          </w14:textFill>
        </w:rPr>
      </w:pPr>
      <w:bookmarkStart w:id="5" w:name="_Toc13425"/>
      <w:bookmarkStart w:id="6" w:name="_Toc10570"/>
      <w:bookmarkStart w:id="7" w:name="_Toc32170_WPSOffice_Level2"/>
      <w:bookmarkStart w:id="8" w:name="_Toc632_WPSOffice_Level2"/>
      <w:r>
        <w:rPr>
          <w:rFonts w:hint="eastAsia" w:ascii="宋体" w:hAnsi="宋体" w:eastAsia="宋体"/>
          <w:bCs/>
          <w:color w:val="000000" w:themeColor="text1"/>
          <w:szCs w:val="32"/>
          <w:highlight w:val="none"/>
          <w14:textFill>
            <w14:solidFill>
              <w14:schemeClr w14:val="tx1"/>
            </w14:solidFill>
          </w14:textFill>
        </w:rPr>
        <w:br w:type="page"/>
      </w:r>
      <w:bookmarkStart w:id="9" w:name="_Toc23081"/>
      <w:r>
        <w:rPr>
          <w:rFonts w:hint="eastAsia" w:ascii="宋体" w:hAnsi="宋体" w:eastAsia="宋体"/>
          <w:bCs/>
          <w:color w:val="000000" w:themeColor="text1"/>
          <w:szCs w:val="32"/>
          <w:highlight w:val="none"/>
          <w14:textFill>
            <w14:solidFill>
              <w14:schemeClr w14:val="tx1"/>
            </w14:solidFill>
          </w14:textFill>
        </w:rPr>
        <w:t>一、投标邀请函</w:t>
      </w:r>
      <w:bookmarkEnd w:id="5"/>
      <w:bookmarkEnd w:id="6"/>
      <w:bookmarkEnd w:id="7"/>
      <w:bookmarkEnd w:id="8"/>
      <w:bookmarkEnd w:id="9"/>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广东中凯工程管理咨询有限公司（以下简称“采购代理机构”）受东莞市妇幼保健院（以下简称“采购人”）的委托，现就</w:t>
      </w:r>
      <w:r>
        <w:rPr>
          <w:rFonts w:hint="eastAsia" w:ascii="宋体" w:eastAsia="宋体"/>
          <w:color w:val="000000" w:themeColor="text1"/>
          <w:sz w:val="22"/>
          <w:szCs w:val="22"/>
          <w:highlight w:val="none"/>
          <w:lang w:eastAsia="zh-CN"/>
          <w14:textFill>
            <w14:solidFill>
              <w14:schemeClr w14:val="tx1"/>
            </w14:solidFill>
          </w14:textFill>
        </w:rPr>
        <w:t>东莞市妇幼保健院医疗设备采购项目</w:t>
      </w:r>
      <w:r>
        <w:rPr>
          <w:rFonts w:hint="eastAsia" w:ascii="宋体" w:eastAsia="宋体"/>
          <w:color w:val="000000" w:themeColor="text1"/>
          <w:sz w:val="22"/>
          <w:szCs w:val="22"/>
          <w:highlight w:val="none"/>
          <w14:textFill>
            <w14:solidFill>
              <w14:schemeClr w14:val="tx1"/>
            </w14:solidFill>
          </w14:textFill>
        </w:rPr>
        <w:t>进行公开招标采购，欢迎有实施能力和资质的国内投标人参加投标。</w:t>
      </w:r>
    </w:p>
    <w:p>
      <w:pPr>
        <w:pStyle w:val="33"/>
        <w:spacing w:line="360" w:lineRule="auto"/>
        <w:ind w:firstLine="420" w:firstLineChars="0"/>
        <w:rPr>
          <w:rFonts w:hint="eastAsia" w:ascii="宋体" w:eastAsia="宋体"/>
          <w:b/>
          <w:color w:val="000000" w:themeColor="text1"/>
          <w:sz w:val="22"/>
          <w:szCs w:val="22"/>
          <w:highlight w:val="none"/>
          <w:lang w:eastAsia="zh-CN"/>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1.项目名称：</w:t>
      </w:r>
      <w:r>
        <w:rPr>
          <w:rFonts w:hint="eastAsia" w:ascii="宋体" w:eastAsia="宋体"/>
          <w:bCs/>
          <w:color w:val="000000" w:themeColor="text1"/>
          <w:sz w:val="22"/>
          <w:szCs w:val="22"/>
          <w:highlight w:val="none"/>
          <w:lang w:eastAsia="zh-CN"/>
          <w14:textFill>
            <w14:solidFill>
              <w14:schemeClr w14:val="tx1"/>
            </w14:solidFill>
          </w14:textFill>
        </w:rPr>
        <w:t>东莞市妇幼保健院医疗设备采购项目</w:t>
      </w:r>
    </w:p>
    <w:p>
      <w:pPr>
        <w:pStyle w:val="33"/>
        <w:spacing w:line="360" w:lineRule="auto"/>
        <w:ind w:firstLine="442" w:firstLineChars="200"/>
        <w:rPr>
          <w:rFonts w:hint="eastAsia" w:ascii="宋体" w:eastAsia="宋体"/>
          <w:bCs/>
          <w:color w:val="000000" w:themeColor="text1"/>
          <w:sz w:val="22"/>
          <w:szCs w:val="22"/>
          <w:highlight w:val="none"/>
          <w:lang w:eastAsia="zh-CN"/>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2.采购编号：</w:t>
      </w:r>
      <w:r>
        <w:rPr>
          <w:rFonts w:hint="eastAsia" w:ascii="宋体" w:eastAsia="宋体"/>
          <w:bCs/>
          <w:color w:val="000000" w:themeColor="text1"/>
          <w:sz w:val="22"/>
          <w:szCs w:val="22"/>
          <w:highlight w:val="none"/>
          <w:lang w:eastAsia="zh-CN"/>
          <w14:textFill>
            <w14:solidFill>
              <w14:schemeClr w14:val="tx1"/>
            </w14:solidFill>
          </w14:textFill>
        </w:rPr>
        <w:t>441900-202009-0006013001-0056</w:t>
      </w:r>
    </w:p>
    <w:p>
      <w:pPr>
        <w:pStyle w:val="33"/>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3.采购内容及要求：</w:t>
      </w:r>
    </w:p>
    <w:tbl>
      <w:tblPr>
        <w:tblStyle w:val="23"/>
        <w:tblW w:w="7956" w:type="dxa"/>
        <w:jc w:val="center"/>
        <w:tblLayout w:type="fixed"/>
        <w:tblCellMar>
          <w:top w:w="0" w:type="dxa"/>
          <w:left w:w="0" w:type="dxa"/>
          <w:bottom w:w="0" w:type="dxa"/>
          <w:right w:w="0" w:type="dxa"/>
        </w:tblCellMar>
      </w:tblPr>
      <w:tblGrid>
        <w:gridCol w:w="456"/>
        <w:gridCol w:w="2775"/>
        <w:gridCol w:w="630"/>
        <w:gridCol w:w="630"/>
        <w:gridCol w:w="1725"/>
        <w:gridCol w:w="1740"/>
      </w:tblGrid>
      <w:tr>
        <w:tblPrEx>
          <w:tblCellMar>
            <w:top w:w="0" w:type="dxa"/>
            <w:left w:w="0" w:type="dxa"/>
            <w:bottom w:w="0" w:type="dxa"/>
            <w:right w:w="0" w:type="dxa"/>
          </w:tblCellMar>
        </w:tblPrEx>
        <w:trPr>
          <w:trHeight w:val="809"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包号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采购内容</w:t>
            </w:r>
          </w:p>
        </w:tc>
        <w:tc>
          <w:tcPr>
            <w:tcW w:w="6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单位</w:t>
            </w:r>
          </w:p>
        </w:tc>
        <w:tc>
          <w:tcPr>
            <w:tcW w:w="6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数量</w:t>
            </w:r>
          </w:p>
        </w:tc>
        <w:tc>
          <w:tcPr>
            <w:tcW w:w="17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采购最高限价</w:t>
            </w:r>
          </w:p>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（单价/元）</w:t>
            </w:r>
          </w:p>
        </w:tc>
        <w:tc>
          <w:tcPr>
            <w:tcW w:w="17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采购预算总金额</w:t>
            </w:r>
          </w:p>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（元）</w:t>
            </w: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A</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全自动微生物质谱检测系统</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2,150,000.00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2,150,000.00</w:t>
            </w: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B</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串联质谱仪</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2,000,000.00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2,000,000.00</w:t>
            </w:r>
          </w:p>
        </w:tc>
      </w:tr>
      <w:tr>
        <w:tblPrEx>
          <w:tblCellMar>
            <w:top w:w="0" w:type="dxa"/>
            <w:left w:w="0" w:type="dxa"/>
            <w:bottom w:w="0" w:type="dxa"/>
            <w:right w:w="0" w:type="dxa"/>
          </w:tblCellMar>
        </w:tblPrEx>
        <w:trPr>
          <w:trHeight w:val="56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C</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全自动血液分析系统</w:t>
            </w:r>
          </w:p>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（带推片染色）</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500,000.00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500,000.00</w:t>
            </w:r>
          </w:p>
        </w:tc>
      </w:tr>
    </w:tbl>
    <w:p>
      <w:pPr>
        <w:pStyle w:val="33"/>
        <w:spacing w:beforeLines="50"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bCs/>
          <w:color w:val="000000" w:themeColor="text1"/>
          <w:sz w:val="22"/>
          <w:szCs w:val="22"/>
          <w:highlight w:val="none"/>
          <w14:textFill>
            <w14:solidFill>
              <w14:schemeClr w14:val="tx1"/>
            </w14:solidFill>
          </w14:textFill>
        </w:rPr>
        <w:t>本项目采购预算金额：4,650,000.00元（人民币肆佰陆拾伍万元整）。本项目的服务范围及服务要求详见招标文件《采购需求书》。</w:t>
      </w:r>
    </w:p>
    <w:p>
      <w:pPr>
        <w:pStyle w:val="33"/>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4.投标人的资格条件</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1)投标人须符合《中华人民共和国政府采购法》第二十二条规定；</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2)政府采购政策资格要求：</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①投标人的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②投标人参加政府采购活动前三年内，在经营活动中没有重大违法记录。（须提供书面声明）。</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③投标人未被列入“信用中国”网站(www.creditchina.gov.cn)“记录失信被执行人或重大税收违法案件当事人名单”记录名单；未处于中国政府采购网(www.ccgp.gov.cn)“政府采购严重违法失信行为信息记录”中的禁止参加政府采购活动期间。（以招标代理机构投标截止日当天在“信用中国”网站（www.creditchina.gov.cn）及中国政府采购网(www.ccgp.gov.cn)查询结果为准，如相关失信记录已失效，投标人需提供相关证明资料）。</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3）特定资格条件：</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①投标人为代理商的，从事第三类医疗器械经营的应取得《医疗器械经营许可证》或有效期内的《医疗器械经营企业许可证》，从事第二类医疗器械经营的，应取得《第二类医疗器械经营备案凭证》或有效期内的《医疗器械经营企业许可证》；</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②投标人为生产厂商的，应取得药品监督管理部门颁发的《医疗器械生产许可证》或在有效期内的《医疗器械生产企业许可证》；从事第一类医疗器械生产的供应商，应取得《第一类医疗器械生产备案凭证》；</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③投标货物若属于中国医疗器械注册管理范围内的，则应取得监督管理部门颁发的相应的《中华人民共和国医疗器械注册证》。</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注：本项目不接受联合体投标。</w:t>
      </w:r>
    </w:p>
    <w:p>
      <w:pPr>
        <w:pStyle w:val="33"/>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5.招标文件公示</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该项目招标文件公示期为：</w:t>
      </w:r>
      <w:r>
        <w:rPr>
          <w:rFonts w:hint="eastAsia" w:ascii="宋体" w:eastAsia="宋体"/>
          <w:b/>
          <w:color w:val="000000" w:themeColor="text1"/>
          <w:sz w:val="22"/>
          <w:szCs w:val="22"/>
          <w:highlight w:val="none"/>
          <w:u w:val="single"/>
          <w14:textFill>
            <w14:solidFill>
              <w14:schemeClr w14:val="tx1"/>
            </w14:solidFill>
          </w14:textFill>
        </w:rPr>
        <w:t>2020年</w:t>
      </w:r>
      <w:r>
        <w:rPr>
          <w:rFonts w:hint="eastAsia" w:ascii="宋体" w:eastAsia="宋体"/>
          <w:b/>
          <w:color w:val="000000" w:themeColor="text1"/>
          <w:sz w:val="22"/>
          <w:szCs w:val="22"/>
          <w:highlight w:val="none"/>
          <w:u w:val="single"/>
          <w:lang w:val="en-US" w:eastAsia="zh-CN"/>
          <w14:textFill>
            <w14:solidFill>
              <w14:schemeClr w14:val="tx1"/>
            </w14:solidFill>
          </w14:textFill>
        </w:rPr>
        <w:t>09</w:t>
      </w:r>
      <w:r>
        <w:rPr>
          <w:rFonts w:hint="eastAsia" w:ascii="宋体" w:eastAsia="宋体"/>
          <w:b/>
          <w:color w:val="000000" w:themeColor="text1"/>
          <w:sz w:val="22"/>
          <w:szCs w:val="22"/>
          <w:highlight w:val="none"/>
          <w:u w:val="single"/>
          <w14:textFill>
            <w14:solidFill>
              <w14:schemeClr w14:val="tx1"/>
            </w14:solidFill>
          </w14:textFill>
        </w:rPr>
        <w:t>月</w:t>
      </w:r>
      <w:r>
        <w:rPr>
          <w:rFonts w:hint="eastAsia" w:ascii="宋体" w:eastAsia="宋体"/>
          <w:b/>
          <w:color w:val="000000" w:themeColor="text1"/>
          <w:sz w:val="22"/>
          <w:szCs w:val="22"/>
          <w:highlight w:val="none"/>
          <w:u w:val="single"/>
          <w:lang w:val="en-US" w:eastAsia="zh-CN"/>
          <w14:textFill>
            <w14:solidFill>
              <w14:schemeClr w14:val="tx1"/>
            </w14:solidFill>
          </w14:textFill>
        </w:rPr>
        <w:t>14</w:t>
      </w:r>
      <w:r>
        <w:rPr>
          <w:rFonts w:hint="eastAsia" w:ascii="宋体" w:eastAsia="宋体"/>
          <w:b/>
          <w:color w:val="000000" w:themeColor="text1"/>
          <w:sz w:val="22"/>
          <w:szCs w:val="22"/>
          <w:highlight w:val="none"/>
          <w:u w:val="single"/>
          <w14:textFill>
            <w14:solidFill>
              <w14:schemeClr w14:val="tx1"/>
            </w14:solidFill>
          </w14:textFill>
        </w:rPr>
        <w:t>日至2020年</w:t>
      </w:r>
      <w:r>
        <w:rPr>
          <w:rFonts w:hint="eastAsia" w:ascii="宋体" w:eastAsia="宋体"/>
          <w:b/>
          <w:color w:val="000000" w:themeColor="text1"/>
          <w:sz w:val="22"/>
          <w:szCs w:val="22"/>
          <w:highlight w:val="none"/>
          <w:u w:val="single"/>
          <w:lang w:val="en-US" w:eastAsia="zh-CN"/>
          <w14:textFill>
            <w14:solidFill>
              <w14:schemeClr w14:val="tx1"/>
            </w14:solidFill>
          </w14:textFill>
        </w:rPr>
        <w:t>09</w:t>
      </w:r>
      <w:r>
        <w:rPr>
          <w:rFonts w:hint="eastAsia" w:ascii="宋体" w:eastAsia="宋体"/>
          <w:b/>
          <w:color w:val="000000" w:themeColor="text1"/>
          <w:sz w:val="22"/>
          <w:szCs w:val="22"/>
          <w:highlight w:val="none"/>
          <w:u w:val="single"/>
          <w14:textFill>
            <w14:solidFill>
              <w14:schemeClr w14:val="tx1"/>
            </w14:solidFill>
          </w14:textFill>
        </w:rPr>
        <w:t>月</w:t>
      </w:r>
      <w:r>
        <w:rPr>
          <w:rFonts w:hint="eastAsia" w:ascii="宋体" w:eastAsia="宋体"/>
          <w:b/>
          <w:color w:val="000000" w:themeColor="text1"/>
          <w:sz w:val="22"/>
          <w:szCs w:val="22"/>
          <w:highlight w:val="none"/>
          <w:u w:val="single"/>
          <w:lang w:val="en-US" w:eastAsia="zh-CN"/>
          <w14:textFill>
            <w14:solidFill>
              <w14:schemeClr w14:val="tx1"/>
            </w14:solidFill>
          </w14:textFill>
        </w:rPr>
        <w:t>21</w:t>
      </w:r>
      <w:r>
        <w:rPr>
          <w:rFonts w:hint="eastAsia" w:ascii="宋体" w:eastAsia="宋体"/>
          <w:b/>
          <w:color w:val="000000" w:themeColor="text1"/>
          <w:sz w:val="22"/>
          <w:szCs w:val="22"/>
          <w:highlight w:val="none"/>
          <w:u w:val="single"/>
          <w14:textFill>
            <w14:solidFill>
              <w14:schemeClr w14:val="tx1"/>
            </w14:solidFill>
          </w14:textFill>
        </w:rPr>
        <w:t>日</w:t>
      </w:r>
      <w:r>
        <w:rPr>
          <w:rFonts w:hint="eastAsia" w:ascii="宋体" w:eastAsia="宋体"/>
          <w:color w:val="000000" w:themeColor="text1"/>
          <w:sz w:val="22"/>
          <w:szCs w:val="22"/>
          <w:highlight w:val="none"/>
          <w14:textFill>
            <w14:solidFill>
              <w14:schemeClr w14:val="tx1"/>
            </w14:solidFill>
          </w14:textFill>
        </w:rPr>
        <w:t>。</w:t>
      </w:r>
    </w:p>
    <w:p>
      <w:pPr>
        <w:pStyle w:val="33"/>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6.获取招标文件事宜</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w:t>
      </w:r>
      <w:r>
        <w:rPr>
          <w:rFonts w:hint="eastAsia" w:ascii="宋体" w:eastAsia="宋体"/>
          <w:color w:val="000000" w:themeColor="text1"/>
          <w:sz w:val="22"/>
          <w:szCs w:val="22"/>
          <w:highlight w:val="none"/>
          <w14:textFill>
            <w14:solidFill>
              <w14:schemeClr w14:val="tx1"/>
            </w14:solidFill>
          </w14:textFill>
        </w:rPr>
        <w:tab/>
      </w:r>
      <w:r>
        <w:rPr>
          <w:rFonts w:hint="eastAsia" w:ascii="宋体" w:eastAsia="宋体"/>
          <w:b/>
          <w:color w:val="000000" w:themeColor="text1"/>
          <w:sz w:val="22"/>
          <w:szCs w:val="22"/>
          <w:highlight w:val="none"/>
          <w14:textFill>
            <w14:solidFill>
              <w14:schemeClr w14:val="tx1"/>
            </w14:solidFill>
          </w14:textFill>
        </w:rPr>
        <w:t>符合资格的投标人应当在</w:t>
      </w:r>
      <w:r>
        <w:rPr>
          <w:rFonts w:hint="eastAsia" w:ascii="宋体" w:eastAsia="宋体"/>
          <w:b/>
          <w:color w:val="000000" w:themeColor="text1"/>
          <w:sz w:val="22"/>
          <w:szCs w:val="22"/>
          <w:highlight w:val="none"/>
          <w:u w:val="single"/>
          <w14:textFill>
            <w14:solidFill>
              <w14:schemeClr w14:val="tx1"/>
            </w14:solidFill>
          </w14:textFill>
        </w:rPr>
        <w:t>2020年</w:t>
      </w:r>
      <w:r>
        <w:rPr>
          <w:rFonts w:hint="eastAsia" w:ascii="宋体" w:eastAsia="宋体"/>
          <w:b/>
          <w:color w:val="000000" w:themeColor="text1"/>
          <w:sz w:val="22"/>
          <w:szCs w:val="22"/>
          <w:highlight w:val="none"/>
          <w:u w:val="single"/>
          <w:lang w:val="en-US" w:eastAsia="zh-CN"/>
          <w14:textFill>
            <w14:solidFill>
              <w14:schemeClr w14:val="tx1"/>
            </w14:solidFill>
          </w14:textFill>
        </w:rPr>
        <w:t>09</w:t>
      </w:r>
      <w:r>
        <w:rPr>
          <w:rFonts w:hint="eastAsia" w:ascii="宋体" w:eastAsia="宋体"/>
          <w:b/>
          <w:color w:val="000000" w:themeColor="text1"/>
          <w:sz w:val="22"/>
          <w:szCs w:val="22"/>
          <w:highlight w:val="none"/>
          <w:u w:val="single"/>
          <w14:textFill>
            <w14:solidFill>
              <w14:schemeClr w14:val="tx1"/>
            </w14:solidFill>
          </w14:textFill>
        </w:rPr>
        <w:t>月</w:t>
      </w:r>
      <w:r>
        <w:rPr>
          <w:rFonts w:hint="eastAsia" w:ascii="宋体" w:eastAsia="宋体"/>
          <w:b/>
          <w:color w:val="000000" w:themeColor="text1"/>
          <w:sz w:val="22"/>
          <w:szCs w:val="22"/>
          <w:highlight w:val="none"/>
          <w:u w:val="single"/>
          <w:lang w:val="en-US" w:eastAsia="zh-CN"/>
          <w14:textFill>
            <w14:solidFill>
              <w14:schemeClr w14:val="tx1"/>
            </w14:solidFill>
          </w14:textFill>
        </w:rPr>
        <w:t>14</w:t>
      </w:r>
      <w:r>
        <w:rPr>
          <w:rFonts w:hint="eastAsia" w:ascii="宋体" w:eastAsia="宋体"/>
          <w:b/>
          <w:color w:val="000000" w:themeColor="text1"/>
          <w:sz w:val="22"/>
          <w:szCs w:val="22"/>
          <w:highlight w:val="none"/>
          <w:u w:val="single"/>
          <w14:textFill>
            <w14:solidFill>
              <w14:schemeClr w14:val="tx1"/>
            </w14:solidFill>
          </w14:textFill>
        </w:rPr>
        <w:t>日至2020年</w:t>
      </w:r>
      <w:r>
        <w:rPr>
          <w:rFonts w:hint="eastAsia" w:ascii="宋体" w:eastAsia="宋体"/>
          <w:b/>
          <w:color w:val="000000" w:themeColor="text1"/>
          <w:sz w:val="22"/>
          <w:szCs w:val="22"/>
          <w:highlight w:val="none"/>
          <w:u w:val="single"/>
          <w:lang w:val="en-US" w:eastAsia="zh-CN"/>
          <w14:textFill>
            <w14:solidFill>
              <w14:schemeClr w14:val="tx1"/>
            </w14:solidFill>
          </w14:textFill>
        </w:rPr>
        <w:t>09</w:t>
      </w:r>
      <w:r>
        <w:rPr>
          <w:rFonts w:hint="eastAsia" w:ascii="宋体" w:eastAsia="宋体"/>
          <w:b/>
          <w:color w:val="000000" w:themeColor="text1"/>
          <w:sz w:val="22"/>
          <w:szCs w:val="22"/>
          <w:highlight w:val="none"/>
          <w:u w:val="single"/>
          <w14:textFill>
            <w14:solidFill>
              <w14:schemeClr w14:val="tx1"/>
            </w14:solidFill>
          </w14:textFill>
        </w:rPr>
        <w:t>月</w:t>
      </w:r>
      <w:r>
        <w:rPr>
          <w:rFonts w:hint="eastAsia" w:ascii="宋体" w:eastAsia="宋体"/>
          <w:b/>
          <w:color w:val="000000" w:themeColor="text1"/>
          <w:sz w:val="22"/>
          <w:szCs w:val="22"/>
          <w:highlight w:val="none"/>
          <w:u w:val="single"/>
          <w:lang w:val="en-US" w:eastAsia="zh-CN"/>
          <w14:textFill>
            <w14:solidFill>
              <w14:schemeClr w14:val="tx1"/>
            </w14:solidFill>
          </w14:textFill>
        </w:rPr>
        <w:t>21</w:t>
      </w:r>
      <w:r>
        <w:rPr>
          <w:rFonts w:hint="eastAsia" w:ascii="宋体" w:eastAsia="宋体"/>
          <w:b/>
          <w:color w:val="000000" w:themeColor="text1"/>
          <w:sz w:val="22"/>
          <w:szCs w:val="22"/>
          <w:highlight w:val="none"/>
          <w:u w:val="single"/>
          <w14:textFill>
            <w14:solidFill>
              <w14:schemeClr w14:val="tx1"/>
            </w14:solidFill>
          </w14:textFill>
        </w:rPr>
        <w:t>日期间</w:t>
      </w:r>
      <w:r>
        <w:rPr>
          <w:rFonts w:hint="eastAsia" w:ascii="宋体" w:eastAsia="宋体"/>
          <w:color w:val="000000" w:themeColor="text1"/>
          <w:sz w:val="22"/>
          <w:szCs w:val="22"/>
          <w:highlight w:val="none"/>
          <w14:textFill>
            <w14:solidFill>
              <w14:schemeClr w14:val="tx1"/>
            </w14:solidFill>
          </w14:textFill>
        </w:rPr>
        <w:t>（法定节假日除外）每日上午09:00时至12:00时；下午14:30时至17:30时，按下述地址洽购。本招标文件每本售价￥150元，售后不退，（自带U盘拷贝招标文件电子文档）。</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ab/>
      </w:r>
      <w:r>
        <w:rPr>
          <w:rFonts w:hint="eastAsia" w:ascii="宋体" w:eastAsia="宋体"/>
          <w:color w:val="000000" w:themeColor="text1"/>
          <w:sz w:val="22"/>
          <w:szCs w:val="22"/>
          <w:highlight w:val="none"/>
          <w14:textFill>
            <w14:solidFill>
              <w14:schemeClr w14:val="tx1"/>
            </w14:solidFill>
          </w14:textFill>
        </w:rPr>
        <w:t>投标人在获取招标文件时建议提供《营业执照》或其他主体证书或投标人授权书等相关资料复印件以便核对投标人名称及相关信息。</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3）凡参与东莞市政府采购活动的供应商，应通过东莞市政府采购网（http://czj.dg.gov.cn/dggp/）或东莞市公共资源交易网（http://ggzy.dg.gov.cn）进行建档入库，已在市公共资源交易中心入库（企业身份为“政府采购类”）的除外。入库路径：1.东莞市政府采购网-供应商注册；2.东莞市公共资源交易网-企业信息登记-公共资源交易企业库。 各供应商在入库过程中遇到问题的，请及时与市公共资源交易中心联系。详见东莞市政府采购网《关于做好政府采购供应商建档入库的通知》。</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投标人须在广东省政府采购网（http://www.gdgpo.gov.cn/）平台供应商注册栏目进行操作，如遇到相关注册问题，按“办事指南”相关事项处理，请参加本项目投标且尚未在广东省政府采购网进行注册登记的供应商务必于本项目采购结果公示前完成注册登记，已登记的除外。</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5）投标人请在项目开标前自行完成以上供应商注册及建档工作，否则因投标人未完成注册和建档而造成的所有后果由投标人自行承担。</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6)拟参加本项目的投标人须在规定的时间内按要求获取招标文件后方可参与本项目的投标。已获取招标文件后而不参加投标的投标人，请在开标日期三日前以书面形式通知招标代理机构。</w:t>
      </w:r>
    </w:p>
    <w:p>
      <w:pPr>
        <w:pStyle w:val="33"/>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7.投标文件递交截止时间</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投标文件递交开始时间：2020年</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月</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日</w:t>
      </w:r>
      <w:r>
        <w:rPr>
          <w:rFonts w:hint="eastAsia" w:ascii="宋体" w:eastAsia="宋体"/>
          <w:color w:val="000000" w:themeColor="text1"/>
          <w:sz w:val="22"/>
          <w:szCs w:val="22"/>
          <w:highlight w:val="none"/>
          <w:lang w:val="en-US" w:eastAsia="zh-CN"/>
          <w14:textFill>
            <w14:solidFill>
              <w14:schemeClr w14:val="tx1"/>
            </w14:solidFill>
          </w14:textFill>
        </w:rPr>
        <w:t>15</w:t>
      </w:r>
      <w:r>
        <w:rPr>
          <w:rFonts w:hint="eastAsia" w:ascii="宋体" w:eastAsia="宋体"/>
          <w:color w:val="000000" w:themeColor="text1"/>
          <w:sz w:val="22"/>
          <w:szCs w:val="22"/>
          <w:highlight w:val="none"/>
          <w14:textFill>
            <w14:solidFill>
              <w14:schemeClr w14:val="tx1"/>
            </w14:solidFill>
          </w14:textFill>
        </w:rPr>
        <w:t>时</w:t>
      </w:r>
      <w:r>
        <w:rPr>
          <w:rFonts w:hint="eastAsia" w:ascii="宋体" w:eastAsia="宋体"/>
          <w:color w:val="000000" w:themeColor="text1"/>
          <w:sz w:val="22"/>
          <w:szCs w:val="22"/>
          <w:highlight w:val="none"/>
          <w:lang w:val="en-US" w:eastAsia="zh-CN"/>
          <w14:textFill>
            <w14:solidFill>
              <w14:schemeClr w14:val="tx1"/>
            </w14:solidFill>
          </w14:textFill>
        </w:rPr>
        <w:t>00</w:t>
      </w:r>
      <w:r>
        <w:rPr>
          <w:rFonts w:hint="eastAsia" w:ascii="宋体" w:eastAsia="宋体"/>
          <w:color w:val="000000" w:themeColor="text1"/>
          <w:sz w:val="22"/>
          <w:szCs w:val="22"/>
          <w:highlight w:val="none"/>
          <w14:textFill>
            <w14:solidFill>
              <w14:schemeClr w14:val="tx1"/>
            </w14:solidFill>
          </w14:textFill>
        </w:rPr>
        <w:t>分（北京时间）</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投标文件递交截止时间：2020年</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月</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日</w:t>
      </w:r>
      <w:r>
        <w:rPr>
          <w:rFonts w:hint="eastAsia" w:ascii="宋体" w:eastAsia="宋体"/>
          <w:color w:val="000000" w:themeColor="text1"/>
          <w:sz w:val="22"/>
          <w:szCs w:val="22"/>
          <w:highlight w:val="none"/>
          <w:lang w:val="en-US" w:eastAsia="zh-CN"/>
          <w14:textFill>
            <w14:solidFill>
              <w14:schemeClr w14:val="tx1"/>
            </w14:solidFill>
          </w14:textFill>
        </w:rPr>
        <w:t>15</w:t>
      </w:r>
      <w:r>
        <w:rPr>
          <w:rFonts w:hint="eastAsia" w:ascii="宋体" w:eastAsia="宋体"/>
          <w:color w:val="000000" w:themeColor="text1"/>
          <w:sz w:val="22"/>
          <w:szCs w:val="22"/>
          <w:highlight w:val="none"/>
          <w14:textFill>
            <w14:solidFill>
              <w14:schemeClr w14:val="tx1"/>
            </w14:solidFill>
          </w14:textFill>
        </w:rPr>
        <w:t>时</w:t>
      </w:r>
      <w:r>
        <w:rPr>
          <w:rFonts w:hint="eastAsia" w:ascii="宋体" w:eastAsia="宋体"/>
          <w:color w:val="000000" w:themeColor="text1"/>
          <w:sz w:val="22"/>
          <w:szCs w:val="22"/>
          <w:highlight w:val="none"/>
          <w:lang w:val="en-US" w:eastAsia="zh-CN"/>
          <w14:textFill>
            <w14:solidFill>
              <w14:schemeClr w14:val="tx1"/>
            </w14:solidFill>
          </w14:textFill>
        </w:rPr>
        <w:t>30</w:t>
      </w:r>
      <w:r>
        <w:rPr>
          <w:rFonts w:hint="eastAsia" w:ascii="宋体" w:eastAsia="宋体"/>
          <w:color w:val="000000" w:themeColor="text1"/>
          <w:sz w:val="22"/>
          <w:szCs w:val="22"/>
          <w:highlight w:val="none"/>
          <w14:textFill>
            <w14:solidFill>
              <w14:schemeClr w14:val="tx1"/>
            </w14:solidFill>
          </w14:textFill>
        </w:rPr>
        <w:t>分（北京时间）</w:t>
      </w:r>
    </w:p>
    <w:p>
      <w:pPr>
        <w:pStyle w:val="33"/>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8.开标时间</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2020年</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月</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日</w:t>
      </w:r>
      <w:r>
        <w:rPr>
          <w:rFonts w:hint="eastAsia" w:ascii="宋体" w:eastAsia="宋体"/>
          <w:color w:val="000000" w:themeColor="text1"/>
          <w:sz w:val="22"/>
          <w:szCs w:val="22"/>
          <w:highlight w:val="none"/>
          <w:lang w:val="en-US" w:eastAsia="zh-CN"/>
          <w14:textFill>
            <w14:solidFill>
              <w14:schemeClr w14:val="tx1"/>
            </w14:solidFill>
          </w14:textFill>
        </w:rPr>
        <w:t>15</w:t>
      </w:r>
      <w:r>
        <w:rPr>
          <w:rFonts w:hint="eastAsia" w:ascii="宋体" w:eastAsia="宋体"/>
          <w:color w:val="000000" w:themeColor="text1"/>
          <w:sz w:val="22"/>
          <w:szCs w:val="22"/>
          <w:highlight w:val="none"/>
          <w14:textFill>
            <w14:solidFill>
              <w14:schemeClr w14:val="tx1"/>
            </w14:solidFill>
          </w14:textFill>
        </w:rPr>
        <w:t>时</w:t>
      </w:r>
      <w:r>
        <w:rPr>
          <w:rFonts w:hint="eastAsia" w:ascii="宋体" w:eastAsia="宋体"/>
          <w:color w:val="000000" w:themeColor="text1"/>
          <w:sz w:val="22"/>
          <w:szCs w:val="22"/>
          <w:highlight w:val="none"/>
          <w:lang w:val="en-US" w:eastAsia="zh-CN"/>
          <w14:textFill>
            <w14:solidFill>
              <w14:schemeClr w14:val="tx1"/>
            </w14:solidFill>
          </w14:textFill>
        </w:rPr>
        <w:t>30</w:t>
      </w:r>
      <w:r>
        <w:rPr>
          <w:rFonts w:hint="eastAsia" w:ascii="宋体" w:eastAsia="宋体"/>
          <w:color w:val="000000" w:themeColor="text1"/>
          <w:sz w:val="22"/>
          <w:szCs w:val="22"/>
          <w:highlight w:val="none"/>
          <w14:textFill>
            <w14:solidFill>
              <w14:schemeClr w14:val="tx1"/>
            </w14:solidFill>
          </w14:textFill>
        </w:rPr>
        <w:t>分（北京时间）</w:t>
      </w:r>
    </w:p>
    <w:p>
      <w:pPr>
        <w:pStyle w:val="33"/>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9.开标地址（即：投标文件递交地址）</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地址：广东省东莞市南城区体育路2号鸿禧中心五层</w:t>
      </w:r>
      <w:r>
        <w:rPr>
          <w:rFonts w:hint="eastAsia" w:ascii="宋体" w:eastAsia="宋体"/>
          <w:color w:val="000000" w:themeColor="text1"/>
          <w:sz w:val="22"/>
          <w:szCs w:val="22"/>
          <w:highlight w:val="none"/>
          <w:lang w:val="en-US" w:eastAsia="zh-CN"/>
          <w14:textFill>
            <w14:solidFill>
              <w14:schemeClr w14:val="tx1"/>
            </w14:solidFill>
          </w14:textFill>
        </w:rPr>
        <w:t>A515开标</w:t>
      </w:r>
      <w:r>
        <w:rPr>
          <w:rFonts w:hint="eastAsia" w:ascii="宋体" w:eastAsia="宋体"/>
          <w:color w:val="000000" w:themeColor="text1"/>
          <w:sz w:val="22"/>
          <w:szCs w:val="22"/>
          <w:highlight w:val="none"/>
          <w14:textFill>
            <w14:solidFill>
              <w14:schemeClr w14:val="tx1"/>
            </w14:solidFill>
          </w14:textFill>
        </w:rPr>
        <w:t>室</w:t>
      </w:r>
    </w:p>
    <w:p>
      <w:pPr>
        <w:pStyle w:val="33"/>
        <w:spacing w:line="360" w:lineRule="auto"/>
        <w:ind w:firstLine="442"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开标事宜：届时请各投标人的法定代表人或其正式授权代表务必携带有效身份证明签名报到，以证明其出席，否则视为认同开标结果。</w:t>
      </w:r>
    </w:p>
    <w:p>
      <w:pPr>
        <w:pStyle w:val="33"/>
        <w:spacing w:line="360" w:lineRule="auto"/>
        <w:ind w:firstLine="442"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10.本项目公告在以下媒体发布：</w:t>
      </w:r>
    </w:p>
    <w:p>
      <w:pPr>
        <w:pStyle w:val="50"/>
        <w:tabs>
          <w:tab w:val="left" w:pos="426"/>
        </w:tabs>
        <w:spacing w:line="360" w:lineRule="auto"/>
        <w:ind w:firstLine="44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东莞市政府采购网（http://czj.dg.gov.cn/dggp）</w:t>
      </w:r>
    </w:p>
    <w:p>
      <w:pPr>
        <w:pStyle w:val="50"/>
        <w:tabs>
          <w:tab w:val="left" w:pos="426"/>
        </w:tabs>
        <w:spacing w:line="360" w:lineRule="auto"/>
        <w:ind w:firstLine="44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中国政府采购网（</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"http://www.ccgp.gov.cn/" </w:instrText>
      </w:r>
      <w:r>
        <w:rPr>
          <w:color w:val="000000" w:themeColor="text1"/>
          <w:highlight w:val="none"/>
          <w14:textFill>
            <w14:solidFill>
              <w14:schemeClr w14:val="tx1"/>
            </w14:solidFill>
          </w14:textFill>
        </w:rPr>
        <w:fldChar w:fldCharType="separate"/>
      </w:r>
      <w:r>
        <w:rPr>
          <w:rFonts w:hint="eastAsia" w:ascii="宋体" w:hAnsi="宋体"/>
          <w:color w:val="000000" w:themeColor="text1"/>
          <w:sz w:val="22"/>
          <w:szCs w:val="22"/>
          <w:highlight w:val="none"/>
          <w14:textFill>
            <w14:solidFill>
              <w14:schemeClr w14:val="tx1"/>
            </w14:solidFill>
          </w14:textFill>
        </w:rPr>
        <w:t>www.ccgp.gov.cn</w:t>
      </w:r>
      <w:r>
        <w:rPr>
          <w:rFonts w:hint="eastAsia" w:ascii="宋体" w:hAnsi="宋体"/>
          <w:color w:val="000000" w:themeColor="text1"/>
          <w:sz w:val="22"/>
          <w:szCs w:val="22"/>
          <w:highlight w:val="none"/>
          <w14:textFill>
            <w14:solidFill>
              <w14:schemeClr w14:val="tx1"/>
            </w14:solidFill>
          </w14:textFill>
        </w:rPr>
        <w:fldChar w:fldCharType="end"/>
      </w:r>
      <w:r>
        <w:rPr>
          <w:rFonts w:hint="eastAsia" w:ascii="宋体" w:hAnsi="宋体"/>
          <w:color w:val="000000" w:themeColor="text1"/>
          <w:sz w:val="22"/>
          <w:szCs w:val="22"/>
          <w:highlight w:val="none"/>
          <w14:textFill>
            <w14:solidFill>
              <w14:schemeClr w14:val="tx1"/>
            </w14:solidFill>
          </w14:textFill>
        </w:rPr>
        <w:t>）</w:t>
      </w:r>
    </w:p>
    <w:p>
      <w:pPr>
        <w:pStyle w:val="50"/>
        <w:tabs>
          <w:tab w:val="left" w:pos="426"/>
        </w:tabs>
        <w:spacing w:line="360" w:lineRule="auto"/>
        <w:ind w:firstLine="44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广东省政府采购网（http://www.gdgpo.gov.cn/）</w:t>
      </w:r>
    </w:p>
    <w:p>
      <w:pPr>
        <w:pStyle w:val="33"/>
        <w:numPr>
          <w:ilvl w:val="0"/>
          <w:numId w:val="1"/>
        </w:numPr>
        <w:spacing w:line="360" w:lineRule="auto"/>
        <w:ind w:firstLine="442" w:firstLineChars="20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采购人及采购代理机构的地址和联系方式，有关本次招标之事宜，可按下列形式查询：</w:t>
      </w:r>
    </w:p>
    <w:p>
      <w:pPr>
        <w:pStyle w:val="33"/>
        <w:spacing w:line="360" w:lineRule="auto"/>
        <w:ind w:firstLine="440" w:firstLineChars="200"/>
        <w:jc w:val="left"/>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采购人地址：广东省东莞市东城区主山振兴路99号</w:t>
      </w:r>
    </w:p>
    <w:p>
      <w:pPr>
        <w:pStyle w:val="33"/>
        <w:spacing w:line="360" w:lineRule="auto"/>
        <w:ind w:firstLine="440" w:firstLineChars="200"/>
        <w:jc w:val="left"/>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采购人：东莞市妇幼保健院          联系电话：0769-23321887</w:t>
      </w:r>
    </w:p>
    <w:p>
      <w:pPr>
        <w:pStyle w:val="33"/>
        <w:spacing w:line="360" w:lineRule="auto"/>
        <w:ind w:firstLine="442" w:firstLineChars="200"/>
        <w:jc w:val="left"/>
        <w:rPr>
          <w:rFonts w:ascii="宋体" w:eastAsia="宋体"/>
          <w:b/>
          <w:color w:val="000000" w:themeColor="text1"/>
          <w:sz w:val="22"/>
          <w:szCs w:val="22"/>
          <w:highlight w:val="none"/>
          <w14:textFill>
            <w14:solidFill>
              <w14:schemeClr w14:val="tx1"/>
            </w14:solidFill>
          </w14:textFill>
        </w:rPr>
      </w:pPr>
    </w:p>
    <w:p>
      <w:pPr>
        <w:pStyle w:val="33"/>
        <w:spacing w:line="360" w:lineRule="auto"/>
        <w:ind w:firstLine="440" w:firstLineChars="200"/>
        <w:jc w:val="left"/>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采购代理机构名称：广东中凯工程管理咨询有限公司</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地址：广东省东莞市南城区体育路2号鸿禧中心五层A501室</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邮政编码：523000</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 xml:space="preserve">联系人：李小姐     </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 xml:space="preserve">联系电话：0769－22331990   </w:t>
      </w:r>
    </w:p>
    <w:p>
      <w:pPr>
        <w:spacing w:line="360" w:lineRule="auto"/>
        <w:ind w:firstLine="440" w:firstLineChars="200"/>
        <w:jc w:val="left"/>
        <w:rPr>
          <w:rFonts w:ascii="宋体"/>
          <w:color w:val="000000" w:themeColor="text1"/>
          <w:sz w:val="22"/>
          <w:highlight w:val="none"/>
          <w14:textFill>
            <w14:solidFill>
              <w14:schemeClr w14:val="tx1"/>
            </w14:solidFill>
          </w14:textFill>
        </w:rPr>
        <w:sectPr>
          <w:pgSz w:w="11906" w:h="16838"/>
          <w:pgMar w:top="1474" w:right="1474" w:bottom="1474" w:left="1474" w:header="850" w:footer="907" w:gutter="0"/>
          <w:cols w:space="720" w:num="1"/>
          <w:docGrid w:type="lines" w:linePitch="312" w:charSpace="0"/>
        </w:sectPr>
      </w:pPr>
      <w:r>
        <w:rPr>
          <w:rFonts w:hint="eastAsia" w:ascii="宋体"/>
          <w:color w:val="000000" w:themeColor="text1"/>
          <w:sz w:val="22"/>
          <w:szCs w:val="22"/>
          <w:highlight w:val="none"/>
          <w14:textFill>
            <w14:solidFill>
              <w14:schemeClr w14:val="tx1"/>
            </w14:solidFill>
          </w14:textFill>
        </w:rPr>
        <w:t>邮箱地址：</w:t>
      </w:r>
      <w:r>
        <w:rPr>
          <w:rFonts w:hint="eastAsia" w:ascii="宋体"/>
          <w:color w:val="000000" w:themeColor="text1"/>
          <w:sz w:val="22"/>
          <w:highlight w:val="none"/>
          <w14:textFill>
            <w14:solidFill>
              <w14:schemeClr w14:val="tx1"/>
            </w14:solidFill>
          </w14:textFill>
        </w:rPr>
        <w:t>gdzk66@163.com</w:t>
      </w:r>
    </w:p>
    <w:p>
      <w:pPr>
        <w:spacing w:beforeLines="1800" w:afterLines="1800"/>
        <w:jc w:val="center"/>
        <w:outlineLvl w:val="0"/>
        <w:rPr>
          <w:rFonts w:ascii="宋体" w:hAnsi="宋体" w:cs="宋体"/>
          <w:b/>
          <w:bCs/>
          <w:color w:val="000000" w:themeColor="text1"/>
          <w:spacing w:val="20"/>
          <w:sz w:val="44"/>
          <w:szCs w:val="44"/>
          <w:highlight w:val="none"/>
          <w14:textFill>
            <w14:solidFill>
              <w14:schemeClr w14:val="tx1"/>
            </w14:solidFill>
          </w14:textFill>
        </w:rPr>
      </w:pPr>
      <w:bookmarkStart w:id="10" w:name="_Toc16004_WPSOffice_Level1"/>
      <w:bookmarkStart w:id="11" w:name="_Toc160"/>
      <w:bookmarkStart w:id="12" w:name="_Toc11565_WPSOffice_Level1"/>
      <w:bookmarkStart w:id="13" w:name="_Toc3947"/>
      <w:bookmarkStart w:id="14" w:name="_Toc28396"/>
      <w:r>
        <w:rPr>
          <w:rFonts w:hint="eastAsia" w:ascii="宋体" w:hAnsi="宋体" w:cs="宋体"/>
          <w:b/>
          <w:bCs/>
          <w:color w:val="000000" w:themeColor="text1"/>
          <w:spacing w:val="20"/>
          <w:sz w:val="44"/>
          <w:szCs w:val="44"/>
          <w:highlight w:val="none"/>
          <w14:textFill>
            <w14:solidFill>
              <w14:schemeClr w14:val="tx1"/>
            </w14:solidFill>
          </w14:textFill>
        </w:rPr>
        <w:t>第二部分  投标人须知</w:t>
      </w:r>
      <w:bookmarkEnd w:id="10"/>
      <w:bookmarkEnd w:id="11"/>
      <w:bookmarkEnd w:id="12"/>
      <w:bookmarkEnd w:id="13"/>
      <w:bookmarkEnd w:id="14"/>
    </w:p>
    <w:p>
      <w:pPr>
        <w:pStyle w:val="4"/>
        <w:spacing w:beforeLines="200" w:afterLines="100" w:line="240" w:lineRule="atLeast"/>
        <w:rPr>
          <w:rFonts w:ascii="宋体" w:hAnsi="宋体" w:eastAsia="宋体"/>
          <w:bCs/>
          <w:color w:val="000000" w:themeColor="text1"/>
          <w:szCs w:val="32"/>
          <w:highlight w:val="none"/>
          <w14:textFill>
            <w14:solidFill>
              <w14:schemeClr w14:val="tx1"/>
            </w14:solidFill>
          </w14:textFill>
        </w:rPr>
      </w:pPr>
      <w:bookmarkStart w:id="15" w:name="_Toc4923"/>
      <w:bookmarkStart w:id="16" w:name="_Toc9442_WPSOffice_Level2"/>
      <w:bookmarkStart w:id="17" w:name="_Toc12200_WPSOffice_Level2"/>
      <w:bookmarkStart w:id="18" w:name="_Toc31094"/>
      <w:bookmarkStart w:id="19" w:name="_Toc10844"/>
      <w:r>
        <w:rPr>
          <w:rFonts w:hint="eastAsia" w:ascii="宋体" w:hAnsi="宋体" w:eastAsia="宋体"/>
          <w:bCs/>
          <w:color w:val="000000" w:themeColor="text1"/>
          <w:szCs w:val="32"/>
          <w:highlight w:val="none"/>
          <w14:textFill>
            <w14:solidFill>
              <w14:schemeClr w14:val="tx1"/>
            </w14:solidFill>
          </w14:textFill>
        </w:rPr>
        <w:t>一、说明</w:t>
      </w:r>
      <w:bookmarkEnd w:id="15"/>
      <w:bookmarkEnd w:id="16"/>
      <w:bookmarkEnd w:id="17"/>
      <w:bookmarkEnd w:id="18"/>
      <w:bookmarkEnd w:id="19"/>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20" w:name="_Toc28248"/>
      <w:bookmarkStart w:id="21" w:name="_Toc3565"/>
      <w:bookmarkStart w:id="22" w:name="_Toc32294"/>
      <w:r>
        <w:rPr>
          <w:rFonts w:hint="eastAsia"/>
          <w:color w:val="000000" w:themeColor="text1"/>
          <w:sz w:val="24"/>
          <w:highlight w:val="none"/>
          <w14:textFill>
            <w14:solidFill>
              <w14:schemeClr w14:val="tx1"/>
            </w14:solidFill>
          </w14:textFill>
        </w:rPr>
        <w:t>1．适用范围及资金来源</w:t>
      </w:r>
      <w:bookmarkEnd w:id="20"/>
      <w:bookmarkEnd w:id="21"/>
      <w:bookmarkEnd w:id="22"/>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1.1本次招标标的为</w:t>
      </w:r>
      <w:r>
        <w:rPr>
          <w:rFonts w:hint="eastAsia" w:ascii="宋体" w:eastAsia="宋体"/>
          <w:color w:val="000000" w:themeColor="text1"/>
          <w:sz w:val="22"/>
          <w:szCs w:val="22"/>
          <w:highlight w:val="none"/>
          <w:lang w:eastAsia="zh-CN"/>
          <w14:textFill>
            <w14:solidFill>
              <w14:schemeClr w14:val="tx1"/>
            </w14:solidFill>
          </w14:textFill>
        </w:rPr>
        <w:t>东莞市妇幼保健院医疗设备采购项目</w:t>
      </w:r>
      <w:r>
        <w:rPr>
          <w:rFonts w:hint="eastAsia" w:ascii="宋体" w:eastAsia="宋体"/>
          <w:color w:val="000000" w:themeColor="text1"/>
          <w:sz w:val="22"/>
          <w:szCs w:val="22"/>
          <w:highlight w:val="none"/>
          <w14:textFill>
            <w14:solidFill>
              <w14:schemeClr w14:val="tx1"/>
            </w14:solidFill>
          </w14:textFill>
        </w:rPr>
        <w:t>，详细要求见《采购需求书》。</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1.2资金来源：</w:t>
      </w:r>
      <w:r>
        <w:rPr>
          <w:rFonts w:hint="eastAsia" w:ascii="宋体" w:eastAsia="宋体"/>
          <w:color w:val="000000" w:themeColor="text1"/>
          <w:sz w:val="22"/>
          <w:szCs w:val="22"/>
          <w:highlight w:val="none"/>
          <w:lang w:val="en-US" w:eastAsia="zh-CN"/>
          <w14:textFill>
            <w14:solidFill>
              <w14:schemeClr w14:val="tx1"/>
            </w14:solidFill>
          </w14:textFill>
        </w:rPr>
        <w:t>单位</w:t>
      </w:r>
      <w:r>
        <w:rPr>
          <w:rFonts w:hint="eastAsia" w:ascii="宋体" w:eastAsia="宋体"/>
          <w:color w:val="000000" w:themeColor="text1"/>
          <w:sz w:val="22"/>
          <w:szCs w:val="22"/>
          <w:highlight w:val="none"/>
          <w14:textFill>
            <w14:solidFill>
              <w14:schemeClr w14:val="tx1"/>
            </w14:solidFill>
          </w14:textFill>
        </w:rPr>
        <w:t>资金。</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23" w:name="_Toc18576"/>
      <w:bookmarkStart w:id="24" w:name="_Toc23212"/>
      <w:bookmarkStart w:id="25" w:name="_Toc20352"/>
      <w:r>
        <w:rPr>
          <w:rFonts w:hint="eastAsia"/>
          <w:color w:val="000000" w:themeColor="text1"/>
          <w:sz w:val="24"/>
          <w:highlight w:val="none"/>
          <w14:textFill>
            <w14:solidFill>
              <w14:schemeClr w14:val="tx1"/>
            </w14:solidFill>
          </w14:textFill>
        </w:rPr>
        <w:t>2．定义</w:t>
      </w:r>
      <w:bookmarkEnd w:id="23"/>
      <w:bookmarkEnd w:id="24"/>
      <w:bookmarkEnd w:id="25"/>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2.1采购人：东莞市妇幼保健院。</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2.2投标人：指向采购人提供货物或者服务的法人、其他组织或者自然人。</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 评标委员会：评标委员会是依据《中华人民共和国政府采购法》及其实施条例、《政府采购货物和服务招标投标管理办法》等组建的专门负责本次招标评标工作的临时性机构。</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2.4日期：指公历日。</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2.5时间: 指北京时间。</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2.6合同:指由本次招标所产生的合同或合约文件。</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2.7招标文件中所规定“书面形式”，是指任何手写的、打印的或印刷的方式，通讯方式包括专人递交或传真发送。</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26" w:name="_Toc4546"/>
      <w:bookmarkStart w:id="27" w:name="_Toc23366"/>
      <w:bookmarkStart w:id="28" w:name="_Toc1419"/>
      <w:r>
        <w:rPr>
          <w:rFonts w:hint="eastAsia"/>
          <w:color w:val="000000" w:themeColor="text1"/>
          <w:sz w:val="24"/>
          <w:highlight w:val="none"/>
          <w14:textFill>
            <w14:solidFill>
              <w14:schemeClr w14:val="tx1"/>
            </w14:solidFill>
          </w14:textFill>
        </w:rPr>
        <w:t>3．投标人的资格条件</w:t>
      </w:r>
      <w:bookmarkEnd w:id="26"/>
      <w:bookmarkEnd w:id="27"/>
      <w:bookmarkEnd w:id="28"/>
    </w:p>
    <w:p>
      <w:pPr>
        <w:spacing w:line="360" w:lineRule="auto"/>
        <w:ind w:firstLine="450" w:firstLineChars="205"/>
        <w:rPr>
          <w:rFonts w:ascii="宋体" w:hAnsi="宋体"/>
          <w:color w:val="000000" w:themeColor="text1"/>
          <w:sz w:val="22"/>
          <w:szCs w:val="22"/>
          <w:highlight w:val="none"/>
          <w14:textFill>
            <w14:solidFill>
              <w14:schemeClr w14:val="tx1"/>
            </w14:solidFill>
          </w14:textFill>
        </w:rPr>
      </w:pPr>
      <w:bookmarkStart w:id="29" w:name="_Toc32103"/>
      <w:bookmarkStart w:id="30" w:name="_Toc980"/>
      <w:r>
        <w:rPr>
          <w:rFonts w:hint="eastAsia" w:ascii="宋体" w:hAnsi="宋体"/>
          <w:color w:val="000000" w:themeColor="text1"/>
          <w:sz w:val="22"/>
          <w:szCs w:val="22"/>
          <w:highlight w:val="none"/>
          <w14:textFill>
            <w14:solidFill>
              <w14:schemeClr w14:val="tx1"/>
            </w14:solidFill>
          </w14:textFill>
        </w:rPr>
        <w:t>详见投标邀请函</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31" w:name="_Toc26440"/>
      <w:r>
        <w:rPr>
          <w:rFonts w:hint="eastAsia"/>
          <w:color w:val="000000" w:themeColor="text1"/>
          <w:sz w:val="24"/>
          <w:highlight w:val="none"/>
          <w14:textFill>
            <w14:solidFill>
              <w14:schemeClr w14:val="tx1"/>
            </w14:solidFill>
          </w14:textFill>
        </w:rPr>
        <w:t>4．</w:t>
      </w:r>
      <w:bookmarkEnd w:id="29"/>
      <w:bookmarkEnd w:id="30"/>
      <w:r>
        <w:rPr>
          <w:rFonts w:hint="eastAsia"/>
          <w:color w:val="000000" w:themeColor="text1"/>
          <w:sz w:val="24"/>
          <w:highlight w:val="none"/>
          <w14:textFill>
            <w14:solidFill>
              <w14:schemeClr w14:val="tx1"/>
            </w14:solidFill>
          </w14:textFill>
        </w:rPr>
        <w:t>合格的货物和服务</w:t>
      </w:r>
      <w:bookmarkEnd w:id="31"/>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bookmarkStart w:id="32" w:name="_Toc429559376"/>
      <w:r>
        <w:rPr>
          <w:rFonts w:hint="eastAsia" w:ascii="宋体" w:eastAsia="宋体"/>
          <w:color w:val="000000" w:themeColor="text1"/>
          <w:sz w:val="22"/>
          <w:szCs w:val="22"/>
          <w:highlight w:val="none"/>
          <w14:textFill>
            <w14:solidFill>
              <w14:schemeClr w14:val="tx1"/>
            </w14:solidFill>
          </w14:textFill>
        </w:rPr>
        <w:t>4.1货物是指</w:t>
      </w:r>
      <w:r>
        <w:rPr>
          <w:rFonts w:ascii="宋体" w:eastAsia="宋体"/>
          <w:color w:val="000000" w:themeColor="text1"/>
          <w:sz w:val="22"/>
          <w:szCs w:val="22"/>
          <w:highlight w:val="none"/>
          <w14:textFill>
            <w14:solidFill>
              <w14:schemeClr w14:val="tx1"/>
            </w14:solidFill>
          </w14:textFill>
        </w:rPr>
        <w:t>供应商</w:t>
      </w:r>
      <w:r>
        <w:rPr>
          <w:rFonts w:hint="eastAsia" w:ascii="宋体" w:eastAsia="宋体"/>
          <w:color w:val="000000" w:themeColor="text1"/>
          <w:sz w:val="22"/>
          <w:szCs w:val="22"/>
          <w:highlight w:val="none"/>
          <w14:textFill>
            <w14:solidFill>
              <w14:schemeClr w14:val="tx1"/>
            </w14:solidFill>
          </w14:textFill>
        </w:rPr>
        <w:t>制造或组织符合招标文件要求的货物等。投标的货物必须是其合法生产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4.2服务是指除货物和工程以外的其他政府采购对象，其中包括供应商须承担的运输、安装、技术支持、培训及招标文件规定的其它服务。</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4.3供应商应保证,采购人在中华人民共和国使用货物或服务的任何一部分时,采购人免受第三方提出侵犯其专利权、商标权或其它知识产权的起诉。</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4.4验收。</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4.4.1验收工作由采购人（或采购人指定的单位）与供应商共同进行。</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4.4.2在验收时，供应商应向采购人提供货物或服务的相关资料，按采购人或招标文件提出的方式验收。</w:t>
      </w:r>
    </w:p>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4.4.3由采购人根据中华人民共和国现行技术标准（含行业标准）或按招标文件以及合同规定的验收评定标准等组织验收。</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33" w:name="_Toc3366"/>
      <w:bookmarkStart w:id="34" w:name="_Toc2990"/>
      <w:bookmarkStart w:id="35" w:name="_Toc15894"/>
      <w:r>
        <w:rPr>
          <w:rFonts w:hint="eastAsia"/>
          <w:color w:val="000000" w:themeColor="text1"/>
          <w:sz w:val="24"/>
          <w:highlight w:val="none"/>
          <w14:textFill>
            <w14:solidFill>
              <w14:schemeClr w14:val="tx1"/>
            </w14:solidFill>
          </w14:textFill>
        </w:rPr>
        <w:t>5．投标费用</w:t>
      </w:r>
      <w:bookmarkEnd w:id="32"/>
      <w:bookmarkEnd w:id="33"/>
      <w:bookmarkEnd w:id="34"/>
      <w:bookmarkEnd w:id="35"/>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5.1 采购代理机构、采购人不负责投标人准备投标文件和提交投标文件所发生的任何成本或费用。</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bookmarkStart w:id="36" w:name="_Toc10338"/>
      <w:r>
        <w:rPr>
          <w:rFonts w:hint="eastAsia" w:ascii="宋体" w:eastAsia="宋体"/>
          <w:color w:val="000000" w:themeColor="text1"/>
          <w:sz w:val="22"/>
          <w:szCs w:val="22"/>
          <w:highlight w:val="none"/>
          <w14:textFill>
            <w14:solidFill>
              <w14:schemeClr w14:val="tx1"/>
            </w14:solidFill>
          </w14:textFill>
        </w:rPr>
        <w:t>5.2采购代理机构向中标人收取中标服务费，按国家有关规定执行。</w:t>
      </w:r>
      <w:bookmarkEnd w:id="36"/>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37" w:name="_Toc13180"/>
      <w:bookmarkStart w:id="38" w:name="_Toc43"/>
      <w:bookmarkStart w:id="39" w:name="_Toc5558"/>
      <w:r>
        <w:rPr>
          <w:rFonts w:hint="eastAsia"/>
          <w:color w:val="000000" w:themeColor="text1"/>
          <w:sz w:val="24"/>
          <w:highlight w:val="none"/>
          <w14:textFill>
            <w14:solidFill>
              <w14:schemeClr w14:val="tx1"/>
            </w14:solidFill>
          </w14:textFill>
        </w:rPr>
        <w:t xml:space="preserve">6. </w:t>
      </w:r>
      <w:bookmarkStart w:id="40" w:name="_Toc382049094"/>
      <w:bookmarkStart w:id="41" w:name="_Toc474157940"/>
      <w:r>
        <w:rPr>
          <w:rFonts w:hint="eastAsia"/>
          <w:color w:val="000000" w:themeColor="text1"/>
          <w:sz w:val="24"/>
          <w:highlight w:val="none"/>
          <w14:textFill>
            <w14:solidFill>
              <w14:schemeClr w14:val="tx1"/>
            </w14:solidFill>
          </w14:textFill>
        </w:rPr>
        <w:t>踏勘现场及答疑会</w:t>
      </w:r>
      <w:bookmarkEnd w:id="37"/>
      <w:bookmarkEnd w:id="38"/>
      <w:bookmarkEnd w:id="39"/>
      <w:bookmarkEnd w:id="40"/>
      <w:bookmarkEnd w:id="41"/>
    </w:p>
    <w:p>
      <w:pPr>
        <w:pStyle w:val="33"/>
        <w:spacing w:line="360" w:lineRule="auto"/>
        <w:ind w:firstLine="453"/>
        <w:rPr>
          <w:rFonts w:ascii="宋体" w:eastAsia="宋体"/>
          <w:bCs/>
          <w:color w:val="000000" w:themeColor="text1"/>
          <w:sz w:val="22"/>
          <w:szCs w:val="22"/>
          <w:highlight w:val="none"/>
          <w14:textFill>
            <w14:solidFill>
              <w14:schemeClr w14:val="tx1"/>
            </w14:solidFill>
          </w14:textFill>
        </w:rPr>
      </w:pPr>
      <w:r>
        <w:rPr>
          <w:rFonts w:hint="eastAsia" w:ascii="宋体" w:eastAsia="宋体"/>
          <w:bCs/>
          <w:color w:val="000000" w:themeColor="text1"/>
          <w:sz w:val="22"/>
          <w:szCs w:val="22"/>
          <w:highlight w:val="none"/>
          <w14:textFill>
            <w14:solidFill>
              <w14:schemeClr w14:val="tx1"/>
            </w14:solidFill>
          </w14:textFill>
        </w:rPr>
        <w:t>该项目不组织集中踏勘现场和答疑会</w:t>
      </w:r>
      <w:bookmarkStart w:id="42" w:name="_Toc429559377"/>
    </w:p>
    <w:p>
      <w:pPr>
        <w:pStyle w:val="4"/>
        <w:spacing w:beforeLines="200" w:afterLines="100" w:line="240" w:lineRule="atLeast"/>
        <w:rPr>
          <w:rFonts w:ascii="宋体" w:hAnsi="宋体" w:eastAsia="宋体"/>
          <w:bCs/>
          <w:color w:val="000000" w:themeColor="text1"/>
          <w:szCs w:val="32"/>
          <w:highlight w:val="none"/>
          <w14:textFill>
            <w14:solidFill>
              <w14:schemeClr w14:val="tx1"/>
            </w14:solidFill>
          </w14:textFill>
        </w:rPr>
      </w:pPr>
      <w:bookmarkStart w:id="43" w:name="_Toc8344_WPSOffice_Level2"/>
      <w:bookmarkStart w:id="44" w:name="_Toc17932"/>
      <w:bookmarkStart w:id="45" w:name="_Toc9732"/>
      <w:bookmarkStart w:id="46" w:name="_Toc519"/>
      <w:bookmarkStart w:id="47" w:name="_Toc5110_WPSOffice_Level2"/>
      <w:r>
        <w:rPr>
          <w:rFonts w:hint="eastAsia" w:ascii="宋体" w:hAnsi="宋体" w:eastAsia="宋体"/>
          <w:bCs/>
          <w:color w:val="000000" w:themeColor="text1"/>
          <w:szCs w:val="32"/>
          <w:highlight w:val="none"/>
          <w14:textFill>
            <w14:solidFill>
              <w14:schemeClr w14:val="tx1"/>
            </w14:solidFill>
          </w14:textFill>
        </w:rPr>
        <w:t>二、招标文件</w:t>
      </w:r>
      <w:bookmarkEnd w:id="42"/>
      <w:bookmarkEnd w:id="43"/>
      <w:bookmarkEnd w:id="44"/>
      <w:bookmarkEnd w:id="45"/>
      <w:bookmarkEnd w:id="46"/>
      <w:bookmarkEnd w:id="47"/>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48" w:name="_Toc5165"/>
      <w:bookmarkStart w:id="49" w:name="_Toc17062"/>
      <w:bookmarkStart w:id="50" w:name="_Toc21937"/>
      <w:bookmarkStart w:id="51" w:name="_Toc429559378"/>
      <w:r>
        <w:rPr>
          <w:rFonts w:hint="eastAsia"/>
          <w:color w:val="000000" w:themeColor="text1"/>
          <w:sz w:val="24"/>
          <w:highlight w:val="none"/>
          <w14:textFill>
            <w14:solidFill>
              <w14:schemeClr w14:val="tx1"/>
            </w14:solidFill>
          </w14:textFill>
        </w:rPr>
        <w:t>7．招标文件的组成</w:t>
      </w:r>
      <w:bookmarkEnd w:id="48"/>
      <w:bookmarkEnd w:id="49"/>
      <w:bookmarkEnd w:id="50"/>
      <w:bookmarkEnd w:id="51"/>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w:t>
      </w:r>
      <w:r>
        <w:rPr>
          <w:rFonts w:ascii="宋体" w:eastAsia="宋体"/>
          <w:color w:val="000000" w:themeColor="text1"/>
          <w:sz w:val="22"/>
          <w:szCs w:val="22"/>
          <w:highlight w:val="none"/>
          <w14:textFill>
            <w14:solidFill>
              <w14:schemeClr w14:val="tx1"/>
            </w14:solidFill>
          </w14:textFill>
        </w:rPr>
        <w:t>.1</w:t>
      </w:r>
      <w:r>
        <w:rPr>
          <w:rFonts w:hint="eastAsia" w:ascii="宋体" w:eastAsia="宋体"/>
          <w:color w:val="000000" w:themeColor="text1"/>
          <w:sz w:val="22"/>
          <w:szCs w:val="22"/>
          <w:highlight w:val="none"/>
          <w14:textFill>
            <w14:solidFill>
              <w14:schemeClr w14:val="tx1"/>
            </w14:solidFill>
          </w14:textFill>
        </w:rPr>
        <w:t>招标文件包括：</w:t>
      </w:r>
    </w:p>
    <w:p>
      <w:pPr>
        <w:pStyle w:val="32"/>
        <w:spacing w:line="360" w:lineRule="auto"/>
        <w:ind w:firstLine="422"/>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7.1.1 投标邀请函；</w:t>
      </w:r>
    </w:p>
    <w:p>
      <w:pPr>
        <w:pStyle w:val="32"/>
        <w:spacing w:line="360" w:lineRule="auto"/>
        <w:ind w:firstLine="422"/>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7.1.2 投标人须知；</w:t>
      </w:r>
    </w:p>
    <w:p>
      <w:pPr>
        <w:pStyle w:val="32"/>
        <w:spacing w:line="360" w:lineRule="auto"/>
        <w:ind w:firstLine="422"/>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7.1.3 采购需求书；</w:t>
      </w:r>
    </w:p>
    <w:p>
      <w:pPr>
        <w:pStyle w:val="32"/>
        <w:spacing w:line="360" w:lineRule="auto"/>
        <w:ind w:firstLine="422"/>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7.1.4 拟签订合同文本；</w:t>
      </w:r>
    </w:p>
    <w:p>
      <w:pPr>
        <w:pStyle w:val="32"/>
        <w:spacing w:line="360" w:lineRule="auto"/>
        <w:ind w:firstLine="422"/>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7.1.5 投标文件格式。</w:t>
      </w:r>
    </w:p>
    <w:p>
      <w:pPr>
        <w:pStyle w:val="32"/>
        <w:spacing w:line="360" w:lineRule="auto"/>
        <w:ind w:firstLine="422"/>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7.1.6在招标过程中由招标采购单位发出的修正和补充文件等。</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w:t>
      </w:r>
      <w:r>
        <w:rPr>
          <w:rFonts w:ascii="宋体" w:eastAsia="宋体"/>
          <w:color w:val="000000" w:themeColor="text1"/>
          <w:sz w:val="22"/>
          <w:szCs w:val="22"/>
          <w:highlight w:val="none"/>
          <w14:textFill>
            <w14:solidFill>
              <w14:schemeClr w14:val="tx1"/>
            </w14:solidFill>
          </w14:textFill>
        </w:rPr>
        <w:t xml:space="preserve">.2 </w:t>
      </w:r>
      <w:r>
        <w:rPr>
          <w:rFonts w:hint="eastAsia" w:ascii="宋体" w:eastAsia="宋体"/>
          <w:color w:val="000000" w:themeColor="text1"/>
          <w:sz w:val="22"/>
          <w:szCs w:val="22"/>
          <w:highlight w:val="none"/>
          <w14:textFill>
            <w14:solidFill>
              <w14:schemeClr w14:val="tx1"/>
            </w14:solidFill>
          </w14:textFill>
        </w:rPr>
        <w:t>投标人应认真阅读招标文件中所有的事项、格式、条款和规范等要求。投标人没有按照招标文件要求提交全部资料或者投标文件没有对招标文件在各方面作出实质性响应是投标人的风险，有可能导致其投标被拒绝，或被认定为无效投标。</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52" w:name="_Toc36971219"/>
      <w:bookmarkStart w:id="53" w:name="_Toc39071044"/>
      <w:bookmarkStart w:id="54" w:name="_Toc8439"/>
      <w:bookmarkStart w:id="55" w:name="_Toc429559379"/>
      <w:bookmarkStart w:id="56" w:name="_Toc13690"/>
      <w:bookmarkStart w:id="57" w:name="_Toc29324"/>
      <w:r>
        <w:rPr>
          <w:rFonts w:hint="eastAsia"/>
          <w:color w:val="000000" w:themeColor="text1"/>
          <w:sz w:val="24"/>
          <w:highlight w:val="none"/>
          <w14:textFill>
            <w14:solidFill>
              <w14:schemeClr w14:val="tx1"/>
            </w14:solidFill>
          </w14:textFill>
        </w:rPr>
        <w:t>8．招标文件的</w:t>
      </w:r>
      <w:bookmarkEnd w:id="52"/>
      <w:bookmarkEnd w:id="53"/>
      <w:r>
        <w:rPr>
          <w:rFonts w:hint="eastAsia"/>
          <w:color w:val="000000" w:themeColor="text1"/>
          <w:sz w:val="24"/>
          <w:highlight w:val="none"/>
          <w14:textFill>
            <w14:solidFill>
              <w14:schemeClr w14:val="tx1"/>
            </w14:solidFill>
          </w14:textFill>
        </w:rPr>
        <w:t>澄清或修改</w:t>
      </w:r>
      <w:bookmarkEnd w:id="54"/>
      <w:bookmarkEnd w:id="55"/>
      <w:bookmarkEnd w:id="56"/>
      <w:bookmarkEnd w:id="57"/>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8.1采购人或采购代理机构对已发出的招标文件进行必要的澄清或者修改的。澄清或者修改的内容可能影响投标文件编制的，采购代理机构将在投标截止时间至少15日前，以书面形式通知所有获取招标文件的潜在投标人；不足15日的，采购代理机构将顺延提交投标文件的截止时间。并在财政部门指定的政府采购信息发布媒体上发布变更公告。</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8.2招标期间，投标人有义务上网查看，公告一经上网发布，即视为送达。</w:t>
      </w:r>
      <w:r>
        <w:rPr>
          <w:rFonts w:ascii="宋体" w:eastAsia="宋体"/>
          <w:color w:val="000000" w:themeColor="text1"/>
          <w:sz w:val="22"/>
          <w:szCs w:val="22"/>
          <w:highlight w:val="none"/>
          <w14:textFill>
            <w14:solidFill>
              <w14:schemeClr w14:val="tx1"/>
            </w14:solidFill>
          </w14:textFill>
        </w:rPr>
        <w:t>投标人应于</w:t>
      </w:r>
    </w:p>
    <w:p>
      <w:pPr>
        <w:pStyle w:val="33"/>
        <w:spacing w:line="360" w:lineRule="auto"/>
        <w:ind w:firstLine="0" w:firstLineChars="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收到该</w:t>
      </w:r>
      <w:r>
        <w:rPr>
          <w:rFonts w:hint="eastAsia" w:ascii="宋体" w:eastAsia="宋体"/>
          <w:color w:val="000000" w:themeColor="text1"/>
          <w:sz w:val="22"/>
          <w:szCs w:val="22"/>
          <w:highlight w:val="none"/>
          <w14:textFill>
            <w14:solidFill>
              <w14:schemeClr w14:val="tx1"/>
            </w14:solidFill>
          </w14:textFill>
        </w:rPr>
        <w:t>澄清或</w:t>
      </w:r>
      <w:r>
        <w:rPr>
          <w:rFonts w:ascii="宋体" w:eastAsia="宋体"/>
          <w:color w:val="000000" w:themeColor="text1"/>
          <w:sz w:val="22"/>
          <w:szCs w:val="22"/>
          <w:highlight w:val="none"/>
          <w14:textFill>
            <w14:solidFill>
              <w14:schemeClr w14:val="tx1"/>
            </w14:solidFill>
          </w14:textFill>
        </w:rPr>
        <w:t>修改文件的</w:t>
      </w:r>
      <w:r>
        <w:rPr>
          <w:rFonts w:hint="eastAsia" w:ascii="宋体" w:eastAsia="宋体"/>
          <w:color w:val="000000" w:themeColor="text1"/>
          <w:sz w:val="22"/>
          <w:szCs w:val="22"/>
          <w:highlight w:val="none"/>
          <w14:textFill>
            <w14:solidFill>
              <w14:schemeClr w14:val="tx1"/>
            </w14:solidFill>
          </w14:textFill>
        </w:rPr>
        <w:t>二十四小时</w:t>
      </w:r>
      <w:r>
        <w:rPr>
          <w:rFonts w:ascii="宋体" w:eastAsia="宋体"/>
          <w:color w:val="000000" w:themeColor="text1"/>
          <w:sz w:val="22"/>
          <w:szCs w:val="22"/>
          <w:highlight w:val="none"/>
          <w14:textFill>
            <w14:solidFill>
              <w14:schemeClr w14:val="tx1"/>
            </w14:solidFill>
          </w14:textFill>
        </w:rPr>
        <w:t>内以书面形式给予确认</w:t>
      </w:r>
      <w:r>
        <w:rPr>
          <w:rFonts w:hint="eastAsia" w:ascii="宋体" w:eastAsia="宋体"/>
          <w:color w:val="000000" w:themeColor="text1"/>
          <w:sz w:val="22"/>
          <w:szCs w:val="22"/>
          <w:highlight w:val="none"/>
          <w14:textFill>
            <w14:solidFill>
              <w14:schemeClr w14:val="tx1"/>
            </w14:solidFill>
          </w14:textFill>
        </w:rPr>
        <w:t>。</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8.3</w:t>
      </w:r>
      <w:r>
        <w:rPr>
          <w:rFonts w:ascii="宋体" w:eastAsia="宋体"/>
          <w:color w:val="000000" w:themeColor="text1"/>
          <w:sz w:val="22"/>
          <w:szCs w:val="22"/>
          <w:highlight w:val="none"/>
          <w14:textFill>
            <w14:solidFill>
              <w14:schemeClr w14:val="tx1"/>
            </w14:solidFill>
          </w14:textFill>
        </w:rPr>
        <w:t>招标文件的</w:t>
      </w:r>
      <w:r>
        <w:rPr>
          <w:rFonts w:hint="eastAsia" w:ascii="宋体" w:eastAsia="宋体"/>
          <w:color w:val="000000" w:themeColor="text1"/>
          <w:sz w:val="22"/>
          <w:szCs w:val="22"/>
          <w:highlight w:val="none"/>
          <w14:textFill>
            <w14:solidFill>
              <w14:schemeClr w14:val="tx1"/>
            </w14:solidFill>
          </w14:textFill>
        </w:rPr>
        <w:t>澄清或者修改</w:t>
      </w:r>
      <w:r>
        <w:rPr>
          <w:rFonts w:ascii="宋体" w:eastAsia="宋体"/>
          <w:color w:val="000000" w:themeColor="text1"/>
          <w:sz w:val="22"/>
          <w:szCs w:val="22"/>
          <w:highlight w:val="none"/>
          <w14:textFill>
            <w14:solidFill>
              <w14:schemeClr w14:val="tx1"/>
            </w14:solidFill>
          </w14:textFill>
        </w:rPr>
        <w:t>内容作为招标文件的组成部分</w:t>
      </w:r>
      <w:r>
        <w:rPr>
          <w:rFonts w:hint="eastAsia" w:ascii="宋体" w:eastAsia="宋体"/>
          <w:color w:val="000000" w:themeColor="text1"/>
          <w:sz w:val="22"/>
          <w:szCs w:val="22"/>
          <w:highlight w:val="none"/>
          <w14:textFill>
            <w14:solidFill>
              <w14:schemeClr w14:val="tx1"/>
            </w14:solidFill>
          </w14:textFill>
        </w:rPr>
        <w:t>，并对投标人具有约束力。</w:t>
      </w:r>
      <w:r>
        <w:rPr>
          <w:rFonts w:ascii="宋体" w:eastAsia="宋体"/>
          <w:color w:val="000000" w:themeColor="text1"/>
          <w:sz w:val="22"/>
          <w:szCs w:val="22"/>
          <w:highlight w:val="none"/>
          <w14:textFill>
            <w14:solidFill>
              <w14:schemeClr w14:val="tx1"/>
            </w14:solidFill>
          </w14:textFill>
        </w:rPr>
        <w:t>当招标文件、招标文件的澄清</w:t>
      </w:r>
      <w:r>
        <w:rPr>
          <w:rFonts w:hint="eastAsia" w:ascii="宋体" w:eastAsia="宋体"/>
          <w:color w:val="000000" w:themeColor="text1"/>
          <w:sz w:val="22"/>
          <w:szCs w:val="22"/>
          <w:highlight w:val="none"/>
          <w14:textFill>
            <w14:solidFill>
              <w14:schemeClr w14:val="tx1"/>
            </w14:solidFill>
          </w14:textFill>
        </w:rPr>
        <w:t>或</w:t>
      </w:r>
      <w:r>
        <w:rPr>
          <w:rFonts w:ascii="宋体" w:eastAsia="宋体"/>
          <w:color w:val="000000" w:themeColor="text1"/>
          <w:sz w:val="22"/>
          <w:szCs w:val="22"/>
          <w:highlight w:val="none"/>
          <w14:textFill>
            <w14:solidFill>
              <w14:schemeClr w14:val="tx1"/>
            </w14:solidFill>
          </w14:textFill>
        </w:rPr>
        <w:t>修改在同一内容的表述上不一致时，以最后发出的文件</w:t>
      </w:r>
      <w:r>
        <w:rPr>
          <w:rFonts w:hint="eastAsia" w:ascii="宋体" w:eastAsia="宋体"/>
          <w:color w:val="000000" w:themeColor="text1"/>
          <w:sz w:val="22"/>
          <w:szCs w:val="22"/>
          <w:highlight w:val="none"/>
          <w14:textFill>
            <w14:solidFill>
              <w14:schemeClr w14:val="tx1"/>
            </w14:solidFill>
          </w14:textFill>
        </w:rPr>
        <w:t>内容</w:t>
      </w:r>
      <w:r>
        <w:rPr>
          <w:rFonts w:ascii="宋体" w:eastAsia="宋体"/>
          <w:color w:val="000000" w:themeColor="text1"/>
          <w:sz w:val="22"/>
          <w:szCs w:val="22"/>
          <w:highlight w:val="none"/>
          <w14:textFill>
            <w14:solidFill>
              <w14:schemeClr w14:val="tx1"/>
            </w14:solidFill>
          </w14:textFill>
        </w:rPr>
        <w:t>为准。</w:t>
      </w:r>
    </w:p>
    <w:p>
      <w:pPr>
        <w:pStyle w:val="4"/>
        <w:spacing w:beforeLines="100" w:afterLines="100" w:line="360" w:lineRule="auto"/>
        <w:rPr>
          <w:rFonts w:ascii="宋体" w:hAnsi="宋体" w:eastAsia="宋体"/>
          <w:bCs/>
          <w:color w:val="000000" w:themeColor="text1"/>
          <w:szCs w:val="32"/>
          <w:highlight w:val="none"/>
          <w14:textFill>
            <w14:solidFill>
              <w14:schemeClr w14:val="tx1"/>
            </w14:solidFill>
          </w14:textFill>
        </w:rPr>
      </w:pPr>
      <w:bookmarkStart w:id="58" w:name="_Toc8802_WPSOffice_Level2"/>
      <w:bookmarkStart w:id="59" w:name="_Toc39071045"/>
      <w:bookmarkStart w:id="60" w:name="_Toc11653"/>
      <w:bookmarkStart w:id="61" w:name="_Toc39368836"/>
      <w:bookmarkStart w:id="62" w:name="_Toc4935"/>
      <w:bookmarkStart w:id="63" w:name="_Toc36971221"/>
      <w:bookmarkStart w:id="64" w:name="_Toc21203"/>
      <w:bookmarkStart w:id="65" w:name="_Toc19212_WPSOffice_Level2"/>
      <w:bookmarkStart w:id="66" w:name="_Toc429559380"/>
      <w:r>
        <w:rPr>
          <w:rFonts w:hint="eastAsia" w:ascii="宋体" w:hAnsi="宋体" w:eastAsia="宋体"/>
          <w:bCs/>
          <w:color w:val="000000" w:themeColor="text1"/>
          <w:szCs w:val="32"/>
          <w:highlight w:val="none"/>
          <w14:textFill>
            <w14:solidFill>
              <w14:schemeClr w14:val="tx1"/>
            </w14:solidFill>
          </w14:textFill>
        </w:rPr>
        <w:t>三、投标文件的编制</w:t>
      </w:r>
      <w:bookmarkEnd w:id="58"/>
      <w:bookmarkEnd w:id="59"/>
      <w:bookmarkEnd w:id="60"/>
      <w:bookmarkEnd w:id="61"/>
      <w:bookmarkEnd w:id="62"/>
      <w:bookmarkEnd w:id="63"/>
      <w:bookmarkEnd w:id="64"/>
      <w:bookmarkEnd w:id="65"/>
      <w:bookmarkEnd w:id="66"/>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67" w:name="_Toc429559381"/>
      <w:bookmarkStart w:id="68" w:name="_Toc15172"/>
      <w:bookmarkStart w:id="69" w:name="_Toc6759"/>
      <w:bookmarkStart w:id="70" w:name="_Toc18428"/>
      <w:r>
        <w:rPr>
          <w:rFonts w:hint="eastAsia"/>
          <w:color w:val="000000" w:themeColor="text1"/>
          <w:sz w:val="24"/>
          <w:highlight w:val="none"/>
          <w14:textFill>
            <w14:solidFill>
              <w14:schemeClr w14:val="tx1"/>
            </w14:solidFill>
          </w14:textFill>
        </w:rPr>
        <w:t>9．投标文件的语言及度量衡单位</w:t>
      </w:r>
      <w:bookmarkEnd w:id="67"/>
      <w:bookmarkEnd w:id="68"/>
      <w:bookmarkEnd w:id="69"/>
      <w:bookmarkEnd w:id="70"/>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9.1 投标人提交的投标文件以及投标人与采购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9.2 除非招标文件在技术规格中另有规定，投标人在投标文件中及其与采购代理机构和采购人所有往来文件中的所有</w:t>
      </w:r>
      <w:r>
        <w:rPr>
          <w:rFonts w:ascii="宋体" w:eastAsia="宋体"/>
          <w:color w:val="000000" w:themeColor="text1"/>
          <w:sz w:val="22"/>
          <w:szCs w:val="22"/>
          <w:highlight w:val="none"/>
          <w14:textFill>
            <w14:solidFill>
              <w14:schemeClr w14:val="tx1"/>
            </w14:solidFill>
          </w14:textFill>
        </w:rPr>
        <w:t>计量单位</w:t>
      </w:r>
      <w:r>
        <w:rPr>
          <w:rFonts w:hint="eastAsia" w:ascii="宋体" w:eastAsia="宋体"/>
          <w:color w:val="000000" w:themeColor="text1"/>
          <w:sz w:val="22"/>
          <w:szCs w:val="22"/>
          <w:highlight w:val="none"/>
          <w14:textFill>
            <w14:solidFill>
              <w14:schemeClr w14:val="tx1"/>
            </w14:solidFill>
          </w14:textFill>
        </w:rPr>
        <w:t>均应采用中华人民共和国法定计量单位</w:t>
      </w:r>
      <w:r>
        <w:rPr>
          <w:rFonts w:ascii="宋体" w:eastAsia="宋体"/>
          <w:color w:val="000000" w:themeColor="text1"/>
          <w:sz w:val="22"/>
          <w:szCs w:val="22"/>
          <w:highlight w:val="none"/>
          <w14:textFill>
            <w14:solidFill>
              <w14:schemeClr w14:val="tx1"/>
            </w14:solidFill>
          </w14:textFill>
        </w:rPr>
        <w:t>。</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71" w:name="_Toc7040"/>
      <w:bookmarkStart w:id="72" w:name="_Toc429559382"/>
      <w:bookmarkStart w:id="73" w:name="_Toc6803"/>
      <w:bookmarkStart w:id="74" w:name="_Toc28034"/>
      <w:r>
        <w:rPr>
          <w:rFonts w:hint="eastAsia"/>
          <w:color w:val="000000" w:themeColor="text1"/>
          <w:sz w:val="24"/>
          <w:highlight w:val="none"/>
          <w14:textFill>
            <w14:solidFill>
              <w14:schemeClr w14:val="tx1"/>
            </w14:solidFill>
          </w14:textFill>
        </w:rPr>
        <w:t>10．</w:t>
      </w:r>
      <w:r>
        <w:rPr>
          <w:color w:val="000000" w:themeColor="text1"/>
          <w:sz w:val="24"/>
          <w:highlight w:val="none"/>
          <w14:textFill>
            <w14:solidFill>
              <w14:schemeClr w14:val="tx1"/>
            </w14:solidFill>
          </w14:textFill>
        </w:rPr>
        <w:t>投标文件的组成</w:t>
      </w:r>
      <w:bookmarkEnd w:id="71"/>
      <w:bookmarkEnd w:id="72"/>
      <w:bookmarkEnd w:id="73"/>
      <w:bookmarkEnd w:id="74"/>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10.1 投标人编写的</w:t>
      </w:r>
      <w:r>
        <w:rPr>
          <w:rFonts w:ascii="宋体" w:eastAsia="宋体"/>
          <w:color w:val="000000" w:themeColor="text1"/>
          <w:sz w:val="22"/>
          <w:szCs w:val="22"/>
          <w:highlight w:val="none"/>
          <w14:textFill>
            <w14:solidFill>
              <w14:schemeClr w14:val="tx1"/>
            </w14:solidFill>
          </w14:textFill>
        </w:rPr>
        <w:t>投标文件</w:t>
      </w:r>
      <w:r>
        <w:rPr>
          <w:rFonts w:hint="eastAsia" w:ascii="宋体" w:eastAsia="宋体"/>
          <w:color w:val="000000" w:themeColor="text1"/>
          <w:sz w:val="22"/>
          <w:szCs w:val="22"/>
          <w:highlight w:val="none"/>
          <w14:textFill>
            <w14:solidFill>
              <w14:schemeClr w14:val="tx1"/>
            </w14:solidFill>
          </w14:textFill>
        </w:rPr>
        <w:t>应包括价格文件、商务技术文件和唱标信封(须独立密封)。</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10.2投标人应如实详细提供第12.1款所要求的全部资料，价格部分文件必须单独装订成册，商务、技术和其他证明资料等投标文件不能出现投标价格。</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75" w:name="_Toc26657"/>
      <w:bookmarkStart w:id="76" w:name="_Toc15027"/>
      <w:bookmarkStart w:id="77" w:name="_Toc7543"/>
      <w:bookmarkStart w:id="78" w:name="_Toc429559383"/>
      <w:r>
        <w:rPr>
          <w:rFonts w:hint="eastAsia"/>
          <w:color w:val="000000" w:themeColor="text1"/>
          <w:sz w:val="24"/>
          <w:highlight w:val="none"/>
          <w14:textFill>
            <w14:solidFill>
              <w14:schemeClr w14:val="tx1"/>
            </w14:solidFill>
          </w14:textFill>
        </w:rPr>
        <w:t>11．投标文件格式</w:t>
      </w:r>
      <w:bookmarkEnd w:id="75"/>
      <w:bookmarkEnd w:id="76"/>
      <w:bookmarkEnd w:id="77"/>
      <w:bookmarkEnd w:id="78"/>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投标人提交的投标文件应当</w:t>
      </w:r>
      <w:r>
        <w:rPr>
          <w:rFonts w:hint="eastAsia" w:ascii="宋体" w:eastAsia="宋体"/>
          <w:color w:val="000000" w:themeColor="text1"/>
          <w:sz w:val="22"/>
          <w:szCs w:val="22"/>
          <w:highlight w:val="none"/>
          <w14:textFill>
            <w14:solidFill>
              <w14:schemeClr w14:val="tx1"/>
            </w14:solidFill>
          </w14:textFill>
        </w:rPr>
        <w:t>按照</w:t>
      </w:r>
      <w:r>
        <w:rPr>
          <w:rFonts w:ascii="宋体" w:eastAsia="宋体"/>
          <w:color w:val="000000" w:themeColor="text1"/>
          <w:sz w:val="22"/>
          <w:szCs w:val="22"/>
          <w:highlight w:val="none"/>
          <w14:textFill>
            <w14:solidFill>
              <w14:schemeClr w14:val="tx1"/>
            </w14:solidFill>
          </w14:textFill>
        </w:rPr>
        <w:t>招标文件的投标文件格式（表格可以按同样格式扩展）。</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79" w:name="_Toc28095"/>
      <w:bookmarkStart w:id="80" w:name="_Toc6365"/>
      <w:bookmarkStart w:id="81" w:name="_Toc18525"/>
      <w:bookmarkStart w:id="82" w:name="_Toc429559384"/>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投标文件的</w:t>
      </w:r>
      <w:r>
        <w:rPr>
          <w:rFonts w:hint="eastAsia"/>
          <w:color w:val="000000" w:themeColor="text1"/>
          <w:sz w:val="24"/>
          <w:highlight w:val="none"/>
          <w14:textFill>
            <w14:solidFill>
              <w14:schemeClr w14:val="tx1"/>
            </w14:solidFill>
          </w14:textFill>
        </w:rPr>
        <w:t>编制、数量和签署</w:t>
      </w:r>
      <w:bookmarkEnd w:id="79"/>
      <w:bookmarkEnd w:id="80"/>
      <w:bookmarkEnd w:id="81"/>
      <w:bookmarkEnd w:id="82"/>
    </w:p>
    <w:p>
      <w:pPr>
        <w:pStyle w:val="33"/>
        <w:spacing w:line="360" w:lineRule="auto"/>
        <w:ind w:firstLine="453"/>
        <w:rPr>
          <w:rFonts w:ascii="宋体" w:eastAsia="宋体"/>
          <w:b/>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12.1</w:t>
      </w:r>
      <w:r>
        <w:rPr>
          <w:rFonts w:hint="eastAsia" w:ascii="宋体" w:eastAsia="宋体"/>
          <w:b/>
          <w:color w:val="000000" w:themeColor="text1"/>
          <w:sz w:val="22"/>
          <w:szCs w:val="22"/>
          <w:highlight w:val="none"/>
          <w14:textFill>
            <w14:solidFill>
              <w14:schemeClr w14:val="tx1"/>
            </w14:solidFill>
          </w14:textFill>
        </w:rPr>
        <w:t>投标人应提交一套正本（包括价格文件、商务文件和技术文件）、五套副本（包括价格文件、商务文件和技术文件）、一份唱标信封的投标文件</w:t>
      </w:r>
      <w:r>
        <w:rPr>
          <w:rFonts w:hint="eastAsia" w:ascii="宋体" w:eastAsia="宋体"/>
          <w:color w:val="000000" w:themeColor="text1"/>
          <w:sz w:val="22"/>
          <w:szCs w:val="22"/>
          <w:highlight w:val="none"/>
          <w14:textFill>
            <w14:solidFill>
              <w14:schemeClr w14:val="tx1"/>
            </w14:solidFill>
          </w14:textFill>
        </w:rPr>
        <w:t>。</w:t>
      </w:r>
    </w:p>
    <w:tbl>
      <w:tblPr>
        <w:tblStyle w:val="23"/>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1625"/>
        <w:gridCol w:w="1739"/>
        <w:gridCol w:w="870"/>
        <w:gridCol w:w="1717"/>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92" w:type="dxa"/>
            <w:vAlign w:val="center"/>
          </w:tcPr>
          <w:p>
            <w:pPr>
              <w:spacing w:line="360" w:lineRule="atLeas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序号</w:t>
            </w:r>
          </w:p>
        </w:tc>
        <w:tc>
          <w:tcPr>
            <w:tcW w:w="1625" w:type="dxa"/>
            <w:vAlign w:val="center"/>
          </w:tcPr>
          <w:p>
            <w:pPr>
              <w:spacing w:line="360" w:lineRule="atLeas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投标文件类型</w:t>
            </w:r>
          </w:p>
        </w:tc>
        <w:tc>
          <w:tcPr>
            <w:tcW w:w="1739" w:type="dxa"/>
            <w:vAlign w:val="center"/>
          </w:tcPr>
          <w:p>
            <w:pPr>
              <w:spacing w:line="360" w:lineRule="atLeas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投标文件名称</w:t>
            </w:r>
          </w:p>
        </w:tc>
        <w:tc>
          <w:tcPr>
            <w:tcW w:w="870" w:type="dxa"/>
            <w:vAlign w:val="center"/>
          </w:tcPr>
          <w:p>
            <w:pPr>
              <w:spacing w:line="360" w:lineRule="atLeas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份数</w:t>
            </w:r>
          </w:p>
        </w:tc>
        <w:tc>
          <w:tcPr>
            <w:tcW w:w="1717" w:type="dxa"/>
            <w:vAlign w:val="center"/>
          </w:tcPr>
          <w:p>
            <w:pPr>
              <w:spacing w:line="360" w:lineRule="atLeas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装订</w:t>
            </w:r>
          </w:p>
        </w:tc>
        <w:tc>
          <w:tcPr>
            <w:tcW w:w="2205" w:type="dxa"/>
            <w:vAlign w:val="center"/>
          </w:tcPr>
          <w:p>
            <w:pPr>
              <w:spacing w:line="360" w:lineRule="atLeas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92" w:type="dxa"/>
            <w:vMerge w:val="restart"/>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p>
        </w:tc>
        <w:tc>
          <w:tcPr>
            <w:tcW w:w="1625" w:type="dxa"/>
            <w:vMerge w:val="restart"/>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正本</w:t>
            </w:r>
          </w:p>
        </w:tc>
        <w:tc>
          <w:tcPr>
            <w:tcW w:w="1739"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价格文件</w:t>
            </w:r>
          </w:p>
        </w:tc>
        <w:tc>
          <w:tcPr>
            <w:tcW w:w="870" w:type="dxa"/>
            <w:shd w:val="clear" w:color="auto" w:fill="auto"/>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p>
        </w:tc>
        <w:tc>
          <w:tcPr>
            <w:tcW w:w="1717"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每份独立装订</w:t>
            </w:r>
          </w:p>
        </w:tc>
        <w:tc>
          <w:tcPr>
            <w:tcW w:w="2205" w:type="dxa"/>
            <w:vMerge w:val="restart"/>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一起密封包装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92" w:type="dxa"/>
            <w:vMerge w:val="continue"/>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p>
        </w:tc>
        <w:tc>
          <w:tcPr>
            <w:tcW w:w="1625" w:type="dxa"/>
            <w:vMerge w:val="continue"/>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p>
        </w:tc>
        <w:tc>
          <w:tcPr>
            <w:tcW w:w="1739"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商务技术文件</w:t>
            </w:r>
          </w:p>
        </w:tc>
        <w:tc>
          <w:tcPr>
            <w:tcW w:w="870" w:type="dxa"/>
            <w:shd w:val="clear" w:color="auto" w:fill="auto"/>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p>
        </w:tc>
        <w:tc>
          <w:tcPr>
            <w:tcW w:w="1717"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每份独立装订</w:t>
            </w:r>
          </w:p>
        </w:tc>
        <w:tc>
          <w:tcPr>
            <w:tcW w:w="2205" w:type="dxa"/>
            <w:vMerge w:val="continue"/>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92" w:type="dxa"/>
            <w:vMerge w:val="restart"/>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w:t>
            </w:r>
          </w:p>
        </w:tc>
        <w:tc>
          <w:tcPr>
            <w:tcW w:w="1625" w:type="dxa"/>
            <w:vMerge w:val="restart"/>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副本</w:t>
            </w:r>
          </w:p>
        </w:tc>
        <w:tc>
          <w:tcPr>
            <w:tcW w:w="1739"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价格文件</w:t>
            </w:r>
          </w:p>
        </w:tc>
        <w:tc>
          <w:tcPr>
            <w:tcW w:w="870" w:type="dxa"/>
            <w:shd w:val="clear" w:color="auto" w:fill="auto"/>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w:t>
            </w:r>
          </w:p>
        </w:tc>
        <w:tc>
          <w:tcPr>
            <w:tcW w:w="1717"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每份独立装订</w:t>
            </w:r>
          </w:p>
        </w:tc>
        <w:tc>
          <w:tcPr>
            <w:tcW w:w="2205" w:type="dxa"/>
            <w:vMerge w:val="restart"/>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一起密封包装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692" w:type="dxa"/>
            <w:vMerge w:val="continue"/>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p>
        </w:tc>
        <w:tc>
          <w:tcPr>
            <w:tcW w:w="1625" w:type="dxa"/>
            <w:vMerge w:val="continue"/>
            <w:vAlign w:val="center"/>
          </w:tcPr>
          <w:p>
            <w:pPr>
              <w:spacing w:line="360" w:lineRule="atLeast"/>
              <w:rPr>
                <w:rFonts w:ascii="宋体" w:hAnsi="宋体"/>
                <w:color w:val="000000" w:themeColor="text1"/>
                <w:sz w:val="22"/>
                <w:szCs w:val="22"/>
                <w:highlight w:val="none"/>
                <w14:textFill>
                  <w14:solidFill>
                    <w14:schemeClr w14:val="tx1"/>
                  </w14:solidFill>
                </w14:textFill>
              </w:rPr>
            </w:pPr>
          </w:p>
        </w:tc>
        <w:tc>
          <w:tcPr>
            <w:tcW w:w="1739"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商务技术文件</w:t>
            </w:r>
          </w:p>
        </w:tc>
        <w:tc>
          <w:tcPr>
            <w:tcW w:w="870" w:type="dxa"/>
            <w:shd w:val="clear" w:color="auto" w:fill="auto"/>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w:t>
            </w:r>
          </w:p>
        </w:tc>
        <w:tc>
          <w:tcPr>
            <w:tcW w:w="1717"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每份独立装订</w:t>
            </w:r>
          </w:p>
        </w:tc>
        <w:tc>
          <w:tcPr>
            <w:tcW w:w="2205" w:type="dxa"/>
            <w:vMerge w:val="continue"/>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692" w:type="dxa"/>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w:t>
            </w:r>
          </w:p>
        </w:tc>
        <w:tc>
          <w:tcPr>
            <w:tcW w:w="1625"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p>
        </w:tc>
        <w:tc>
          <w:tcPr>
            <w:tcW w:w="1739" w:type="dxa"/>
            <w:vAlign w:val="center"/>
          </w:tcPr>
          <w:p>
            <w:pPr>
              <w:spacing w:line="36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唱标信封</w:t>
            </w:r>
          </w:p>
        </w:tc>
        <w:tc>
          <w:tcPr>
            <w:tcW w:w="870" w:type="dxa"/>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p>
        </w:tc>
        <w:tc>
          <w:tcPr>
            <w:tcW w:w="3922" w:type="dxa"/>
            <w:gridSpan w:val="2"/>
            <w:vAlign w:val="center"/>
          </w:tcPr>
          <w:p>
            <w:pPr>
              <w:spacing w:line="360" w:lineRule="atLeas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单独密封包装(内附电子存储设备)</w:t>
            </w:r>
          </w:p>
        </w:tc>
      </w:tr>
    </w:tbl>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w:t>
      </w:r>
      <w:r>
        <w:rPr>
          <w:rFonts w:hint="eastAsia" w:ascii="宋体" w:eastAsia="宋体"/>
          <w:color w:val="000000" w:themeColor="text1"/>
          <w:sz w:val="22"/>
          <w:szCs w:val="22"/>
          <w:highlight w:val="none"/>
          <w14:textFill>
            <w14:solidFill>
              <w14:schemeClr w14:val="tx1"/>
            </w14:solidFill>
          </w14:textFill>
        </w:rPr>
        <w:t>2</w:t>
      </w:r>
      <w:r>
        <w:rPr>
          <w:rFonts w:ascii="宋体" w:eastAsia="宋体"/>
          <w:color w:val="000000" w:themeColor="text1"/>
          <w:sz w:val="22"/>
          <w:szCs w:val="22"/>
          <w:highlight w:val="none"/>
          <w14:textFill>
            <w14:solidFill>
              <w14:schemeClr w14:val="tx1"/>
            </w14:solidFill>
          </w14:textFill>
        </w:rPr>
        <w:t>.2投标文件</w:t>
      </w:r>
      <w:r>
        <w:rPr>
          <w:rFonts w:hint="eastAsia" w:ascii="宋体" w:eastAsia="宋体"/>
          <w:color w:val="000000" w:themeColor="text1"/>
          <w:sz w:val="22"/>
          <w:szCs w:val="22"/>
          <w:highlight w:val="none"/>
          <w14:textFill>
            <w14:solidFill>
              <w14:schemeClr w14:val="tx1"/>
            </w14:solidFill>
          </w14:textFill>
        </w:rPr>
        <w:t>正本均需打印或用不褪色墨水书写，正本主要内容（招标文件格式中要求法人代表或授权委托人签字的内容和加盖投标人公章）须由投标人的法人代表或授权委托人签字（或盖章）和加盖投标人公章。投标文件的副本可采用正本的投标文件复印件，每套</w:t>
      </w:r>
      <w:r>
        <w:rPr>
          <w:rFonts w:ascii="宋体" w:eastAsia="宋体"/>
          <w:color w:val="000000" w:themeColor="text1"/>
          <w:sz w:val="22"/>
          <w:szCs w:val="22"/>
          <w:highlight w:val="none"/>
          <w14:textFill>
            <w14:solidFill>
              <w14:schemeClr w14:val="tx1"/>
            </w14:solidFill>
          </w14:textFill>
        </w:rPr>
        <w:t>投标文件</w:t>
      </w:r>
      <w:r>
        <w:rPr>
          <w:rFonts w:hint="eastAsia" w:ascii="宋体" w:eastAsia="宋体"/>
          <w:color w:val="000000" w:themeColor="text1"/>
          <w:sz w:val="22"/>
          <w:szCs w:val="22"/>
          <w:highlight w:val="none"/>
          <w14:textFill>
            <w14:solidFill>
              <w14:schemeClr w14:val="tx1"/>
            </w14:solidFill>
          </w14:textFill>
        </w:rPr>
        <w:t>应当标</w:t>
      </w:r>
      <w:r>
        <w:rPr>
          <w:rFonts w:ascii="宋体" w:eastAsia="宋体"/>
          <w:color w:val="000000" w:themeColor="text1"/>
          <w:sz w:val="22"/>
          <w:szCs w:val="22"/>
          <w:highlight w:val="none"/>
          <w14:textFill>
            <w14:solidFill>
              <w14:schemeClr w14:val="tx1"/>
            </w14:solidFill>
          </w14:textFill>
        </w:rPr>
        <w:t>明“正本”</w:t>
      </w:r>
      <w:r>
        <w:rPr>
          <w:rFonts w:hint="eastAsia" w:ascii="宋体" w:eastAsia="宋体"/>
          <w:color w:val="000000" w:themeColor="text1"/>
          <w:sz w:val="22"/>
          <w:szCs w:val="22"/>
          <w:highlight w:val="none"/>
          <w14:textFill>
            <w14:solidFill>
              <w14:schemeClr w14:val="tx1"/>
            </w14:solidFill>
          </w14:textFill>
        </w:rPr>
        <w:t>、</w:t>
      </w:r>
      <w:r>
        <w:rPr>
          <w:rFonts w:ascii="宋体" w:eastAsia="宋体"/>
          <w:color w:val="000000" w:themeColor="text1"/>
          <w:sz w:val="22"/>
          <w:szCs w:val="22"/>
          <w:highlight w:val="none"/>
          <w14:textFill>
            <w14:solidFill>
              <w14:schemeClr w14:val="tx1"/>
            </w14:solidFill>
          </w14:textFill>
        </w:rPr>
        <w:t>“副本”</w:t>
      </w:r>
      <w:r>
        <w:rPr>
          <w:rFonts w:hint="eastAsia" w:ascii="宋体" w:eastAsia="宋体"/>
          <w:color w:val="000000" w:themeColor="text1"/>
          <w:sz w:val="22"/>
          <w:szCs w:val="22"/>
          <w:highlight w:val="none"/>
          <w14:textFill>
            <w14:solidFill>
              <w14:schemeClr w14:val="tx1"/>
            </w14:solidFill>
          </w14:textFill>
        </w:rPr>
        <w:t>的字样</w:t>
      </w:r>
      <w:r>
        <w:rPr>
          <w:rFonts w:ascii="宋体" w:eastAsia="宋体"/>
          <w:color w:val="000000" w:themeColor="text1"/>
          <w:sz w:val="22"/>
          <w:szCs w:val="22"/>
          <w:highlight w:val="none"/>
          <w14:textFill>
            <w14:solidFill>
              <w14:schemeClr w14:val="tx1"/>
            </w14:solidFill>
          </w14:textFill>
        </w:rPr>
        <w:t>。</w:t>
      </w:r>
      <w:r>
        <w:rPr>
          <w:rFonts w:hint="eastAsia" w:ascii="宋体" w:eastAsia="宋体"/>
          <w:color w:val="000000" w:themeColor="text1"/>
          <w:sz w:val="22"/>
          <w:szCs w:val="22"/>
          <w:highlight w:val="none"/>
          <w14:textFill>
            <w14:solidFill>
              <w14:schemeClr w14:val="tx1"/>
            </w14:solidFill>
          </w14:textFill>
        </w:rPr>
        <w:t>若</w:t>
      </w:r>
      <w:r>
        <w:rPr>
          <w:rFonts w:ascii="宋体" w:eastAsia="宋体"/>
          <w:color w:val="000000" w:themeColor="text1"/>
          <w:sz w:val="22"/>
          <w:szCs w:val="22"/>
          <w:highlight w:val="none"/>
          <w14:textFill>
            <w14:solidFill>
              <w14:schemeClr w14:val="tx1"/>
            </w14:solidFill>
          </w14:textFill>
        </w:rPr>
        <w:t>正本</w:t>
      </w:r>
      <w:r>
        <w:rPr>
          <w:rFonts w:hint="eastAsia" w:ascii="宋体" w:eastAsia="宋体"/>
          <w:color w:val="000000" w:themeColor="text1"/>
          <w:sz w:val="22"/>
          <w:szCs w:val="22"/>
          <w:highlight w:val="none"/>
          <w14:textFill>
            <w14:solidFill>
              <w14:schemeClr w14:val="tx1"/>
            </w14:solidFill>
          </w14:textFill>
        </w:rPr>
        <w:t>与</w:t>
      </w:r>
      <w:r>
        <w:rPr>
          <w:rFonts w:ascii="宋体" w:eastAsia="宋体"/>
          <w:color w:val="000000" w:themeColor="text1"/>
          <w:sz w:val="22"/>
          <w:szCs w:val="22"/>
          <w:highlight w:val="none"/>
          <w14:textFill>
            <w14:solidFill>
              <w14:schemeClr w14:val="tx1"/>
            </w14:solidFill>
          </w14:textFill>
        </w:rPr>
        <w:t>副本</w:t>
      </w:r>
      <w:r>
        <w:rPr>
          <w:rFonts w:hint="eastAsia" w:ascii="宋体" w:eastAsia="宋体"/>
          <w:color w:val="000000" w:themeColor="text1"/>
          <w:sz w:val="22"/>
          <w:szCs w:val="22"/>
          <w:highlight w:val="none"/>
          <w14:textFill>
            <w14:solidFill>
              <w14:schemeClr w14:val="tx1"/>
            </w14:solidFill>
          </w14:textFill>
        </w:rPr>
        <w:t>不符，以</w:t>
      </w:r>
      <w:r>
        <w:rPr>
          <w:rFonts w:ascii="宋体" w:eastAsia="宋体"/>
          <w:color w:val="000000" w:themeColor="text1"/>
          <w:sz w:val="22"/>
          <w:szCs w:val="22"/>
          <w:highlight w:val="none"/>
          <w14:textFill>
            <w14:solidFill>
              <w14:schemeClr w14:val="tx1"/>
            </w14:solidFill>
          </w14:textFill>
        </w:rPr>
        <w:t>正本为准。</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12.3投标人应当对投标文件进行装订（所有文件均不允许采用活动夹方式装订），如投标人对招标文件多个包组进行投标的，其投标文件的编制应按每个包的要求分别装订和封装。</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12.4电子文件内容包括：由投标人自行制作的与正本文件一致的所有文件。电子文件由光盘/U盘储存，并注明投标人名称及项目名称、采购编号。</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w:t>
      </w:r>
      <w:r>
        <w:rPr>
          <w:rFonts w:hint="eastAsia" w:ascii="宋体" w:eastAsia="宋体"/>
          <w:color w:val="000000" w:themeColor="text1"/>
          <w:sz w:val="22"/>
          <w:szCs w:val="22"/>
          <w:highlight w:val="none"/>
          <w14:textFill>
            <w14:solidFill>
              <w14:schemeClr w14:val="tx1"/>
            </w14:solidFill>
          </w14:textFill>
        </w:rPr>
        <w:t>2</w:t>
      </w:r>
      <w:r>
        <w:rPr>
          <w:rFonts w:ascii="宋体" w:eastAsia="宋体"/>
          <w:color w:val="000000" w:themeColor="text1"/>
          <w:sz w:val="22"/>
          <w:szCs w:val="22"/>
          <w:highlight w:val="none"/>
          <w14:textFill>
            <w14:solidFill>
              <w14:schemeClr w14:val="tx1"/>
            </w14:solidFill>
          </w14:textFill>
        </w:rPr>
        <w:t>.</w:t>
      </w:r>
      <w:r>
        <w:rPr>
          <w:rFonts w:hint="eastAsia" w:ascii="宋体" w:eastAsia="宋体"/>
          <w:color w:val="000000" w:themeColor="text1"/>
          <w:sz w:val="22"/>
          <w:szCs w:val="22"/>
          <w:highlight w:val="none"/>
          <w14:textFill>
            <w14:solidFill>
              <w14:schemeClr w14:val="tx1"/>
            </w14:solidFill>
          </w14:textFill>
        </w:rPr>
        <w:t>5投标文件中的任何重要的插字、涂改和增删，必须由法定代表人或其正式授权代表在旁边签字或盖章才有效。</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12投标人必须对投标文件所提供的全部资料的真实性承担法律责任，并接受采购代理机构、采购人及政府采购监督管理部门等对其中任何资料进行核实的要求。</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12.7传真或电传的投标文件将拒绝接收。</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bookmarkStart w:id="83" w:name="_Toc429559385"/>
      <w:r>
        <w:rPr>
          <w:rFonts w:hint="eastAsia" w:ascii="宋体" w:eastAsia="宋体"/>
          <w:color w:val="000000" w:themeColor="text1"/>
          <w:sz w:val="22"/>
          <w:szCs w:val="22"/>
          <w:highlight w:val="none"/>
          <w14:textFill>
            <w14:solidFill>
              <w14:schemeClr w14:val="tx1"/>
            </w14:solidFill>
          </w14:textFill>
        </w:rPr>
        <w:t>12.8投标文件要求盖章的需加盖投标人公章，投标文件的“正本”及所有“副本”的封面及骑缝均须由投标人加盖投标人公章。</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84" w:name="_Toc15955"/>
      <w:bookmarkStart w:id="85" w:name="_Toc2189"/>
      <w:bookmarkStart w:id="86" w:name="_Toc7342"/>
      <w:r>
        <w:rPr>
          <w:rFonts w:hint="eastAsia"/>
          <w:color w:val="000000" w:themeColor="text1"/>
          <w:sz w:val="24"/>
          <w:highlight w:val="none"/>
          <w14:textFill>
            <w14:solidFill>
              <w14:schemeClr w14:val="tx1"/>
            </w14:solidFill>
          </w14:textFill>
        </w:rPr>
        <w:t>13．投标报价说明</w:t>
      </w:r>
      <w:bookmarkEnd w:id="83"/>
      <w:bookmarkEnd w:id="84"/>
      <w:bookmarkEnd w:id="85"/>
      <w:bookmarkEnd w:id="86"/>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13.1本次招标投标人必须就所有内容进行投标报价，少报无效。</w:t>
      </w:r>
    </w:p>
    <w:p>
      <w:pPr>
        <w:pStyle w:val="43"/>
        <w:ind w:firstLine="442"/>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13.2本项目采购预算金额：</w:t>
      </w:r>
    </w:p>
    <w:tbl>
      <w:tblPr>
        <w:tblStyle w:val="23"/>
        <w:tblW w:w="79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850"/>
        <w:gridCol w:w="3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667" w:type="dxa"/>
            <w:shd w:val="clear" w:color="auto" w:fill="E0E0E0"/>
            <w:vAlign w:val="center"/>
          </w:tcPr>
          <w:p>
            <w:pPr>
              <w:jc w:val="center"/>
              <w:rPr>
                <w:b/>
                <w:color w:val="000000" w:themeColor="text1"/>
                <w:sz w:val="22"/>
                <w:highlight w:val="none"/>
                <w14:textFill>
                  <w14:solidFill>
                    <w14:schemeClr w14:val="tx1"/>
                  </w14:solidFill>
                </w14:textFill>
              </w:rPr>
            </w:pPr>
            <w:r>
              <w:rPr>
                <w:rFonts w:hint="eastAsia"/>
                <w:b/>
                <w:color w:val="000000" w:themeColor="text1"/>
                <w:sz w:val="22"/>
                <w:highlight w:val="none"/>
                <w14:textFill>
                  <w14:solidFill>
                    <w14:schemeClr w14:val="tx1"/>
                  </w14:solidFill>
                </w14:textFill>
              </w:rPr>
              <w:t>包号</w:t>
            </w:r>
          </w:p>
        </w:tc>
        <w:tc>
          <w:tcPr>
            <w:tcW w:w="3850" w:type="dxa"/>
            <w:shd w:val="clear" w:color="auto" w:fill="E0E0E0"/>
            <w:vAlign w:val="center"/>
          </w:tcPr>
          <w:p>
            <w:pPr>
              <w:jc w:val="center"/>
              <w:rPr>
                <w:b/>
                <w:color w:val="000000" w:themeColor="text1"/>
                <w:sz w:val="22"/>
                <w:highlight w:val="none"/>
                <w14:textFill>
                  <w14:solidFill>
                    <w14:schemeClr w14:val="tx1"/>
                  </w14:solidFill>
                </w14:textFill>
              </w:rPr>
            </w:pPr>
            <w:r>
              <w:rPr>
                <w:rFonts w:hint="eastAsia"/>
                <w:b/>
                <w:color w:val="000000" w:themeColor="text1"/>
                <w:sz w:val="22"/>
                <w:highlight w:val="none"/>
                <w14:textFill>
                  <w14:solidFill>
                    <w14:schemeClr w14:val="tx1"/>
                  </w14:solidFill>
                </w14:textFill>
              </w:rPr>
              <w:t>包组内容</w:t>
            </w:r>
          </w:p>
        </w:tc>
        <w:tc>
          <w:tcPr>
            <w:tcW w:w="3444" w:type="dxa"/>
            <w:shd w:val="clear" w:color="auto" w:fill="E0E0E0"/>
            <w:vAlign w:val="center"/>
          </w:tcPr>
          <w:p>
            <w:pPr>
              <w:jc w:val="center"/>
              <w:rPr>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67" w:type="dxa"/>
            <w:vAlign w:val="center"/>
          </w:tcPr>
          <w:p>
            <w:pPr>
              <w:widowControl/>
              <w:jc w:val="center"/>
              <w:textAlignment w:val="center"/>
              <w:rPr>
                <w:rFonts w:ascii="宋体" w:cs="宋体"/>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A</w:t>
            </w:r>
          </w:p>
        </w:tc>
        <w:tc>
          <w:tcPr>
            <w:tcW w:w="3850" w:type="dxa"/>
            <w:vAlign w:val="center"/>
          </w:tcPr>
          <w:p>
            <w:pPr>
              <w:widowControl/>
              <w:jc w:val="center"/>
              <w:textAlignment w:val="bottom"/>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bCs/>
                <w:color w:val="000000" w:themeColor="text1"/>
                <w:sz w:val="22"/>
                <w:szCs w:val="22"/>
                <w:highlight w:val="none"/>
                <w:lang w:eastAsia="zh-CN"/>
                <w14:textFill>
                  <w14:solidFill>
                    <w14:schemeClr w14:val="tx1"/>
                  </w14:solidFill>
                </w14:textFill>
              </w:rPr>
              <w:t>医疗设备采购项目</w:t>
            </w:r>
          </w:p>
        </w:tc>
        <w:tc>
          <w:tcPr>
            <w:tcW w:w="3444" w:type="dxa"/>
            <w:vAlign w:val="center"/>
          </w:tcPr>
          <w:p>
            <w:pPr>
              <w:widowControl/>
              <w:jc w:val="center"/>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2,150,000.00</w:t>
            </w:r>
            <w:r>
              <w:rPr>
                <w:rFonts w:hint="eastAsia" w:ascii="宋体" w:hAnsi="宋体" w:cs="宋体"/>
                <w:color w:val="000000" w:themeColor="text1"/>
                <w:kern w:val="0"/>
                <w:sz w:val="22"/>
                <w:szCs w:val="22"/>
                <w:highlight w:val="none"/>
                <w14:textFill>
                  <w14:solidFill>
                    <w14:schemeClr w14:val="tx1"/>
                  </w14:solidFill>
                </w14:textFill>
              </w:rPr>
              <w:t>元</w:t>
            </w:r>
          </w:p>
          <w:p>
            <w:pPr>
              <w:widowControl/>
              <w:jc w:val="center"/>
              <w:textAlignment w:val="center"/>
              <w:rPr>
                <w:rFonts w:ascii="宋体" w:cs="宋体"/>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（人民币贰佰壹拾伍万元整）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67" w:type="dxa"/>
            <w:vAlign w:val="center"/>
          </w:tcPr>
          <w:p>
            <w:pPr>
              <w:widowControl/>
              <w:jc w:val="center"/>
              <w:textAlignment w:val="center"/>
              <w:rPr>
                <w:rFonts w:ascii="宋体" w:hAnsi="宋体"/>
                <w:bCs/>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B</w:t>
            </w:r>
          </w:p>
        </w:tc>
        <w:tc>
          <w:tcPr>
            <w:tcW w:w="3850" w:type="dxa"/>
            <w:vAlign w:val="center"/>
          </w:tcPr>
          <w:p>
            <w:pPr>
              <w:widowControl/>
              <w:jc w:val="center"/>
              <w:textAlignment w:val="center"/>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bCs/>
                <w:color w:val="000000" w:themeColor="text1"/>
                <w:sz w:val="22"/>
                <w:szCs w:val="22"/>
                <w:highlight w:val="none"/>
                <w:lang w:eastAsia="zh-CN"/>
                <w14:textFill>
                  <w14:solidFill>
                    <w14:schemeClr w14:val="tx1"/>
                  </w14:solidFill>
                </w14:textFill>
              </w:rPr>
              <w:t>医疗设备采购项目</w:t>
            </w:r>
          </w:p>
        </w:tc>
        <w:tc>
          <w:tcPr>
            <w:tcW w:w="3444" w:type="dxa"/>
            <w:vAlign w:val="center"/>
          </w:tcPr>
          <w:p>
            <w:pPr>
              <w:widowControl/>
              <w:jc w:val="center"/>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2,000,000.00</w:t>
            </w:r>
            <w:r>
              <w:rPr>
                <w:rFonts w:hint="eastAsia" w:ascii="宋体" w:hAnsi="宋体" w:cs="宋体"/>
                <w:color w:val="000000" w:themeColor="text1"/>
                <w:kern w:val="0"/>
                <w:sz w:val="22"/>
                <w:szCs w:val="22"/>
                <w:highlight w:val="none"/>
                <w14:textFill>
                  <w14:solidFill>
                    <w14:schemeClr w14:val="tx1"/>
                  </w14:solidFill>
                </w14:textFill>
              </w:rPr>
              <w:t>元</w:t>
            </w:r>
          </w:p>
          <w:p>
            <w:pPr>
              <w:widowControl/>
              <w:jc w:val="center"/>
              <w:textAlignment w:val="center"/>
              <w:rPr>
                <w:rFonts w:ascii="宋体" w:cs="宋体"/>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（人民币贰佰万元整）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67" w:type="dxa"/>
            <w:vAlign w:val="center"/>
          </w:tcPr>
          <w:p>
            <w:pPr>
              <w:widowControl/>
              <w:jc w:val="center"/>
              <w:textAlignment w:val="center"/>
              <w:rPr>
                <w:rFonts w:ascii="宋体" w:hAnsi="宋体"/>
                <w:bCs/>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C</w:t>
            </w:r>
          </w:p>
        </w:tc>
        <w:tc>
          <w:tcPr>
            <w:tcW w:w="3850" w:type="dxa"/>
            <w:vAlign w:val="center"/>
          </w:tcPr>
          <w:p>
            <w:pPr>
              <w:widowControl/>
              <w:jc w:val="center"/>
              <w:textAlignment w:val="bottom"/>
              <w:rPr>
                <w:rFonts w:hint="eastAsia" w:ascii="宋体" w:hAnsi="宋体" w:eastAsia="宋体" w:cs="宋体"/>
                <w:color w:val="000000" w:themeColor="text1"/>
                <w:sz w:val="22"/>
                <w:szCs w:val="22"/>
                <w:highlight w:val="none"/>
                <w14:textFill>
                  <w14:solidFill>
                    <w14:schemeClr w14:val="tx1"/>
                  </w14:solidFill>
                </w14:textFill>
              </w:rPr>
            </w:pPr>
            <w:r>
              <w:rPr>
                <w:rFonts w:hint="eastAsia" w:ascii="宋体"/>
                <w:bCs/>
                <w:color w:val="000000" w:themeColor="text1"/>
                <w:sz w:val="22"/>
                <w:szCs w:val="22"/>
                <w:highlight w:val="none"/>
                <w:lang w:eastAsia="zh-CN"/>
                <w14:textFill>
                  <w14:solidFill>
                    <w14:schemeClr w14:val="tx1"/>
                  </w14:solidFill>
                </w14:textFill>
              </w:rPr>
              <w:t>医疗设备采购项目</w:t>
            </w:r>
          </w:p>
        </w:tc>
        <w:tc>
          <w:tcPr>
            <w:tcW w:w="3444" w:type="dxa"/>
            <w:vAlign w:val="center"/>
          </w:tcPr>
          <w:p>
            <w:pPr>
              <w:widowControl/>
              <w:jc w:val="center"/>
              <w:textAlignment w:val="center"/>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500,000.00</w:t>
            </w:r>
            <w:r>
              <w:rPr>
                <w:rFonts w:hint="eastAsia" w:ascii="宋体" w:hAnsi="宋体" w:cs="宋体"/>
                <w:color w:val="000000" w:themeColor="text1"/>
                <w:kern w:val="0"/>
                <w:sz w:val="22"/>
                <w:szCs w:val="22"/>
                <w:highlight w:val="none"/>
                <w14:textFill>
                  <w14:solidFill>
                    <w14:schemeClr w14:val="tx1"/>
                  </w14:solidFill>
                </w14:textFill>
              </w:rPr>
              <w:t>元</w:t>
            </w:r>
          </w:p>
          <w:p>
            <w:pPr>
              <w:widowControl/>
              <w:jc w:val="center"/>
              <w:textAlignment w:val="center"/>
              <w:rPr>
                <w:rFonts w:ascii="宋体" w:cs="宋体"/>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（人民币伍拾万元整）</w:t>
            </w:r>
          </w:p>
        </w:tc>
      </w:tr>
    </w:tbl>
    <w:p>
      <w:pPr>
        <w:pStyle w:val="43"/>
        <w:ind w:firstLine="442"/>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投标人报价超出采购预算或最高限价的其投标将被认定为投标无效。</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13.3投标报价应包含购置费、包装费、运输费、安装调试费、人工费、保险费、各种税费、验收费、售后服务费及合同实施过程中的应预见和不可预见费用等完成合同规定责任和义务、达到合同目的的一切费用。</w:t>
      </w:r>
    </w:p>
    <w:p>
      <w:pPr>
        <w:spacing w:line="360" w:lineRule="auto"/>
        <w:ind w:left="63" w:leftChars="30" w:firstLine="400" w:firstLineChars="182"/>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13.4投标报价应包括所提供货物或服务所需的专利权和版权、设计或其他知识产权而需要向其他方支付的版税。</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13.5若投标报价小写金额与大写金额存在差异，以大写金额为准。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13.6投标人的投标单价报价在合同执行期间是固定不变的，不得以任何理由予以变更。</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13.7中标后开出的所有发票必须与中标人的名称一致。</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87" w:name="_Toc429559386"/>
      <w:bookmarkStart w:id="88" w:name="_Toc6821"/>
      <w:bookmarkStart w:id="89" w:name="_Toc10911"/>
      <w:bookmarkStart w:id="90" w:name="_Toc4478"/>
      <w:r>
        <w:rPr>
          <w:rFonts w:hint="eastAsia"/>
          <w:color w:val="000000" w:themeColor="text1"/>
          <w:sz w:val="24"/>
          <w:highlight w:val="none"/>
          <w14:textFill>
            <w14:solidFill>
              <w14:schemeClr w14:val="tx1"/>
            </w14:solidFill>
          </w14:textFill>
        </w:rPr>
        <w:t>14．投标货币</w:t>
      </w:r>
      <w:bookmarkEnd w:id="87"/>
      <w:bookmarkEnd w:id="88"/>
      <w:bookmarkEnd w:id="89"/>
      <w:bookmarkEnd w:id="90"/>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投标人所提供的货物或服务均以人民币报价。</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91" w:name="_Toc27814"/>
      <w:bookmarkStart w:id="92" w:name="_Toc1154"/>
      <w:bookmarkStart w:id="93" w:name="_Toc24754"/>
      <w:bookmarkStart w:id="94" w:name="_Toc429559387"/>
      <w:r>
        <w:rPr>
          <w:rFonts w:hint="eastAsia"/>
          <w:color w:val="000000" w:themeColor="text1"/>
          <w:sz w:val="24"/>
          <w:highlight w:val="none"/>
          <w14:textFill>
            <w14:solidFill>
              <w14:schemeClr w14:val="tx1"/>
            </w14:solidFill>
          </w14:textFill>
        </w:rPr>
        <w:t>15．</w:t>
      </w:r>
      <w:r>
        <w:rPr>
          <w:color w:val="000000" w:themeColor="text1"/>
          <w:sz w:val="24"/>
          <w:highlight w:val="none"/>
          <w14:textFill>
            <w14:solidFill>
              <w14:schemeClr w14:val="tx1"/>
            </w14:solidFill>
          </w14:textFill>
        </w:rPr>
        <w:t>投标有效期</w:t>
      </w:r>
      <w:bookmarkEnd w:id="91"/>
      <w:bookmarkEnd w:id="92"/>
      <w:bookmarkEnd w:id="93"/>
      <w:bookmarkEnd w:id="94"/>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15.1 投标文件应根据投标人须知的规定在投标截止日后的90天内保持有效。</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15.2 特殊情况下，在原有投标有效期截止之前，采购代理机构可要求投标人同意延长投标有效期。这种要求与答复均应以书面形式提交。接受投标有效期延长的投标人将不会被要求和允许修正其投标文件，而只会被要求相应地延长其投标保证金的有效期。在这种情况下，根据投标人须知有关投标保证金的退还和没收的规定将在延长了的有效期内继续有效。</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95" w:name="_Toc23457"/>
      <w:bookmarkStart w:id="96" w:name="_Toc28366"/>
      <w:bookmarkStart w:id="97" w:name="_Toc429559388"/>
      <w:bookmarkStart w:id="98" w:name="_Toc8539"/>
      <w:r>
        <w:rPr>
          <w:rFonts w:hint="eastAsia"/>
          <w:color w:val="000000" w:themeColor="text1"/>
          <w:sz w:val="24"/>
          <w:highlight w:val="none"/>
          <w14:textFill>
            <w14:solidFill>
              <w14:schemeClr w14:val="tx1"/>
            </w14:solidFill>
          </w14:textFill>
        </w:rPr>
        <w:t>16．投标保证金</w:t>
      </w:r>
      <w:bookmarkEnd w:id="95"/>
      <w:bookmarkEnd w:id="96"/>
      <w:bookmarkEnd w:id="97"/>
      <w:bookmarkEnd w:id="98"/>
    </w:p>
    <w:p>
      <w:pPr>
        <w:pStyle w:val="33"/>
        <w:spacing w:line="360" w:lineRule="auto"/>
        <w:ind w:firstLine="455"/>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16.1投标人应向采购代理机构提交投标保证金，并作为其投标文件的一部分。投标保证金的金额：（如投标人参与多个子包的投标，须按包号分别提交投标保证金。）</w:t>
      </w:r>
    </w:p>
    <w:tbl>
      <w:tblPr>
        <w:tblStyle w:val="23"/>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3872"/>
        <w:gridCol w:w="4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667" w:type="dxa"/>
            <w:shd w:val="clear" w:color="auto" w:fill="E0E0E0"/>
            <w:vAlign w:val="center"/>
          </w:tcPr>
          <w:p>
            <w:pPr>
              <w:jc w:val="center"/>
              <w:rPr>
                <w:b/>
                <w:color w:val="000000" w:themeColor="text1"/>
                <w:sz w:val="22"/>
                <w:highlight w:val="none"/>
                <w14:textFill>
                  <w14:solidFill>
                    <w14:schemeClr w14:val="tx1"/>
                  </w14:solidFill>
                </w14:textFill>
              </w:rPr>
            </w:pPr>
            <w:r>
              <w:rPr>
                <w:rFonts w:hint="eastAsia"/>
                <w:b/>
                <w:color w:val="000000" w:themeColor="text1"/>
                <w:sz w:val="22"/>
                <w:highlight w:val="none"/>
                <w14:textFill>
                  <w14:solidFill>
                    <w14:schemeClr w14:val="tx1"/>
                  </w14:solidFill>
                </w14:textFill>
              </w:rPr>
              <w:t>包号</w:t>
            </w:r>
          </w:p>
        </w:tc>
        <w:tc>
          <w:tcPr>
            <w:tcW w:w="3872" w:type="dxa"/>
            <w:shd w:val="clear" w:color="auto" w:fill="E0E0E0"/>
            <w:vAlign w:val="center"/>
          </w:tcPr>
          <w:p>
            <w:pPr>
              <w:jc w:val="center"/>
              <w:rPr>
                <w:b/>
                <w:color w:val="000000" w:themeColor="text1"/>
                <w:sz w:val="22"/>
                <w:highlight w:val="none"/>
                <w14:textFill>
                  <w14:solidFill>
                    <w14:schemeClr w14:val="tx1"/>
                  </w14:solidFill>
                </w14:textFill>
              </w:rPr>
            </w:pPr>
            <w:r>
              <w:rPr>
                <w:rFonts w:hint="eastAsia"/>
                <w:b/>
                <w:color w:val="000000" w:themeColor="text1"/>
                <w:sz w:val="22"/>
                <w:highlight w:val="none"/>
                <w14:textFill>
                  <w14:solidFill>
                    <w14:schemeClr w14:val="tx1"/>
                  </w14:solidFill>
                </w14:textFill>
              </w:rPr>
              <w:t>包组内容</w:t>
            </w:r>
          </w:p>
        </w:tc>
        <w:tc>
          <w:tcPr>
            <w:tcW w:w="4257" w:type="dxa"/>
            <w:shd w:val="clear" w:color="auto" w:fill="E0E0E0"/>
            <w:vAlign w:val="center"/>
          </w:tcPr>
          <w:p>
            <w:pPr>
              <w:jc w:val="center"/>
              <w:rPr>
                <w:b/>
                <w:color w:val="000000" w:themeColor="text1"/>
                <w:sz w:val="22"/>
                <w:highlight w:val="none"/>
                <w14:textFill>
                  <w14:solidFill>
                    <w14:schemeClr w14:val="tx1"/>
                  </w14:solidFill>
                </w14:textFill>
              </w:rPr>
            </w:pPr>
            <w:r>
              <w:rPr>
                <w:rFonts w:hint="eastAsia"/>
                <w:b/>
                <w:color w:val="000000" w:themeColor="text1"/>
                <w:sz w:val="22"/>
                <w:highlight w:val="none"/>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67" w:type="dxa"/>
            <w:vAlign w:val="center"/>
          </w:tcPr>
          <w:p>
            <w:pPr>
              <w:widowControl/>
              <w:jc w:val="center"/>
              <w:textAlignment w:val="center"/>
              <w:rPr>
                <w:rFonts w:ascii="宋体" w:cs="宋体"/>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A</w:t>
            </w:r>
          </w:p>
        </w:tc>
        <w:tc>
          <w:tcPr>
            <w:tcW w:w="3872" w:type="dxa"/>
            <w:vAlign w:val="center"/>
          </w:tcPr>
          <w:p>
            <w:pPr>
              <w:widowControl/>
              <w:jc w:val="center"/>
              <w:textAlignment w:val="bottom"/>
              <w:rPr>
                <w:rFonts w:ascii="宋体" w:eastAsia="仿宋_GB2312" w:cs="宋体"/>
                <w:color w:val="000000" w:themeColor="text1"/>
                <w:sz w:val="22"/>
                <w:highlight w:val="none"/>
                <w14:textFill>
                  <w14:solidFill>
                    <w14:schemeClr w14:val="tx1"/>
                  </w14:solidFill>
                </w14:textFill>
              </w:rPr>
            </w:pPr>
            <w:r>
              <w:rPr>
                <w:rFonts w:hint="eastAsia" w:ascii="宋体"/>
                <w:bCs/>
                <w:color w:val="000000" w:themeColor="text1"/>
                <w:sz w:val="22"/>
                <w:szCs w:val="22"/>
                <w:highlight w:val="none"/>
                <w:lang w:eastAsia="zh-CN"/>
                <w14:textFill>
                  <w14:solidFill>
                    <w14:schemeClr w14:val="tx1"/>
                  </w14:solidFill>
                </w14:textFill>
              </w:rPr>
              <w:t>医疗设备采购项目</w:t>
            </w:r>
          </w:p>
        </w:tc>
        <w:tc>
          <w:tcPr>
            <w:tcW w:w="4257" w:type="dxa"/>
            <w:vAlign w:val="center"/>
          </w:tcPr>
          <w:p>
            <w:pPr>
              <w:pStyle w:val="43"/>
              <w:spacing w:line="300" w:lineRule="exact"/>
              <w:ind w:firstLine="0" w:firstLineChars="0"/>
              <w:jc w:val="center"/>
              <w:rPr>
                <w:rFonts w:ascii="宋体" w:cs="宋体"/>
                <w:color w:val="000000" w:themeColor="text1"/>
                <w:sz w:val="22"/>
                <w:highlight w:val="none"/>
                <w14:textFill>
                  <w14:solidFill>
                    <w14:schemeClr w14:val="tx1"/>
                  </w14:solidFill>
                </w14:textFill>
              </w:rPr>
            </w:pPr>
            <w:r>
              <w:rPr>
                <w:rFonts w:hint="eastAsia" w:ascii="宋体" w:cs="宋体"/>
                <w:color w:val="000000" w:themeColor="text1"/>
                <w:sz w:val="22"/>
                <w:highlight w:val="none"/>
                <w14:textFill>
                  <w14:solidFill>
                    <w14:schemeClr w14:val="tx1"/>
                  </w14:solidFill>
                </w14:textFill>
              </w:rPr>
              <w:t>35,000.00（人民币叁万伍仟元整）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67" w:type="dxa"/>
            <w:vAlign w:val="center"/>
          </w:tcPr>
          <w:p>
            <w:pPr>
              <w:widowControl/>
              <w:jc w:val="center"/>
              <w:textAlignment w:val="center"/>
              <w:rPr>
                <w:rFonts w:ascii="宋体" w:hAnsi="宋体"/>
                <w:bCs/>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B</w:t>
            </w:r>
          </w:p>
        </w:tc>
        <w:tc>
          <w:tcPr>
            <w:tcW w:w="3872" w:type="dxa"/>
            <w:vAlign w:val="center"/>
          </w:tcPr>
          <w:p>
            <w:pPr>
              <w:widowControl/>
              <w:jc w:val="center"/>
              <w:textAlignment w:val="center"/>
              <w:rPr>
                <w:rFonts w:ascii="宋体" w:cs="宋体"/>
                <w:color w:val="000000" w:themeColor="text1"/>
                <w:sz w:val="22"/>
                <w:highlight w:val="none"/>
                <w14:textFill>
                  <w14:solidFill>
                    <w14:schemeClr w14:val="tx1"/>
                  </w14:solidFill>
                </w14:textFill>
              </w:rPr>
            </w:pPr>
            <w:r>
              <w:rPr>
                <w:rFonts w:hint="eastAsia" w:ascii="宋体"/>
                <w:bCs/>
                <w:color w:val="000000" w:themeColor="text1"/>
                <w:sz w:val="22"/>
                <w:szCs w:val="22"/>
                <w:highlight w:val="none"/>
                <w:lang w:eastAsia="zh-CN"/>
                <w14:textFill>
                  <w14:solidFill>
                    <w14:schemeClr w14:val="tx1"/>
                  </w14:solidFill>
                </w14:textFill>
              </w:rPr>
              <w:t>医疗设备采购项目</w:t>
            </w:r>
          </w:p>
        </w:tc>
        <w:tc>
          <w:tcPr>
            <w:tcW w:w="4257" w:type="dxa"/>
            <w:vAlign w:val="center"/>
          </w:tcPr>
          <w:p>
            <w:pPr>
              <w:pStyle w:val="43"/>
              <w:spacing w:line="300" w:lineRule="exact"/>
              <w:ind w:firstLine="0" w:firstLineChars="0"/>
              <w:jc w:val="center"/>
              <w:rPr>
                <w:rFonts w:ascii="宋体" w:cs="宋体"/>
                <w:color w:val="000000" w:themeColor="text1"/>
                <w:sz w:val="22"/>
                <w:highlight w:val="none"/>
                <w14:textFill>
                  <w14:solidFill>
                    <w14:schemeClr w14:val="tx1"/>
                  </w14:solidFill>
                </w14:textFill>
              </w:rPr>
            </w:pPr>
            <w:r>
              <w:rPr>
                <w:rFonts w:hint="eastAsia" w:ascii="宋体" w:cs="宋体"/>
                <w:color w:val="000000" w:themeColor="text1"/>
                <w:sz w:val="22"/>
                <w:highlight w:val="none"/>
                <w14:textFill>
                  <w14:solidFill>
                    <w14:schemeClr w14:val="tx1"/>
                  </w14:solidFill>
                </w14:textFill>
              </w:rPr>
              <w:t>30,000.00（人民币叁万元整）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667" w:type="dxa"/>
            <w:vAlign w:val="center"/>
          </w:tcPr>
          <w:p>
            <w:pPr>
              <w:widowControl/>
              <w:jc w:val="center"/>
              <w:textAlignment w:val="center"/>
              <w:rPr>
                <w:rFonts w:ascii="宋体" w:hAnsi="宋体"/>
                <w:bCs/>
                <w:color w:val="000000" w:themeColor="text1"/>
                <w:sz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C</w:t>
            </w:r>
          </w:p>
        </w:tc>
        <w:tc>
          <w:tcPr>
            <w:tcW w:w="3872" w:type="dxa"/>
            <w:vAlign w:val="center"/>
          </w:tcPr>
          <w:p>
            <w:pPr>
              <w:widowControl/>
              <w:jc w:val="center"/>
              <w:textAlignment w:val="bottom"/>
              <w:rPr>
                <w:rFonts w:ascii="宋体" w:cs="宋体"/>
                <w:color w:val="000000" w:themeColor="text1"/>
                <w:sz w:val="22"/>
                <w:highlight w:val="none"/>
                <w14:textFill>
                  <w14:solidFill>
                    <w14:schemeClr w14:val="tx1"/>
                  </w14:solidFill>
                </w14:textFill>
              </w:rPr>
            </w:pPr>
            <w:r>
              <w:rPr>
                <w:rFonts w:hint="eastAsia" w:ascii="宋体"/>
                <w:bCs/>
                <w:color w:val="000000" w:themeColor="text1"/>
                <w:sz w:val="22"/>
                <w:szCs w:val="22"/>
                <w:highlight w:val="none"/>
                <w:lang w:eastAsia="zh-CN"/>
                <w14:textFill>
                  <w14:solidFill>
                    <w14:schemeClr w14:val="tx1"/>
                  </w14:solidFill>
                </w14:textFill>
              </w:rPr>
              <w:t>医疗设备采购项目</w:t>
            </w:r>
          </w:p>
        </w:tc>
        <w:tc>
          <w:tcPr>
            <w:tcW w:w="4257" w:type="dxa"/>
            <w:vAlign w:val="center"/>
          </w:tcPr>
          <w:p>
            <w:pPr>
              <w:pStyle w:val="43"/>
              <w:spacing w:line="300" w:lineRule="exact"/>
              <w:ind w:firstLine="0" w:firstLineChars="0"/>
              <w:jc w:val="center"/>
              <w:rPr>
                <w:rFonts w:ascii="宋体" w:cs="宋体"/>
                <w:color w:val="000000" w:themeColor="text1"/>
                <w:sz w:val="22"/>
                <w:highlight w:val="none"/>
                <w14:textFill>
                  <w14:solidFill>
                    <w14:schemeClr w14:val="tx1"/>
                  </w14:solidFill>
                </w14:textFill>
              </w:rPr>
            </w:pPr>
            <w:r>
              <w:rPr>
                <w:rFonts w:hint="eastAsia" w:ascii="宋体" w:cs="宋体"/>
                <w:color w:val="000000" w:themeColor="text1"/>
                <w:sz w:val="22"/>
                <w:highlight w:val="none"/>
                <w14:textFill>
                  <w14:solidFill>
                    <w14:schemeClr w14:val="tx1"/>
                  </w14:solidFill>
                </w14:textFill>
              </w:rPr>
              <w:t>8,000.00（人民币捌仟元整）</w:t>
            </w:r>
          </w:p>
        </w:tc>
      </w:tr>
    </w:tbl>
    <w:p>
      <w:pPr>
        <w:pStyle w:val="33"/>
        <w:spacing w:beforeLines="50" w:line="360" w:lineRule="auto"/>
        <w:ind w:firstLine="450" w:firstLineChars="205"/>
        <w:rPr>
          <w:rFonts w:ascii="宋体" w:eastAsia="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16.2</w:t>
      </w:r>
      <w:r>
        <w:rPr>
          <w:rFonts w:hint="eastAsia" w:ascii="宋体" w:eastAsia="宋体" w:cs="宋体"/>
          <w:color w:val="000000" w:themeColor="text1"/>
          <w:sz w:val="22"/>
          <w:szCs w:val="22"/>
          <w:highlight w:val="none"/>
          <w14:textFill>
            <w14:solidFill>
              <w14:schemeClr w14:val="tx1"/>
            </w14:solidFill>
          </w14:textFill>
        </w:rPr>
        <w:t>提交投标保证金办法：供应商应采用银行转账、电汇或《政府采购投标担保函》形式提交，且提交人与投标供应商名称必须一致。供应商可以按下列任何一种方式提交投标保证金。</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1</w:t>
      </w:r>
      <w:r>
        <w:rPr>
          <w:rFonts w:hint="eastAsia" w:ascii="宋体" w:eastAsia="宋体" w:cs="宋体"/>
          <w:color w:val="000000" w:themeColor="text1"/>
          <w:sz w:val="22"/>
          <w:szCs w:val="22"/>
          <w:highlight w:val="none"/>
          <w14:textFill>
            <w14:solidFill>
              <w14:schemeClr w14:val="tx1"/>
            </w14:solidFill>
          </w14:textFill>
        </w:rPr>
        <w:t>）采用银行转账、电汇方式提交的，投标人在转账或电汇时须在用途栏上写明采购编号。投标保证金缴纳时间：自招标公告发出之日起，至开标截止时间止。（以投标保证金到账时间为准）。</w:t>
      </w:r>
    </w:p>
    <w:p>
      <w:pPr>
        <w:pStyle w:val="33"/>
        <w:spacing w:line="360" w:lineRule="auto"/>
        <w:ind w:firstLine="1228" w:firstLineChars="556"/>
        <w:rPr>
          <w:rFonts w:ascii="宋体" w:eastAsia="宋体"/>
          <w:b/>
          <w:bCs/>
          <w:color w:val="000000" w:themeColor="text1"/>
          <w:sz w:val="22"/>
          <w:szCs w:val="22"/>
          <w:highlight w:val="none"/>
          <w14:textFill>
            <w14:solidFill>
              <w14:schemeClr w14:val="tx1"/>
            </w14:solidFill>
          </w14:textFill>
        </w:rPr>
      </w:pPr>
      <w:r>
        <w:rPr>
          <w:rFonts w:hint="eastAsia" w:ascii="宋体" w:eastAsia="宋体" w:cs="宋体"/>
          <w:b/>
          <w:bCs/>
          <w:color w:val="000000" w:themeColor="text1"/>
          <w:sz w:val="22"/>
          <w:szCs w:val="22"/>
          <w:highlight w:val="none"/>
          <w14:textFill>
            <w14:solidFill>
              <w14:schemeClr w14:val="tx1"/>
            </w14:solidFill>
          </w14:textFill>
        </w:rPr>
        <w:t>收款单位名称：广东中凯工程管理咨询有限公司</w:t>
      </w:r>
    </w:p>
    <w:p>
      <w:pPr>
        <w:pStyle w:val="33"/>
        <w:spacing w:line="360" w:lineRule="auto"/>
        <w:ind w:firstLine="1228" w:firstLineChars="556"/>
        <w:rPr>
          <w:rFonts w:ascii="宋体" w:eastAsia="宋体"/>
          <w:b/>
          <w:bCs/>
          <w:color w:val="000000" w:themeColor="text1"/>
          <w:sz w:val="22"/>
          <w:szCs w:val="22"/>
          <w:highlight w:val="none"/>
          <w14:textFill>
            <w14:solidFill>
              <w14:schemeClr w14:val="tx1"/>
            </w14:solidFill>
          </w14:textFill>
        </w:rPr>
      </w:pPr>
      <w:r>
        <w:rPr>
          <w:rFonts w:hint="eastAsia" w:ascii="宋体" w:eastAsia="宋体" w:cs="宋体"/>
          <w:b/>
          <w:bCs/>
          <w:color w:val="000000" w:themeColor="text1"/>
          <w:sz w:val="22"/>
          <w:szCs w:val="22"/>
          <w:highlight w:val="none"/>
          <w14:textFill>
            <w14:solidFill>
              <w14:schemeClr w14:val="tx1"/>
            </w14:solidFill>
          </w14:textFill>
        </w:rPr>
        <w:t>收款单位开户行：东莞农村商业银行东联支行营业部</w:t>
      </w:r>
    </w:p>
    <w:p>
      <w:pPr>
        <w:pStyle w:val="33"/>
        <w:spacing w:line="360" w:lineRule="auto"/>
        <w:ind w:firstLine="1228" w:firstLineChars="556"/>
        <w:rPr>
          <w:rFonts w:ascii="宋体" w:eastAsia="宋体"/>
          <w:b/>
          <w:bCs/>
          <w:color w:val="000000" w:themeColor="text1"/>
          <w:sz w:val="22"/>
          <w:szCs w:val="22"/>
          <w:highlight w:val="none"/>
          <w14:textFill>
            <w14:solidFill>
              <w14:schemeClr w14:val="tx1"/>
            </w14:solidFill>
          </w14:textFill>
        </w:rPr>
      </w:pPr>
      <w:r>
        <w:rPr>
          <w:rFonts w:hint="eastAsia" w:ascii="宋体" w:eastAsia="宋体" w:cs="宋体"/>
          <w:b/>
          <w:bCs/>
          <w:color w:val="000000" w:themeColor="text1"/>
          <w:sz w:val="22"/>
          <w:szCs w:val="22"/>
          <w:highlight w:val="none"/>
          <w14:textFill>
            <w14:solidFill>
              <w14:schemeClr w14:val="tx1"/>
            </w14:solidFill>
          </w14:textFill>
        </w:rPr>
        <w:t>收款单位账号：</w:t>
      </w:r>
      <w:r>
        <w:rPr>
          <w:rFonts w:ascii="宋体" w:cs="宋体"/>
          <w:b/>
          <w:bCs/>
          <w:color w:val="000000" w:themeColor="text1"/>
          <w:sz w:val="22"/>
          <w:szCs w:val="22"/>
          <w:highlight w:val="none"/>
          <w14:textFill>
            <w14:solidFill>
              <w14:schemeClr w14:val="tx1"/>
            </w14:solidFill>
          </w14:textFill>
        </w:rPr>
        <w:t>3100 1019 0010 0379 96</w:t>
      </w:r>
    </w:p>
    <w:p>
      <w:pPr>
        <w:pStyle w:val="20"/>
        <w:spacing w:line="360" w:lineRule="auto"/>
        <w:ind w:firstLine="455" w:firstLineChars="206"/>
        <w:jc w:val="both"/>
        <w:rPr>
          <w:rFonts w:ascii="宋体"/>
          <w:b/>
          <w:bCs/>
          <w:color w:val="000000" w:themeColor="text1"/>
          <w:sz w:val="22"/>
          <w:szCs w:val="22"/>
          <w:highlight w:val="none"/>
          <w14:textFill>
            <w14:solidFill>
              <w14:schemeClr w14:val="tx1"/>
            </w14:solidFill>
          </w14:textFill>
        </w:rPr>
      </w:pPr>
      <w:r>
        <w:rPr>
          <w:rFonts w:hint="eastAsia" w:ascii="宋体" w:cs="宋体"/>
          <w:b/>
          <w:bCs/>
          <w:color w:val="000000" w:themeColor="text1"/>
          <w:sz w:val="22"/>
          <w:szCs w:val="22"/>
          <w:highlight w:val="none"/>
          <w14:textFill>
            <w14:solidFill>
              <w14:schemeClr w14:val="tx1"/>
            </w14:solidFill>
          </w14:textFill>
        </w:rPr>
        <w:t>说明：投标保证金未按规定时间到达指定账户或者交纳金额不足的，将被认定为无效投标。</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2</w:t>
      </w:r>
      <w:r>
        <w:rPr>
          <w:rFonts w:hint="eastAsia" w:ascii="宋体" w:eastAsia="宋体" w:cs="宋体"/>
          <w:color w:val="000000" w:themeColor="text1"/>
          <w:sz w:val="22"/>
          <w:szCs w:val="22"/>
          <w:highlight w:val="none"/>
          <w14:textFill>
            <w14:solidFill>
              <w14:schemeClr w14:val="tx1"/>
            </w14:solidFill>
          </w14:textFill>
        </w:rPr>
        <w:t>）采用《政府采购投标担保函》提交的，应符合下列规定。</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①由专业担保机构或金融机构出具；</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②投标担保函有效期应与投标有效期一致；</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③投标担保金额不得少于本项目的投标保证金；</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④投标担保函在提交投标文件截止时间同时必须交给代理机构处，以采购代理机构收到投标担保函的签收时间为准。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16.3</w:t>
      </w:r>
      <w:r>
        <w:rPr>
          <w:rFonts w:hint="eastAsia" w:ascii="宋体" w:eastAsia="宋体" w:cs="宋体"/>
          <w:color w:val="000000" w:themeColor="text1"/>
          <w:sz w:val="22"/>
          <w:szCs w:val="22"/>
          <w:highlight w:val="none"/>
          <w14:textFill>
            <w14:solidFill>
              <w14:schemeClr w14:val="tx1"/>
            </w14:solidFill>
          </w14:textFill>
        </w:rPr>
        <w:t>投标保证金是为了保护采购代理机构和采购人免遭因供应商的行为而蒙受损失，采购代理机构、采购人在因为供应商的行为受到损害时其投标保证金可不予退还。</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16.4</w:t>
      </w:r>
      <w:r>
        <w:rPr>
          <w:rFonts w:hint="eastAsia" w:ascii="宋体" w:eastAsia="宋体" w:cs="宋体"/>
          <w:color w:val="000000" w:themeColor="text1"/>
          <w:sz w:val="22"/>
          <w:szCs w:val="22"/>
          <w:highlight w:val="none"/>
          <w14:textFill>
            <w14:solidFill>
              <w14:schemeClr w14:val="tx1"/>
            </w14:solidFill>
          </w14:textFill>
        </w:rPr>
        <w:t>未中标供应商的投标保证金自中标通知书发出后</w:t>
      </w:r>
      <w:r>
        <w:rPr>
          <w:rFonts w:ascii="宋体" w:eastAsia="宋体" w:cs="宋体"/>
          <w:color w:val="000000" w:themeColor="text1"/>
          <w:sz w:val="22"/>
          <w:szCs w:val="22"/>
          <w:highlight w:val="none"/>
          <w14:textFill>
            <w14:solidFill>
              <w14:schemeClr w14:val="tx1"/>
            </w14:solidFill>
          </w14:textFill>
        </w:rPr>
        <w:t>5</w:t>
      </w:r>
      <w:r>
        <w:rPr>
          <w:rFonts w:hint="eastAsia" w:ascii="宋体" w:eastAsia="宋体" w:cs="宋体"/>
          <w:color w:val="000000" w:themeColor="text1"/>
          <w:sz w:val="22"/>
          <w:szCs w:val="22"/>
          <w:highlight w:val="none"/>
          <w14:textFill>
            <w14:solidFill>
              <w14:schemeClr w14:val="tx1"/>
            </w14:solidFill>
          </w14:textFill>
        </w:rPr>
        <w:t>个工作日内退还（不计利息）。</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16.5</w:t>
      </w:r>
      <w:r>
        <w:rPr>
          <w:rFonts w:hint="eastAsia" w:ascii="宋体" w:eastAsia="宋体" w:cs="宋体"/>
          <w:color w:val="000000" w:themeColor="text1"/>
          <w:sz w:val="22"/>
          <w:szCs w:val="22"/>
          <w:highlight w:val="none"/>
          <w14:textFill>
            <w14:solidFill>
              <w14:schemeClr w14:val="tx1"/>
            </w14:solidFill>
          </w14:textFill>
        </w:rPr>
        <w:t>中标供应商的投标保证金自政府采购合同签订之日起</w:t>
      </w:r>
      <w:r>
        <w:rPr>
          <w:rFonts w:ascii="宋体" w:eastAsia="宋体" w:cs="宋体"/>
          <w:color w:val="000000" w:themeColor="text1"/>
          <w:sz w:val="22"/>
          <w:szCs w:val="22"/>
          <w:highlight w:val="none"/>
          <w14:textFill>
            <w14:solidFill>
              <w14:schemeClr w14:val="tx1"/>
            </w14:solidFill>
          </w14:textFill>
        </w:rPr>
        <w:t>5</w:t>
      </w:r>
      <w:r>
        <w:rPr>
          <w:rFonts w:hint="eastAsia" w:ascii="宋体" w:eastAsia="宋体" w:cs="宋体"/>
          <w:color w:val="000000" w:themeColor="text1"/>
          <w:sz w:val="22"/>
          <w:szCs w:val="22"/>
          <w:highlight w:val="none"/>
          <w14:textFill>
            <w14:solidFill>
              <w14:schemeClr w14:val="tx1"/>
            </w14:solidFill>
          </w14:textFill>
        </w:rPr>
        <w:t>个工作日内退还（不计利息）。</w:t>
      </w:r>
    </w:p>
    <w:p>
      <w:pPr>
        <w:pStyle w:val="33"/>
        <w:spacing w:line="360" w:lineRule="auto"/>
        <w:ind w:firstLine="453"/>
        <w:rPr>
          <w:rFonts w:ascii="宋体" w:eastAsia="宋体" w:cs="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16.6</w:t>
      </w:r>
      <w:r>
        <w:rPr>
          <w:rFonts w:hint="eastAsia" w:ascii="宋体" w:eastAsia="宋体" w:cs="宋体"/>
          <w:color w:val="000000" w:themeColor="text1"/>
          <w:sz w:val="22"/>
          <w:szCs w:val="22"/>
          <w:highlight w:val="none"/>
          <w14:textFill>
            <w14:solidFill>
              <w14:schemeClr w14:val="tx1"/>
            </w14:solidFill>
          </w14:textFill>
        </w:rPr>
        <w:t>有下列情形之一的，投标保证金不予退还：</w:t>
      </w:r>
    </w:p>
    <w:p>
      <w:pPr>
        <w:pStyle w:val="20"/>
        <w:spacing w:line="360" w:lineRule="auto"/>
        <w:ind w:left="2" w:firstLine="422" w:firstLineChars="192"/>
        <w:jc w:val="both"/>
        <w:rPr>
          <w:rFonts w:ascii="宋体" w:hAnsi="宋体" w:cs="宋体"/>
          <w:color w:val="000000" w:themeColor="text1"/>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16.6.1</w:t>
      </w:r>
      <w:r>
        <w:rPr>
          <w:rFonts w:hint="eastAsia" w:ascii="宋体" w:hAnsi="宋体" w:cs="宋体"/>
          <w:color w:val="000000" w:themeColor="text1"/>
          <w:sz w:val="22"/>
          <w:szCs w:val="22"/>
          <w:highlight w:val="none"/>
          <w14:textFill>
            <w14:solidFill>
              <w14:schemeClr w14:val="tx1"/>
            </w14:solidFill>
          </w14:textFill>
        </w:rPr>
        <w:t>在递交投标文件截止时间至投标有效期满之前，投标供应商撤回其投标文件的；</w:t>
      </w:r>
    </w:p>
    <w:p>
      <w:pPr>
        <w:pStyle w:val="32"/>
        <w:spacing w:line="360" w:lineRule="auto"/>
        <w:ind w:firstLine="422"/>
        <w:rPr>
          <w:rFonts w:ascii="宋体" w:eastAsia="宋体"/>
          <w:color w:val="000000" w:themeColor="text1"/>
          <w:sz w:val="22"/>
          <w:szCs w:val="22"/>
          <w:highlight w:val="none"/>
          <w14:textFill>
            <w14:solidFill>
              <w14:schemeClr w14:val="tx1"/>
            </w14:solidFill>
          </w14:textFill>
        </w:rPr>
      </w:pPr>
      <w:r>
        <w:rPr>
          <w:rFonts w:ascii="宋体" w:eastAsia="宋体" w:cs="宋体"/>
          <w:color w:val="000000" w:themeColor="text1"/>
          <w:sz w:val="22"/>
          <w:szCs w:val="22"/>
          <w:highlight w:val="none"/>
          <w14:textFill>
            <w14:solidFill>
              <w14:schemeClr w14:val="tx1"/>
            </w14:solidFill>
          </w14:textFill>
        </w:rPr>
        <w:t>16.6.2</w:t>
      </w:r>
      <w:r>
        <w:rPr>
          <w:rFonts w:hint="eastAsia" w:ascii="宋体" w:eastAsia="宋体" w:cs="宋体"/>
          <w:color w:val="000000" w:themeColor="text1"/>
          <w:sz w:val="22"/>
          <w:szCs w:val="22"/>
          <w:highlight w:val="none"/>
          <w14:textFill>
            <w14:solidFill>
              <w14:schemeClr w14:val="tx1"/>
            </w14:solidFill>
          </w14:textFill>
        </w:rPr>
        <w:t>提供虚假投标文件或虚假补充文件的，或经政府采购监督管理部门审查认定投标人有违反《中华人民共和国政府采购法》等有关法规的行为。</w:t>
      </w:r>
    </w:p>
    <w:p>
      <w:pPr>
        <w:pStyle w:val="4"/>
        <w:spacing w:beforeLines="100" w:afterLines="100" w:line="360" w:lineRule="auto"/>
        <w:rPr>
          <w:rFonts w:ascii="宋体" w:hAnsi="宋体" w:eastAsia="宋体"/>
          <w:bCs/>
          <w:color w:val="000000" w:themeColor="text1"/>
          <w:szCs w:val="32"/>
          <w:highlight w:val="none"/>
          <w14:textFill>
            <w14:solidFill>
              <w14:schemeClr w14:val="tx1"/>
            </w14:solidFill>
          </w14:textFill>
        </w:rPr>
      </w:pPr>
      <w:bookmarkStart w:id="99" w:name="_Toc3276"/>
      <w:bookmarkStart w:id="100" w:name="_Toc17417_WPSOffice_Level2"/>
      <w:bookmarkStart w:id="101" w:name="_Toc429559389"/>
      <w:bookmarkStart w:id="102" w:name="_Toc9355"/>
      <w:bookmarkStart w:id="103" w:name="_Toc28421"/>
      <w:bookmarkStart w:id="104" w:name="_Toc31270_WPSOffice_Level2"/>
      <w:r>
        <w:rPr>
          <w:rFonts w:hint="eastAsia" w:ascii="宋体" w:hAnsi="宋体" w:eastAsia="宋体"/>
          <w:bCs/>
          <w:color w:val="000000" w:themeColor="text1"/>
          <w:szCs w:val="32"/>
          <w:highlight w:val="none"/>
          <w14:textFill>
            <w14:solidFill>
              <w14:schemeClr w14:val="tx1"/>
            </w14:solidFill>
          </w14:textFill>
        </w:rPr>
        <w:t>四、投标文件的提交</w:t>
      </w:r>
      <w:bookmarkEnd w:id="99"/>
      <w:bookmarkEnd w:id="100"/>
      <w:bookmarkEnd w:id="101"/>
      <w:bookmarkEnd w:id="102"/>
      <w:bookmarkEnd w:id="103"/>
      <w:bookmarkEnd w:id="104"/>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05" w:name="_Toc3549"/>
      <w:bookmarkStart w:id="106" w:name="_Toc31146"/>
      <w:bookmarkStart w:id="107" w:name="_Toc18378"/>
      <w:bookmarkStart w:id="108" w:name="_Toc429559390"/>
      <w:r>
        <w:rPr>
          <w:rFonts w:hint="eastAsia"/>
          <w:color w:val="000000" w:themeColor="text1"/>
          <w:sz w:val="24"/>
          <w:highlight w:val="none"/>
          <w14:textFill>
            <w14:solidFill>
              <w14:schemeClr w14:val="tx1"/>
            </w14:solidFill>
          </w14:textFill>
        </w:rPr>
        <w:t>17．</w:t>
      </w:r>
      <w:r>
        <w:rPr>
          <w:color w:val="000000" w:themeColor="text1"/>
          <w:sz w:val="24"/>
          <w:highlight w:val="none"/>
          <w14:textFill>
            <w14:solidFill>
              <w14:schemeClr w14:val="tx1"/>
            </w14:solidFill>
          </w14:textFill>
        </w:rPr>
        <w:t>投标文件的标记和密封</w:t>
      </w:r>
      <w:bookmarkEnd w:id="105"/>
      <w:bookmarkEnd w:id="106"/>
      <w:bookmarkEnd w:id="107"/>
      <w:bookmarkEnd w:id="108"/>
    </w:p>
    <w:p>
      <w:pPr>
        <w:pStyle w:val="33"/>
        <w:spacing w:line="360" w:lineRule="auto"/>
        <w:ind w:firstLine="528" w:firstLineChars="240"/>
        <w:rPr>
          <w:rFonts w:ascii="宋体" w:eastAsia="宋体"/>
          <w:color w:val="000000" w:themeColor="text1"/>
          <w:sz w:val="22"/>
          <w:szCs w:val="22"/>
          <w:highlight w:val="none"/>
          <w14:textFill>
            <w14:solidFill>
              <w14:schemeClr w14:val="tx1"/>
            </w14:solidFill>
          </w14:textFill>
        </w:rPr>
      </w:pPr>
      <w:bookmarkStart w:id="109" w:name="_Toc36971235"/>
      <w:bookmarkStart w:id="110" w:name="_Toc39071059"/>
      <w:r>
        <w:rPr>
          <w:rFonts w:hint="eastAsia" w:ascii="宋体" w:eastAsia="宋体"/>
          <w:color w:val="000000" w:themeColor="text1"/>
          <w:sz w:val="22"/>
          <w:szCs w:val="22"/>
          <w:highlight w:val="none"/>
          <w14:textFill>
            <w14:solidFill>
              <w14:schemeClr w14:val="tx1"/>
            </w14:solidFill>
          </w14:textFill>
        </w:rPr>
        <w:t>17.1投标人应将投标文件的正本、副本、唱标信封分开单独密封包装。在密封袋上标明“正本”、“副本”、“唱标信封”的字样，并在密封袋的封口处加盖投标人公章。</w:t>
      </w:r>
    </w:p>
    <w:p>
      <w:pPr>
        <w:pStyle w:val="33"/>
        <w:spacing w:line="360" w:lineRule="auto"/>
        <w:ind w:left="420" w:leftChars="200" w:firstLine="110" w:firstLineChars="5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17.2在投标文件密封袋上均应标明以下内容：</w:t>
      </w:r>
    </w:p>
    <w:p>
      <w:pPr>
        <w:pStyle w:val="31"/>
        <w:spacing w:line="360" w:lineRule="auto"/>
        <w:ind w:left="1050" w:leftChars="500"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（1）采购编号：；</w:t>
      </w:r>
    </w:p>
    <w:p>
      <w:pPr>
        <w:pStyle w:val="31"/>
        <w:spacing w:line="360" w:lineRule="auto"/>
        <w:ind w:left="1050" w:leftChars="500"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（2）项目名称：</w:t>
      </w:r>
      <w:r>
        <w:rPr>
          <w:rFonts w:hint="eastAsia" w:ascii="宋体" w:eastAsia="宋体"/>
          <w:color w:val="000000" w:themeColor="text1"/>
          <w:sz w:val="22"/>
          <w:szCs w:val="22"/>
          <w:highlight w:val="none"/>
          <w:lang w:eastAsia="zh-CN"/>
          <w14:textFill>
            <w14:solidFill>
              <w14:schemeClr w14:val="tx1"/>
            </w14:solidFill>
          </w14:textFill>
        </w:rPr>
        <w:t>东莞市妇幼保健院医疗设备采购项目</w:t>
      </w:r>
      <w:r>
        <w:rPr>
          <w:rFonts w:hint="eastAsia" w:ascii="宋体" w:eastAsia="宋体"/>
          <w:color w:val="000000" w:themeColor="text1"/>
          <w:sz w:val="22"/>
          <w:szCs w:val="22"/>
          <w:highlight w:val="none"/>
          <w14:textFill>
            <w14:solidFill>
              <w14:schemeClr w14:val="tx1"/>
            </w14:solidFill>
          </w14:textFill>
        </w:rPr>
        <w:t>；</w:t>
      </w:r>
    </w:p>
    <w:p>
      <w:pPr>
        <w:pStyle w:val="31"/>
        <w:spacing w:line="360" w:lineRule="auto"/>
        <w:ind w:left="1050" w:leftChars="500"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（3）2020年</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月</w:t>
      </w:r>
      <w:r>
        <w:rPr>
          <w:rFonts w:hint="eastAsia" w:ascii="宋体" w:eastAsia="宋体"/>
          <w:color w:val="000000" w:themeColor="text1"/>
          <w:sz w:val="22"/>
          <w:szCs w:val="22"/>
          <w:highlight w:val="none"/>
          <w:lang w:val="en-US" w:eastAsia="zh-CN"/>
          <w14:textFill>
            <w14:solidFill>
              <w14:schemeClr w14:val="tx1"/>
            </w14:solidFill>
          </w14:textFill>
        </w:rPr>
        <w:t>10</w:t>
      </w:r>
      <w:r>
        <w:rPr>
          <w:rFonts w:hint="eastAsia" w:ascii="宋体" w:eastAsia="宋体"/>
          <w:color w:val="000000" w:themeColor="text1"/>
          <w:sz w:val="22"/>
          <w:szCs w:val="22"/>
          <w:highlight w:val="none"/>
          <w14:textFill>
            <w14:solidFill>
              <w14:schemeClr w14:val="tx1"/>
            </w14:solidFill>
          </w14:textFill>
        </w:rPr>
        <w:t>日</w:t>
      </w:r>
      <w:r>
        <w:rPr>
          <w:rFonts w:hint="eastAsia" w:ascii="宋体" w:eastAsia="宋体"/>
          <w:color w:val="000000" w:themeColor="text1"/>
          <w:sz w:val="22"/>
          <w:szCs w:val="22"/>
          <w:highlight w:val="none"/>
          <w:lang w:val="en-US" w:eastAsia="zh-CN"/>
          <w14:textFill>
            <w14:solidFill>
              <w14:schemeClr w14:val="tx1"/>
            </w14:solidFill>
          </w14:textFill>
        </w:rPr>
        <w:t>15</w:t>
      </w:r>
      <w:r>
        <w:rPr>
          <w:rFonts w:hint="eastAsia" w:ascii="宋体" w:eastAsia="宋体"/>
          <w:color w:val="000000" w:themeColor="text1"/>
          <w:sz w:val="22"/>
          <w:szCs w:val="22"/>
          <w:highlight w:val="none"/>
          <w14:textFill>
            <w14:solidFill>
              <w14:schemeClr w14:val="tx1"/>
            </w14:solidFill>
          </w14:textFill>
        </w:rPr>
        <w:t>时</w:t>
      </w:r>
      <w:r>
        <w:rPr>
          <w:rFonts w:hint="eastAsia" w:ascii="宋体" w:eastAsia="宋体"/>
          <w:color w:val="000000" w:themeColor="text1"/>
          <w:sz w:val="22"/>
          <w:szCs w:val="22"/>
          <w:highlight w:val="none"/>
          <w:lang w:val="en-US" w:eastAsia="zh-CN"/>
          <w14:textFill>
            <w14:solidFill>
              <w14:schemeClr w14:val="tx1"/>
            </w14:solidFill>
          </w14:textFill>
        </w:rPr>
        <w:t>30</w:t>
      </w:r>
      <w:r>
        <w:rPr>
          <w:rFonts w:hint="eastAsia" w:ascii="宋体" w:eastAsia="宋体"/>
          <w:color w:val="000000" w:themeColor="text1"/>
          <w:sz w:val="22"/>
          <w:szCs w:val="22"/>
          <w:highlight w:val="none"/>
          <w14:textFill>
            <w14:solidFill>
              <w14:schemeClr w14:val="tx1"/>
            </w14:solidFill>
          </w14:textFill>
        </w:rPr>
        <w:t xml:space="preserve">分开标，此时间之前不得启封； </w:t>
      </w:r>
    </w:p>
    <w:p>
      <w:pPr>
        <w:pStyle w:val="31"/>
        <w:spacing w:line="360" w:lineRule="auto"/>
        <w:ind w:left="1050" w:leftChars="500"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（4）投标人名称:              ；</w:t>
      </w:r>
    </w:p>
    <w:p>
      <w:pPr>
        <w:pStyle w:val="31"/>
        <w:spacing w:line="360" w:lineRule="auto"/>
        <w:ind w:left="1050" w:leftChars="500"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（5）联系人：                ；</w:t>
      </w:r>
    </w:p>
    <w:p>
      <w:pPr>
        <w:pStyle w:val="31"/>
        <w:spacing w:line="360" w:lineRule="auto"/>
        <w:ind w:left="1050" w:leftChars="500"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（6）联系电话：              ；</w:t>
      </w:r>
    </w:p>
    <w:p>
      <w:pPr>
        <w:pStyle w:val="33"/>
        <w:spacing w:line="360" w:lineRule="auto"/>
        <w:ind w:right="31" w:firstLine="453"/>
        <w:rPr>
          <w:rFonts w:ascii="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1</w:t>
      </w:r>
      <w:r>
        <w:rPr>
          <w:rFonts w:hint="eastAsia" w:ascii="宋体" w:eastAsia="宋体"/>
          <w:color w:val="000000" w:themeColor="text1"/>
          <w:sz w:val="22"/>
          <w:szCs w:val="22"/>
          <w:highlight w:val="none"/>
          <w14:textFill>
            <w14:solidFill>
              <w14:schemeClr w14:val="tx1"/>
            </w14:solidFill>
          </w14:textFill>
        </w:rPr>
        <w:t>7</w:t>
      </w:r>
      <w:r>
        <w:rPr>
          <w:rFonts w:ascii="宋体" w:eastAsia="宋体"/>
          <w:color w:val="000000" w:themeColor="text1"/>
          <w:sz w:val="22"/>
          <w:szCs w:val="22"/>
          <w:highlight w:val="none"/>
          <w14:textFill>
            <w14:solidFill>
              <w14:schemeClr w14:val="tx1"/>
            </w14:solidFill>
          </w14:textFill>
        </w:rPr>
        <w:t>.</w:t>
      </w:r>
      <w:r>
        <w:rPr>
          <w:rFonts w:hint="eastAsia" w:ascii="宋体" w:eastAsia="宋体"/>
          <w:color w:val="000000" w:themeColor="text1"/>
          <w:sz w:val="22"/>
          <w:szCs w:val="22"/>
          <w:highlight w:val="none"/>
          <w14:textFill>
            <w14:solidFill>
              <w14:schemeClr w14:val="tx1"/>
            </w14:solidFill>
          </w14:textFill>
        </w:rPr>
        <w:t>3</w:t>
      </w:r>
      <w:r>
        <w:rPr>
          <w:rFonts w:ascii="宋体" w:eastAsia="宋体"/>
          <w:color w:val="000000" w:themeColor="text1"/>
          <w:sz w:val="22"/>
          <w:szCs w:val="22"/>
          <w:highlight w:val="none"/>
          <w14:textFill>
            <w14:solidFill>
              <w14:schemeClr w14:val="tx1"/>
            </w14:solidFill>
          </w14:textFill>
        </w:rPr>
        <w:t>如</w:t>
      </w:r>
      <w:r>
        <w:rPr>
          <w:rFonts w:hint="eastAsia" w:ascii="宋体" w:eastAsia="宋体"/>
          <w:color w:val="000000" w:themeColor="text1"/>
          <w:sz w:val="22"/>
          <w:szCs w:val="22"/>
          <w:highlight w:val="none"/>
          <w14:textFill>
            <w14:solidFill>
              <w14:schemeClr w14:val="tx1"/>
            </w14:solidFill>
          </w14:textFill>
        </w:rPr>
        <w:t>投标人的</w:t>
      </w:r>
      <w:r>
        <w:rPr>
          <w:rFonts w:ascii="宋体" w:eastAsia="宋体"/>
          <w:color w:val="000000" w:themeColor="text1"/>
          <w:sz w:val="22"/>
          <w:szCs w:val="22"/>
          <w:highlight w:val="none"/>
          <w14:textFill>
            <w14:solidFill>
              <w14:schemeClr w14:val="tx1"/>
            </w14:solidFill>
          </w14:textFill>
        </w:rPr>
        <w:t>投标文件</w:t>
      </w:r>
      <w:r>
        <w:rPr>
          <w:rFonts w:hint="eastAsia" w:ascii="宋体" w:eastAsia="宋体"/>
          <w:color w:val="000000" w:themeColor="text1"/>
          <w:sz w:val="22"/>
          <w:szCs w:val="22"/>
          <w:highlight w:val="none"/>
          <w14:textFill>
            <w14:solidFill>
              <w14:schemeClr w14:val="tx1"/>
            </w14:solidFill>
          </w14:textFill>
        </w:rPr>
        <w:t>未</w:t>
      </w:r>
      <w:r>
        <w:rPr>
          <w:rFonts w:ascii="宋体" w:eastAsia="宋体"/>
          <w:color w:val="000000" w:themeColor="text1"/>
          <w:sz w:val="22"/>
          <w:szCs w:val="22"/>
          <w:highlight w:val="none"/>
          <w14:textFill>
            <w14:solidFill>
              <w14:schemeClr w14:val="tx1"/>
            </w14:solidFill>
          </w14:textFill>
        </w:rPr>
        <w:t>按</w:t>
      </w:r>
      <w:r>
        <w:rPr>
          <w:rFonts w:hint="eastAsia" w:ascii="宋体" w:eastAsia="宋体"/>
          <w:color w:val="000000" w:themeColor="text1"/>
          <w:sz w:val="22"/>
          <w:szCs w:val="22"/>
          <w:highlight w:val="none"/>
          <w14:textFill>
            <w14:solidFill>
              <w14:schemeClr w14:val="tx1"/>
            </w14:solidFill>
          </w14:textFill>
        </w:rPr>
        <w:t>照招标文件</w:t>
      </w:r>
      <w:r>
        <w:rPr>
          <w:rFonts w:ascii="宋体" w:eastAsia="宋体"/>
          <w:color w:val="000000" w:themeColor="text1"/>
          <w:sz w:val="22"/>
          <w:szCs w:val="22"/>
          <w:highlight w:val="none"/>
          <w14:textFill>
            <w14:solidFill>
              <w14:schemeClr w14:val="tx1"/>
            </w14:solidFill>
          </w14:textFill>
        </w:rPr>
        <w:t>规定标记</w:t>
      </w:r>
      <w:r>
        <w:rPr>
          <w:rFonts w:hint="eastAsia" w:ascii="宋体" w:eastAsia="宋体"/>
          <w:color w:val="000000" w:themeColor="text1"/>
          <w:sz w:val="22"/>
          <w:szCs w:val="22"/>
          <w:highlight w:val="none"/>
          <w14:textFill>
            <w14:solidFill>
              <w14:schemeClr w14:val="tx1"/>
            </w14:solidFill>
          </w14:textFill>
        </w:rPr>
        <w:t>和</w:t>
      </w:r>
      <w:r>
        <w:rPr>
          <w:rFonts w:ascii="宋体" w:eastAsia="宋体"/>
          <w:color w:val="000000" w:themeColor="text1"/>
          <w:sz w:val="22"/>
          <w:szCs w:val="22"/>
          <w:highlight w:val="none"/>
          <w14:textFill>
            <w14:solidFill>
              <w14:schemeClr w14:val="tx1"/>
            </w14:solidFill>
          </w14:textFill>
        </w:rPr>
        <w:t>密</w:t>
      </w:r>
      <w:r>
        <w:rPr>
          <w:rFonts w:hint="eastAsia" w:ascii="宋体" w:eastAsia="宋体"/>
          <w:color w:val="000000" w:themeColor="text1"/>
          <w:sz w:val="22"/>
          <w:szCs w:val="22"/>
          <w:highlight w:val="none"/>
          <w14:textFill>
            <w14:solidFill>
              <w14:schemeClr w14:val="tx1"/>
            </w14:solidFill>
          </w14:textFill>
        </w:rPr>
        <w:t>封的</w:t>
      </w:r>
      <w:r>
        <w:rPr>
          <w:rFonts w:ascii="宋体" w:eastAsia="宋体"/>
          <w:color w:val="000000" w:themeColor="text1"/>
          <w:sz w:val="22"/>
          <w:szCs w:val="22"/>
          <w:highlight w:val="none"/>
          <w14:textFill>
            <w14:solidFill>
              <w14:schemeClr w14:val="tx1"/>
            </w14:solidFill>
          </w14:textFill>
        </w:rPr>
        <w:t>，</w:t>
      </w:r>
      <w:r>
        <w:rPr>
          <w:rFonts w:hint="eastAsia" w:ascii="宋体" w:eastAsia="宋体"/>
          <w:color w:val="000000" w:themeColor="text1"/>
          <w:sz w:val="22"/>
          <w:szCs w:val="22"/>
          <w:highlight w:val="none"/>
          <w14:textFill>
            <w14:solidFill>
              <w14:schemeClr w14:val="tx1"/>
            </w14:solidFill>
          </w14:textFill>
        </w:rPr>
        <w:t>采购代理机构</w:t>
      </w:r>
      <w:r>
        <w:rPr>
          <w:rFonts w:ascii="宋体" w:eastAsia="宋体"/>
          <w:color w:val="000000" w:themeColor="text1"/>
          <w:sz w:val="22"/>
          <w:szCs w:val="22"/>
          <w:highlight w:val="none"/>
          <w14:textFill>
            <w14:solidFill>
              <w14:schemeClr w14:val="tx1"/>
            </w14:solidFill>
          </w14:textFill>
        </w:rPr>
        <w:t>将不承担投标文件提前开封的责任。对由此造成提前开封的投标文件将予以拒绝，并退还给投标人</w:t>
      </w:r>
      <w:r>
        <w:rPr>
          <w:rFonts w:ascii="宋体"/>
          <w:color w:val="000000" w:themeColor="text1"/>
          <w:sz w:val="22"/>
          <w:szCs w:val="22"/>
          <w:highlight w:val="none"/>
          <w14:textFill>
            <w14:solidFill>
              <w14:schemeClr w14:val="tx1"/>
            </w14:solidFill>
          </w14:textFill>
        </w:rPr>
        <w:t>。</w:t>
      </w:r>
    </w:p>
    <w:bookmarkEnd w:id="109"/>
    <w:bookmarkEnd w:id="110"/>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11" w:name="_Toc384750986"/>
      <w:bookmarkStart w:id="112" w:name="_Toc26145"/>
      <w:bookmarkStart w:id="113" w:name="_Toc24635"/>
      <w:bookmarkStart w:id="114" w:name="_Toc23211"/>
      <w:bookmarkStart w:id="115" w:name="_Toc429559391"/>
      <w:r>
        <w:rPr>
          <w:rFonts w:hint="eastAsia"/>
          <w:color w:val="000000" w:themeColor="text1"/>
          <w:sz w:val="24"/>
          <w:highlight w:val="none"/>
          <w14:textFill>
            <w14:solidFill>
              <w14:schemeClr w14:val="tx1"/>
            </w14:solidFill>
          </w14:textFill>
        </w:rPr>
        <w:t>18．投标截止</w:t>
      </w:r>
      <w:bookmarkEnd w:id="111"/>
      <w:r>
        <w:rPr>
          <w:rFonts w:hint="eastAsia"/>
          <w:color w:val="000000" w:themeColor="text1"/>
          <w:sz w:val="24"/>
          <w:highlight w:val="none"/>
          <w14:textFill>
            <w14:solidFill>
              <w14:schemeClr w14:val="tx1"/>
            </w14:solidFill>
          </w14:textFill>
        </w:rPr>
        <w:t>时间</w:t>
      </w:r>
      <w:bookmarkEnd w:id="112"/>
      <w:bookmarkEnd w:id="113"/>
      <w:bookmarkEnd w:id="114"/>
      <w:bookmarkEnd w:id="115"/>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18.1投标人应在招标文件规定的截止日期和时间前，将投标文件送达到指定地点。</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18.2采购代理机构可按照招标文件规定以澄清或修改通知的方式，酌情延长提交投标文件的截止时间。在此情况下，投标人的所有权利和义务以及投标人受制约的截止时间，均以延长后新的提交投标文件截止时间为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18.3投标截止期满前提交有效投标文件的投标人不足三家的，采购代理机构将依据《政府采购非招标采购方式管理办法》相关规定执行。</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16" w:name="_Toc1877"/>
      <w:bookmarkStart w:id="117" w:name="_Toc1725"/>
      <w:bookmarkStart w:id="118" w:name="_Toc384750987"/>
      <w:bookmarkStart w:id="119" w:name="_Toc429559392"/>
      <w:bookmarkStart w:id="120" w:name="_Toc29787"/>
      <w:r>
        <w:rPr>
          <w:rFonts w:hint="eastAsia"/>
          <w:color w:val="000000" w:themeColor="text1"/>
          <w:sz w:val="24"/>
          <w:highlight w:val="none"/>
          <w14:textFill>
            <w14:solidFill>
              <w14:schemeClr w14:val="tx1"/>
            </w14:solidFill>
          </w14:textFill>
        </w:rPr>
        <w:t>19．迟交的投标文件</w:t>
      </w:r>
      <w:bookmarkEnd w:id="116"/>
      <w:bookmarkEnd w:id="117"/>
      <w:bookmarkEnd w:id="118"/>
      <w:bookmarkEnd w:id="119"/>
      <w:bookmarkEnd w:id="120"/>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投标人在投标截止时间之后提交的投标文件，采购代理机构将拒绝接收。</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21" w:name="_Toc1208"/>
      <w:bookmarkStart w:id="122" w:name="_Toc3201"/>
      <w:bookmarkStart w:id="123" w:name="_Toc12929"/>
      <w:bookmarkStart w:id="124" w:name="_Toc429559393"/>
      <w:bookmarkStart w:id="125" w:name="_Toc384750988"/>
      <w:r>
        <w:rPr>
          <w:rFonts w:hint="eastAsia"/>
          <w:color w:val="000000" w:themeColor="text1"/>
          <w:sz w:val="24"/>
          <w:highlight w:val="none"/>
          <w14:textFill>
            <w14:solidFill>
              <w14:schemeClr w14:val="tx1"/>
            </w14:solidFill>
          </w14:textFill>
        </w:rPr>
        <w:t>20．投标文件的补充、修改与撤回</w:t>
      </w:r>
      <w:bookmarkEnd w:id="121"/>
      <w:bookmarkEnd w:id="122"/>
      <w:bookmarkEnd w:id="123"/>
      <w:bookmarkEnd w:id="124"/>
      <w:bookmarkEnd w:id="125"/>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20.1 投标人在提交投标文件截止时间前，可以对所提交的投标文件进行补充、修改或撤回，并以书面形式通知采购代理机构。在提交投标文件截止时间之后，投标人不得对其投标文件作出任何的补充和修改。</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20.2 投标人对投标文件的补充、修改的内容应当按招标文件要求的签署、盖章，作为投标文件的组成部分。并按照招标文件规定密封和标记的要求提交，并在投标文件密封袋上标明“补充、修改”或“撤回”字样。</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20.3在提交投标文件截止时间至投标有效期满之前，投标人不得撤回其投标文件，否则其投标保证金将不予退还。</w:t>
      </w:r>
    </w:p>
    <w:p>
      <w:pPr>
        <w:pStyle w:val="4"/>
        <w:spacing w:beforeLines="100" w:afterLines="100" w:line="360" w:lineRule="auto"/>
        <w:rPr>
          <w:rFonts w:ascii="宋体" w:hAnsi="宋体" w:eastAsia="宋体"/>
          <w:bCs/>
          <w:color w:val="000000" w:themeColor="text1"/>
          <w:szCs w:val="32"/>
          <w:highlight w:val="none"/>
          <w14:textFill>
            <w14:solidFill>
              <w14:schemeClr w14:val="tx1"/>
            </w14:solidFill>
          </w14:textFill>
        </w:rPr>
      </w:pPr>
      <w:bookmarkStart w:id="126" w:name="_Toc36971238"/>
      <w:bookmarkStart w:id="127" w:name="_Toc39368838"/>
      <w:bookmarkStart w:id="128" w:name="_Toc39071062"/>
      <w:bookmarkStart w:id="129" w:name="_Toc429559394"/>
      <w:bookmarkStart w:id="130" w:name="_Toc2723_WPSOffice_Level2"/>
      <w:bookmarkStart w:id="131" w:name="_Toc27225"/>
      <w:bookmarkStart w:id="132" w:name="_Toc29681"/>
      <w:bookmarkStart w:id="133" w:name="_Toc30179"/>
      <w:bookmarkStart w:id="134" w:name="_Toc15563_WPSOffice_Level2"/>
      <w:r>
        <w:rPr>
          <w:rFonts w:hint="eastAsia" w:ascii="宋体" w:hAnsi="宋体" w:eastAsia="宋体"/>
          <w:bCs/>
          <w:color w:val="000000" w:themeColor="text1"/>
          <w:szCs w:val="32"/>
          <w:highlight w:val="none"/>
          <w14:textFill>
            <w14:solidFill>
              <w14:schemeClr w14:val="tx1"/>
            </w14:solidFill>
          </w14:textFill>
        </w:rPr>
        <w:t>五、开标与评标</w:t>
      </w:r>
      <w:bookmarkEnd w:id="126"/>
      <w:bookmarkEnd w:id="127"/>
      <w:bookmarkEnd w:id="128"/>
      <w:r>
        <w:rPr>
          <w:rFonts w:hint="eastAsia" w:ascii="宋体" w:hAnsi="宋体" w:eastAsia="宋体"/>
          <w:bCs/>
          <w:color w:val="000000" w:themeColor="text1"/>
          <w:szCs w:val="32"/>
          <w:highlight w:val="none"/>
          <w14:textFill>
            <w14:solidFill>
              <w14:schemeClr w14:val="tx1"/>
            </w14:solidFill>
          </w14:textFill>
        </w:rPr>
        <w:t>及定标</w:t>
      </w:r>
      <w:bookmarkEnd w:id="129"/>
      <w:bookmarkEnd w:id="130"/>
      <w:bookmarkEnd w:id="131"/>
      <w:bookmarkEnd w:id="132"/>
      <w:bookmarkEnd w:id="133"/>
      <w:bookmarkEnd w:id="134"/>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35" w:name="_Toc14757"/>
      <w:bookmarkStart w:id="136" w:name="_Toc19450"/>
      <w:bookmarkStart w:id="137" w:name="_Toc20904"/>
      <w:bookmarkStart w:id="138" w:name="_Toc429559395"/>
      <w:r>
        <w:rPr>
          <w:rFonts w:hint="eastAsia"/>
          <w:color w:val="000000" w:themeColor="text1"/>
          <w:sz w:val="24"/>
          <w:highlight w:val="none"/>
          <w14:textFill>
            <w14:solidFill>
              <w14:schemeClr w14:val="tx1"/>
            </w14:solidFill>
          </w14:textFill>
        </w:rPr>
        <w:t>21．</w:t>
      </w:r>
      <w:r>
        <w:rPr>
          <w:color w:val="000000" w:themeColor="text1"/>
          <w:sz w:val="24"/>
          <w:highlight w:val="none"/>
          <w14:textFill>
            <w14:solidFill>
              <w14:schemeClr w14:val="tx1"/>
            </w14:solidFill>
          </w14:textFill>
        </w:rPr>
        <w:t>开标</w:t>
      </w:r>
      <w:bookmarkEnd w:id="135"/>
      <w:bookmarkEnd w:id="136"/>
      <w:bookmarkEnd w:id="137"/>
      <w:bookmarkEnd w:id="138"/>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1</w:t>
      </w:r>
      <w:r>
        <w:rPr>
          <w:rFonts w:ascii="宋体" w:eastAsia="宋体"/>
          <w:color w:val="000000" w:themeColor="text1"/>
          <w:sz w:val="22"/>
          <w:szCs w:val="22"/>
          <w:highlight w:val="none"/>
          <w14:textFill>
            <w14:solidFill>
              <w14:schemeClr w14:val="tx1"/>
            </w14:solidFill>
          </w14:textFill>
        </w:rPr>
        <w:t>.1</w:t>
      </w:r>
      <w:r>
        <w:rPr>
          <w:rFonts w:hint="eastAsia" w:ascii="宋体" w:eastAsia="宋体"/>
          <w:color w:val="000000" w:themeColor="text1"/>
          <w:sz w:val="22"/>
          <w:szCs w:val="22"/>
          <w:highlight w:val="none"/>
          <w14:textFill>
            <w14:solidFill>
              <w14:schemeClr w14:val="tx1"/>
            </w14:solidFill>
          </w14:textFill>
        </w:rPr>
        <w:t>采购代理机构</w:t>
      </w:r>
      <w:r>
        <w:rPr>
          <w:rFonts w:ascii="宋体" w:eastAsia="宋体"/>
          <w:color w:val="000000" w:themeColor="text1"/>
          <w:sz w:val="22"/>
          <w:szCs w:val="22"/>
          <w:highlight w:val="none"/>
          <w14:textFill>
            <w14:solidFill>
              <w14:schemeClr w14:val="tx1"/>
            </w14:solidFill>
          </w14:textFill>
        </w:rPr>
        <w:t>按</w:t>
      </w:r>
      <w:r>
        <w:rPr>
          <w:rFonts w:hint="eastAsia" w:ascii="宋体" w:eastAsia="宋体"/>
          <w:color w:val="000000" w:themeColor="text1"/>
          <w:sz w:val="22"/>
          <w:szCs w:val="22"/>
          <w:highlight w:val="none"/>
          <w14:textFill>
            <w14:solidFill>
              <w14:schemeClr w14:val="tx1"/>
            </w14:solidFill>
          </w14:textFill>
        </w:rPr>
        <w:t>照招标文件</w:t>
      </w:r>
      <w:r>
        <w:rPr>
          <w:rFonts w:ascii="宋体" w:eastAsia="宋体"/>
          <w:color w:val="000000" w:themeColor="text1"/>
          <w:sz w:val="22"/>
          <w:szCs w:val="22"/>
          <w:highlight w:val="none"/>
          <w14:textFill>
            <w14:solidFill>
              <w14:schemeClr w14:val="tx1"/>
            </w14:solidFill>
          </w14:textFill>
        </w:rPr>
        <w:t>规定的时间和地点</w:t>
      </w:r>
      <w:r>
        <w:rPr>
          <w:rFonts w:hint="eastAsia" w:ascii="宋体" w:eastAsia="宋体"/>
          <w:color w:val="000000" w:themeColor="text1"/>
          <w:sz w:val="22"/>
          <w:szCs w:val="22"/>
          <w:highlight w:val="none"/>
          <w14:textFill>
            <w14:solidFill>
              <w14:schemeClr w14:val="tx1"/>
            </w14:solidFill>
          </w14:textFill>
        </w:rPr>
        <w:t>组织</w:t>
      </w:r>
      <w:r>
        <w:rPr>
          <w:rFonts w:ascii="宋体" w:eastAsia="宋体"/>
          <w:color w:val="000000" w:themeColor="text1"/>
          <w:sz w:val="22"/>
          <w:szCs w:val="22"/>
          <w:highlight w:val="none"/>
          <w14:textFill>
            <w14:solidFill>
              <w14:schemeClr w14:val="tx1"/>
            </w14:solidFill>
          </w14:textFill>
        </w:rPr>
        <w:t>公开开标，并邀请所有投标人</w:t>
      </w:r>
      <w:r>
        <w:rPr>
          <w:rFonts w:hint="eastAsia" w:ascii="宋体" w:eastAsia="宋体"/>
          <w:color w:val="000000" w:themeColor="text1"/>
          <w:sz w:val="22"/>
          <w:szCs w:val="22"/>
          <w:highlight w:val="none"/>
          <w14:textFill>
            <w14:solidFill>
              <w14:schemeClr w14:val="tx1"/>
            </w14:solidFill>
          </w14:textFill>
        </w:rPr>
        <w:t>代表</w:t>
      </w:r>
      <w:r>
        <w:rPr>
          <w:rFonts w:ascii="宋体" w:eastAsia="宋体"/>
          <w:color w:val="000000" w:themeColor="text1"/>
          <w:sz w:val="22"/>
          <w:szCs w:val="22"/>
          <w:highlight w:val="none"/>
          <w14:textFill>
            <w14:solidFill>
              <w14:schemeClr w14:val="tx1"/>
            </w14:solidFill>
          </w14:textFill>
        </w:rPr>
        <w:t>参加。</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1</w:t>
      </w:r>
      <w:r>
        <w:rPr>
          <w:rFonts w:ascii="宋体" w:eastAsia="宋体"/>
          <w:color w:val="000000" w:themeColor="text1"/>
          <w:sz w:val="22"/>
          <w:szCs w:val="22"/>
          <w:highlight w:val="none"/>
          <w14:textFill>
            <w14:solidFill>
              <w14:schemeClr w14:val="tx1"/>
            </w14:solidFill>
          </w14:textFill>
        </w:rPr>
        <w:t>.2按</w:t>
      </w:r>
      <w:r>
        <w:rPr>
          <w:rFonts w:hint="eastAsia" w:ascii="宋体" w:eastAsia="宋体"/>
          <w:color w:val="000000" w:themeColor="text1"/>
          <w:sz w:val="22"/>
          <w:szCs w:val="22"/>
          <w:highlight w:val="none"/>
          <w14:textFill>
            <w14:solidFill>
              <w14:schemeClr w14:val="tx1"/>
            </w14:solidFill>
          </w14:textFill>
        </w:rPr>
        <w:t>招标文件</w:t>
      </w:r>
      <w:r>
        <w:rPr>
          <w:rFonts w:ascii="宋体" w:eastAsia="宋体"/>
          <w:color w:val="000000" w:themeColor="text1"/>
          <w:sz w:val="22"/>
          <w:szCs w:val="22"/>
          <w:highlight w:val="none"/>
          <w14:textFill>
            <w14:solidFill>
              <w14:schemeClr w14:val="tx1"/>
            </w14:solidFill>
          </w14:textFill>
        </w:rPr>
        <w:t>规定提交撤回通知的投标文件不予开封，并退回给投标人。</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1</w:t>
      </w:r>
      <w:r>
        <w:rPr>
          <w:rFonts w:ascii="宋体" w:eastAsia="宋体"/>
          <w:color w:val="000000" w:themeColor="text1"/>
          <w:sz w:val="22"/>
          <w:szCs w:val="22"/>
          <w:highlight w:val="none"/>
          <w14:textFill>
            <w14:solidFill>
              <w14:schemeClr w14:val="tx1"/>
            </w14:solidFill>
          </w14:textFill>
        </w:rPr>
        <w:t>.3 开标程序</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21</w:t>
      </w:r>
      <w:r>
        <w:rPr>
          <w:rFonts w:ascii="宋体" w:eastAsia="宋体"/>
          <w:color w:val="000000" w:themeColor="text1"/>
          <w:sz w:val="22"/>
          <w:szCs w:val="22"/>
          <w:highlight w:val="none"/>
          <w14:textFill>
            <w14:solidFill>
              <w14:schemeClr w14:val="tx1"/>
            </w14:solidFill>
          </w14:textFill>
        </w:rPr>
        <w:t>.3.1 开标</w:t>
      </w:r>
      <w:r>
        <w:rPr>
          <w:rFonts w:hint="eastAsia" w:ascii="宋体" w:eastAsia="宋体"/>
          <w:color w:val="000000" w:themeColor="text1"/>
          <w:sz w:val="22"/>
          <w:szCs w:val="22"/>
          <w:highlight w:val="none"/>
          <w14:textFill>
            <w14:solidFill>
              <w14:schemeClr w14:val="tx1"/>
            </w14:solidFill>
          </w14:textFill>
        </w:rPr>
        <w:t>会</w:t>
      </w:r>
      <w:r>
        <w:rPr>
          <w:rFonts w:ascii="宋体" w:eastAsia="宋体"/>
          <w:color w:val="000000" w:themeColor="text1"/>
          <w:sz w:val="22"/>
          <w:szCs w:val="22"/>
          <w:highlight w:val="none"/>
          <w14:textFill>
            <w14:solidFill>
              <w14:schemeClr w14:val="tx1"/>
            </w14:solidFill>
          </w14:textFill>
        </w:rPr>
        <w:t>由</w:t>
      </w:r>
      <w:r>
        <w:rPr>
          <w:rFonts w:hint="eastAsia" w:ascii="宋体" w:eastAsia="宋体"/>
          <w:color w:val="000000" w:themeColor="text1"/>
          <w:sz w:val="22"/>
          <w:szCs w:val="22"/>
          <w:highlight w:val="none"/>
          <w14:textFill>
            <w14:solidFill>
              <w14:schemeClr w14:val="tx1"/>
            </w14:solidFill>
          </w14:textFill>
        </w:rPr>
        <w:t>采购代理机构</w:t>
      </w:r>
      <w:r>
        <w:rPr>
          <w:rFonts w:ascii="宋体" w:eastAsia="宋体"/>
          <w:color w:val="000000" w:themeColor="text1"/>
          <w:sz w:val="22"/>
          <w:szCs w:val="22"/>
          <w:highlight w:val="none"/>
          <w14:textFill>
            <w14:solidFill>
              <w14:schemeClr w14:val="tx1"/>
            </w14:solidFill>
          </w14:textFill>
        </w:rPr>
        <w:t>主持</w:t>
      </w:r>
      <w:r>
        <w:rPr>
          <w:rFonts w:hint="eastAsia" w:ascii="宋体" w:eastAsia="宋体"/>
          <w:color w:val="000000" w:themeColor="text1"/>
          <w:sz w:val="22"/>
          <w:szCs w:val="22"/>
          <w:highlight w:val="none"/>
          <w14:textFill>
            <w14:solidFill>
              <w14:schemeClr w14:val="tx1"/>
            </w14:solidFill>
          </w14:textFill>
        </w:rPr>
        <w:t>，投标人的法定代表人或经其正式授权代表务必携带有效身份证明准时参加开标会并签名报到，以证明其出席。</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21</w:t>
      </w:r>
      <w:r>
        <w:rPr>
          <w:rFonts w:ascii="宋体" w:eastAsia="宋体"/>
          <w:color w:val="000000" w:themeColor="text1"/>
          <w:sz w:val="22"/>
          <w:szCs w:val="22"/>
          <w:highlight w:val="none"/>
          <w14:textFill>
            <w14:solidFill>
              <w14:schemeClr w14:val="tx1"/>
            </w14:solidFill>
          </w14:textFill>
        </w:rPr>
        <w:t xml:space="preserve">.3.2 </w:t>
      </w:r>
      <w:r>
        <w:rPr>
          <w:rFonts w:hint="eastAsia" w:ascii="宋体" w:eastAsia="宋体"/>
          <w:color w:val="000000" w:themeColor="text1"/>
          <w:sz w:val="22"/>
          <w:szCs w:val="22"/>
          <w:highlight w:val="none"/>
          <w14:textFill>
            <w14:solidFill>
              <w14:schemeClr w14:val="tx1"/>
            </w14:solidFill>
          </w14:textFill>
        </w:rPr>
        <w:t>开标时，由投标人或者其推选的代表检查投标文件的密封情况；经确认无误后，由采购人或者采购代理机构工作人员当众拆封，宣布投标人名称、投标价格和招标文件规定的需要宣布的其他内容。</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1</w:t>
      </w:r>
      <w:r>
        <w:rPr>
          <w:rFonts w:ascii="宋体" w:eastAsia="宋体"/>
          <w:color w:val="000000" w:themeColor="text1"/>
          <w:sz w:val="22"/>
          <w:szCs w:val="22"/>
          <w:highlight w:val="none"/>
          <w14:textFill>
            <w14:solidFill>
              <w14:schemeClr w14:val="tx1"/>
            </w14:solidFill>
          </w14:textFill>
        </w:rPr>
        <w:t xml:space="preserve">.3.3 </w:t>
      </w:r>
      <w:r>
        <w:rPr>
          <w:rFonts w:hint="eastAsia" w:ascii="宋体" w:eastAsia="宋体"/>
          <w:color w:val="000000" w:themeColor="text1"/>
          <w:sz w:val="22"/>
          <w:szCs w:val="22"/>
          <w:highlight w:val="none"/>
          <w14:textFill>
            <w14:solidFill>
              <w14:schemeClr w14:val="tx1"/>
            </w14:solidFill>
          </w14:textFill>
        </w:rPr>
        <w:t>投标人不足3家的，不得开标</w:t>
      </w:r>
      <w:r>
        <w:rPr>
          <w:rFonts w:ascii="宋体" w:eastAsia="宋体"/>
          <w:color w:val="000000" w:themeColor="text1"/>
          <w:sz w:val="22"/>
          <w:szCs w:val="22"/>
          <w:highlight w:val="none"/>
          <w14:textFill>
            <w14:solidFill>
              <w14:schemeClr w14:val="tx1"/>
            </w14:solidFill>
          </w14:textFill>
        </w:rPr>
        <w:t>。</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1</w:t>
      </w:r>
      <w:r>
        <w:rPr>
          <w:rFonts w:ascii="宋体" w:eastAsia="宋体"/>
          <w:color w:val="000000" w:themeColor="text1"/>
          <w:sz w:val="22"/>
          <w:szCs w:val="22"/>
          <w:highlight w:val="none"/>
          <w14:textFill>
            <w14:solidFill>
              <w14:schemeClr w14:val="tx1"/>
            </w14:solidFill>
          </w14:textFill>
        </w:rPr>
        <w:t>.3.</w:t>
      </w:r>
      <w:r>
        <w:rPr>
          <w:rFonts w:hint="eastAsia" w:ascii="宋体" w:eastAsia="宋体"/>
          <w:color w:val="000000" w:themeColor="text1"/>
          <w:sz w:val="22"/>
          <w:szCs w:val="22"/>
          <w:highlight w:val="none"/>
          <w14:textFill>
            <w14:solidFill>
              <w14:schemeClr w14:val="tx1"/>
            </w14:solidFill>
          </w14:textFill>
        </w:rPr>
        <w:t>4开标过程应当由采购人或者采购代理机构负责记录，由参加开标的各投标人代表和相关工作人员签字确认。</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1</w:t>
      </w:r>
      <w:r>
        <w:rPr>
          <w:rFonts w:ascii="宋体" w:eastAsia="宋体"/>
          <w:color w:val="000000" w:themeColor="text1"/>
          <w:sz w:val="22"/>
          <w:szCs w:val="22"/>
          <w:highlight w:val="none"/>
          <w14:textFill>
            <w14:solidFill>
              <w14:schemeClr w14:val="tx1"/>
            </w14:solidFill>
          </w14:textFill>
        </w:rPr>
        <w:t>.</w:t>
      </w:r>
      <w:r>
        <w:rPr>
          <w:rFonts w:hint="eastAsia" w:ascii="宋体" w:eastAsia="宋体"/>
          <w:color w:val="000000" w:themeColor="text1"/>
          <w:sz w:val="22"/>
          <w:szCs w:val="22"/>
          <w:highlight w:val="none"/>
          <w14:textFill>
            <w14:solidFill>
              <w14:schemeClr w14:val="tx1"/>
            </w14:solidFill>
          </w14:textFill>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r>
        <w:rPr>
          <w:rFonts w:hint="eastAsia" w:ascii="宋体" w:eastAsia="宋体"/>
          <w:b/>
          <w:color w:val="000000" w:themeColor="text1"/>
          <w:sz w:val="22"/>
          <w:szCs w:val="22"/>
          <w:highlight w:val="none"/>
          <w14:textFill>
            <w14:solidFill>
              <w14:schemeClr w14:val="tx1"/>
            </w14:solidFill>
          </w14:textFill>
        </w:rPr>
        <w:t>投标人未参加开标的，视同认可开标结果</w:t>
      </w:r>
      <w:r>
        <w:rPr>
          <w:rFonts w:hint="eastAsia" w:ascii="宋体" w:eastAsia="宋体"/>
          <w:color w:val="000000" w:themeColor="text1"/>
          <w:sz w:val="22"/>
          <w:szCs w:val="22"/>
          <w:highlight w:val="none"/>
          <w14:textFill>
            <w14:solidFill>
              <w14:schemeClr w14:val="tx1"/>
            </w14:solidFill>
          </w14:textFill>
        </w:rPr>
        <w:t>。</w:t>
      </w:r>
      <w:bookmarkStart w:id="139" w:name="_Toc429559396"/>
    </w:p>
    <w:p>
      <w:pPr>
        <w:pStyle w:val="33"/>
        <w:spacing w:line="360" w:lineRule="auto"/>
        <w:ind w:firstLine="453"/>
        <w:rPr>
          <w:rFonts w:ascii="宋体" w:eastAsia="宋体"/>
          <w:b/>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21.5开标时，出现下列情形之一的，应当作为无效投标文件，不得进入评标，</w:t>
      </w:r>
      <w:r>
        <w:rPr>
          <w:rFonts w:hint="eastAsia" w:ascii="宋体" w:eastAsia="宋体"/>
          <w:b/>
          <w:color w:val="000000" w:themeColor="text1"/>
          <w:sz w:val="22"/>
          <w:szCs w:val="22"/>
          <w:highlight w:val="none"/>
          <w14:textFill>
            <w14:solidFill>
              <w14:schemeClr w14:val="tx1"/>
            </w14:solidFill>
          </w14:textFill>
        </w:rPr>
        <w:t>并将其投标文件退回：</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21.5.1投标文件未按照本须知第12款的要求密封和标记的；</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21.5.2未按招标文件要求提交投标保证金的；</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21.5.3未按照招标文件规定购买招标文件截止时间内购买招标文件的。</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40" w:name="_Toc32358"/>
      <w:bookmarkStart w:id="141" w:name="_Toc19491"/>
      <w:bookmarkStart w:id="142" w:name="_Toc4459"/>
      <w:r>
        <w:rPr>
          <w:rFonts w:hint="eastAsia"/>
          <w:color w:val="000000" w:themeColor="text1"/>
          <w:sz w:val="24"/>
          <w:highlight w:val="none"/>
          <w14:textFill>
            <w14:solidFill>
              <w14:schemeClr w14:val="tx1"/>
            </w14:solidFill>
          </w14:textFill>
        </w:rPr>
        <w:t>22．评标委员会与评标方法</w:t>
      </w:r>
      <w:bookmarkEnd w:id="139"/>
      <w:bookmarkEnd w:id="140"/>
      <w:bookmarkEnd w:id="141"/>
      <w:bookmarkEnd w:id="142"/>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t>2</w:t>
      </w:r>
      <w:r>
        <w:rPr>
          <w:rFonts w:hint="eastAsia" w:ascii="宋体" w:eastAsia="宋体"/>
          <w:color w:val="000000" w:themeColor="text1"/>
          <w:sz w:val="22"/>
          <w:szCs w:val="22"/>
          <w:highlight w:val="none"/>
          <w14:textFill>
            <w14:solidFill>
              <w14:schemeClr w14:val="tx1"/>
            </w14:solidFill>
          </w14:textFill>
        </w:rPr>
        <w:t>2</w:t>
      </w:r>
      <w:r>
        <w:rPr>
          <w:rFonts w:ascii="宋体" w:eastAsia="宋体"/>
          <w:color w:val="000000" w:themeColor="text1"/>
          <w:sz w:val="22"/>
          <w:szCs w:val="22"/>
          <w:highlight w:val="none"/>
          <w14:textFill>
            <w14:solidFill>
              <w14:schemeClr w14:val="tx1"/>
            </w14:solidFill>
          </w14:textFill>
        </w:rPr>
        <w:t>.1评标委员会。</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22.1.1本次招标依法组建评标委员会</w:t>
      </w:r>
      <w:r>
        <w:rPr>
          <w:rFonts w:hint="eastAsia" w:ascii="宋体" w:eastAsia="宋体" w:cs="宋体"/>
          <w:color w:val="000000" w:themeColor="text1"/>
          <w:sz w:val="22"/>
          <w:szCs w:val="22"/>
          <w:highlight w:val="none"/>
          <w14:textFill>
            <w14:solidFill>
              <w14:schemeClr w14:val="tx1"/>
            </w14:solidFill>
          </w14:textFill>
        </w:rPr>
        <w:t>，评标委员会由</w:t>
      </w:r>
      <w:r>
        <w:rPr>
          <w:rFonts w:hint="eastAsia" w:ascii="宋体" w:eastAsia="宋体" w:cs="宋体"/>
          <w:color w:val="000000" w:themeColor="text1"/>
          <w:sz w:val="22"/>
          <w:szCs w:val="22"/>
          <w:highlight w:val="none"/>
          <w:u w:val="single"/>
          <w14:textFill>
            <w14:solidFill>
              <w14:schemeClr w14:val="tx1"/>
            </w14:solidFill>
          </w14:textFill>
        </w:rPr>
        <w:t xml:space="preserve"> 1 </w:t>
      </w:r>
      <w:r>
        <w:rPr>
          <w:rFonts w:hint="eastAsia" w:ascii="宋体" w:eastAsia="宋体" w:cs="宋体"/>
          <w:color w:val="000000" w:themeColor="text1"/>
          <w:sz w:val="22"/>
          <w:szCs w:val="22"/>
          <w:highlight w:val="none"/>
          <w14:textFill>
            <w14:solidFill>
              <w14:schemeClr w14:val="tx1"/>
            </w14:solidFill>
          </w14:textFill>
        </w:rPr>
        <w:t>名采购人代表和</w:t>
      </w:r>
      <w:r>
        <w:rPr>
          <w:rFonts w:hint="eastAsia" w:ascii="宋体" w:eastAsia="宋体" w:cs="宋体"/>
          <w:color w:val="000000" w:themeColor="text1"/>
          <w:sz w:val="22"/>
          <w:szCs w:val="22"/>
          <w:highlight w:val="none"/>
          <w:u w:val="single"/>
          <w14:textFill>
            <w14:solidFill>
              <w14:schemeClr w14:val="tx1"/>
            </w14:solidFill>
          </w14:textFill>
        </w:rPr>
        <w:t>4</w:t>
      </w:r>
      <w:r>
        <w:rPr>
          <w:rFonts w:hint="eastAsia" w:ascii="宋体" w:eastAsia="宋体" w:cs="宋体"/>
          <w:color w:val="000000" w:themeColor="text1"/>
          <w:sz w:val="22"/>
          <w:szCs w:val="22"/>
          <w:highlight w:val="none"/>
          <w14:textFill>
            <w14:solidFill>
              <w14:schemeClr w14:val="tx1"/>
            </w14:solidFill>
          </w14:textFill>
        </w:rPr>
        <w:t>名评审专家组成</w:t>
      </w:r>
      <w:r>
        <w:rPr>
          <w:rFonts w:hint="eastAsia" w:ascii="宋体" w:eastAsia="宋体"/>
          <w:color w:val="000000" w:themeColor="text1"/>
          <w:sz w:val="22"/>
          <w:szCs w:val="22"/>
          <w:highlight w:val="none"/>
          <w14:textFill>
            <w14:solidFill>
              <w14:schemeClr w14:val="tx1"/>
            </w14:solidFill>
          </w14:textFill>
        </w:rPr>
        <w:t>。</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22.1.2评标委员会负责具体评标事务，并独立履行下列职责：</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①审查、评价投标文件是否符合招标文件的商务、技术等实质性要求；</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②要求投标人对投标文件有关事项作出澄清或者说明；</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③对投标文件进行比较和评价；</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④确定中标候选人名单，以及根据采购人委托直接确定中标人；</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⑤向采购人、采购代理机构或者有关部门报告评标中发现的违法行为。。</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22.1.3评审专家有下列情形之一的，受到邀请应主动提出回避：</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22.1.3.1参加采购活动前三年内,与供应商存在劳动关系,或者担任过供应商的董事、监事,或者是供应商的控股股东或实际控制人;</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22.1.3.2与供应商的法定代表人或者负责人有夫妻、直系血亲、三代以内旁系血亲或者近姻亲关系;</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22.1.3.3与供应商有其他可能影响政府采购活动公平、公正进行的关系。</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22.1.3.4评审专家发现本人与参加采购活动的供应商有利害关系的,应当主动提出回避。采购人或者采购代理机构发现评审专家与参加采购活动的供应商有利害关系的,应当要求其回避。</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22.2评标原则和评标方法</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22.2.1评标原则:评标工作应依据《中华人民共和国政府采购法》及其实施条例、《政府采购货物和服务招标投标管理办法》等相关法律、法规的规定，遵循“客观、公正、审慎”的原则进行。评标委员会将按照规定只对通过初步评审的投标文件进行评审和比较,对招标文件中描述有歧义或前后不一致的地方，评标委员会有权按法律、法规的规定进行评判，但对同一条款的评判应适用于各投标人。</w:t>
      </w:r>
      <w:r>
        <w:rPr>
          <w:rFonts w:hint="eastAsia" w:ascii="宋体" w:eastAsia="宋体"/>
          <w:b/>
          <w:bCs/>
          <w:color w:val="000000" w:themeColor="text1"/>
          <w:sz w:val="22"/>
          <w:szCs w:val="22"/>
          <w:highlight w:val="none"/>
          <w14:textFill>
            <w14:solidFill>
              <w14:schemeClr w14:val="tx1"/>
            </w14:solidFill>
          </w14:textFill>
        </w:rPr>
        <w:t>评标委员会不保证最低投标报价中标。</w:t>
      </w:r>
    </w:p>
    <w:p>
      <w:pPr>
        <w:pStyle w:val="33"/>
        <w:spacing w:line="360" w:lineRule="auto"/>
        <w:ind w:firstLine="453"/>
        <w:rPr>
          <w:rFonts w:ascii="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22.2.2评标方法：本次招标的评标方法采用综合评分方法。综合评分法是指投标文件满足招标文件全部实质性要求，且按照评审因素的量化指标评审得分最高的投标人为中标候选人的评标方法。</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按照评标程序的规定和依据评分标准,各评委就每个投标人的商务状况、技术状况及其对招标文件要求的响应情况进行评议和比较，独立评出其商务评分和技术评分。各评委的评分的算术平均值即为该投标人的商务得分和技术得分。然后，评出价格得分。将商务得分、技术得分和价格得分相加得出综合得分（评标总得分分值按四舍五入原则精确到小数点后两位）。</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非单一产品采购项目，采购人或采购代理机构将在采购需求书中载明核心产品，多家投标人提供的核心产品品牌相同的，按前款规定处理。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22.2.3评标步骤：先进行初步评审，再进行商务、技术及价格评审。</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43" w:name="_Toc429559397"/>
      <w:bookmarkStart w:id="144" w:name="_Toc1740"/>
      <w:bookmarkStart w:id="145" w:name="_Toc31399"/>
      <w:bookmarkStart w:id="146" w:name="_Toc24736"/>
      <w:r>
        <w:rPr>
          <w:rFonts w:hint="eastAsia"/>
          <w:color w:val="000000" w:themeColor="text1"/>
          <w:sz w:val="24"/>
          <w:highlight w:val="none"/>
          <w14:textFill>
            <w14:solidFill>
              <w14:schemeClr w14:val="tx1"/>
            </w14:solidFill>
          </w14:textFill>
        </w:rPr>
        <w:t>23．</w:t>
      </w:r>
      <w:r>
        <w:rPr>
          <w:color w:val="000000" w:themeColor="text1"/>
          <w:sz w:val="24"/>
          <w:highlight w:val="none"/>
          <w14:textFill>
            <w14:solidFill>
              <w14:schemeClr w14:val="tx1"/>
            </w14:solidFill>
          </w14:textFill>
        </w:rPr>
        <w:t>投标文件的评审</w:t>
      </w:r>
      <w:bookmarkEnd w:id="143"/>
      <w:bookmarkEnd w:id="144"/>
      <w:bookmarkEnd w:id="145"/>
      <w:bookmarkEnd w:id="146"/>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w:t>
      </w:r>
      <w:r>
        <w:rPr>
          <w:rFonts w:ascii="宋体" w:eastAsia="宋体"/>
          <w:color w:val="000000" w:themeColor="text1"/>
          <w:sz w:val="22"/>
          <w:szCs w:val="22"/>
          <w:highlight w:val="none"/>
          <w14:textFill>
            <w14:solidFill>
              <w14:schemeClr w14:val="tx1"/>
            </w14:solidFill>
          </w14:textFill>
        </w:rPr>
        <w:t xml:space="preserve">.1 </w:t>
      </w:r>
      <w:r>
        <w:rPr>
          <w:rFonts w:hint="eastAsia" w:ascii="宋体" w:eastAsia="宋体"/>
          <w:color w:val="000000" w:themeColor="text1"/>
          <w:sz w:val="22"/>
          <w:szCs w:val="22"/>
          <w:highlight w:val="none"/>
          <w14:textFill>
            <w14:solidFill>
              <w14:schemeClr w14:val="tx1"/>
            </w14:solidFill>
          </w14:textFill>
        </w:rPr>
        <w:t>投标文件初步评审</w:t>
      </w:r>
      <w:r>
        <w:rPr>
          <w:rFonts w:ascii="宋体" w:eastAsia="宋体"/>
          <w:color w:val="000000" w:themeColor="text1"/>
          <w:sz w:val="22"/>
          <w:szCs w:val="22"/>
          <w:highlight w:val="none"/>
          <w14:textFill>
            <w14:solidFill>
              <w14:schemeClr w14:val="tx1"/>
            </w14:solidFill>
          </w14:textFill>
        </w:rPr>
        <w:t>。</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23.1.1资格性检查。公开招标采购项目开标结束后，采购人或者采购代理机构依据法律法规和招标文件的规定，对投标文件中的资格证明、投标保证金等进行审查，</w:t>
      </w:r>
      <w:r>
        <w:rPr>
          <w:rFonts w:ascii="宋体" w:eastAsia="宋体"/>
          <w:color w:val="000000" w:themeColor="text1"/>
          <w:sz w:val="22"/>
          <w:szCs w:val="22"/>
          <w:highlight w:val="none"/>
          <w14:textFill>
            <w14:solidFill>
              <w14:schemeClr w14:val="tx1"/>
            </w14:solidFill>
          </w14:textFill>
        </w:rPr>
        <w:t>未通过资格性审查的投标人，不进入符合性审查</w:t>
      </w:r>
      <w:r>
        <w:rPr>
          <w:rFonts w:hint="eastAsia" w:ascii="宋体" w:eastAsia="宋体"/>
          <w:color w:val="000000" w:themeColor="text1"/>
          <w:sz w:val="22"/>
          <w:szCs w:val="22"/>
          <w:highlight w:val="none"/>
          <w14:textFill>
            <w14:solidFill>
              <w14:schemeClr w14:val="tx1"/>
            </w14:solidFill>
          </w14:textFill>
        </w:rPr>
        <w:t>。</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23.1.2符合性检查。评标委员会依据招标文件规定对通过资格性审查的投标人进行符合性审查，从投标文件的有效性、完整性和对招标文件的响应程度进行审查，未通过符合性审查的投标人，不进入技术、商务和价格评审。</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23.1.3投标人有下列情形之一的，被认定为无效投标:</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（1）投标保证金未按照招标文件要求提交的；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（2）不具备招标文件中规定的资格要求的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（3）提交投标文件数量不足的;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（4）投标报价超过了采购预算(或最高限价)的；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（5）未按照招标文件规定要求制作、签署、盖章的；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（6）投标有效期及交货期（或完工期）不符合要求的；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（7）不满足招标文件用户需求中带“★”要求的；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（8）投标报价不是固定价或者投标方案是可选择的；</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（9）主要内容不满足招标文件用户需求中要求，或重要指标有重大偏离或保留。</w:t>
      </w:r>
    </w:p>
    <w:p>
      <w:pPr>
        <w:pStyle w:val="33"/>
        <w:spacing w:line="360" w:lineRule="auto"/>
        <w:ind w:firstLine="331" w:firstLineChars="1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（10）不符合法律、法规和招标文件中规定的其他无效投标条款的。</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2投标文件的澄清</w:t>
      </w:r>
      <w:r>
        <w:rPr>
          <w:rFonts w:ascii="宋体" w:hAnsi="宋体"/>
          <w:color w:val="000000" w:themeColor="text1"/>
          <w:sz w:val="22"/>
          <w:szCs w:val="22"/>
          <w:highlight w:val="none"/>
          <w14:textFill>
            <w14:solidFill>
              <w14:schemeClr w14:val="tx1"/>
            </w14:solidFill>
          </w14:textFill>
        </w:rPr>
        <w:t>。</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23.2.1对投标文件中含义不明确、同类问题表述不一致或者有明显文字和计算错误的内容，评标委员会应当以书面形式要求投标人作出必要的澄清、说明或者纠正。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2.2投标文件报价出现前后不一致的，除招标文件另有规定外，按照下列规定修正</w:t>
      </w:r>
      <w:r>
        <w:rPr>
          <w:rFonts w:ascii="宋体" w:hAnsi="宋体"/>
          <w:color w:val="000000" w:themeColor="text1"/>
          <w:sz w:val="22"/>
          <w:szCs w:val="22"/>
          <w:highlight w:val="none"/>
          <w14:textFill>
            <w14:solidFill>
              <w14:schemeClr w14:val="tx1"/>
            </w14:solidFill>
          </w14:textFill>
        </w:rPr>
        <w:t>：</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2.2.1投标文件中开标一览表（报价表）内容与投标文件中相应内容不一致的，以开标一览表（报价表）为准；</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2</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2.2大写金额和小写金额不一致的，以大写金额为准；</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2.2.3单价金额小数点或者百分比有明显错位的，以开标一览表的总价为准，并修改单价；</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23.2.2.4总价金额与按单价汇总金额不一致的，以单价金额计算结果为准。</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同时出现两种以上不一致的，按照上述规定的顺序修正。修正后的报价按照本须知23.2.1的规定经投标人确认后产生约束力，投标人不确认的，其投标无效。</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23.3投标文件的比较与评价。</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评标委员会按照招标文件规定的评标方法和标准，对资格性检查和符合性检查合格的投标文件进行商务、技术和价格评估，综合比较与评价。</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23.3.1商务评价:评标委员会对投标人的商务状况及响应程度进行评议和比较,并依据评分标准,评出其商务评分。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23.3.2技术评价:评标委员会对投标人的技术状况及响应程度进行评议和比较,并依据评分标准,评出其技术评分。</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23.3.3价格评估:本项目价格分统一采用低价优先法计算，即满足招标文件要求且投标价格最低的投标报价为评标基准价，其价格分为满分，各投标人的价格评分统一按照下列公式计算：</w:t>
      </w:r>
    </w:p>
    <w:p>
      <w:pPr>
        <w:spacing w:line="360" w:lineRule="auto"/>
        <w:ind w:firstLine="600" w:firstLineChars="273"/>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价格得分＝（评标基准价/评标价）×价格分值</w:t>
      </w:r>
    </w:p>
    <w:p>
      <w:pPr>
        <w:spacing w:line="360" w:lineRule="auto"/>
        <w:ind w:firstLine="600" w:firstLineChars="273"/>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评标价：进入价格评比的投标人的报价；</w:t>
      </w:r>
    </w:p>
    <w:p>
      <w:pPr>
        <w:spacing w:line="360" w:lineRule="auto"/>
        <w:ind w:firstLine="600" w:firstLineChars="273"/>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评标基准价：</w:t>
      </w:r>
      <w:r>
        <w:rPr>
          <w:rFonts w:hint="eastAsia"/>
          <w:color w:val="000000" w:themeColor="text1"/>
          <w:sz w:val="22"/>
          <w:szCs w:val="22"/>
          <w:highlight w:val="none"/>
          <w14:textFill>
            <w14:solidFill>
              <w14:schemeClr w14:val="tx1"/>
            </w14:solidFill>
          </w14:textFill>
        </w:rPr>
        <w:t>满足招标文件要求且投标价格最低的投标报价</w:t>
      </w:r>
      <w:r>
        <w:rPr>
          <w:rFonts w:hint="eastAsia" w:ascii="宋体" w:hAnsi="宋体"/>
          <w:color w:val="000000" w:themeColor="text1"/>
          <w:sz w:val="22"/>
          <w:szCs w:val="22"/>
          <w:highlight w:val="none"/>
          <w14:textFill>
            <w14:solidFill>
              <w14:schemeClr w14:val="tx1"/>
            </w14:solidFill>
          </w14:textFill>
        </w:rPr>
        <w:t>。</w:t>
      </w:r>
    </w:p>
    <w:p>
      <w:pPr>
        <w:spacing w:line="360" w:lineRule="auto"/>
        <w:ind w:firstLine="440" w:firstLineChars="200"/>
        <w:rPr>
          <w:color w:val="000000" w:themeColor="text1"/>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23.3.4价格扣除</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根据财政部、工业和信息化部制定了《政府采购采购促进中小企业发展暂行办法》的规定，对小型或微型企业产品的价格给予一定比例扣除，用扣除后的价格参与评审。（注：参加政府采购活动的小型或微型企业应按照招标文件中投标文件格式提出《中小企业声明函》）。</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根据《财政部、司法部关于政府采购支持监狱企业发展有关问题的通知》（财库[2014]68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根据财政部、民政部、中国残疾人联合会印发的《关于促进残疾人就业政府采购政策的通知》（财库〔2017〕141号）的规定，符合条件的残疾人福利性单位在参加政府采购活动时，视同小型、微型企业，可享受小型、微型企业相等的政府扶持政策及待遇。（参加政府采购活动的残疾人福利性单位应按照招标文件中投标文件格式提出《残疾人福利性单位声明函》）</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投标人同时为小型、微型企业、监狱企业、残疾人福利性单位任两种或以上情况的，评审中只享受一次价格扣除，不重复进行价格扣除。</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23.3.4.1符合小型或微型企业划分标准</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应当符合小型或微型企业划分标准；提供本企业制造的货物、承担的工程或者服务，或者提供其他小型或微型企业的制造的货物。本项所称货物不包括使用大型企业注册商标的货物。</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23.3.4.2符合享受政府采购支持政策的残疾人福利性单位划分标准：</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（1）安置的残疾人占本单位在职职工人数的比例不低于25%（含25%），并且安置的残疾人人数不少于10人（含10人）；</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（2）依法与安置的每位残疾人签订了一年以上（含一年）的劳动合同或服务协议；</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（3）为安置的每位残疾人按月足额缴纳了基本养老保险、基本医疗保险、失业保险、工伤保险和生育保险等社会保险费；</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（4）通过银行等金融机构向安置的每位残疾人，按月支付了不低于单位所在区县适用的经省级人民政府批准的月最低工资标准的工资；</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（5）提供本单位制造的货物、承担的工程或者服务（以下简称产品），或者提供其他残疾人福利性单位制造的货物（不包括使用非残疾人福利性单位注册商标的货物）。</w:t>
      </w:r>
    </w:p>
    <w:p>
      <w:pPr>
        <w:spacing w:line="360" w:lineRule="auto"/>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23.3.4.3投标人为小型、微型企业且投标产品含小型、微型企业产品时，其小型、微型或监狱企业产品的价格给予6%的扣除，即评标价=投标报价-小型、微型或监狱企业产品投标报价×6%。</w:t>
      </w:r>
    </w:p>
    <w:p>
      <w:pPr>
        <w:spacing w:line="360" w:lineRule="auto"/>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23.3.4.4大中型企业与小型、微型企业组成联合体共同参加非专门面向中小企业的政府采购活动。联合协议中约定，小型、微型企业的协议合同金额占到联合体协议合同总额30%以上的，其价格给予2%的扣除，即评标价=联合体投标报价-联合体投标报价×2%。联合体各方均为小型、微型企业的按照23.3.4.3条规定给予其价格扣除。</w:t>
      </w:r>
    </w:p>
    <w:p>
      <w:pPr>
        <w:pStyle w:val="33"/>
        <w:spacing w:line="360" w:lineRule="auto"/>
        <w:ind w:firstLine="440" w:firstLineChars="200"/>
        <w:jc w:val="left"/>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23.3.4.5节能产品、环境标志产品价格扣除</w:t>
      </w:r>
    </w:p>
    <w:p>
      <w:pPr>
        <w:spacing w:line="360" w:lineRule="auto"/>
        <w:ind w:firstLine="440" w:firstLineChars="200"/>
        <w:jc w:val="left"/>
        <w:rPr>
          <w:rFonts w:ascii="宋体"/>
          <w:color w:val="000000" w:themeColor="text1"/>
          <w:sz w:val="22"/>
          <w:szCs w:val="22"/>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23.3.4.5.1</w:t>
      </w:r>
      <w:r>
        <w:rPr>
          <w:rFonts w:hint="eastAsia" w:ascii="宋体" w:hAnsi="宋体"/>
          <w:color w:val="000000" w:themeColor="text1"/>
          <w:sz w:val="22"/>
          <w:szCs w:val="22"/>
          <w:highlight w:val="none"/>
          <w14:textFill>
            <w14:solidFill>
              <w14:schemeClr w14:val="tx1"/>
            </w14:solidFill>
          </w14:textFill>
        </w:rPr>
        <w:t>根据《财政部 发展改革委 生态环境部 市场监管总局 关于调整优化节能产品、环境标志产品政府采购执行机制的通知》（财库〔2019〕9号），对政府采购节能产品、环境标志产品实施品目清单管理。对投标产品属于品目清单范围的，依据国家确定的认证机构出具的、处于有效期之内的节能产品、环境标志产品认证证书，对获得证书的产品实施政府优先采购或强制采购。</w:t>
      </w:r>
    </w:p>
    <w:p>
      <w:pPr>
        <w:spacing w:line="360" w:lineRule="auto"/>
        <w:ind w:firstLine="440" w:firstLineChars="200"/>
        <w:jc w:val="left"/>
        <w:rPr>
          <w:color w:val="000000" w:themeColor="text1"/>
          <w:sz w:val="22"/>
          <w:szCs w:val="22"/>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23.3.4.5.2</w:t>
      </w:r>
      <w:r>
        <w:rPr>
          <w:rFonts w:hint="eastAsia" w:ascii="宋体" w:hAnsi="宋体"/>
          <w:color w:val="000000" w:themeColor="text1"/>
          <w:sz w:val="22"/>
          <w:szCs w:val="22"/>
          <w:highlight w:val="none"/>
          <w14:textFill>
            <w14:solidFill>
              <w14:schemeClr w14:val="tx1"/>
            </w14:solidFill>
          </w14:textFill>
        </w:rPr>
        <w:t>投标产品</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针对非政府强制采购</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纳入财政部发展改革委颁布最新一期《节能产品政府采购品目清单》的，</w:t>
      </w:r>
      <w:r>
        <w:rPr>
          <w:rFonts w:hint="eastAsia" w:ascii="宋体" w:hAnsi="宋体"/>
          <w:bCs/>
          <w:color w:val="000000" w:themeColor="text1"/>
          <w:sz w:val="22"/>
          <w:szCs w:val="22"/>
          <w:highlight w:val="none"/>
          <w14:textFill>
            <w14:solidFill>
              <w14:schemeClr w14:val="tx1"/>
            </w14:solidFill>
          </w14:textFill>
        </w:rPr>
        <w:t>对</w:t>
      </w:r>
      <w:r>
        <w:rPr>
          <w:rFonts w:hint="eastAsia" w:ascii="宋体" w:hAnsi="宋体"/>
          <w:color w:val="000000" w:themeColor="text1"/>
          <w:sz w:val="22"/>
          <w:szCs w:val="22"/>
          <w:highlight w:val="none"/>
          <w14:textFill>
            <w14:solidFill>
              <w14:schemeClr w14:val="tx1"/>
            </w14:solidFill>
          </w14:textFill>
        </w:rPr>
        <w:t>节能</w:t>
      </w:r>
      <w:r>
        <w:rPr>
          <w:rFonts w:hint="eastAsia" w:ascii="宋体" w:hAnsi="宋体"/>
          <w:bCs/>
          <w:color w:val="000000" w:themeColor="text1"/>
          <w:sz w:val="22"/>
          <w:szCs w:val="22"/>
          <w:highlight w:val="none"/>
          <w14:textFill>
            <w14:solidFill>
              <w14:schemeClr w14:val="tx1"/>
            </w14:solidFill>
          </w14:textFill>
        </w:rPr>
        <w:t>产品的价格给予1</w:t>
      </w:r>
      <w:r>
        <w:rPr>
          <w:rFonts w:ascii="宋体" w:hAnsi="宋体"/>
          <w:bCs/>
          <w:color w:val="000000" w:themeColor="text1"/>
          <w:sz w:val="22"/>
          <w:szCs w:val="22"/>
          <w:highlight w:val="none"/>
          <w14:textFill>
            <w14:solidFill>
              <w14:schemeClr w14:val="tx1"/>
            </w14:solidFill>
          </w14:textFill>
        </w:rPr>
        <w:t>%</w:t>
      </w:r>
      <w:r>
        <w:rPr>
          <w:rFonts w:hint="eastAsia" w:ascii="宋体" w:hAnsi="宋体"/>
          <w:bCs/>
          <w:color w:val="000000" w:themeColor="text1"/>
          <w:sz w:val="22"/>
          <w:szCs w:val="22"/>
          <w:highlight w:val="none"/>
          <w14:textFill>
            <w14:solidFill>
              <w14:schemeClr w14:val="tx1"/>
            </w14:solidFill>
          </w14:textFill>
        </w:rPr>
        <w:t>的扣除，用扣除后的价格参与评审。（同时</w:t>
      </w:r>
      <w:r>
        <w:rPr>
          <w:rFonts w:hint="eastAsia" w:ascii="宋体" w:hAnsi="宋体"/>
          <w:color w:val="000000" w:themeColor="text1"/>
          <w:sz w:val="22"/>
          <w:szCs w:val="22"/>
          <w:highlight w:val="none"/>
          <w14:textFill>
            <w14:solidFill>
              <w14:schemeClr w14:val="tx1"/>
            </w14:solidFill>
          </w14:textFill>
        </w:rPr>
        <w:t>提供投标产品所在清单页并对相关品目作圈记、处于有效期之内的节能产品认证证书复印件加盖投标人公章）。</w:t>
      </w:r>
    </w:p>
    <w:p>
      <w:pPr>
        <w:spacing w:line="360" w:lineRule="auto"/>
        <w:ind w:firstLine="440" w:firstLineChars="200"/>
        <w:jc w:val="left"/>
        <w:rPr>
          <w:color w:val="000000" w:themeColor="text1"/>
          <w:highlight w:val="none"/>
          <w14:textFill>
            <w14:solidFill>
              <w14:schemeClr w14:val="tx1"/>
            </w14:solidFill>
          </w14:textFill>
        </w:rPr>
      </w:pPr>
      <w:r>
        <w:rPr>
          <w:rFonts w:hint="eastAsia" w:ascii="宋体"/>
          <w:color w:val="000000" w:themeColor="text1"/>
          <w:sz w:val="22"/>
          <w:szCs w:val="22"/>
          <w:highlight w:val="none"/>
          <w14:textFill>
            <w14:solidFill>
              <w14:schemeClr w14:val="tx1"/>
            </w14:solidFill>
          </w14:textFill>
        </w:rPr>
        <w:t>23.3.4.5.3</w:t>
      </w:r>
      <w:r>
        <w:rPr>
          <w:rFonts w:ascii="宋体" w:hAnsi="宋体"/>
          <w:color w:val="000000" w:themeColor="text1"/>
          <w:sz w:val="22"/>
          <w:szCs w:val="22"/>
          <w:highlight w:val="none"/>
          <w14:textFill>
            <w14:solidFill>
              <w14:schemeClr w14:val="tx1"/>
            </w14:solidFill>
          </w14:textFill>
        </w:rPr>
        <w:t>投</w:t>
      </w:r>
      <w:r>
        <w:rPr>
          <w:rFonts w:hint="eastAsia" w:ascii="宋体" w:hAnsi="宋体"/>
          <w:color w:val="000000" w:themeColor="text1"/>
          <w:sz w:val="22"/>
          <w:szCs w:val="22"/>
          <w:highlight w:val="none"/>
          <w14:textFill>
            <w14:solidFill>
              <w14:schemeClr w14:val="tx1"/>
            </w14:solidFill>
          </w14:textFill>
        </w:rPr>
        <w:t>标产品纳入财政部 生态环境部颁布最新一期《环境标志产品政府采购品目清单》的，对环境标志产品的价格给予</w:t>
      </w:r>
      <w:r>
        <w:rPr>
          <w:rFonts w:hint="eastAsia" w:ascii="宋体" w:hAnsi="宋体"/>
          <w:bCs/>
          <w:color w:val="000000" w:themeColor="text1"/>
          <w:sz w:val="22"/>
          <w:szCs w:val="22"/>
          <w:highlight w:val="none"/>
          <w14:textFill>
            <w14:solidFill>
              <w14:schemeClr w14:val="tx1"/>
            </w14:solidFill>
          </w14:textFill>
        </w:rPr>
        <w:t>1</w:t>
      </w:r>
      <w:r>
        <w:rPr>
          <w:rFonts w:ascii="宋体" w:hAnsi="宋体"/>
          <w:bCs/>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的扣除,用扣除后的价格参与评审。（</w:t>
      </w:r>
      <w:r>
        <w:rPr>
          <w:rFonts w:hint="eastAsia" w:ascii="宋体" w:hAnsi="宋体"/>
          <w:bCs/>
          <w:color w:val="000000" w:themeColor="text1"/>
          <w:sz w:val="22"/>
          <w:szCs w:val="22"/>
          <w:highlight w:val="none"/>
          <w14:textFill>
            <w14:solidFill>
              <w14:schemeClr w14:val="tx1"/>
            </w14:solidFill>
          </w14:textFill>
        </w:rPr>
        <w:t>同时</w:t>
      </w:r>
      <w:r>
        <w:rPr>
          <w:rFonts w:hint="eastAsia" w:ascii="宋体" w:hAnsi="宋体"/>
          <w:color w:val="000000" w:themeColor="text1"/>
          <w:sz w:val="22"/>
          <w:szCs w:val="22"/>
          <w:highlight w:val="none"/>
          <w14:textFill>
            <w14:solidFill>
              <w14:schemeClr w14:val="tx1"/>
            </w14:solidFill>
          </w14:textFill>
        </w:rPr>
        <w:t>提供投标产品所在清单页并对相关品目作圈记、处于有效期之内的环境标志产品认证证书复印件加盖投标人公章）。</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23.3.5评分标准</w:t>
      </w:r>
    </w:p>
    <w:p>
      <w:pPr>
        <w:pStyle w:val="33"/>
        <w:spacing w:line="360" w:lineRule="auto"/>
        <w:ind w:firstLine="450" w:firstLineChars="205"/>
        <w:rPr>
          <w:rFonts w:ascii="宋体" w:eastAsia="宋体"/>
          <w:color w:val="000000" w:themeColor="text1"/>
          <w:sz w:val="22"/>
          <w:szCs w:val="22"/>
          <w:highlight w:val="none"/>
          <w14:textFill>
            <w14:solidFill>
              <w14:schemeClr w14:val="tx1"/>
            </w14:solidFill>
          </w14:textFill>
        </w:rPr>
      </w:pPr>
      <w:bookmarkStart w:id="147" w:name="_Toc429559398"/>
      <w:r>
        <w:rPr>
          <w:rFonts w:hint="eastAsia" w:ascii="宋体" w:eastAsia="宋体"/>
          <w:color w:val="000000" w:themeColor="text1"/>
          <w:sz w:val="22"/>
          <w:szCs w:val="22"/>
          <w:highlight w:val="none"/>
          <w14:textFill>
            <w14:solidFill>
              <w14:schemeClr w14:val="tx1"/>
            </w14:solidFill>
          </w14:textFill>
        </w:rPr>
        <w:t>（1）价格分值（满分35分）</w:t>
      </w:r>
    </w:p>
    <w:p>
      <w:pPr>
        <w:pStyle w:val="33"/>
        <w:spacing w:line="360" w:lineRule="auto"/>
        <w:ind w:firstLine="450" w:firstLineChars="20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 xml:space="preserve">（2）商务分值（满分10分） </w:t>
      </w:r>
    </w:p>
    <w:p>
      <w:pPr>
        <w:pStyle w:val="33"/>
        <w:spacing w:line="360" w:lineRule="auto"/>
        <w:ind w:firstLine="450" w:firstLineChars="20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 xml:space="preserve">（3）技术分值（满分55分） </w:t>
      </w:r>
    </w:p>
    <w:tbl>
      <w:tblPr>
        <w:tblStyle w:val="23"/>
        <w:tblW w:w="89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592"/>
        <w:gridCol w:w="685"/>
        <w:gridCol w:w="5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b/>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序号</w:t>
            </w:r>
          </w:p>
        </w:tc>
        <w:tc>
          <w:tcPr>
            <w:tcW w:w="1592" w:type="dxa"/>
            <w:vAlign w:val="center"/>
          </w:tcPr>
          <w:p>
            <w:pPr>
              <w:pStyle w:val="33"/>
              <w:spacing w:line="400" w:lineRule="exact"/>
              <w:ind w:firstLine="0" w:firstLineChars="0"/>
              <w:jc w:val="center"/>
              <w:rPr>
                <w:rFonts w:ascii="宋体" w:eastAsia="宋体" w:cs="宋体"/>
                <w:b/>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评分内容</w:t>
            </w:r>
          </w:p>
        </w:tc>
        <w:tc>
          <w:tcPr>
            <w:tcW w:w="685" w:type="dxa"/>
            <w:vAlign w:val="center"/>
          </w:tcPr>
          <w:p>
            <w:pPr>
              <w:pStyle w:val="33"/>
              <w:spacing w:line="400" w:lineRule="exact"/>
              <w:ind w:firstLine="0" w:firstLineChars="0"/>
              <w:jc w:val="center"/>
              <w:rPr>
                <w:rFonts w:ascii="宋体" w:eastAsia="宋体" w:cs="宋体"/>
                <w:b/>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分值</w:t>
            </w:r>
          </w:p>
        </w:tc>
        <w:tc>
          <w:tcPr>
            <w:tcW w:w="5902" w:type="dxa"/>
            <w:vAlign w:val="center"/>
          </w:tcPr>
          <w:p>
            <w:pPr>
              <w:pStyle w:val="33"/>
              <w:spacing w:line="400" w:lineRule="exact"/>
              <w:ind w:firstLine="0" w:firstLineChars="0"/>
              <w:jc w:val="center"/>
              <w:rPr>
                <w:rFonts w:ascii="宋体" w:eastAsia="宋体" w:cs="宋体"/>
                <w:b/>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1" w:type="dxa"/>
            <w:gridSpan w:val="4"/>
            <w:vAlign w:val="center"/>
          </w:tcPr>
          <w:p>
            <w:pPr>
              <w:pStyle w:val="33"/>
              <w:spacing w:line="400" w:lineRule="exact"/>
              <w:ind w:firstLine="0" w:firstLineChars="0"/>
              <w:jc w:val="center"/>
              <w:rPr>
                <w:rFonts w:ascii="宋体" w:eastAsia="宋体" w:cs="宋体"/>
                <w:b/>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价格评分（35分）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1</w:t>
            </w:r>
          </w:p>
        </w:tc>
        <w:tc>
          <w:tcPr>
            <w:tcW w:w="1592" w:type="dxa"/>
            <w:vAlign w:val="center"/>
          </w:tcPr>
          <w:p>
            <w:pPr>
              <w:widowControl/>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价格部分</w:t>
            </w:r>
          </w:p>
        </w:tc>
        <w:tc>
          <w:tcPr>
            <w:tcW w:w="685" w:type="dxa"/>
            <w:vAlign w:val="center"/>
          </w:tcPr>
          <w:p>
            <w:pPr>
              <w:widowControl/>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35分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价格分计算方法：满足招标文件要求且投标价格最低的投标报价为评标基准价，其价格分为满分。其他投标人的价格分统一按照下列公式计算：投标报价得分=(评标基准价／投标报价)×价格权重（35%）×100。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1" w:type="dxa"/>
            <w:gridSpan w:val="4"/>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商务评分（10分）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1</w:t>
            </w:r>
          </w:p>
        </w:tc>
        <w:tc>
          <w:tcPr>
            <w:tcW w:w="1592"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业绩</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6分</w:t>
            </w:r>
          </w:p>
        </w:tc>
        <w:tc>
          <w:tcPr>
            <w:tcW w:w="5902" w:type="dxa"/>
            <w:vAlign w:val="center"/>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投标人自成立以来具有医疗设备项目业绩每个有效业绩合同得2分，满分6分。</w:t>
            </w:r>
            <w:r>
              <w:rPr>
                <w:rFonts w:hint="eastAsia" w:ascii="宋体" w:eastAsia="宋体" w:cs="宋体"/>
                <w:b/>
                <w:bCs/>
                <w:color w:val="000000" w:themeColor="text1"/>
                <w:sz w:val="22"/>
                <w:szCs w:val="22"/>
                <w:highlight w:val="none"/>
                <w14:textFill>
                  <w14:solidFill>
                    <w14:schemeClr w14:val="tx1"/>
                  </w14:solidFill>
                </w14:textFill>
              </w:rPr>
              <w:t>（须提供合同复印件加盖投标人公章）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2</w:t>
            </w:r>
          </w:p>
        </w:tc>
        <w:tc>
          <w:tcPr>
            <w:tcW w:w="1592"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服务便利性</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4分</w:t>
            </w:r>
          </w:p>
        </w:tc>
        <w:tc>
          <w:tcPr>
            <w:tcW w:w="5902" w:type="dxa"/>
            <w:vAlign w:val="center"/>
          </w:tcPr>
          <w:p>
            <w:pPr>
              <w:tabs>
                <w:tab w:val="left" w:pos="312"/>
              </w:tabs>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投标人承诺：接到采购人通知后1小时内到达采购人指定地点的得4分；</w:t>
            </w:r>
          </w:p>
          <w:p>
            <w:pPr>
              <w:tabs>
                <w:tab w:val="left" w:pos="312"/>
              </w:tabs>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投标人承诺接到采购人通知后1-2小时内到达采购人指定地点的得2分；</w:t>
            </w:r>
          </w:p>
          <w:p>
            <w:pPr>
              <w:tabs>
                <w:tab w:val="left" w:pos="312"/>
              </w:tabs>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投标人承诺接到采购人通知后2小时以上到达采购人指定地点的得1分；</w:t>
            </w:r>
          </w:p>
          <w:p>
            <w:pPr>
              <w:tabs>
                <w:tab w:val="left" w:pos="312"/>
              </w:tabs>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没有提供不得分。</w:t>
            </w:r>
          </w:p>
          <w:p>
            <w:pPr>
              <w:tabs>
                <w:tab w:val="left" w:pos="312"/>
              </w:tabs>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（提供承诺函</w:t>
            </w:r>
            <w:r>
              <w:rPr>
                <w:rFonts w:hint="eastAsia" w:ascii="宋体" w:cs="宋体"/>
                <w:b/>
                <w:bCs/>
                <w:color w:val="000000" w:themeColor="text1"/>
                <w:sz w:val="22"/>
                <w:szCs w:val="22"/>
                <w:highlight w:val="none"/>
                <w14:textFill>
                  <w14:solidFill>
                    <w14:schemeClr w14:val="tx1"/>
                  </w14:solidFill>
                </w14:textFill>
              </w:rPr>
              <w:t>加盖投标人公章</w:t>
            </w:r>
            <w:r>
              <w:rPr>
                <w:rFonts w:hint="eastAsia" w:ascii="宋体" w:hAnsi="宋体" w:cs="宋体"/>
                <w:b/>
                <w:bCs/>
                <w:color w:val="000000" w:themeColor="text1"/>
                <w:sz w:val="22"/>
                <w:szCs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1" w:type="dxa"/>
            <w:gridSpan w:val="4"/>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技术评分（55分）（仅适用A包）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1</w:t>
            </w:r>
          </w:p>
        </w:tc>
        <w:tc>
          <w:tcPr>
            <w:tcW w:w="1592"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技术参数响应</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24分</w:t>
            </w:r>
          </w:p>
        </w:tc>
        <w:tc>
          <w:tcPr>
            <w:tcW w:w="5902" w:type="dxa"/>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对用户需求中的带“▲”技术指标条款全部满足或优于的得24分。其中，用户需求“▲”参数指标不满足或者不响应的每一项扣4分；扣完为止，本项最低得0分。</w:t>
            </w:r>
          </w:p>
          <w:p>
            <w:pPr>
              <w:spacing w:line="400" w:lineRule="exact"/>
              <w:ind w:left="220" w:hanging="220" w:hangingChars="1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①对采购需求书带“▲”号条款，采购需求书要求提供证明资料的，则投标文件中须提供对应产品参数的证明资料。</w:t>
            </w:r>
          </w:p>
          <w:p>
            <w:pPr>
              <w:pStyle w:val="33"/>
              <w:spacing w:line="400" w:lineRule="exact"/>
              <w:ind w:left="220" w:hanging="220" w:hangingChars="1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②对采购需求书带“▲”号条款，采购需求书未要求提供证明资料的，则投标文件中须提供所投产品彩页原件或原厂商或总代理商的官方技术白皮书，或原厂商或总代理商所作的技术参数说明等详细技术资料。需要承诺的事项提供承诺书，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2</w:t>
            </w:r>
          </w:p>
        </w:tc>
        <w:tc>
          <w:tcPr>
            <w:tcW w:w="1592" w:type="dxa"/>
            <w:vAlign w:val="center"/>
          </w:tcPr>
          <w:p>
            <w:pPr>
              <w:widowControl/>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实施方案</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10分</w:t>
            </w:r>
          </w:p>
        </w:tc>
        <w:tc>
          <w:tcPr>
            <w:tcW w:w="5902" w:type="dxa"/>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根据投标人提供的交货计划、供货期、安装、调试、检验和验收方案、质量标准等进行</w:t>
            </w:r>
            <w:r>
              <w:rPr>
                <w:rFonts w:hint="eastAsia" w:ascii="宋体" w:eastAsia="宋体" w:cs="宋体"/>
                <w:color w:val="000000" w:themeColor="text1"/>
                <w:kern w:val="0"/>
                <w:sz w:val="22"/>
                <w:szCs w:val="22"/>
                <w:highlight w:val="none"/>
                <w14:textFill>
                  <w14:solidFill>
                    <w14:schemeClr w14:val="tx1"/>
                  </w14:solidFill>
                </w14:textFill>
              </w:rPr>
              <w:t>综合评比</w:t>
            </w:r>
            <w:r>
              <w:rPr>
                <w:rFonts w:hint="eastAsia" w:ascii="宋体" w:eastAsia="宋体" w:cs="宋体"/>
                <w:color w:val="000000" w:themeColor="text1"/>
                <w:sz w:val="22"/>
                <w:szCs w:val="22"/>
                <w:highlight w:val="none"/>
                <w14:textFill>
                  <w14:solidFill>
                    <w14:schemeClr w14:val="tx1"/>
                  </w14:solidFill>
                </w14:textFill>
              </w:rPr>
              <w:t>：</w:t>
            </w:r>
          </w:p>
          <w:p>
            <w:pPr>
              <w:pStyle w:val="33"/>
              <w:spacing w:line="400" w:lineRule="exact"/>
              <w:ind w:left="440" w:hanging="440" w:hangingChars="2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优：方案完整合理、可行性强，完全满足并优于用户要求，得10分；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良：方案完整、可行性一般，符合用户要求，得6分；</w:t>
            </w:r>
          </w:p>
          <w:p>
            <w:pPr>
              <w:autoSpaceDE w:val="0"/>
              <w:autoSpaceDN w:val="0"/>
              <w:adjustRightInd w:val="0"/>
              <w:spacing w:line="400" w:lineRule="exact"/>
              <w:ind w:left="440" w:hanging="440" w:hanging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中：方案基本完整、可行性较差，基本符合用户要求，得2分；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差：没有提供对应方案的得0分。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3</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使用操作及维护保养</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根据投标人提供设备的使用说明及维护方案进行综合评比：</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优：设备操作、使用非常简单，保养、维修便利得8分；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良：设备操作、使用较为简单，保养、维修较为便利得4分；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中：设备操作、使用复杂，保养、维修不便利得2分；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4</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售后服务方案</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根据投标人的售后服务方案（包括质保期、服务响应时间、质量保障措施、</w:t>
            </w:r>
            <w:r>
              <w:rPr>
                <w:rFonts w:hint="eastAsia" w:ascii="宋体" w:hAnsi="宋体" w:cs="宋体"/>
                <w:bCs/>
                <w:color w:val="000000" w:themeColor="text1"/>
                <w:sz w:val="22"/>
                <w:szCs w:val="22"/>
                <w:highlight w:val="none"/>
                <w14:textFill>
                  <w14:solidFill>
                    <w14:schemeClr w14:val="tx1"/>
                  </w14:solidFill>
                </w14:textFill>
              </w:rPr>
              <w:t>保修范围、售后服务技术力量、质保期外的维修服务收费标准、其它服务承诺</w:t>
            </w:r>
            <w:r>
              <w:rPr>
                <w:rFonts w:hint="eastAsia" w:ascii="宋体" w:hAnsi="宋体" w:cs="宋体"/>
                <w:color w:val="000000" w:themeColor="text1"/>
                <w:sz w:val="22"/>
                <w:szCs w:val="22"/>
                <w:highlight w:val="none"/>
                <w14:textFill>
                  <w14:solidFill>
                    <w14:schemeClr w14:val="tx1"/>
                  </w14:solidFill>
                </w14:textFill>
              </w:rPr>
              <w:t>等）进行对比评分：</w:t>
            </w:r>
          </w:p>
          <w:p>
            <w:pPr>
              <w:pStyle w:val="33"/>
              <w:spacing w:line="400" w:lineRule="exact"/>
              <w:ind w:left="440" w:hanging="440" w:hangingChars="2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优：方案完整合理、可行性强，完全满足并优于用户实际要求，得8分；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良：方案完整、可行性一般，符合用户实际要求，得4分；</w:t>
            </w:r>
          </w:p>
          <w:p>
            <w:pPr>
              <w:autoSpaceDE w:val="0"/>
              <w:autoSpaceDN w:val="0"/>
              <w:adjustRightInd w:val="0"/>
              <w:spacing w:line="400" w:lineRule="exact"/>
              <w:ind w:left="440" w:hanging="440" w:hanging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中：方案基本完整、可行性较差，基本符合用户实际要求，得2分。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5</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应急处理方案</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根据投标人的应急处理方案进行综合评比：</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优：方案全面且可行性强得5分；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良：方案全面且可行性一般得3分；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中：方案不全面且可行性一般得1分；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1" w:type="dxa"/>
            <w:gridSpan w:val="4"/>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技术评分（55分）（仅适用B包）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1</w:t>
            </w:r>
          </w:p>
        </w:tc>
        <w:tc>
          <w:tcPr>
            <w:tcW w:w="1592"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技术参数响应</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24分</w:t>
            </w:r>
          </w:p>
        </w:tc>
        <w:tc>
          <w:tcPr>
            <w:tcW w:w="5902" w:type="dxa"/>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对用户需求中的带“▲”技术指标条款全部满足或优于的得24分。其中，用户需求“▲”参数指标不满足或者不响应的每一项扣3分；扣完为止，本项最低得0分。</w:t>
            </w:r>
          </w:p>
          <w:p>
            <w:pPr>
              <w:spacing w:line="400" w:lineRule="exact"/>
              <w:ind w:left="220" w:hanging="220" w:hangingChars="1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①对采购需求书带“▲”号条款，采购需求书要求提供证明资料的，则投标文件中须提供对应产品参数的证明资料。</w:t>
            </w:r>
          </w:p>
          <w:p>
            <w:pPr>
              <w:pStyle w:val="33"/>
              <w:spacing w:line="400" w:lineRule="exact"/>
              <w:ind w:left="220" w:hanging="220" w:hangingChars="1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②对采购需求书带“▲”号条款，采购需求书未要求提供证明资料的，则投标文件中须提供所投产品彩页原件或原厂商或总代理商的官方技术白皮书，或原厂商或总代理商所作的技术参数说明等详细技术资料。需要承诺的事项提供承诺书，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2</w:t>
            </w:r>
          </w:p>
        </w:tc>
        <w:tc>
          <w:tcPr>
            <w:tcW w:w="1592" w:type="dxa"/>
            <w:vAlign w:val="center"/>
          </w:tcPr>
          <w:p>
            <w:pPr>
              <w:widowControl/>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实施方案</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10分</w:t>
            </w:r>
          </w:p>
        </w:tc>
        <w:tc>
          <w:tcPr>
            <w:tcW w:w="5902" w:type="dxa"/>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根据投标人提供的交货计划、供货期、安装、调试、检验和验收方案、质量标准等进行</w:t>
            </w:r>
            <w:r>
              <w:rPr>
                <w:rFonts w:hint="eastAsia" w:ascii="宋体" w:eastAsia="宋体" w:cs="宋体"/>
                <w:color w:val="000000" w:themeColor="text1"/>
                <w:kern w:val="0"/>
                <w:sz w:val="22"/>
                <w:szCs w:val="22"/>
                <w:highlight w:val="none"/>
                <w14:textFill>
                  <w14:solidFill>
                    <w14:schemeClr w14:val="tx1"/>
                  </w14:solidFill>
                </w14:textFill>
              </w:rPr>
              <w:t>综合评比</w:t>
            </w:r>
            <w:r>
              <w:rPr>
                <w:rFonts w:hint="eastAsia" w:ascii="宋体" w:eastAsia="宋体" w:cs="宋体"/>
                <w:color w:val="000000" w:themeColor="text1"/>
                <w:sz w:val="22"/>
                <w:szCs w:val="22"/>
                <w:highlight w:val="none"/>
                <w14:textFill>
                  <w14:solidFill>
                    <w14:schemeClr w14:val="tx1"/>
                  </w14:solidFill>
                </w14:textFill>
              </w:rPr>
              <w:t>：</w:t>
            </w:r>
          </w:p>
          <w:p>
            <w:pPr>
              <w:pStyle w:val="33"/>
              <w:spacing w:line="400" w:lineRule="exact"/>
              <w:ind w:left="440" w:hanging="440" w:hangingChars="2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优：方案完整合理、可行性强，完全满足并优于用户要求，得10分；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良：方案完整、可行性一般，符合用户要求，得6分；</w:t>
            </w:r>
          </w:p>
          <w:p>
            <w:pPr>
              <w:autoSpaceDE w:val="0"/>
              <w:autoSpaceDN w:val="0"/>
              <w:adjustRightInd w:val="0"/>
              <w:spacing w:line="400" w:lineRule="exact"/>
              <w:ind w:left="440" w:hanging="440" w:hanging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中：方案基本完整、可行性较差，基本符合用户要求，得2分；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差：没有提供对应方案的得0分。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3</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使用操作及维护保养</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根据投标人提供设备的使用说明及维护方案进行综合评比：</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优：设备操作、使用非常简单，保养、维修便利得8分；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良：设备操作、使用较为简单，保养、维修较为便利得4分；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中：设备操作、使用复杂，保养、维修不便利得2分；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4</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售后服务方案</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根据投标人的售后服务方案（包括质保期、服务响应时间、质量保障措施、</w:t>
            </w:r>
            <w:r>
              <w:rPr>
                <w:rFonts w:hint="eastAsia" w:ascii="宋体" w:hAnsi="宋体" w:cs="宋体"/>
                <w:bCs/>
                <w:color w:val="000000" w:themeColor="text1"/>
                <w:sz w:val="22"/>
                <w:szCs w:val="22"/>
                <w:highlight w:val="none"/>
                <w14:textFill>
                  <w14:solidFill>
                    <w14:schemeClr w14:val="tx1"/>
                  </w14:solidFill>
                </w14:textFill>
              </w:rPr>
              <w:t>保修范围、售后服务技术力量、质保期外的维修服务收费标准、其它服务承诺</w:t>
            </w:r>
            <w:r>
              <w:rPr>
                <w:rFonts w:hint="eastAsia" w:ascii="宋体" w:hAnsi="宋体" w:cs="宋体"/>
                <w:color w:val="000000" w:themeColor="text1"/>
                <w:sz w:val="22"/>
                <w:szCs w:val="22"/>
                <w:highlight w:val="none"/>
                <w14:textFill>
                  <w14:solidFill>
                    <w14:schemeClr w14:val="tx1"/>
                  </w14:solidFill>
                </w14:textFill>
              </w:rPr>
              <w:t>等）进行对比评分：</w:t>
            </w:r>
          </w:p>
          <w:p>
            <w:pPr>
              <w:pStyle w:val="33"/>
              <w:spacing w:line="400" w:lineRule="exact"/>
              <w:ind w:left="440" w:hanging="440" w:hangingChars="2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优：方案完整合理、可行性强，完全满足并优于用户实际要求，得8分；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良：方案完整、可行性一般，符合用户实际要求，得4分；</w:t>
            </w:r>
          </w:p>
          <w:p>
            <w:pPr>
              <w:autoSpaceDE w:val="0"/>
              <w:autoSpaceDN w:val="0"/>
              <w:adjustRightInd w:val="0"/>
              <w:spacing w:line="400" w:lineRule="exact"/>
              <w:ind w:left="440" w:hanging="440" w:hanging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中：方案基本完整、可行性较差，基本符合用户实际要求，得2分。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5</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应急处理方案</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根据投标人的应急处理方案进行综合评比：</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优：方案全面且可行性强得5分；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良：方案全面且可行性一般得3分；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中：方案不全面且可行性一般得1分；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931" w:type="dxa"/>
            <w:gridSpan w:val="4"/>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b/>
                <w:color w:val="000000" w:themeColor="text1"/>
                <w:kern w:val="0"/>
                <w:sz w:val="22"/>
                <w:szCs w:val="22"/>
                <w:highlight w:val="none"/>
                <w14:textFill>
                  <w14:solidFill>
                    <w14:schemeClr w14:val="tx1"/>
                  </w14:solidFill>
                </w14:textFill>
              </w:rPr>
              <w:t>技术评分（55分）（仅适用C包）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1</w:t>
            </w:r>
          </w:p>
        </w:tc>
        <w:tc>
          <w:tcPr>
            <w:tcW w:w="1592"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技术参数响应</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22分</w:t>
            </w:r>
          </w:p>
        </w:tc>
        <w:tc>
          <w:tcPr>
            <w:tcW w:w="5902" w:type="dxa"/>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对用户需求中的带“▲”技术指标条款全部满足或优于的得22分。其中，用户需求“▲”参数指标不满足或者不响应的每一项扣2分；扣完为止，本项最低得0分。</w:t>
            </w:r>
          </w:p>
          <w:p>
            <w:pPr>
              <w:spacing w:line="400" w:lineRule="exact"/>
              <w:ind w:left="220" w:hanging="220" w:hangingChars="1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①对采购需求书带“▲”号条款，采购需求书要求提供证明资料的，则投标文件中须提供对应产品参数的证明资料。</w:t>
            </w:r>
          </w:p>
          <w:p>
            <w:pPr>
              <w:pStyle w:val="33"/>
              <w:spacing w:line="400" w:lineRule="exact"/>
              <w:ind w:left="220" w:hanging="220" w:hangingChars="1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②对采购需求书带“▲”号条款，采购需求书未要求提供证明资料的，则投标文件中须提供所投产品彩页原件或原厂商或总代理商的官方技术白皮书，或原厂商或总代理商所作的技术参数说明等详细技术资料。需要承诺的事项提供承诺书，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2</w:t>
            </w:r>
          </w:p>
        </w:tc>
        <w:tc>
          <w:tcPr>
            <w:tcW w:w="1592" w:type="dxa"/>
            <w:vAlign w:val="center"/>
          </w:tcPr>
          <w:p>
            <w:pPr>
              <w:widowControl/>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实施方案</w:t>
            </w:r>
          </w:p>
        </w:tc>
        <w:tc>
          <w:tcPr>
            <w:tcW w:w="685" w:type="dxa"/>
            <w:vAlign w:val="center"/>
          </w:tcPr>
          <w:p>
            <w:pPr>
              <w:pStyle w:val="33"/>
              <w:spacing w:line="400" w:lineRule="exact"/>
              <w:ind w:firstLine="0" w:firstLineChars="0"/>
              <w:jc w:val="center"/>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10分</w:t>
            </w:r>
          </w:p>
        </w:tc>
        <w:tc>
          <w:tcPr>
            <w:tcW w:w="5902" w:type="dxa"/>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根据投标人提供的交货计划、供货期、安装、调试、检验和验收方案、质量标准等进行</w:t>
            </w:r>
            <w:r>
              <w:rPr>
                <w:rFonts w:hint="eastAsia" w:ascii="宋体" w:eastAsia="宋体" w:cs="宋体"/>
                <w:color w:val="000000" w:themeColor="text1"/>
                <w:kern w:val="0"/>
                <w:sz w:val="22"/>
                <w:szCs w:val="22"/>
                <w:highlight w:val="none"/>
                <w14:textFill>
                  <w14:solidFill>
                    <w14:schemeClr w14:val="tx1"/>
                  </w14:solidFill>
                </w14:textFill>
              </w:rPr>
              <w:t>综合评比</w:t>
            </w:r>
            <w:r>
              <w:rPr>
                <w:rFonts w:hint="eastAsia" w:ascii="宋体" w:eastAsia="宋体" w:cs="宋体"/>
                <w:color w:val="000000" w:themeColor="text1"/>
                <w:sz w:val="22"/>
                <w:szCs w:val="22"/>
                <w:highlight w:val="none"/>
                <w14:textFill>
                  <w14:solidFill>
                    <w14:schemeClr w14:val="tx1"/>
                  </w14:solidFill>
                </w14:textFill>
              </w:rPr>
              <w:t>：</w:t>
            </w:r>
          </w:p>
          <w:p>
            <w:pPr>
              <w:pStyle w:val="33"/>
              <w:spacing w:line="400" w:lineRule="exact"/>
              <w:ind w:left="440" w:hanging="440" w:hangingChars="2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优：方案完整合理、可行性强，完全满足并优于用户要求，得10分；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良：方案完整、可行性一般，符合用户要求，得6分；</w:t>
            </w:r>
          </w:p>
          <w:p>
            <w:pPr>
              <w:autoSpaceDE w:val="0"/>
              <w:autoSpaceDN w:val="0"/>
              <w:adjustRightInd w:val="0"/>
              <w:spacing w:line="400" w:lineRule="exact"/>
              <w:ind w:left="440" w:hanging="440" w:hanging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中：方案基本完整、可行性较差，基本符合用户要求，得2分；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差：没有提供对应方案的得0分。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3</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使用操作及维护保养</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10分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根据投标人提供设备的使用说明及维护方案进行综合评比：</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优：设备操作、使用非常简单，保养、维修便利得10分；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良：设备操作、使用较为简单，保养、维修较为便利得6分；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中：设备操作、使用复杂，保养、维修不便利得2分；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4</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售后服务方案</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根据投标人的售后服务方案（包括质保期、服务响应时间、质量保障措施、</w:t>
            </w:r>
            <w:r>
              <w:rPr>
                <w:rFonts w:hint="eastAsia" w:ascii="宋体" w:hAnsi="宋体" w:cs="宋体"/>
                <w:bCs/>
                <w:color w:val="000000" w:themeColor="text1"/>
                <w:sz w:val="22"/>
                <w:szCs w:val="22"/>
                <w:highlight w:val="none"/>
                <w14:textFill>
                  <w14:solidFill>
                    <w14:schemeClr w14:val="tx1"/>
                  </w14:solidFill>
                </w14:textFill>
              </w:rPr>
              <w:t>保修范围、售后服务技术力量、质保期外的维修服务收费标准、其它服务承诺</w:t>
            </w:r>
            <w:r>
              <w:rPr>
                <w:rFonts w:hint="eastAsia" w:ascii="宋体" w:hAnsi="宋体" w:cs="宋体"/>
                <w:color w:val="000000" w:themeColor="text1"/>
                <w:sz w:val="22"/>
                <w:szCs w:val="22"/>
                <w:highlight w:val="none"/>
                <w14:textFill>
                  <w14:solidFill>
                    <w14:schemeClr w14:val="tx1"/>
                  </w14:solidFill>
                </w14:textFill>
              </w:rPr>
              <w:t>等）进行对比评分：</w:t>
            </w:r>
          </w:p>
          <w:p>
            <w:pPr>
              <w:pStyle w:val="33"/>
              <w:spacing w:line="400" w:lineRule="exact"/>
              <w:ind w:left="440" w:hanging="440" w:hangingChars="2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优：方案完整合理、可行性强，完全满足并优于用户实际要求，得8分；</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良：方案完整、可行性一般，符合用户实际要求，得4分；</w:t>
            </w:r>
          </w:p>
          <w:p>
            <w:pPr>
              <w:autoSpaceDE w:val="0"/>
              <w:autoSpaceDN w:val="0"/>
              <w:adjustRightInd w:val="0"/>
              <w:spacing w:line="400" w:lineRule="exact"/>
              <w:ind w:left="440" w:hanging="440" w:hanging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中：方案基本完整、可行性较差，基本符合用户实际要求，得2分。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52" w:type="dxa"/>
            <w:vAlign w:val="center"/>
          </w:tcPr>
          <w:p>
            <w:pPr>
              <w:pStyle w:val="33"/>
              <w:spacing w:line="400" w:lineRule="exact"/>
              <w:ind w:firstLine="0" w:firstLineChars="0"/>
              <w:jc w:val="center"/>
              <w:rPr>
                <w:rFonts w:ascii="宋体" w:eastAsia="宋体" w:cs="宋体"/>
                <w:color w:val="000000" w:themeColor="text1"/>
                <w:kern w:val="0"/>
                <w:sz w:val="22"/>
                <w:szCs w:val="22"/>
                <w:highlight w:val="none"/>
                <w14:textFill>
                  <w14:solidFill>
                    <w14:schemeClr w14:val="tx1"/>
                  </w14:solidFill>
                </w14:textFill>
              </w:rPr>
            </w:pPr>
            <w:r>
              <w:rPr>
                <w:rFonts w:hint="eastAsia" w:ascii="宋体" w:eastAsia="宋体" w:cs="宋体"/>
                <w:color w:val="000000" w:themeColor="text1"/>
                <w:kern w:val="0"/>
                <w:sz w:val="22"/>
                <w:szCs w:val="22"/>
                <w:highlight w:val="none"/>
                <w14:textFill>
                  <w14:solidFill>
                    <w14:schemeClr w14:val="tx1"/>
                  </w14:solidFill>
                </w14:textFill>
              </w:rPr>
              <w:t>5</w:t>
            </w:r>
          </w:p>
        </w:tc>
        <w:tc>
          <w:tcPr>
            <w:tcW w:w="1592"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应急处理方案</w:t>
            </w:r>
          </w:p>
        </w:tc>
        <w:tc>
          <w:tcPr>
            <w:tcW w:w="685"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5分</w:t>
            </w:r>
          </w:p>
        </w:tc>
        <w:tc>
          <w:tcPr>
            <w:tcW w:w="5902"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根据投标人的应急处理方案进行综合评比：</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优：方案全面且可行性强得5分；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良：方案全面且可行性一般得3分；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中：方案不全面且可行性一般得1分；</w:t>
            </w:r>
          </w:p>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差：未提供对应方案不得分。</w:t>
            </w:r>
          </w:p>
        </w:tc>
      </w:tr>
    </w:tbl>
    <w:p>
      <w:pPr>
        <w:pStyle w:val="33"/>
        <w:spacing w:line="360" w:lineRule="auto"/>
        <w:ind w:firstLine="440" w:firstLineChars="20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23.4推荐中标候选人</w:t>
      </w:r>
    </w:p>
    <w:p>
      <w:pPr>
        <w:pStyle w:val="32"/>
        <w:spacing w:line="360" w:lineRule="auto"/>
        <w:ind w:firstLine="420" w:firstLineChars="191"/>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评标委员会按评审后的综合得分由高到低顺序排列，并向采购人推荐3名中标候选人，并编写评审报告。综合得分相同的，按投标报价由低到高顺序排列。综合得分且投标报价相同的，按技术部分得分顺序排列。对评审报告有异议的，应当在评审报告上签署不同意见，并说明理由，否则视为同意评审报告。</w:t>
      </w:r>
    </w:p>
    <w:p>
      <w:pPr>
        <w:pStyle w:val="32"/>
        <w:spacing w:line="360" w:lineRule="auto"/>
        <w:ind w:firstLine="420" w:firstLineChars="191"/>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开标后符合资格条件或对招标文件实质性条款做出响应的投标人不足3家的，采购代理机构将依据《政府采购非招标采购方式管理办法》相关规定执行。</w:t>
      </w:r>
    </w:p>
    <w:p>
      <w:pPr>
        <w:pStyle w:val="32"/>
        <w:spacing w:line="360" w:lineRule="auto"/>
        <w:ind w:firstLine="420" w:firstLineChars="191"/>
        <w:rPr>
          <w:rFonts w:ascii="宋体" w:eastAsia="宋体"/>
          <w:color w:val="000000" w:themeColor="text1"/>
          <w:sz w:val="22"/>
          <w:szCs w:val="22"/>
          <w:highlight w:val="none"/>
          <w14:textFill>
            <w14:solidFill>
              <w14:schemeClr w14:val="tx1"/>
            </w14:solidFill>
          </w14:textFill>
        </w:rPr>
      </w:pPr>
    </w:p>
    <w:p>
      <w:pPr>
        <w:pStyle w:val="4"/>
        <w:spacing w:beforeLines="100" w:afterLines="100" w:line="360" w:lineRule="auto"/>
        <w:rPr>
          <w:rFonts w:ascii="宋体" w:hAnsi="宋体" w:eastAsia="宋体"/>
          <w:bCs/>
          <w:color w:val="000000" w:themeColor="text1"/>
          <w:szCs w:val="32"/>
          <w:highlight w:val="none"/>
          <w14:textFill>
            <w14:solidFill>
              <w14:schemeClr w14:val="tx1"/>
            </w14:solidFill>
          </w14:textFill>
        </w:rPr>
      </w:pPr>
      <w:bookmarkStart w:id="148" w:name="_Toc27580"/>
      <w:bookmarkStart w:id="149" w:name="_Toc11271_WPSOffice_Level2"/>
      <w:bookmarkStart w:id="150" w:name="_Toc3909"/>
      <w:bookmarkStart w:id="151" w:name="_Toc17471_WPSOffice_Level2"/>
      <w:bookmarkStart w:id="152" w:name="_Toc7695"/>
      <w:r>
        <w:rPr>
          <w:rFonts w:hint="eastAsia" w:ascii="宋体" w:hAnsi="宋体" w:eastAsia="宋体"/>
          <w:bCs/>
          <w:color w:val="000000" w:themeColor="text1"/>
          <w:szCs w:val="32"/>
          <w:highlight w:val="none"/>
          <w14:textFill>
            <w14:solidFill>
              <w14:schemeClr w14:val="tx1"/>
            </w14:solidFill>
          </w14:textFill>
        </w:rPr>
        <w:t>六、合同授予</w:t>
      </w:r>
      <w:bookmarkEnd w:id="147"/>
      <w:bookmarkEnd w:id="148"/>
      <w:bookmarkEnd w:id="149"/>
      <w:bookmarkEnd w:id="150"/>
      <w:bookmarkEnd w:id="151"/>
      <w:bookmarkEnd w:id="152"/>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53" w:name="_Toc429559399"/>
      <w:bookmarkStart w:id="154" w:name="_Toc22657"/>
      <w:bookmarkStart w:id="155" w:name="_Toc5961"/>
      <w:bookmarkStart w:id="156" w:name="_Toc22223"/>
      <w:r>
        <w:rPr>
          <w:rFonts w:hint="eastAsia"/>
          <w:color w:val="000000" w:themeColor="text1"/>
          <w:sz w:val="24"/>
          <w:highlight w:val="none"/>
          <w14:textFill>
            <w14:solidFill>
              <w14:schemeClr w14:val="tx1"/>
            </w14:solidFill>
          </w14:textFill>
        </w:rPr>
        <w:t>24．</w:t>
      </w:r>
      <w:bookmarkEnd w:id="153"/>
      <w:bookmarkStart w:id="157" w:name="_Toc382049122"/>
      <w:bookmarkStart w:id="158" w:name="_Toc509339872"/>
      <w:r>
        <w:rPr>
          <w:rFonts w:hint="eastAsia"/>
          <w:color w:val="000000" w:themeColor="text1"/>
          <w:sz w:val="24"/>
          <w:highlight w:val="none"/>
          <w14:textFill>
            <w14:solidFill>
              <w14:schemeClr w14:val="tx1"/>
            </w14:solidFill>
          </w14:textFill>
        </w:rPr>
        <w:t>中标公告及</w:t>
      </w:r>
      <w:bookmarkEnd w:id="157"/>
      <w:r>
        <w:rPr>
          <w:rFonts w:hint="eastAsia"/>
          <w:color w:val="000000" w:themeColor="text1"/>
          <w:sz w:val="24"/>
          <w:highlight w:val="none"/>
          <w14:textFill>
            <w14:solidFill>
              <w14:schemeClr w14:val="tx1"/>
            </w14:solidFill>
          </w14:textFill>
        </w:rPr>
        <w:t>中标通知书</w:t>
      </w:r>
      <w:bookmarkEnd w:id="154"/>
      <w:bookmarkEnd w:id="155"/>
      <w:bookmarkEnd w:id="156"/>
      <w:bookmarkEnd w:id="158"/>
    </w:p>
    <w:p>
      <w:pPr>
        <w:numPr>
          <w:ilvl w:val="1"/>
          <w:numId w:val="0"/>
        </w:numPr>
        <w:tabs>
          <w:tab w:val="left" w:pos="567"/>
        </w:tabs>
        <w:spacing w:line="360" w:lineRule="auto"/>
        <w:ind w:firstLine="440" w:firstLineChars="200"/>
        <w:rPr>
          <w:rFonts w:ascii="宋体" w:hAnsi="宋体" w:cs="宋体"/>
          <w:color w:val="000000" w:themeColor="text1"/>
          <w:sz w:val="22"/>
          <w:szCs w:val="22"/>
          <w:highlight w:val="none"/>
          <w14:textFill>
            <w14:solidFill>
              <w14:schemeClr w14:val="tx1"/>
            </w14:solidFill>
          </w14:textFill>
        </w:rPr>
      </w:pPr>
      <w:bookmarkStart w:id="159" w:name="_Toc429559400"/>
      <w:r>
        <w:rPr>
          <w:rFonts w:hint="eastAsia" w:ascii="宋体" w:hAnsi="宋体" w:cs="宋体"/>
          <w:color w:val="000000" w:themeColor="text1"/>
          <w:sz w:val="22"/>
          <w:szCs w:val="22"/>
          <w:highlight w:val="none"/>
          <w14:textFill>
            <w14:solidFill>
              <w14:schemeClr w14:val="tx1"/>
            </w14:solidFill>
          </w14:textFill>
        </w:rPr>
        <w:t>24.1评标委员会提出评标书面报告和推荐中标意见报采购人确认后，采购代理机构将在东莞市政府采购网等财政部门指定的政府采购信息发布媒体上发布公告。</w:t>
      </w:r>
    </w:p>
    <w:p>
      <w:pPr>
        <w:numPr>
          <w:ilvl w:val="1"/>
          <w:numId w:val="0"/>
        </w:numPr>
        <w:tabs>
          <w:tab w:val="left" w:pos="567"/>
        </w:tabs>
        <w:spacing w:line="360" w:lineRule="auto"/>
        <w:ind w:firstLine="440" w:firstLineChars="200"/>
        <w:rPr>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24.2采购代理机构在发布中标公告的同时，向中标人发出《中标通知书》。《中标通知书》将是合同的一个组成部分，对中标人和采购人具有同等法律效力。</w:t>
      </w:r>
    </w:p>
    <w:p>
      <w:pPr>
        <w:numPr>
          <w:ilvl w:val="1"/>
          <w:numId w:val="0"/>
        </w:numPr>
        <w:tabs>
          <w:tab w:val="left" w:pos="567"/>
        </w:tabs>
        <w:spacing w:line="360" w:lineRule="exact"/>
        <w:rPr>
          <w:color w:val="000000" w:themeColor="text1"/>
          <w:sz w:val="22"/>
          <w:szCs w:val="22"/>
          <w:highlight w:val="none"/>
          <w14:textFill>
            <w14:solidFill>
              <w14:schemeClr w14:val="tx1"/>
            </w14:solidFill>
          </w14:textFill>
        </w:rPr>
      </w:pPr>
    </w:p>
    <w:bookmarkEnd w:id="159"/>
    <w:p>
      <w:pPr>
        <w:pStyle w:val="4"/>
        <w:spacing w:beforeLines="100" w:afterLines="100" w:line="360" w:lineRule="auto"/>
        <w:rPr>
          <w:rFonts w:ascii="宋体" w:hAnsi="宋体" w:eastAsia="宋体"/>
          <w:bCs/>
          <w:color w:val="000000" w:themeColor="text1"/>
          <w:szCs w:val="32"/>
          <w:highlight w:val="none"/>
          <w14:textFill>
            <w14:solidFill>
              <w14:schemeClr w14:val="tx1"/>
            </w14:solidFill>
          </w14:textFill>
        </w:rPr>
      </w:pPr>
      <w:bookmarkStart w:id="160" w:name="_Toc32484_WPSOffice_Level2"/>
      <w:bookmarkStart w:id="161" w:name="_Toc19596"/>
      <w:bookmarkStart w:id="162" w:name="_Toc429559402"/>
      <w:bookmarkStart w:id="163" w:name="_Toc18322"/>
      <w:bookmarkStart w:id="164" w:name="_Toc26283"/>
      <w:bookmarkStart w:id="165" w:name="_Toc953_WPSOffice_Level2"/>
      <w:r>
        <w:rPr>
          <w:rFonts w:hint="eastAsia" w:ascii="宋体" w:hAnsi="宋体" w:eastAsia="宋体"/>
          <w:bCs/>
          <w:color w:val="000000" w:themeColor="text1"/>
          <w:szCs w:val="32"/>
          <w:highlight w:val="none"/>
          <w14:textFill>
            <w14:solidFill>
              <w14:schemeClr w14:val="tx1"/>
            </w14:solidFill>
          </w14:textFill>
        </w:rPr>
        <w:t>七、合同签订和履行</w:t>
      </w:r>
      <w:bookmarkEnd w:id="160"/>
      <w:bookmarkEnd w:id="161"/>
      <w:bookmarkEnd w:id="162"/>
      <w:bookmarkEnd w:id="163"/>
      <w:bookmarkEnd w:id="164"/>
      <w:bookmarkEnd w:id="165"/>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66" w:name="_Toc4390"/>
      <w:bookmarkStart w:id="167" w:name="_Toc429559403"/>
      <w:bookmarkStart w:id="168" w:name="_Toc2326"/>
      <w:bookmarkStart w:id="169" w:name="_Toc12456"/>
      <w:r>
        <w:rPr>
          <w:rFonts w:hint="eastAsia"/>
          <w:color w:val="000000" w:themeColor="text1"/>
          <w:sz w:val="24"/>
          <w:highlight w:val="none"/>
          <w14:textFill>
            <w14:solidFill>
              <w14:schemeClr w14:val="tx1"/>
            </w14:solidFill>
          </w14:textFill>
        </w:rPr>
        <w:t>25．</w:t>
      </w:r>
      <w:r>
        <w:rPr>
          <w:color w:val="000000" w:themeColor="text1"/>
          <w:sz w:val="24"/>
          <w:highlight w:val="none"/>
          <w14:textFill>
            <w14:solidFill>
              <w14:schemeClr w14:val="tx1"/>
            </w14:solidFill>
          </w14:textFill>
        </w:rPr>
        <w:t>合同的签订</w:t>
      </w:r>
      <w:bookmarkEnd w:id="166"/>
      <w:bookmarkEnd w:id="167"/>
      <w:bookmarkEnd w:id="168"/>
      <w:bookmarkEnd w:id="169"/>
    </w:p>
    <w:p>
      <w:pPr>
        <w:pStyle w:val="33"/>
        <w:spacing w:line="360" w:lineRule="auto"/>
        <w:ind w:firstLine="450" w:firstLineChars="20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25.1 采购人</w:t>
      </w:r>
      <w:r>
        <w:rPr>
          <w:rFonts w:ascii="宋体" w:eastAsia="宋体"/>
          <w:color w:val="000000" w:themeColor="text1"/>
          <w:sz w:val="22"/>
          <w:szCs w:val="22"/>
          <w:highlight w:val="none"/>
          <w14:textFill>
            <w14:solidFill>
              <w14:schemeClr w14:val="tx1"/>
            </w14:solidFill>
          </w14:textFill>
        </w:rPr>
        <w:t>与中标人</w:t>
      </w:r>
      <w:r>
        <w:rPr>
          <w:rFonts w:hint="eastAsia" w:ascii="宋体" w:eastAsia="宋体"/>
          <w:color w:val="000000" w:themeColor="text1"/>
          <w:sz w:val="22"/>
          <w:szCs w:val="22"/>
          <w:highlight w:val="none"/>
          <w14:textFill>
            <w14:solidFill>
              <w14:schemeClr w14:val="tx1"/>
            </w14:solidFill>
          </w14:textFill>
        </w:rPr>
        <w:t>自</w:t>
      </w:r>
      <w:r>
        <w:rPr>
          <w:rFonts w:ascii="宋体" w:eastAsia="宋体"/>
          <w:color w:val="000000" w:themeColor="text1"/>
          <w:sz w:val="22"/>
          <w:szCs w:val="22"/>
          <w:highlight w:val="none"/>
          <w14:textFill>
            <w14:solidFill>
              <w14:schemeClr w14:val="tx1"/>
            </w14:solidFill>
          </w14:textFill>
        </w:rPr>
        <w:t>中标通知书</w:t>
      </w:r>
      <w:r>
        <w:rPr>
          <w:rFonts w:hint="eastAsia" w:ascii="宋体" w:eastAsia="宋体"/>
          <w:color w:val="000000" w:themeColor="text1"/>
          <w:sz w:val="22"/>
          <w:szCs w:val="22"/>
          <w:highlight w:val="none"/>
          <w14:textFill>
            <w14:solidFill>
              <w14:schemeClr w14:val="tx1"/>
            </w14:solidFill>
          </w14:textFill>
        </w:rPr>
        <w:t>发出之日起30日</w:t>
      </w:r>
      <w:r>
        <w:rPr>
          <w:rFonts w:ascii="宋体" w:eastAsia="宋体"/>
          <w:color w:val="000000" w:themeColor="text1"/>
          <w:sz w:val="22"/>
          <w:szCs w:val="22"/>
          <w:highlight w:val="none"/>
          <w14:textFill>
            <w14:solidFill>
              <w14:schemeClr w14:val="tx1"/>
            </w14:solidFill>
          </w14:textFill>
        </w:rPr>
        <w:t>内，按照招标文件和中标人的投标文件</w:t>
      </w:r>
      <w:r>
        <w:rPr>
          <w:rFonts w:hint="eastAsia" w:ascii="宋体" w:eastAsia="宋体"/>
          <w:color w:val="000000" w:themeColor="text1"/>
          <w:sz w:val="22"/>
          <w:szCs w:val="22"/>
          <w:highlight w:val="none"/>
          <w14:textFill>
            <w14:solidFill>
              <w14:schemeClr w14:val="tx1"/>
            </w14:solidFill>
          </w14:textFill>
        </w:rPr>
        <w:t>承诺签订政府采购</w:t>
      </w:r>
      <w:r>
        <w:rPr>
          <w:rFonts w:ascii="宋体" w:eastAsia="宋体"/>
          <w:color w:val="000000" w:themeColor="text1"/>
          <w:sz w:val="22"/>
          <w:szCs w:val="22"/>
          <w:highlight w:val="none"/>
          <w14:textFill>
            <w14:solidFill>
              <w14:schemeClr w14:val="tx1"/>
            </w14:solidFill>
          </w14:textFill>
        </w:rPr>
        <w:t>合同，</w:t>
      </w:r>
      <w:r>
        <w:rPr>
          <w:rFonts w:hint="eastAsia" w:ascii="宋体" w:eastAsia="宋体"/>
          <w:color w:val="000000" w:themeColor="text1"/>
          <w:sz w:val="22"/>
          <w:szCs w:val="22"/>
          <w:highlight w:val="none"/>
          <w14:textFill>
            <w14:solidFill>
              <w14:schemeClr w14:val="tx1"/>
            </w14:solidFill>
          </w14:textFill>
        </w:rPr>
        <w:t>但不得超出招标文件和中标人投标文件的范围、也不得再行订立</w:t>
      </w:r>
      <w:r>
        <w:rPr>
          <w:rFonts w:ascii="宋体" w:eastAsia="宋体"/>
          <w:color w:val="000000" w:themeColor="text1"/>
          <w:sz w:val="22"/>
          <w:szCs w:val="22"/>
          <w:highlight w:val="none"/>
          <w14:textFill>
            <w14:solidFill>
              <w14:schemeClr w14:val="tx1"/>
            </w14:solidFill>
          </w14:textFill>
        </w:rPr>
        <w:t>背离合同实质性内容的其他协议。</w:t>
      </w:r>
    </w:p>
    <w:p>
      <w:pPr>
        <w:pStyle w:val="33"/>
        <w:spacing w:line="360" w:lineRule="auto"/>
        <w:ind w:firstLine="450" w:firstLineChars="205"/>
        <w:rPr>
          <w:rFonts w:ascii="宋体" w:eastAsia="宋体" w:cs="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25.2采购人应当自政府采购合同签订之日起3个工作日内，应将合同副本交至采购代理机构备案。</w:t>
      </w:r>
    </w:p>
    <w:p>
      <w:pPr>
        <w:pStyle w:val="33"/>
        <w:spacing w:line="360" w:lineRule="auto"/>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25.3除采购人同意分包的项目内容外，中</w:t>
      </w:r>
      <w:r>
        <w:rPr>
          <w:rFonts w:hint="eastAsia" w:ascii="宋体" w:eastAsia="宋体"/>
          <w:color w:val="000000" w:themeColor="text1"/>
          <w:sz w:val="22"/>
          <w:szCs w:val="22"/>
          <w:highlight w:val="none"/>
          <w14:textFill>
            <w14:solidFill>
              <w14:schemeClr w14:val="tx1"/>
            </w14:solidFill>
          </w14:textFill>
        </w:rPr>
        <w:t>标人不能把中标项目分包给其他单位实施。</w:t>
      </w:r>
    </w:p>
    <w:p>
      <w:pPr>
        <w:pStyle w:val="33"/>
        <w:spacing w:line="360" w:lineRule="auto"/>
        <w:ind w:firstLine="450" w:firstLineChars="20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26.4采购人应当在中标（成交）通知书发出之日起30日内，按照采购文件确定的事项与中标（成交）供应商签订政府采购合同。自政府采购合同签订之日起2个工作日内，将政府采购合同在广东省网上办事大厅政府采购系统进行公开；自政府采购合同签订之日起7个工作日内，将政府采购合同通过广东省政府采购网进行备案。</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70" w:name="_Toc429647374"/>
      <w:bookmarkStart w:id="171" w:name="_Toc19153"/>
      <w:bookmarkStart w:id="172" w:name="_Toc429645581"/>
      <w:bookmarkStart w:id="173" w:name="_Toc456167996"/>
      <w:bookmarkStart w:id="174" w:name="_Toc27342"/>
      <w:bookmarkStart w:id="175" w:name="_Toc429661563"/>
      <w:bookmarkStart w:id="176" w:name="_Toc13775"/>
      <w:r>
        <w:rPr>
          <w:rFonts w:hint="eastAsia"/>
          <w:color w:val="000000" w:themeColor="text1"/>
          <w:sz w:val="24"/>
          <w:highlight w:val="none"/>
          <w14:textFill>
            <w14:solidFill>
              <w14:schemeClr w14:val="tx1"/>
            </w14:solidFill>
          </w14:textFill>
        </w:rPr>
        <w:t>26．</w:t>
      </w:r>
      <w:r>
        <w:rPr>
          <w:color w:val="000000" w:themeColor="text1"/>
          <w:sz w:val="24"/>
          <w:highlight w:val="none"/>
          <w14:textFill>
            <w14:solidFill>
              <w14:schemeClr w14:val="tx1"/>
            </w14:solidFill>
          </w14:textFill>
        </w:rPr>
        <w:t>履约</w:t>
      </w:r>
      <w:r>
        <w:rPr>
          <w:rFonts w:hint="eastAsia"/>
          <w:color w:val="000000" w:themeColor="text1"/>
          <w:sz w:val="24"/>
          <w:highlight w:val="none"/>
          <w14:textFill>
            <w14:solidFill>
              <w14:schemeClr w14:val="tx1"/>
            </w14:solidFill>
          </w14:textFill>
        </w:rPr>
        <w:t>保证金</w:t>
      </w:r>
      <w:bookmarkEnd w:id="170"/>
      <w:bookmarkEnd w:id="171"/>
      <w:bookmarkEnd w:id="172"/>
      <w:bookmarkEnd w:id="173"/>
      <w:bookmarkEnd w:id="174"/>
      <w:bookmarkEnd w:id="175"/>
      <w:r>
        <w:rPr>
          <w:rFonts w:hint="eastAsia"/>
          <w:color w:val="000000" w:themeColor="text1"/>
          <w:sz w:val="24"/>
          <w:highlight w:val="none"/>
          <w14:textFill>
            <w14:solidFill>
              <w14:schemeClr w14:val="tx1"/>
            </w14:solidFill>
          </w14:textFill>
        </w:rPr>
        <w:t>（如有要求）</w:t>
      </w:r>
      <w:bookmarkEnd w:id="176"/>
    </w:p>
    <w:p>
      <w:pPr>
        <w:pStyle w:val="37"/>
        <w:ind w:firstLine="440"/>
        <w:rPr>
          <w:rFonts w:ascii="宋体" w:hAnsi="宋体"/>
          <w:snapToGrid w:val="0"/>
          <w:color w:val="000000" w:themeColor="text1"/>
          <w:kern w:val="0"/>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26.1中标人应在领取《中标通知书》后的十个日历日内（如提交履约保函的，时间延至合同签订之前），办理履约保证金，金额为中标金额的</w:t>
      </w:r>
      <w:r>
        <w:rPr>
          <w:rFonts w:hint="eastAsia" w:ascii="宋体" w:hAnsi="宋体"/>
          <w:bCs/>
          <w:color w:val="000000" w:themeColor="text1"/>
          <w:sz w:val="22"/>
          <w:highlight w:val="none"/>
          <w:u w:val="single"/>
          <w14:textFill>
            <w14:solidFill>
              <w14:schemeClr w14:val="tx1"/>
            </w14:solidFill>
          </w14:textFill>
        </w:rPr>
        <w:t xml:space="preserve"> 5%</w:t>
      </w:r>
      <w:r>
        <w:rPr>
          <w:rFonts w:hint="eastAsia" w:ascii="宋体" w:hAnsi="宋体"/>
          <w:bCs/>
          <w:color w:val="000000" w:themeColor="text1"/>
          <w:sz w:val="22"/>
          <w:highlight w:val="none"/>
          <w14:textFill>
            <w14:solidFill>
              <w14:schemeClr w14:val="tx1"/>
            </w14:solidFill>
          </w14:textFill>
        </w:rPr>
        <w:t>。给采购人造成的损失超过投标担保数额的，还应当由其对超过部分予</w:t>
      </w:r>
      <w:r>
        <w:rPr>
          <w:rFonts w:hint="eastAsia" w:ascii="宋体" w:hAnsi="宋体"/>
          <w:snapToGrid w:val="0"/>
          <w:color w:val="000000" w:themeColor="text1"/>
          <w:kern w:val="0"/>
          <w:sz w:val="22"/>
          <w:highlight w:val="none"/>
          <w14:textFill>
            <w14:solidFill>
              <w14:schemeClr w14:val="tx1"/>
            </w14:solidFill>
          </w14:textFill>
        </w:rPr>
        <w:t>以赔偿，并依法追究其责任。提交方式可按照下述方式提交：</w:t>
      </w:r>
    </w:p>
    <w:p>
      <w:pPr>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snapToGrid w:val="0"/>
          <w:color w:val="000000" w:themeColor="text1"/>
          <w:sz w:val="22"/>
          <w:szCs w:val="22"/>
          <w:highlight w:val="none"/>
          <w14:textFill>
            <w14:solidFill>
              <w14:schemeClr w14:val="tx1"/>
            </w14:solidFill>
          </w14:textFill>
        </w:rPr>
        <w:t>26.1.1银行履约保函：应是合法经营的银行机构出具的银行保函。履约保函的内容，应符合招标文件、投标响应文件和采购合同的要求。履约保函应在采购合同有效期满后</w:t>
      </w:r>
      <w:r>
        <w:rPr>
          <w:rFonts w:ascii="宋体" w:hAnsi="宋体"/>
          <w:snapToGrid w:val="0"/>
          <w:color w:val="000000" w:themeColor="text1"/>
          <w:sz w:val="22"/>
          <w:szCs w:val="22"/>
          <w:highlight w:val="none"/>
          <w14:textFill>
            <w14:solidFill>
              <w14:schemeClr w14:val="tx1"/>
            </w14:solidFill>
          </w14:textFill>
        </w:rPr>
        <w:t>28</w:t>
      </w:r>
      <w:r>
        <w:rPr>
          <w:rFonts w:hint="eastAsia" w:ascii="宋体" w:hAnsi="宋体"/>
          <w:snapToGrid w:val="0"/>
          <w:color w:val="000000" w:themeColor="text1"/>
          <w:sz w:val="22"/>
          <w:szCs w:val="22"/>
          <w:highlight w:val="none"/>
          <w14:textFill>
            <w14:solidFill>
              <w14:schemeClr w14:val="tx1"/>
            </w14:solidFill>
          </w14:textFill>
        </w:rPr>
        <w:t>天内继续有效。</w:t>
      </w:r>
    </w:p>
    <w:p>
      <w:pPr>
        <w:numPr>
          <w:ilvl w:val="2"/>
          <w:numId w:val="0"/>
        </w:numPr>
        <w:tabs>
          <w:tab w:val="left" w:pos="794"/>
        </w:tabs>
        <w:spacing w:line="360" w:lineRule="auto"/>
        <w:ind w:firstLine="440" w:firstLineChars="200"/>
        <w:rPr>
          <w:rFonts w:ascii="宋体" w:hAnsi="宋体"/>
          <w:snapToGrid w:val="0"/>
          <w:color w:val="000000" w:themeColor="text1"/>
          <w:sz w:val="22"/>
          <w:szCs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26.1.2</w:t>
      </w:r>
      <w:r>
        <w:rPr>
          <w:rFonts w:hint="eastAsia" w:ascii="宋体" w:hAnsi="宋体"/>
          <w:snapToGrid w:val="0"/>
          <w:color w:val="000000" w:themeColor="text1"/>
          <w:sz w:val="22"/>
          <w:szCs w:val="22"/>
          <w:highlight w:val="none"/>
          <w14:textFill>
            <w14:solidFill>
              <w14:schemeClr w14:val="tx1"/>
            </w14:solidFill>
          </w14:textFill>
        </w:rPr>
        <w:t>政府采购信用担保：根据《关于进一步推进政府采购信用担保工作的通知》（东财[2018]189号）规定，中标人可以选择是否采取信用担保融资的形式为政府采购项目履约进行融资。各投标人可自主决定是否使用信用担保方式，并选择担保机构提供的任何一种信用担保品种。</w:t>
      </w:r>
    </w:p>
    <w:p>
      <w:pPr>
        <w:numPr>
          <w:ilvl w:val="2"/>
          <w:numId w:val="0"/>
        </w:numPr>
        <w:tabs>
          <w:tab w:val="left" w:pos="794"/>
        </w:tabs>
        <w:spacing w:line="360" w:lineRule="auto"/>
        <w:ind w:firstLine="440" w:firstLineChars="200"/>
        <w:rPr>
          <w:rFonts w:ascii="宋体" w:hAnsi="宋体"/>
          <w:snapToGrid w:val="0"/>
          <w:color w:val="000000" w:themeColor="text1"/>
          <w:sz w:val="22"/>
          <w:szCs w:val="22"/>
          <w:highlight w:val="none"/>
          <w14:textFill>
            <w14:solidFill>
              <w14:schemeClr w14:val="tx1"/>
            </w14:solidFill>
          </w14:textFill>
        </w:rPr>
      </w:pPr>
      <w:r>
        <w:rPr>
          <w:rFonts w:hint="eastAsia" w:ascii="宋体" w:hAnsi="宋体"/>
          <w:snapToGrid w:val="0"/>
          <w:color w:val="000000" w:themeColor="text1"/>
          <w:sz w:val="22"/>
          <w:szCs w:val="22"/>
          <w:highlight w:val="none"/>
          <w14:textFill>
            <w14:solidFill>
              <w14:schemeClr w14:val="tx1"/>
            </w14:solidFill>
          </w14:textFill>
        </w:rPr>
        <w:t>26.1.3</w:t>
      </w:r>
      <w:r>
        <w:rPr>
          <w:rFonts w:hint="eastAsia" w:ascii="宋体" w:hAnsi="宋体"/>
          <w:color w:val="000000" w:themeColor="text1"/>
          <w:sz w:val="22"/>
          <w:szCs w:val="22"/>
          <w:highlight w:val="none"/>
          <w14:textFill>
            <w14:solidFill>
              <w14:schemeClr w14:val="tx1"/>
            </w14:solidFill>
          </w14:textFill>
        </w:rPr>
        <w:t>采用保证金（银行转帐、电汇）方式：中标人必须保证资金在签订合同前到帐（在发出中标通知书后的十个日历日内，以银行收到为准）。</w:t>
      </w:r>
      <w:r>
        <w:rPr>
          <w:rFonts w:hint="eastAsia" w:ascii="宋体" w:hAnsi="宋体"/>
          <w:b/>
          <w:color w:val="000000" w:themeColor="text1"/>
          <w:sz w:val="22"/>
          <w:szCs w:val="22"/>
          <w:highlight w:val="none"/>
          <w14:textFill>
            <w14:solidFill>
              <w14:schemeClr w14:val="tx1"/>
            </w14:solidFill>
          </w14:textFill>
        </w:rPr>
        <w:t>履约保证金账户采购人另行通知，</w:t>
      </w:r>
      <w:r>
        <w:rPr>
          <w:rFonts w:hint="eastAsia" w:ascii="宋体" w:hAnsi="宋体"/>
          <w:color w:val="000000" w:themeColor="text1"/>
          <w:sz w:val="22"/>
          <w:szCs w:val="22"/>
          <w:highlight w:val="none"/>
          <w14:textFill>
            <w14:solidFill>
              <w14:schemeClr w14:val="tx1"/>
            </w14:solidFill>
          </w14:textFill>
        </w:rPr>
        <w:t>到期后无息退还。</w:t>
      </w:r>
    </w:p>
    <w:p>
      <w:pPr>
        <w:numPr>
          <w:ilvl w:val="1"/>
          <w:numId w:val="0"/>
        </w:numPr>
        <w:tabs>
          <w:tab w:val="left" w:pos="567"/>
        </w:tabs>
        <w:spacing w:line="360" w:lineRule="auto"/>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26.1.4中标人须将履约保证金的汇款凭证 (注明中标通知书或项目编号)或履约保函（采购人注明原件已收到并盖章）用A4纸复印一式四份并加盖中标人的公章送至采购代理机构。</w:t>
      </w:r>
    </w:p>
    <w:p>
      <w:pPr>
        <w:numPr>
          <w:ilvl w:val="1"/>
          <w:numId w:val="0"/>
        </w:numPr>
        <w:tabs>
          <w:tab w:val="left" w:pos="567"/>
        </w:tabs>
        <w:spacing w:line="360" w:lineRule="auto"/>
        <w:ind w:left="585" w:leftChars="220" w:hanging="123" w:hangingChars="56"/>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26.1.5履约保证金退回：履约保证金在项目验收合格后，中标人向采购人提交退回履约</w:t>
      </w:r>
    </w:p>
    <w:p>
      <w:pPr>
        <w:numPr>
          <w:ilvl w:val="1"/>
          <w:numId w:val="0"/>
        </w:numPr>
        <w:tabs>
          <w:tab w:val="left" w:pos="567"/>
        </w:tabs>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保证金的申请（格式可在东莞市政府采购网下载）、履约保证金汇款凭证复印件、采购合同、采购项目验收报告原件、中标通知书复印件，前往采购人办理履约保证金退还手续。</w:t>
      </w:r>
    </w:p>
    <w:p>
      <w:pPr>
        <w:numPr>
          <w:ilvl w:val="1"/>
          <w:numId w:val="0"/>
        </w:numPr>
        <w:tabs>
          <w:tab w:val="left" w:pos="567"/>
        </w:tabs>
        <w:spacing w:line="360" w:lineRule="auto"/>
        <w:ind w:left="585" w:leftChars="220" w:hanging="123" w:hangingChars="56"/>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26.2发生下列情况之一的</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履约</w:t>
      </w:r>
      <w:r>
        <w:rPr>
          <w:rFonts w:ascii="宋体" w:hAnsi="宋体"/>
          <w:color w:val="000000" w:themeColor="text1"/>
          <w:sz w:val="22"/>
          <w:szCs w:val="22"/>
          <w:highlight w:val="none"/>
          <w14:textFill>
            <w14:solidFill>
              <w14:schemeClr w14:val="tx1"/>
            </w14:solidFill>
          </w14:textFill>
        </w:rPr>
        <w:t>保证金将被没收：</w:t>
      </w:r>
    </w:p>
    <w:p>
      <w:pPr>
        <w:numPr>
          <w:ilvl w:val="2"/>
          <w:numId w:val="0"/>
        </w:numPr>
        <w:tabs>
          <w:tab w:val="left" w:pos="794"/>
        </w:tabs>
        <w:spacing w:line="360" w:lineRule="auto"/>
        <w:ind w:left="814" w:leftChars="220" w:hanging="352" w:hangingChars="16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26.2.1中标人将本项目转让给他人，或者在投标文件中未说明，且未经采购人同意，将</w:t>
      </w:r>
    </w:p>
    <w:p>
      <w:pPr>
        <w:numPr>
          <w:ilvl w:val="2"/>
          <w:numId w:val="0"/>
        </w:numPr>
        <w:tabs>
          <w:tab w:val="left" w:pos="794"/>
        </w:tabs>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中标项目分包给他人的，采购人可依法没收其履约保证金；</w:t>
      </w:r>
    </w:p>
    <w:p>
      <w:pPr>
        <w:numPr>
          <w:ilvl w:val="2"/>
          <w:numId w:val="0"/>
        </w:numPr>
        <w:tabs>
          <w:tab w:val="left" w:pos="794"/>
        </w:tabs>
        <w:spacing w:line="360" w:lineRule="auto"/>
        <w:ind w:left="814" w:leftChars="220" w:hanging="352" w:hangingChars="16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26.2.2中标人在履行采购合同期间，违反有关法律法规的规定及合同约定的条款，损害</w:t>
      </w:r>
    </w:p>
    <w:p>
      <w:pPr>
        <w:numPr>
          <w:ilvl w:val="2"/>
          <w:numId w:val="0"/>
        </w:numPr>
        <w:tabs>
          <w:tab w:val="left" w:pos="794"/>
        </w:tabs>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了采购人的利益，采购人可依法没收其履约保证金。</w:t>
      </w:r>
    </w:p>
    <w:p>
      <w:pPr>
        <w:pStyle w:val="38"/>
        <w:tabs>
          <w:tab w:val="clear" w:pos="1440"/>
          <w:tab w:val="clear" w:pos="1620"/>
        </w:tabs>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77" w:name="_Toc10636"/>
      <w:bookmarkStart w:id="178" w:name="_Toc19863"/>
      <w:bookmarkStart w:id="179" w:name="_Toc7087"/>
      <w:bookmarkStart w:id="180" w:name="_Toc429559406"/>
      <w:r>
        <w:rPr>
          <w:rFonts w:hint="eastAsia"/>
          <w:color w:val="000000" w:themeColor="text1"/>
          <w:sz w:val="24"/>
          <w:highlight w:val="none"/>
          <w14:textFill>
            <w14:solidFill>
              <w14:schemeClr w14:val="tx1"/>
            </w14:solidFill>
          </w14:textFill>
        </w:rPr>
        <w:t>27.中标服务费</w:t>
      </w:r>
      <w:bookmarkEnd w:id="177"/>
      <w:bookmarkEnd w:id="178"/>
      <w:bookmarkEnd w:id="179"/>
    </w:p>
    <w:p>
      <w:pPr>
        <w:pStyle w:val="37"/>
        <w:ind w:firstLine="440"/>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27.1中标人应在领取《中标通知书》原件时向招标代理机构一次性支付招标代理服务费</w:t>
      </w:r>
      <w:r>
        <w:rPr>
          <w:rFonts w:ascii="宋体" w:hAnsi="宋体"/>
          <w:bCs/>
          <w:color w:val="000000" w:themeColor="text1"/>
          <w:sz w:val="22"/>
          <w:highlight w:val="none"/>
          <w14:textFill>
            <w14:solidFill>
              <w14:schemeClr w14:val="tx1"/>
            </w14:solidFill>
          </w14:textFill>
        </w:rPr>
        <w:t>(</w:t>
      </w:r>
      <w:r>
        <w:rPr>
          <w:rFonts w:hint="eastAsia" w:ascii="宋体" w:hAnsi="宋体"/>
          <w:bCs/>
          <w:color w:val="000000" w:themeColor="text1"/>
          <w:sz w:val="22"/>
          <w:highlight w:val="none"/>
          <w14:textFill>
            <w14:solidFill>
              <w14:schemeClr w14:val="tx1"/>
            </w14:solidFill>
          </w14:textFill>
        </w:rPr>
        <w:t>按国家计委文件</w:t>
      </w:r>
      <w:r>
        <w:rPr>
          <w:rFonts w:ascii="宋体" w:hAnsi="宋体"/>
          <w:bCs/>
          <w:color w:val="000000" w:themeColor="text1"/>
          <w:sz w:val="22"/>
          <w:highlight w:val="none"/>
          <w14:textFill>
            <w14:solidFill>
              <w14:schemeClr w14:val="tx1"/>
            </w14:solidFill>
          </w14:textFill>
        </w:rPr>
        <w:t>“</w:t>
      </w:r>
      <w:r>
        <w:rPr>
          <w:rFonts w:hint="eastAsia" w:ascii="宋体" w:hAnsi="宋体"/>
          <w:bCs/>
          <w:color w:val="000000" w:themeColor="text1"/>
          <w:sz w:val="22"/>
          <w:highlight w:val="none"/>
          <w14:textFill>
            <w14:solidFill>
              <w14:schemeClr w14:val="tx1"/>
            </w14:solidFill>
          </w14:textFill>
        </w:rPr>
        <w:t>计价格</w:t>
      </w:r>
      <w:r>
        <w:rPr>
          <w:rFonts w:ascii="宋体" w:hAnsi="宋体"/>
          <w:bCs/>
          <w:color w:val="000000" w:themeColor="text1"/>
          <w:sz w:val="22"/>
          <w:highlight w:val="none"/>
          <w14:textFill>
            <w14:solidFill>
              <w14:schemeClr w14:val="tx1"/>
            </w14:solidFill>
          </w14:textFill>
        </w:rPr>
        <w:t>[2002]1980</w:t>
      </w:r>
      <w:r>
        <w:rPr>
          <w:rFonts w:hint="eastAsia" w:ascii="宋体" w:hAnsi="宋体"/>
          <w:bCs/>
          <w:color w:val="000000" w:themeColor="text1"/>
          <w:sz w:val="22"/>
          <w:highlight w:val="none"/>
          <w14:textFill>
            <w14:solidFill>
              <w14:schemeClr w14:val="tx1"/>
            </w14:solidFill>
          </w14:textFill>
        </w:rPr>
        <w:t>号文</w:t>
      </w:r>
      <w:r>
        <w:rPr>
          <w:rFonts w:ascii="宋体" w:hAnsi="宋体"/>
          <w:bCs/>
          <w:color w:val="000000" w:themeColor="text1"/>
          <w:sz w:val="22"/>
          <w:highlight w:val="none"/>
          <w14:textFill>
            <w14:solidFill>
              <w14:schemeClr w14:val="tx1"/>
            </w14:solidFill>
          </w14:textFill>
        </w:rPr>
        <w:t>”</w:t>
      </w:r>
      <w:r>
        <w:rPr>
          <w:rFonts w:hint="eastAsia" w:ascii="宋体" w:hAnsi="宋体"/>
          <w:bCs/>
          <w:color w:val="000000" w:themeColor="text1"/>
          <w:sz w:val="22"/>
          <w:highlight w:val="none"/>
          <w14:textFill>
            <w14:solidFill>
              <w14:schemeClr w14:val="tx1"/>
            </w14:solidFill>
          </w14:textFill>
        </w:rPr>
        <w:t>和“发改价格[2011]534号文”的规定标准执行</w:t>
      </w:r>
      <w:r>
        <w:rPr>
          <w:rFonts w:ascii="宋体" w:hAnsi="宋体"/>
          <w:bCs/>
          <w:color w:val="000000" w:themeColor="text1"/>
          <w:sz w:val="22"/>
          <w:highlight w:val="none"/>
          <w14:textFill>
            <w14:solidFill>
              <w14:schemeClr w14:val="tx1"/>
            </w14:solidFill>
          </w14:textFill>
        </w:rPr>
        <w:t>)</w:t>
      </w:r>
      <w:r>
        <w:rPr>
          <w:rFonts w:hint="eastAsia" w:ascii="宋体" w:hAnsi="宋体"/>
          <w:bCs/>
          <w:color w:val="000000" w:themeColor="text1"/>
          <w:sz w:val="22"/>
          <w:highlight w:val="none"/>
          <w14:textFill>
            <w14:solidFill>
              <w14:schemeClr w14:val="tx1"/>
            </w14:solidFill>
          </w14:textFill>
        </w:rPr>
        <w:t>。</w:t>
      </w:r>
    </w:p>
    <w:p>
      <w:pPr>
        <w:pStyle w:val="37"/>
        <w:numPr>
          <w:ilvl w:val="0"/>
          <w:numId w:val="2"/>
        </w:numPr>
        <w:ind w:firstLineChars="0"/>
        <w:rPr>
          <w:rFonts w:ascii="宋体" w:hAnsi="宋体"/>
          <w:bCs/>
          <w:color w:val="000000" w:themeColor="text1"/>
          <w:sz w:val="22"/>
          <w:highlight w:val="none"/>
          <w14:textFill>
            <w14:solidFill>
              <w14:schemeClr w14:val="tx1"/>
            </w14:solidFill>
          </w14:textFill>
        </w:rPr>
      </w:pPr>
      <w:r>
        <w:rPr>
          <w:rFonts w:ascii="宋体" w:hAnsi="宋体"/>
          <w:bCs/>
          <w:color w:val="000000" w:themeColor="text1"/>
          <w:sz w:val="22"/>
          <w:highlight w:val="none"/>
          <w14:textFill>
            <w14:solidFill>
              <w14:schemeClr w14:val="tx1"/>
            </w14:solidFill>
          </w14:textFill>
        </w:rPr>
        <w:t>招标代理服务收</w:t>
      </w:r>
      <w:r>
        <w:rPr>
          <w:rFonts w:hint="eastAsia" w:ascii="宋体" w:hAnsi="宋体"/>
          <w:bCs/>
          <w:color w:val="000000" w:themeColor="text1"/>
          <w:sz w:val="22"/>
          <w:highlight w:val="none"/>
          <w14:textFill>
            <w14:solidFill>
              <w14:schemeClr w14:val="tx1"/>
            </w14:solidFill>
          </w14:textFill>
        </w:rPr>
        <w:t>费</w:t>
      </w:r>
      <w:r>
        <w:rPr>
          <w:rFonts w:ascii="宋体" w:hAnsi="宋体"/>
          <w:bCs/>
          <w:color w:val="000000" w:themeColor="text1"/>
          <w:sz w:val="22"/>
          <w:highlight w:val="none"/>
          <w14:textFill>
            <w14:solidFill>
              <w14:schemeClr w14:val="tx1"/>
            </w14:solidFill>
          </w14:textFill>
        </w:rPr>
        <w:t>标准</w:t>
      </w:r>
      <w:r>
        <w:rPr>
          <w:rFonts w:hint="eastAsia" w:ascii="宋体" w:hAnsi="宋体"/>
          <w:bCs/>
          <w:color w:val="000000" w:themeColor="text1"/>
          <w:sz w:val="22"/>
          <w:highlight w:val="none"/>
          <w14:textFill>
            <w14:solidFill>
              <w14:schemeClr w14:val="tx1"/>
            </w14:solidFill>
          </w14:textFill>
        </w:rPr>
        <w:t>：</w:t>
      </w:r>
    </w:p>
    <w:tbl>
      <w:tblPr>
        <w:tblStyle w:val="23"/>
        <w:tblW w:w="852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132"/>
        <w:gridCol w:w="2132"/>
        <w:gridCol w:w="2132"/>
        <w:gridCol w:w="213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74" w:hRule="atLeast"/>
          <w:jc w:val="center"/>
        </w:trPr>
        <w:tc>
          <w:tcPr>
            <w:tcW w:w="2132" w:type="dxa"/>
            <w:tcBorders>
              <w:tl2br w:val="single" w:color="000000" w:sz="8" w:space="0"/>
            </w:tcBorders>
          </w:tcPr>
          <w:p>
            <w:pPr>
              <w:spacing w:line="360" w:lineRule="exact"/>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 xml:space="preserve">            费率</w:t>
            </w:r>
          </w:p>
          <w:p>
            <w:pPr>
              <w:spacing w:line="360" w:lineRule="exact"/>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中标金额</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货物招标</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服务招标</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工程招标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30"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100万元以下</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1.5%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1.5%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100-500万元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1.1%</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0.8%</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1"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500-1000万元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0.8%</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0.45%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0.55%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7"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1000-5000万元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 xml:space="preserve">0.5% </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0.25%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98"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5000万元-1亿元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 xml:space="preserve">0.25% </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0.1%</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0.2%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4"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1-5亿元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11"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5-10亿元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0.035%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0.035%</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0.035%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3"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10-50亿元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0.008%</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0.008%</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8"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50-100亿元</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 xml:space="preserve"> 0.006%</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0.006%</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0.006%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0" w:hRule="atLeast"/>
          <w:jc w:val="center"/>
        </w:trPr>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100亿以上</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 xml:space="preserve"> 0.004%</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0.004%</w:t>
            </w:r>
          </w:p>
        </w:tc>
        <w:tc>
          <w:tcPr>
            <w:tcW w:w="2132" w:type="dxa"/>
            <w:vAlign w:val="center"/>
          </w:tcPr>
          <w:p>
            <w:pPr>
              <w:spacing w:before="100" w:beforeAutospacing="1" w:after="100" w:afterAutospacing="1"/>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0.004%</w:t>
            </w:r>
          </w:p>
        </w:tc>
      </w:tr>
    </w:tbl>
    <w:p>
      <w:pPr>
        <w:pStyle w:val="37"/>
        <w:numPr>
          <w:ilvl w:val="0"/>
          <w:numId w:val="2"/>
        </w:numPr>
        <w:ind w:firstLineChars="0"/>
        <w:rPr>
          <w:rFonts w:ascii="宋体" w:hAnsi="宋体"/>
          <w:bCs/>
          <w:color w:val="000000" w:themeColor="text1"/>
          <w:sz w:val="22"/>
          <w:highlight w:val="none"/>
          <w14:textFill>
            <w14:solidFill>
              <w14:schemeClr w14:val="tx1"/>
            </w14:solidFill>
          </w14:textFill>
        </w:rPr>
      </w:pPr>
      <w:r>
        <w:rPr>
          <w:rFonts w:ascii="宋体" w:hAnsi="宋体"/>
          <w:bCs/>
          <w:color w:val="000000" w:themeColor="text1"/>
          <w:sz w:val="22"/>
          <w:highlight w:val="none"/>
          <w14:textFill>
            <w14:solidFill>
              <w14:schemeClr w14:val="tx1"/>
            </w14:solidFill>
          </w14:textFill>
        </w:rPr>
        <w:t>招标代理服务费按差额定率累进法计算</w:t>
      </w:r>
      <w:r>
        <w:rPr>
          <w:rFonts w:hint="eastAsia" w:ascii="宋体" w:hAnsi="宋体"/>
          <w:bCs/>
          <w:color w:val="000000" w:themeColor="text1"/>
          <w:sz w:val="22"/>
          <w:highlight w:val="none"/>
          <w14:textFill>
            <w14:solidFill>
              <w14:schemeClr w14:val="tx1"/>
            </w14:solidFill>
          </w14:textFill>
        </w:rPr>
        <w:t>。</w:t>
      </w:r>
    </w:p>
    <w:p>
      <w:pPr>
        <w:pStyle w:val="37"/>
        <w:numPr>
          <w:ilvl w:val="0"/>
          <w:numId w:val="2"/>
        </w:numPr>
        <w:ind w:firstLineChars="0"/>
        <w:rPr>
          <w:rFonts w:ascii="宋体" w:hAnsi="宋体"/>
          <w:bCs/>
          <w:color w:val="000000" w:themeColor="text1"/>
          <w:sz w:val="22"/>
          <w:highlight w:val="none"/>
          <w14:textFill>
            <w14:solidFill>
              <w14:schemeClr w14:val="tx1"/>
            </w14:solidFill>
          </w14:textFill>
        </w:rPr>
      </w:pPr>
      <w:r>
        <w:rPr>
          <w:rFonts w:ascii="宋体" w:hAnsi="宋体"/>
          <w:bCs/>
          <w:color w:val="000000" w:themeColor="text1"/>
          <w:sz w:val="22"/>
          <w:highlight w:val="none"/>
          <w14:textFill>
            <w14:solidFill>
              <w14:schemeClr w14:val="tx1"/>
            </w14:solidFill>
          </w14:textFill>
        </w:rPr>
        <w:t>招标代理服务费币种为人民币</w:t>
      </w:r>
      <w:r>
        <w:rPr>
          <w:rFonts w:hint="eastAsia" w:ascii="宋体" w:hAnsi="宋体"/>
          <w:bCs/>
          <w:color w:val="000000" w:themeColor="text1"/>
          <w:sz w:val="22"/>
          <w:highlight w:val="none"/>
          <w14:textFill>
            <w14:solidFill>
              <w14:schemeClr w14:val="tx1"/>
            </w14:solidFill>
          </w14:textFill>
        </w:rPr>
        <w:t>。</w:t>
      </w:r>
    </w:p>
    <w:p>
      <w:pPr>
        <w:pStyle w:val="37"/>
        <w:numPr>
          <w:ilvl w:val="0"/>
          <w:numId w:val="2"/>
        </w:numPr>
        <w:ind w:firstLineChars="0"/>
        <w:rPr>
          <w:rFonts w:ascii="宋体" w:hAnsi="宋体"/>
          <w:bCs/>
          <w:color w:val="000000" w:themeColor="text1"/>
          <w:spacing w:val="-4"/>
          <w:sz w:val="22"/>
          <w:highlight w:val="none"/>
          <w14:textFill>
            <w14:solidFill>
              <w14:schemeClr w14:val="tx1"/>
            </w14:solidFill>
          </w14:textFill>
        </w:rPr>
      </w:pPr>
      <w:r>
        <w:rPr>
          <w:rFonts w:hint="eastAsia" w:ascii="宋体" w:hAnsi="宋体"/>
          <w:bCs/>
          <w:color w:val="000000" w:themeColor="text1"/>
          <w:spacing w:val="-4"/>
          <w:sz w:val="22"/>
          <w:highlight w:val="none"/>
          <w14:textFill>
            <w14:solidFill>
              <w14:schemeClr w14:val="tx1"/>
            </w14:solidFill>
          </w14:textFill>
        </w:rPr>
        <w:t>中标人收到中标通知后，须在5个工作日内向招标代理机构缴纳</w:t>
      </w:r>
      <w:r>
        <w:rPr>
          <w:rFonts w:ascii="宋体" w:hAnsi="宋体"/>
          <w:bCs/>
          <w:color w:val="000000" w:themeColor="text1"/>
          <w:spacing w:val="-4"/>
          <w:sz w:val="22"/>
          <w:highlight w:val="none"/>
          <w14:textFill>
            <w14:solidFill>
              <w14:schemeClr w14:val="tx1"/>
            </w14:solidFill>
          </w14:textFill>
        </w:rPr>
        <w:t>招标代理</w:t>
      </w:r>
      <w:r>
        <w:rPr>
          <w:rFonts w:hint="eastAsia" w:ascii="宋体" w:hAnsi="宋体"/>
          <w:bCs/>
          <w:color w:val="000000" w:themeColor="text1"/>
          <w:spacing w:val="-4"/>
          <w:sz w:val="22"/>
          <w:highlight w:val="none"/>
          <w14:textFill>
            <w14:solidFill>
              <w14:schemeClr w14:val="tx1"/>
            </w14:solidFill>
          </w14:textFill>
        </w:rPr>
        <w:t>服务费及领取《中标通知书》原件，否则视为放弃中标权利和义务。</w:t>
      </w:r>
    </w:p>
    <w:p>
      <w:pPr>
        <w:pStyle w:val="37"/>
        <w:numPr>
          <w:ilvl w:val="0"/>
          <w:numId w:val="2"/>
        </w:numPr>
        <w:ind w:firstLineChars="0"/>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中标服务费只收现金、银行转账或电汇。</w:t>
      </w:r>
    </w:p>
    <w:p>
      <w:pPr>
        <w:pStyle w:val="37"/>
        <w:numPr>
          <w:ilvl w:val="0"/>
          <w:numId w:val="2"/>
        </w:numPr>
        <w:ind w:firstLineChars="0"/>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中标人如未按上述条款规定办理，招标代理机构将没收其投标保证金。</w:t>
      </w:r>
    </w:p>
    <w:p>
      <w:pPr>
        <w:pStyle w:val="37"/>
        <w:numPr>
          <w:ilvl w:val="0"/>
          <w:numId w:val="2"/>
        </w:numPr>
        <w:ind w:firstLineChars="0"/>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招标代理服务费不在投标报价中单列。</w:t>
      </w:r>
    </w:p>
    <w:p>
      <w:pPr>
        <w:pStyle w:val="37"/>
        <w:numPr>
          <w:ilvl w:val="0"/>
          <w:numId w:val="2"/>
        </w:numPr>
        <w:ind w:firstLineChars="0"/>
        <w:rPr>
          <w:rFonts w:ascii="宋体" w:hAnsi="宋体"/>
          <w:bCs/>
          <w:color w:val="000000" w:themeColor="text1"/>
          <w:sz w:val="22"/>
          <w:highlight w:val="none"/>
          <w14:textFill>
            <w14:solidFill>
              <w14:schemeClr w14:val="tx1"/>
            </w14:solidFill>
          </w14:textFill>
        </w:rPr>
      </w:pPr>
      <w:r>
        <w:rPr>
          <w:rFonts w:ascii="宋体" w:hAnsi="宋体"/>
          <w:bCs/>
          <w:color w:val="000000" w:themeColor="text1"/>
          <w:sz w:val="22"/>
          <w:highlight w:val="none"/>
          <w14:textFill>
            <w14:solidFill>
              <w14:schemeClr w14:val="tx1"/>
            </w14:solidFill>
          </w14:textFill>
        </w:rPr>
        <w:t>招标代理服务费收取</w:t>
      </w:r>
      <w:r>
        <w:rPr>
          <w:rFonts w:hint="eastAsia" w:ascii="宋体" w:hAnsi="宋体"/>
          <w:bCs/>
          <w:color w:val="000000" w:themeColor="text1"/>
          <w:sz w:val="22"/>
          <w:highlight w:val="none"/>
          <w14:textFill>
            <w14:solidFill>
              <w14:schemeClr w14:val="tx1"/>
            </w14:solidFill>
          </w14:textFill>
        </w:rPr>
        <w:t>账户：</w:t>
      </w:r>
    </w:p>
    <w:p>
      <w:pPr>
        <w:pStyle w:val="37"/>
        <w:ind w:left="420" w:firstLine="0" w:firstLineChars="0"/>
        <w:rPr>
          <w:rFonts w:ascii="宋体" w:hAnsi="宋体"/>
          <w:b/>
          <w:bCs/>
          <w:color w:val="000000" w:themeColor="text1"/>
          <w:sz w:val="22"/>
          <w:highlight w:val="none"/>
          <w14:textFill>
            <w14:solidFill>
              <w14:schemeClr w14:val="tx1"/>
            </w14:solidFill>
          </w14:textFill>
        </w:rPr>
      </w:pPr>
      <w:r>
        <w:rPr>
          <w:rFonts w:ascii="宋体" w:hAnsi="宋体"/>
          <w:b/>
          <w:bCs/>
          <w:color w:val="000000" w:themeColor="text1"/>
          <w:sz w:val="22"/>
          <w:highlight w:val="none"/>
          <w14:textFill>
            <w14:solidFill>
              <w14:schemeClr w14:val="tx1"/>
            </w14:solidFill>
          </w14:textFill>
        </w:rPr>
        <w:t>收款单位名称：</w:t>
      </w:r>
      <w:r>
        <w:rPr>
          <w:rFonts w:hint="eastAsia" w:ascii="宋体" w:hAnsi="宋体"/>
          <w:b/>
          <w:bCs/>
          <w:color w:val="000000" w:themeColor="text1"/>
          <w:sz w:val="22"/>
          <w:highlight w:val="none"/>
          <w14:textFill>
            <w14:solidFill>
              <w14:schemeClr w14:val="tx1"/>
            </w14:solidFill>
          </w14:textFill>
        </w:rPr>
        <w:t>广东中凯工程管理咨询有限公司</w:t>
      </w:r>
    </w:p>
    <w:p>
      <w:pPr>
        <w:pStyle w:val="37"/>
        <w:ind w:left="420" w:firstLine="0" w:firstLineChars="0"/>
        <w:rPr>
          <w:rFonts w:ascii="宋体" w:hAnsi="宋体"/>
          <w:b/>
          <w:bCs/>
          <w:color w:val="000000" w:themeColor="text1"/>
          <w:sz w:val="22"/>
          <w:highlight w:val="none"/>
          <w14:textFill>
            <w14:solidFill>
              <w14:schemeClr w14:val="tx1"/>
            </w14:solidFill>
          </w14:textFill>
        </w:rPr>
      </w:pPr>
      <w:r>
        <w:rPr>
          <w:rFonts w:ascii="宋体" w:hAnsi="宋体"/>
          <w:b/>
          <w:bCs/>
          <w:color w:val="000000" w:themeColor="text1"/>
          <w:sz w:val="22"/>
          <w:highlight w:val="none"/>
          <w14:textFill>
            <w14:solidFill>
              <w14:schemeClr w14:val="tx1"/>
            </w14:solidFill>
          </w14:textFill>
        </w:rPr>
        <w:t>开户银行：</w:t>
      </w:r>
      <w:r>
        <w:rPr>
          <w:rFonts w:hint="eastAsia" w:ascii="宋体" w:hAnsi="宋体"/>
          <w:b/>
          <w:bCs/>
          <w:color w:val="000000" w:themeColor="text1"/>
          <w:sz w:val="22"/>
          <w:highlight w:val="none"/>
          <w14:textFill>
            <w14:solidFill>
              <w14:schemeClr w14:val="tx1"/>
            </w14:solidFill>
          </w14:textFill>
        </w:rPr>
        <w:t>广发银行股份有限公司东莞松山湖支行</w:t>
      </w:r>
    </w:p>
    <w:p>
      <w:pPr>
        <w:pStyle w:val="37"/>
        <w:ind w:left="420" w:firstLine="0" w:firstLineChars="0"/>
        <w:rPr>
          <w:rFonts w:ascii="宋体" w:hAnsi="宋体"/>
          <w:b/>
          <w:bCs/>
          <w:color w:val="000000" w:themeColor="text1"/>
          <w:sz w:val="22"/>
          <w:highlight w:val="none"/>
          <w14:textFill>
            <w14:solidFill>
              <w14:schemeClr w14:val="tx1"/>
            </w14:solidFill>
          </w14:textFill>
        </w:rPr>
      </w:pPr>
      <w:r>
        <w:rPr>
          <w:rFonts w:ascii="宋体" w:hAnsi="宋体"/>
          <w:b/>
          <w:color w:val="000000" w:themeColor="text1"/>
          <w:sz w:val="22"/>
          <w:highlight w:val="none"/>
          <w14:textFill>
            <w14:solidFill>
              <w14:schemeClr w14:val="tx1"/>
            </w14:solidFill>
          </w14:textFill>
        </w:rPr>
        <w:t>收款账号：1060 1651 6010 0023 51</w:t>
      </w:r>
    </w:p>
    <w:p>
      <w:pPr>
        <w:pStyle w:val="4"/>
        <w:spacing w:beforeLines="100" w:afterLines="100" w:line="360" w:lineRule="auto"/>
        <w:rPr>
          <w:rFonts w:ascii="宋体" w:hAnsi="宋体" w:eastAsia="宋体"/>
          <w:bCs/>
          <w:color w:val="000000" w:themeColor="text1"/>
          <w:szCs w:val="32"/>
          <w:highlight w:val="none"/>
          <w14:textFill>
            <w14:solidFill>
              <w14:schemeClr w14:val="tx1"/>
            </w14:solidFill>
          </w14:textFill>
        </w:rPr>
      </w:pPr>
      <w:bookmarkStart w:id="181" w:name="_Toc15706"/>
      <w:bookmarkStart w:id="182" w:name="_Toc13342"/>
      <w:bookmarkStart w:id="183" w:name="_Toc7539"/>
      <w:bookmarkStart w:id="184" w:name="_Toc24185_WPSOffice_Level2"/>
      <w:bookmarkStart w:id="185" w:name="_Toc13989_WPSOffice_Level2"/>
      <w:r>
        <w:rPr>
          <w:rFonts w:hint="eastAsia" w:ascii="宋体" w:hAnsi="宋体" w:eastAsia="宋体"/>
          <w:bCs/>
          <w:color w:val="000000" w:themeColor="text1"/>
          <w:szCs w:val="32"/>
          <w:highlight w:val="none"/>
          <w14:textFill>
            <w14:solidFill>
              <w14:schemeClr w14:val="tx1"/>
            </w14:solidFill>
          </w14:textFill>
        </w:rPr>
        <w:t>八、询问、质疑、投诉</w:t>
      </w:r>
      <w:bookmarkEnd w:id="180"/>
      <w:bookmarkEnd w:id="181"/>
      <w:bookmarkEnd w:id="182"/>
      <w:bookmarkEnd w:id="183"/>
      <w:bookmarkEnd w:id="184"/>
      <w:bookmarkEnd w:id="185"/>
    </w:p>
    <w:p>
      <w:pPr>
        <w:pStyle w:val="38"/>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86" w:name="_Toc8712"/>
      <w:bookmarkStart w:id="187" w:name="_Toc370"/>
      <w:bookmarkStart w:id="188" w:name="_Toc14434"/>
      <w:bookmarkStart w:id="189" w:name="_Toc429559407"/>
      <w:r>
        <w:rPr>
          <w:rFonts w:hint="eastAsia"/>
          <w:color w:val="000000" w:themeColor="text1"/>
          <w:sz w:val="24"/>
          <w:highlight w:val="none"/>
          <w14:textFill>
            <w14:solidFill>
              <w14:schemeClr w14:val="tx1"/>
            </w14:solidFill>
          </w14:textFill>
        </w:rPr>
        <w:t>28.询问</w:t>
      </w:r>
      <w:bookmarkEnd w:id="186"/>
      <w:bookmarkEnd w:id="187"/>
      <w:bookmarkEnd w:id="188"/>
      <w:bookmarkEnd w:id="189"/>
    </w:p>
    <w:p>
      <w:pPr>
        <w:pStyle w:val="33"/>
        <w:spacing w:line="360" w:lineRule="auto"/>
        <w:ind w:firstLine="450" w:firstLineChars="20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投标人对政府采购活动事项（招标文件、采购过程和中标结果）有疑问的，可以向采购代理机构或采购人提出询问，采购代理机构或采购人在3个工作日内对投标人依法提出的询问作出答复。</w:t>
      </w:r>
    </w:p>
    <w:p>
      <w:pPr>
        <w:pStyle w:val="38"/>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90" w:name="_Toc4255"/>
      <w:bookmarkStart w:id="191" w:name="_Toc20269"/>
      <w:bookmarkStart w:id="192" w:name="_Toc18776"/>
      <w:bookmarkStart w:id="193" w:name="_Toc429559408"/>
      <w:r>
        <w:rPr>
          <w:rFonts w:hint="eastAsia"/>
          <w:color w:val="000000" w:themeColor="text1"/>
          <w:sz w:val="24"/>
          <w:highlight w:val="none"/>
          <w14:textFill>
            <w14:solidFill>
              <w14:schemeClr w14:val="tx1"/>
            </w14:solidFill>
          </w14:textFill>
        </w:rPr>
        <w:t>29.质疑</w:t>
      </w:r>
      <w:bookmarkEnd w:id="190"/>
      <w:bookmarkEnd w:id="191"/>
      <w:bookmarkEnd w:id="192"/>
      <w:bookmarkEnd w:id="193"/>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29.1投标人认为招标文件、采购过程和中标结果使自己的权益受到损害的，应以书面形式（质疑须提交以下资料并加盖投标人公章：质疑函原件、营业执照复印件、法人授权委托书原件；若质疑由法人提交，则将提供法人授权委托书原件加盖公章更换为提供法人身份证复印件加盖公章且签字）向采购代理机构或采购人提出质疑。采购代理机构</w:t>
      </w:r>
      <w:r>
        <w:rPr>
          <w:rFonts w:ascii="宋体" w:eastAsia="宋体"/>
          <w:color w:val="000000" w:themeColor="text1"/>
          <w:sz w:val="22"/>
          <w:szCs w:val="22"/>
          <w:highlight w:val="none"/>
          <w14:textFill>
            <w14:solidFill>
              <w14:schemeClr w14:val="tx1"/>
            </w14:solidFill>
          </w14:textFill>
        </w:rPr>
        <w:t>在收到</w:t>
      </w:r>
      <w:r>
        <w:rPr>
          <w:rFonts w:hint="eastAsia" w:ascii="宋体" w:eastAsia="宋体"/>
          <w:color w:val="000000" w:themeColor="text1"/>
          <w:sz w:val="22"/>
          <w:szCs w:val="22"/>
          <w:highlight w:val="none"/>
          <w14:textFill>
            <w14:solidFill>
              <w14:schemeClr w14:val="tx1"/>
            </w14:solidFill>
          </w14:textFill>
        </w:rPr>
        <w:t>投标人</w:t>
      </w:r>
      <w:r>
        <w:rPr>
          <w:rFonts w:ascii="宋体" w:eastAsia="宋体"/>
          <w:color w:val="000000" w:themeColor="text1"/>
          <w:sz w:val="22"/>
          <w:szCs w:val="22"/>
          <w:highlight w:val="none"/>
          <w14:textFill>
            <w14:solidFill>
              <w14:schemeClr w14:val="tx1"/>
            </w14:solidFill>
          </w14:textFill>
        </w:rPr>
        <w:t>的书面质疑后七个工作日内作出答复</w:t>
      </w:r>
      <w:r>
        <w:rPr>
          <w:rFonts w:hint="eastAsia" w:ascii="宋体" w:eastAsia="宋体"/>
          <w:color w:val="000000" w:themeColor="text1"/>
          <w:sz w:val="22"/>
          <w:szCs w:val="22"/>
          <w:highlight w:val="none"/>
          <w14:textFill>
            <w14:solidFill>
              <w14:schemeClr w14:val="tx1"/>
            </w14:solidFill>
          </w14:textFill>
        </w:rPr>
        <w:t>。</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29.2招标文件在指定的政府采购信息发布媒体上公示5个工作日，投标人认为招标文件的内容损害其权益的，可以在收到招标文件之日或招标文件公告期限届满之日起7个工作日内提出质疑。</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29.3投标人认为采购过程中和中标结果使自己的权益受到损害的，可以在各采购程序环节结束之日或中标结果公告期限届满之日起7个工作日内提出质疑。</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29.4投标人在法定质疑期内应一次性提出对同一采购程序的质疑。</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29.5以联合体形式参加政府采购活动的，其质疑应当由组成联合体的所有投标人共同提出。</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29.6采购代理机构或采购人联系人、地址等相关信息详见投标邀请函。</w:t>
      </w:r>
    </w:p>
    <w:p>
      <w:pPr>
        <w:pStyle w:val="38"/>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194" w:name="_Toc429559409"/>
      <w:bookmarkStart w:id="195" w:name="_Toc9689"/>
      <w:bookmarkStart w:id="196" w:name="_Toc31789"/>
      <w:bookmarkStart w:id="197" w:name="_Toc23426"/>
      <w:r>
        <w:rPr>
          <w:rFonts w:hint="eastAsia"/>
          <w:color w:val="000000" w:themeColor="text1"/>
          <w:sz w:val="24"/>
          <w:highlight w:val="none"/>
          <w14:textFill>
            <w14:solidFill>
              <w14:schemeClr w14:val="tx1"/>
            </w14:solidFill>
          </w14:textFill>
        </w:rPr>
        <w:t>30.投诉</w:t>
      </w:r>
      <w:bookmarkEnd w:id="194"/>
      <w:bookmarkEnd w:id="195"/>
      <w:bookmarkEnd w:id="196"/>
      <w:bookmarkEnd w:id="197"/>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投标人对采购代理机构或采购人的质疑答复不满意或在规定时间内未作出答复的，可以在答复期满后15个工作日内向财政部门投诉。</w:t>
      </w:r>
    </w:p>
    <w:p>
      <w:pPr>
        <w:pStyle w:val="4"/>
        <w:spacing w:beforeLines="100" w:afterLines="100" w:line="360" w:lineRule="auto"/>
        <w:rPr>
          <w:rFonts w:ascii="宋体" w:hAnsi="宋体" w:eastAsia="宋体"/>
          <w:bCs/>
          <w:color w:val="000000" w:themeColor="text1"/>
          <w:szCs w:val="32"/>
          <w:highlight w:val="none"/>
          <w14:textFill>
            <w14:solidFill>
              <w14:schemeClr w14:val="tx1"/>
            </w14:solidFill>
          </w14:textFill>
        </w:rPr>
      </w:pPr>
      <w:bookmarkStart w:id="198" w:name="_Toc12621_WPSOffice_Level2"/>
      <w:bookmarkStart w:id="199" w:name="_Toc32601_WPSOffice_Level2"/>
      <w:bookmarkStart w:id="200" w:name="_Toc429559410"/>
      <w:bookmarkStart w:id="201" w:name="_Toc28132"/>
      <w:bookmarkStart w:id="202" w:name="_Toc13709"/>
      <w:bookmarkStart w:id="203" w:name="_Toc24206"/>
      <w:r>
        <w:rPr>
          <w:rFonts w:hint="eastAsia" w:ascii="宋体" w:hAnsi="宋体" w:eastAsia="宋体"/>
          <w:bCs/>
          <w:color w:val="000000" w:themeColor="text1"/>
          <w:szCs w:val="32"/>
          <w:highlight w:val="none"/>
          <w14:textFill>
            <w14:solidFill>
              <w14:schemeClr w14:val="tx1"/>
            </w14:solidFill>
          </w14:textFill>
        </w:rPr>
        <w:t>九、其他</w:t>
      </w:r>
      <w:bookmarkEnd w:id="198"/>
      <w:bookmarkEnd w:id="199"/>
      <w:bookmarkEnd w:id="200"/>
      <w:bookmarkEnd w:id="201"/>
      <w:bookmarkEnd w:id="202"/>
      <w:bookmarkEnd w:id="203"/>
    </w:p>
    <w:p>
      <w:pPr>
        <w:pStyle w:val="38"/>
        <w:spacing w:beforeLines="100" w:afterLines="100" w:line="360" w:lineRule="auto"/>
        <w:ind w:firstLine="482" w:firstLineChars="200"/>
        <w:outlineLvl w:val="1"/>
        <w:rPr>
          <w:color w:val="000000" w:themeColor="text1"/>
          <w:sz w:val="24"/>
          <w:highlight w:val="none"/>
          <w14:textFill>
            <w14:solidFill>
              <w14:schemeClr w14:val="tx1"/>
            </w14:solidFill>
          </w14:textFill>
        </w:rPr>
      </w:pPr>
      <w:bookmarkStart w:id="204" w:name="_Toc2254"/>
      <w:bookmarkStart w:id="205" w:name="_Toc28477"/>
      <w:bookmarkStart w:id="206" w:name="_Toc429559411"/>
      <w:bookmarkStart w:id="207" w:name="_Toc5300"/>
      <w:r>
        <w:rPr>
          <w:rFonts w:hint="eastAsia"/>
          <w:color w:val="000000" w:themeColor="text1"/>
          <w:sz w:val="24"/>
          <w:highlight w:val="none"/>
          <w14:textFill>
            <w14:solidFill>
              <w14:schemeClr w14:val="tx1"/>
            </w14:solidFill>
          </w14:textFill>
        </w:rPr>
        <w:t>31.适用法律</w:t>
      </w:r>
      <w:bookmarkEnd w:id="204"/>
      <w:bookmarkEnd w:id="205"/>
      <w:bookmarkEnd w:id="206"/>
      <w:bookmarkEnd w:id="207"/>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采购代理机构、采购人及投标人进行的本次政府采购活动适用《中华人民共和国政府采购法》及其实施条例、《政府采购货物和服务招标投标管理办法》等及其配套的法规、规章、政策。</w:t>
      </w:r>
      <w:bookmarkStart w:id="208" w:name="_Toc429559412"/>
      <w:bookmarkStart w:id="209" w:name="_Toc15983"/>
    </w:p>
    <w:p>
      <w:pPr>
        <w:pStyle w:val="33"/>
        <w:spacing w:beforeLines="100" w:afterLines="100" w:line="240" w:lineRule="auto"/>
        <w:ind w:firstLine="482" w:firstLineChars="200"/>
        <w:outlineLvl w:val="1"/>
        <w:rPr>
          <w:rFonts w:ascii="宋体" w:eastAsia="宋体"/>
          <w:b/>
          <w:color w:val="000000" w:themeColor="text1"/>
          <w:sz w:val="24"/>
          <w:highlight w:val="none"/>
          <w14:textFill>
            <w14:solidFill>
              <w14:schemeClr w14:val="tx1"/>
            </w14:solidFill>
          </w14:textFill>
        </w:rPr>
      </w:pPr>
      <w:bookmarkStart w:id="210" w:name="_Toc6482"/>
      <w:bookmarkStart w:id="211" w:name="_Toc13603"/>
      <w:r>
        <w:rPr>
          <w:rFonts w:hint="eastAsia" w:ascii="宋体" w:eastAsia="宋体"/>
          <w:b/>
          <w:color w:val="000000" w:themeColor="text1"/>
          <w:sz w:val="24"/>
          <w:highlight w:val="none"/>
          <w14:textFill>
            <w14:solidFill>
              <w14:schemeClr w14:val="tx1"/>
            </w14:solidFill>
          </w14:textFill>
        </w:rPr>
        <w:t>32.招标文件解释权</w:t>
      </w:r>
      <w:bookmarkEnd w:id="208"/>
      <w:bookmarkEnd w:id="209"/>
      <w:bookmarkEnd w:id="210"/>
      <w:bookmarkEnd w:id="211"/>
    </w:p>
    <w:p>
      <w:pPr>
        <w:pStyle w:val="33"/>
        <w:spacing w:beforeLines="100" w:afterLines="100" w:line="360" w:lineRule="auto"/>
        <w:ind w:firstLine="431" w:firstLineChars="196"/>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本招标文件解释权属广东中凯工程管理咨询有限公司。</w:t>
      </w:r>
    </w:p>
    <w:p>
      <w:pPr>
        <w:pStyle w:val="33"/>
        <w:spacing w:beforeLines="100" w:afterLines="100" w:line="240" w:lineRule="auto"/>
        <w:ind w:firstLine="482" w:firstLineChars="200"/>
        <w:outlineLvl w:val="1"/>
        <w:rPr>
          <w:rFonts w:ascii="宋体" w:eastAsia="宋体"/>
          <w:b/>
          <w:color w:val="000000" w:themeColor="text1"/>
          <w:sz w:val="24"/>
          <w:highlight w:val="none"/>
          <w14:textFill>
            <w14:solidFill>
              <w14:schemeClr w14:val="tx1"/>
            </w14:solidFill>
          </w14:textFill>
        </w:rPr>
        <w:sectPr>
          <w:pgSz w:w="11906" w:h="16838"/>
          <w:pgMar w:top="1474" w:right="1474" w:bottom="1474" w:left="1474" w:header="850" w:footer="907" w:gutter="0"/>
          <w:cols w:space="720" w:num="1"/>
          <w:docGrid w:type="lines" w:linePitch="315" w:charSpace="0"/>
        </w:sectPr>
      </w:pPr>
      <w:bookmarkStart w:id="212" w:name="_Toc32174"/>
      <w:bookmarkStart w:id="213" w:name="_Toc30120"/>
      <w:bookmarkStart w:id="214" w:name="_Toc31659"/>
      <w:bookmarkStart w:id="215" w:name="_Toc1521"/>
      <w:r>
        <w:rPr>
          <w:rFonts w:hint="eastAsia" w:ascii="宋体" w:eastAsia="宋体"/>
          <w:b/>
          <w:color w:val="000000" w:themeColor="text1"/>
          <w:sz w:val="24"/>
          <w:highlight w:val="none"/>
          <w14:textFill>
            <w14:solidFill>
              <w14:schemeClr w14:val="tx1"/>
            </w14:solidFill>
          </w14:textFill>
        </w:rPr>
        <w:t>33.无特殊说明各条款适用于各子包</w:t>
      </w:r>
      <w:bookmarkEnd w:id="212"/>
      <w:bookmarkEnd w:id="213"/>
      <w:bookmarkEnd w:id="214"/>
      <w:bookmarkEnd w:id="215"/>
    </w:p>
    <w:p>
      <w:pPr>
        <w:spacing w:beforeLines="2000" w:afterLines="2000"/>
        <w:jc w:val="center"/>
        <w:outlineLvl w:val="0"/>
        <w:rPr>
          <w:rFonts w:ascii="宋体" w:hAnsi="宋体" w:cs="宋体"/>
          <w:b/>
          <w:bCs/>
          <w:color w:val="000000" w:themeColor="text1"/>
          <w:sz w:val="44"/>
          <w:szCs w:val="44"/>
          <w:highlight w:val="none"/>
          <w14:textFill>
            <w14:solidFill>
              <w14:schemeClr w14:val="tx1"/>
            </w14:solidFill>
          </w14:textFill>
        </w:rPr>
      </w:pPr>
      <w:bookmarkStart w:id="216" w:name="_Toc8229"/>
      <w:bookmarkStart w:id="217" w:name="_Toc707_WPSOffice_Level1"/>
      <w:bookmarkStart w:id="218" w:name="_Toc21325_WPSOffice_Level1"/>
      <w:bookmarkStart w:id="219" w:name="_Toc8658"/>
      <w:r>
        <w:rPr>
          <w:rFonts w:hint="eastAsia" w:ascii="宋体" w:hAnsi="宋体" w:cs="宋体"/>
          <w:b/>
          <w:bCs/>
          <w:color w:val="000000" w:themeColor="text1"/>
          <w:spacing w:val="20"/>
          <w:sz w:val="44"/>
          <w:szCs w:val="44"/>
          <w:highlight w:val="none"/>
          <w14:textFill>
            <w14:solidFill>
              <w14:schemeClr w14:val="tx1"/>
            </w14:solidFill>
          </w14:textFill>
        </w:rPr>
        <w:t xml:space="preserve">第三部分 </w:t>
      </w:r>
      <w:bookmarkEnd w:id="216"/>
      <w:bookmarkEnd w:id="217"/>
      <w:bookmarkEnd w:id="218"/>
      <w:r>
        <w:rPr>
          <w:rFonts w:hint="eastAsia" w:ascii="宋体" w:hAnsi="宋体" w:cs="宋体"/>
          <w:b/>
          <w:bCs/>
          <w:color w:val="000000" w:themeColor="text1"/>
          <w:sz w:val="44"/>
          <w:szCs w:val="44"/>
          <w:highlight w:val="none"/>
          <w14:textFill>
            <w14:solidFill>
              <w14:schemeClr w14:val="tx1"/>
            </w14:solidFill>
          </w14:textFill>
        </w:rPr>
        <w:t>采购需求书</w:t>
      </w:r>
      <w:bookmarkEnd w:id="219"/>
    </w:p>
    <w:p>
      <w:pPr>
        <w:spacing w:beforeLines="50" w:afterLines="50" w:line="360" w:lineRule="auto"/>
        <w:jc w:val="center"/>
        <w:outlineLvl w:val="1"/>
        <w:rPr>
          <w:rFonts w:ascii="宋体" w:hAnsi="宋体"/>
          <w:b/>
          <w:color w:val="000000" w:themeColor="text1"/>
          <w:sz w:val="30"/>
          <w:szCs w:val="30"/>
          <w:highlight w:val="none"/>
          <w14:textFill>
            <w14:solidFill>
              <w14:schemeClr w14:val="tx1"/>
            </w14:solidFill>
          </w14:textFill>
        </w:rPr>
      </w:pPr>
      <w:r>
        <w:rPr>
          <w:rFonts w:hint="eastAsia" w:ascii="宋体" w:hAnsi="宋体" w:cs="宋体"/>
          <w:b/>
          <w:bCs/>
          <w:color w:val="000000" w:themeColor="text1"/>
          <w:sz w:val="44"/>
          <w:szCs w:val="44"/>
          <w:highlight w:val="none"/>
          <w14:textFill>
            <w14:solidFill>
              <w14:schemeClr w14:val="tx1"/>
            </w14:solidFill>
          </w14:textFill>
        </w:rPr>
        <w:br w:type="page"/>
      </w:r>
      <w:bookmarkStart w:id="220" w:name="_Toc16429_WPSOffice_Level2"/>
      <w:bookmarkStart w:id="221" w:name="_Toc18669"/>
      <w:bookmarkStart w:id="222" w:name="_Toc6527_WPSOffice_Level2"/>
      <w:r>
        <w:rPr>
          <w:rFonts w:hint="eastAsia" w:ascii="宋体" w:hAnsi="宋体"/>
          <w:b/>
          <w:color w:val="000000" w:themeColor="text1"/>
          <w:sz w:val="30"/>
          <w:szCs w:val="30"/>
          <w:highlight w:val="none"/>
          <w14:textFill>
            <w14:solidFill>
              <w14:schemeClr w14:val="tx1"/>
            </w14:solidFill>
          </w14:textFill>
        </w:rPr>
        <w:t>第一章 商务需求书</w:t>
      </w:r>
      <w:bookmarkEnd w:id="220"/>
      <w:bookmarkEnd w:id="221"/>
      <w:bookmarkEnd w:id="222"/>
    </w:p>
    <w:tbl>
      <w:tblPr>
        <w:tblStyle w:val="23"/>
        <w:tblW w:w="862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07"/>
        <w:gridCol w:w="1483"/>
        <w:gridCol w:w="64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bookmarkStart w:id="223" w:name="_Toc20425_WPSOffice_Level2"/>
            <w:bookmarkStart w:id="224" w:name="_Toc2235_WPSOffice_Level2"/>
            <w:r>
              <w:rPr>
                <w:rFonts w:hint="eastAsia" w:ascii="宋体" w:hAnsi="宋体"/>
                <w:color w:val="000000" w:themeColor="text1"/>
                <w:sz w:val="22"/>
                <w:szCs w:val="22"/>
                <w:highlight w:val="none"/>
                <w14:textFill>
                  <w14:solidFill>
                    <w14:schemeClr w14:val="tx1"/>
                  </w14:solidFill>
                </w14:textFill>
              </w:rPr>
              <w:t>序号</w:t>
            </w:r>
          </w:p>
        </w:tc>
        <w:tc>
          <w:tcPr>
            <w:tcW w:w="1483"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条款名称</w:t>
            </w:r>
          </w:p>
        </w:tc>
        <w:tc>
          <w:tcPr>
            <w:tcW w:w="6439"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p>
        </w:tc>
        <w:tc>
          <w:tcPr>
            <w:tcW w:w="1483"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合格投标人</w:t>
            </w:r>
          </w:p>
        </w:tc>
        <w:tc>
          <w:tcPr>
            <w:tcW w:w="6439" w:type="dxa"/>
            <w:vAlign w:val="center"/>
          </w:tcPr>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1)投标人须符合《中华人民共和国政府采购法》第二十二条规定；</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2)政府采购政策资格要求:</w:t>
            </w:r>
          </w:p>
          <w:p>
            <w:pPr>
              <w:pStyle w:val="33"/>
              <w:spacing w:line="400" w:lineRule="exact"/>
              <w:ind w:left="220" w:hanging="220" w:hangingChars="1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①投标人的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pStyle w:val="33"/>
              <w:spacing w:line="400" w:lineRule="exact"/>
              <w:ind w:left="220" w:hanging="220" w:hangingChars="1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②投标人参加政府采购活动前三年内，在经营活动中没有重大违法记录。（须提供书面声明）。</w:t>
            </w:r>
          </w:p>
          <w:p>
            <w:pPr>
              <w:pStyle w:val="33"/>
              <w:spacing w:line="400" w:lineRule="exact"/>
              <w:ind w:left="220" w:hanging="220" w:hangingChars="10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③投标人未被列入“信用中国”网站(www.creditchina.gov.cn)“记录失信被执行人或重大税收违法案件当事人名单”记录名单；未处于中国政府采购网(www.ccgp.gov.cn)“政府采购严重违法失信行为信息记录”中的禁止参加政府采购活动期间。（以招标代理机构投标截止日当天在“信用中国”网站（www.creditchina.gov.cn）及中国政府采购网(www.ccgp.gov.cn)查询结果为准，如相关失信记录已失效，投标人需提供相关证明资料）。</w:t>
            </w:r>
          </w:p>
          <w:p>
            <w:pPr>
              <w:pStyle w:val="33"/>
              <w:spacing w:line="400" w:lineRule="exact"/>
              <w:ind w:firstLine="0" w:firstLineChars="0"/>
              <w:rPr>
                <w:rFonts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3）特定资格条件：</w:t>
            </w:r>
          </w:p>
          <w:p>
            <w:pPr>
              <w:pStyle w:val="43"/>
              <w:spacing w:line="400" w:lineRule="exact"/>
              <w:ind w:left="220" w:hanging="220" w:hangingChars="100"/>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①投标人为代理商的，从事第三类医疗器械经营的应取得《医疗器械经营许可证》或有效期内的《医疗器械经营企业许可证》，从事第二类医疗器械经营的，应取得《第二类医疗器械经营备案凭证》或有效期内的《医疗器械经营企业许可证》；</w:t>
            </w:r>
          </w:p>
          <w:p>
            <w:pPr>
              <w:pStyle w:val="43"/>
              <w:spacing w:line="400" w:lineRule="exact"/>
              <w:ind w:left="220" w:hanging="220" w:hangingChars="100"/>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②投标人为生产厂商的，应取得药品监督管理部门颁发的《医疗器械生产许可证》或在有效期内的《医疗器械生产企业许可证》；从事第一类医疗器械生产的供应商，应取得《第一类医疗器械生产备案凭证》；</w:t>
            </w:r>
          </w:p>
          <w:p>
            <w:pPr>
              <w:pStyle w:val="43"/>
              <w:spacing w:line="400" w:lineRule="exact"/>
              <w:ind w:left="220" w:hanging="220" w:hangingChars="100"/>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③投标货物若属于中国医疗器械注册管理范围内的，则应取得监督管理部门颁发的相应的《中华人民共和国医疗器械注册证》。</w:t>
            </w:r>
          </w:p>
          <w:p>
            <w:pPr>
              <w:pStyle w:val="43"/>
              <w:spacing w:line="400" w:lineRule="exact"/>
              <w:ind w:firstLine="0" w:firstLineChars="0"/>
              <w:rPr>
                <w:rFonts w:ascii="宋体" w:hAnsi="宋体"/>
                <w:color w:val="000000" w:themeColor="text1"/>
                <w:kern w:val="0"/>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 xml:space="preserve">注：本项目不接受联合体投标。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w:t>
            </w:r>
          </w:p>
        </w:tc>
        <w:tc>
          <w:tcPr>
            <w:tcW w:w="1483"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交货期</w:t>
            </w:r>
          </w:p>
        </w:tc>
        <w:tc>
          <w:tcPr>
            <w:tcW w:w="6439" w:type="dxa"/>
            <w:vAlign w:val="center"/>
          </w:tcPr>
          <w:p>
            <w:pPr>
              <w:spacing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合同签订之日起60日内完成</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w:t>
            </w:r>
          </w:p>
        </w:tc>
        <w:tc>
          <w:tcPr>
            <w:tcW w:w="1483" w:type="dxa"/>
            <w:vAlign w:val="center"/>
          </w:tcPr>
          <w:p>
            <w:pPr>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质保期</w:t>
            </w:r>
          </w:p>
        </w:tc>
        <w:tc>
          <w:tcPr>
            <w:tcW w:w="6439" w:type="dxa"/>
            <w:vAlign w:val="center"/>
          </w:tcPr>
          <w:p>
            <w:pPr>
              <w:pStyle w:val="43"/>
              <w:wordWrap w:val="0"/>
              <w:spacing w:line="400" w:lineRule="exact"/>
              <w:ind w:firstLine="0" w:firstLineChars="0"/>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A包：项目验收合格之日起提供3年免费维保。</w:t>
            </w:r>
          </w:p>
          <w:p>
            <w:pPr>
              <w:pStyle w:val="43"/>
              <w:wordWrap w:val="0"/>
              <w:spacing w:line="400" w:lineRule="exact"/>
              <w:ind w:firstLine="0" w:firstLineChars="0"/>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B包：项目验收合格之日起提供5年免费维保。</w:t>
            </w:r>
          </w:p>
          <w:p>
            <w:pPr>
              <w:pStyle w:val="43"/>
              <w:wordWrap w:val="0"/>
              <w:spacing w:line="400" w:lineRule="exact"/>
              <w:ind w:firstLine="0" w:firstLineChars="0"/>
              <w:rPr>
                <w:rFonts w:ascii="宋体" w:hAnsi="宋体" w:cs="宋体"/>
                <w:color w:val="000000" w:themeColor="text1"/>
                <w:sz w:val="22"/>
                <w:highlight w:val="none"/>
                <w14:textFill>
                  <w14:solidFill>
                    <w14:schemeClr w14:val="tx1"/>
                  </w14:solidFill>
                </w14:textFill>
              </w:rPr>
            </w:pPr>
            <w:r>
              <w:rPr>
                <w:rFonts w:hint="eastAsia" w:ascii="宋体" w:hAnsi="宋体" w:cs="宋体"/>
                <w:color w:val="000000" w:themeColor="text1"/>
                <w:sz w:val="22"/>
                <w:highlight w:val="none"/>
                <w14:textFill>
                  <w14:solidFill>
                    <w14:schemeClr w14:val="tx1"/>
                  </w14:solidFill>
                </w14:textFill>
              </w:rPr>
              <w:t>C包：项目验收合格之日起提供3年免费维保。</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w:t>
            </w:r>
          </w:p>
        </w:tc>
        <w:tc>
          <w:tcPr>
            <w:tcW w:w="1483" w:type="dxa"/>
            <w:vAlign w:val="center"/>
          </w:tcPr>
          <w:p>
            <w:pPr>
              <w:numPr>
                <w:ilvl w:val="1"/>
                <w:numId w:val="0"/>
              </w:numPr>
              <w:tabs>
                <w:tab w:val="left" w:pos="-28"/>
              </w:tabs>
              <w:spacing w:line="40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付款</w:t>
            </w:r>
          </w:p>
        </w:tc>
        <w:tc>
          <w:tcPr>
            <w:tcW w:w="6439" w:type="dxa"/>
            <w:vAlign w:val="center"/>
          </w:tcPr>
          <w:p>
            <w:pPr>
              <w:spacing w:line="40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本合同的每笔款项均以银行电汇方式支付，具体付款要求如下：</w:t>
            </w:r>
          </w:p>
          <w:p>
            <w:pPr>
              <w:keepNext w:val="0"/>
              <w:keepLines w:val="0"/>
              <w:pageBreakBefore w:val="0"/>
              <w:widowControl w:val="0"/>
              <w:kinsoku/>
              <w:wordWrap/>
              <w:overflowPunct/>
              <w:topLinePunct w:val="0"/>
              <w:autoSpaceDE/>
              <w:autoSpaceDN/>
              <w:bidi w:val="0"/>
              <w:adjustRightInd/>
              <w:snapToGrid/>
              <w:spacing w:line="400" w:lineRule="exact"/>
              <w:ind w:left="0" w:firstLine="0" w:firstLineChars="0"/>
              <w:textAlignment w:val="auto"/>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付款：签订合同验收合格后，30个工作日内支付合同总价的90%以上。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w:t>
            </w:r>
          </w:p>
        </w:tc>
        <w:tc>
          <w:tcPr>
            <w:tcW w:w="1483"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服务地点</w:t>
            </w:r>
          </w:p>
        </w:tc>
        <w:tc>
          <w:tcPr>
            <w:tcW w:w="6439" w:type="dxa"/>
            <w:vAlign w:val="center"/>
          </w:tcPr>
          <w:p>
            <w:pPr>
              <w:spacing w:line="400" w:lineRule="exact"/>
              <w:rPr>
                <w:rFonts w:ascii="宋体" w:hAnsi="宋体"/>
                <w:bCs/>
                <w:color w:val="000000" w:themeColor="text1"/>
                <w:sz w:val="22"/>
                <w:szCs w:val="22"/>
                <w:highlight w:val="none"/>
                <w14:textFill>
                  <w14:solidFill>
                    <w14:schemeClr w14:val="tx1"/>
                  </w14:solidFill>
                </w14:textFill>
              </w:rPr>
            </w:pPr>
            <w:r>
              <w:rPr>
                <w:rFonts w:hint="eastAsia" w:ascii="宋体" w:hAnsi="宋体"/>
                <w:bCs/>
                <w:color w:val="000000" w:themeColor="text1"/>
                <w:sz w:val="22"/>
                <w:szCs w:val="22"/>
                <w:highlight w:val="none"/>
                <w14:textFill>
                  <w14:solidFill>
                    <w14:schemeClr w14:val="tx1"/>
                  </w14:solidFill>
                </w14:textFill>
              </w:rPr>
              <w:t>采购人指定地点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6</w:t>
            </w:r>
          </w:p>
        </w:tc>
        <w:tc>
          <w:tcPr>
            <w:tcW w:w="1483"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报价内容</w:t>
            </w:r>
          </w:p>
        </w:tc>
        <w:tc>
          <w:tcPr>
            <w:tcW w:w="6439" w:type="dxa"/>
            <w:vAlign w:val="center"/>
          </w:tcPr>
          <w:p>
            <w:pPr>
              <w:numPr>
                <w:ilvl w:val="1"/>
                <w:numId w:val="0"/>
              </w:numPr>
              <w:tabs>
                <w:tab w:val="left" w:pos="-28"/>
              </w:tabs>
              <w:spacing w:line="400" w:lineRule="exact"/>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报价包含（人民币报价）：</w:t>
            </w:r>
            <w:r>
              <w:rPr>
                <w:rFonts w:hint="eastAsia" w:ascii="宋体" w:hAnsi="宋体" w:cs="宋体"/>
                <w:color w:val="000000" w:themeColor="text1"/>
                <w:sz w:val="22"/>
                <w:szCs w:val="22"/>
                <w:highlight w:val="none"/>
                <w14:textFill>
                  <w14:solidFill>
                    <w14:schemeClr w14:val="tx1"/>
                  </w14:solidFill>
                </w14:textFill>
              </w:rPr>
              <w:t>货物购置费、安装调试费、售后服务费、税费及合同实施过程中的不可预见的全部费用(含一切必须的辅助材料费用)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7</w:t>
            </w:r>
          </w:p>
        </w:tc>
        <w:tc>
          <w:tcPr>
            <w:tcW w:w="1483"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合同条款</w:t>
            </w:r>
          </w:p>
        </w:tc>
        <w:tc>
          <w:tcPr>
            <w:tcW w:w="6439" w:type="dxa"/>
            <w:vAlign w:val="center"/>
          </w:tcPr>
          <w:p>
            <w:pPr>
              <w:spacing w:line="400" w:lineRule="exact"/>
              <w:rPr>
                <w:rFonts w:ascii="宋体" w:hAnsi="宋体"/>
                <w:b/>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投标人实质响应合同各条款。</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707"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8</w:t>
            </w:r>
          </w:p>
        </w:tc>
        <w:tc>
          <w:tcPr>
            <w:tcW w:w="1483" w:type="dxa"/>
            <w:vAlign w:val="center"/>
          </w:tcPr>
          <w:p>
            <w:pPr>
              <w:spacing w:line="40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采购供应商数量</w:t>
            </w:r>
          </w:p>
        </w:tc>
        <w:tc>
          <w:tcPr>
            <w:tcW w:w="6439" w:type="dxa"/>
            <w:vAlign w:val="center"/>
          </w:tcPr>
          <w:p>
            <w:pPr>
              <w:spacing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1家</w:t>
            </w:r>
            <w:r>
              <w:rPr>
                <w:rFonts w:hint="eastAsia" w:ascii="宋体" w:hAnsi="宋体"/>
                <w:color w:val="000000" w:themeColor="text1"/>
                <w:sz w:val="22"/>
                <w:szCs w:val="22"/>
                <w:highlight w:val="none"/>
                <w:lang w:val="en-US" w:eastAsia="zh-CN"/>
                <w14:textFill>
                  <w14:solidFill>
                    <w14:schemeClr w14:val="tx1"/>
                  </w14:solidFill>
                </w14:textFill>
              </w:rPr>
              <w:t>/包</w:t>
            </w:r>
          </w:p>
        </w:tc>
      </w:tr>
    </w:tbl>
    <w:p>
      <w:pPr>
        <w:jc w:val="center"/>
        <w:outlineLvl w:val="1"/>
        <w:rPr>
          <w:rFonts w:ascii="宋体" w:hAnsi="宋体"/>
          <w:b/>
          <w:color w:val="000000" w:themeColor="text1"/>
          <w:sz w:val="30"/>
          <w:szCs w:val="30"/>
          <w:highlight w:val="none"/>
          <w14:textFill>
            <w14:solidFill>
              <w14:schemeClr w14:val="tx1"/>
            </w14:solidFill>
          </w14:textFill>
        </w:rPr>
      </w:pPr>
    </w:p>
    <w:p>
      <w:pPr>
        <w:rPr>
          <w:rFonts w:ascii="宋体" w:hAnsi="宋体"/>
          <w:b/>
          <w:color w:val="000000" w:themeColor="text1"/>
          <w:sz w:val="30"/>
          <w:szCs w:val="30"/>
          <w:highlight w:val="none"/>
          <w14:textFill>
            <w14:solidFill>
              <w14:schemeClr w14:val="tx1"/>
            </w14:solidFill>
          </w14:textFill>
        </w:rPr>
      </w:pPr>
      <w:r>
        <w:rPr>
          <w:rFonts w:hint="eastAsia" w:ascii="宋体" w:hAnsi="宋体"/>
          <w:b/>
          <w:color w:val="000000" w:themeColor="text1"/>
          <w:sz w:val="30"/>
          <w:szCs w:val="30"/>
          <w:highlight w:val="none"/>
          <w14:textFill>
            <w14:solidFill>
              <w14:schemeClr w14:val="tx1"/>
            </w14:solidFill>
          </w14:textFill>
        </w:rPr>
        <w:br w:type="page"/>
      </w:r>
    </w:p>
    <w:p>
      <w:pPr>
        <w:spacing w:beforeLines="50" w:afterLines="50" w:line="360" w:lineRule="auto"/>
        <w:jc w:val="center"/>
        <w:outlineLvl w:val="1"/>
        <w:rPr>
          <w:rFonts w:ascii="宋体" w:hAnsi="宋体"/>
          <w:b/>
          <w:color w:val="000000" w:themeColor="text1"/>
          <w:sz w:val="30"/>
          <w:szCs w:val="30"/>
          <w:highlight w:val="none"/>
          <w14:textFill>
            <w14:solidFill>
              <w14:schemeClr w14:val="tx1"/>
            </w14:solidFill>
          </w14:textFill>
        </w:rPr>
      </w:pPr>
      <w:bookmarkStart w:id="225" w:name="_Toc17268"/>
      <w:r>
        <w:rPr>
          <w:rFonts w:hint="eastAsia" w:ascii="宋体" w:hAnsi="宋体"/>
          <w:b/>
          <w:color w:val="000000" w:themeColor="text1"/>
          <w:sz w:val="30"/>
          <w:szCs w:val="30"/>
          <w:highlight w:val="none"/>
          <w14:textFill>
            <w14:solidFill>
              <w14:schemeClr w14:val="tx1"/>
            </w14:solidFill>
          </w14:textFill>
        </w:rPr>
        <w:t>第二章 技术需求书</w:t>
      </w:r>
      <w:bookmarkEnd w:id="223"/>
      <w:bookmarkEnd w:id="224"/>
      <w:bookmarkEnd w:id="225"/>
    </w:p>
    <w:p>
      <w:pPr>
        <w:spacing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bookmarkStart w:id="226" w:name="_Toc27112"/>
      <w:r>
        <w:rPr>
          <w:rFonts w:hint="eastAsia" w:ascii="宋体" w:hAnsi="宋体" w:cs="宋体"/>
          <w:b/>
          <w:bCs/>
          <w:color w:val="000000" w:themeColor="text1"/>
          <w:sz w:val="22"/>
          <w:szCs w:val="22"/>
          <w:highlight w:val="none"/>
          <w14:textFill>
            <w14:solidFill>
              <w14:schemeClr w14:val="tx1"/>
            </w14:solidFill>
          </w14:textFill>
        </w:rPr>
        <w:t>在《采购需求书》中所提供的货物参数要求，其目的仅仅是为了使投标人更加准确地了解招标要求，不构成对投标单位所报品牌的任何约束；投标人所投货物参数应不低于《采购需求书》中的要求。</w:t>
      </w:r>
    </w:p>
    <w:p>
      <w:pPr>
        <w:spacing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第一节  项目清单</w:t>
      </w:r>
    </w:p>
    <w:tbl>
      <w:tblPr>
        <w:tblStyle w:val="23"/>
        <w:tblW w:w="7956" w:type="dxa"/>
        <w:jc w:val="center"/>
        <w:tblLayout w:type="fixed"/>
        <w:tblCellMar>
          <w:top w:w="0" w:type="dxa"/>
          <w:left w:w="0" w:type="dxa"/>
          <w:bottom w:w="0" w:type="dxa"/>
          <w:right w:w="0" w:type="dxa"/>
        </w:tblCellMar>
      </w:tblPr>
      <w:tblGrid>
        <w:gridCol w:w="411"/>
        <w:gridCol w:w="2961"/>
        <w:gridCol w:w="489"/>
        <w:gridCol w:w="630"/>
        <w:gridCol w:w="1725"/>
        <w:gridCol w:w="1740"/>
      </w:tblGrid>
      <w:tr>
        <w:tblPrEx>
          <w:tblCellMar>
            <w:top w:w="0" w:type="dxa"/>
            <w:left w:w="0" w:type="dxa"/>
            <w:bottom w:w="0" w:type="dxa"/>
            <w:right w:w="0" w:type="dxa"/>
          </w:tblCellMar>
        </w:tblPrEx>
        <w:trPr>
          <w:trHeight w:val="809"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包号</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采购内容</w:t>
            </w:r>
          </w:p>
        </w:tc>
        <w:tc>
          <w:tcPr>
            <w:tcW w:w="489"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单位</w:t>
            </w:r>
          </w:p>
        </w:tc>
        <w:tc>
          <w:tcPr>
            <w:tcW w:w="6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数量</w:t>
            </w:r>
          </w:p>
        </w:tc>
        <w:tc>
          <w:tcPr>
            <w:tcW w:w="1725"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采购最高限价</w:t>
            </w:r>
          </w:p>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（单价/元）</w:t>
            </w:r>
          </w:p>
        </w:tc>
        <w:tc>
          <w:tcPr>
            <w:tcW w:w="174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采购预算总金额</w:t>
            </w:r>
          </w:p>
          <w:p>
            <w:pPr>
              <w:widowControl/>
              <w:jc w:val="center"/>
              <w:textAlignment w:val="center"/>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（元）</w:t>
            </w:r>
          </w:p>
        </w:tc>
      </w:tr>
      <w:tr>
        <w:tblPrEx>
          <w:tblCellMar>
            <w:top w:w="0" w:type="dxa"/>
            <w:left w:w="0" w:type="dxa"/>
            <w:bottom w:w="0" w:type="dxa"/>
            <w:right w:w="0" w:type="dxa"/>
          </w:tblCellMar>
        </w:tblPrEx>
        <w:trPr>
          <w:trHeight w:val="567"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A</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全自动微生物质谱检测系统</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2,150,000.00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2,150,000.00</w:t>
            </w:r>
          </w:p>
        </w:tc>
      </w:tr>
      <w:tr>
        <w:tblPrEx>
          <w:tblCellMar>
            <w:top w:w="0" w:type="dxa"/>
            <w:left w:w="0" w:type="dxa"/>
            <w:bottom w:w="0" w:type="dxa"/>
            <w:right w:w="0" w:type="dxa"/>
          </w:tblCellMar>
        </w:tblPrEx>
        <w:trPr>
          <w:trHeight w:val="567"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B</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串联质谱仪</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2,000,000.00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2,000,000.00</w:t>
            </w:r>
          </w:p>
        </w:tc>
      </w:tr>
      <w:tr>
        <w:tblPrEx>
          <w:tblCellMar>
            <w:top w:w="0" w:type="dxa"/>
            <w:left w:w="0" w:type="dxa"/>
            <w:bottom w:w="0" w:type="dxa"/>
            <w:right w:w="0" w:type="dxa"/>
          </w:tblCellMar>
        </w:tblPrEx>
        <w:trPr>
          <w:trHeight w:val="567" w:hRule="atLeast"/>
          <w:jc w:val="center"/>
        </w:trPr>
        <w:tc>
          <w:tcPr>
            <w:tcW w:w="4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C</w:t>
            </w:r>
          </w:p>
        </w:tc>
        <w:tc>
          <w:tcPr>
            <w:tcW w:w="2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000000" w:themeColor="text1"/>
                <w:kern w:val="0"/>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全自动血液分析系统</w:t>
            </w:r>
          </w:p>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（带推片染色）</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500,000.00</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eastAsia="宋体" w:cs="宋体"/>
                <w:color w:val="000000" w:themeColor="text1"/>
                <w:sz w:val="22"/>
                <w:szCs w:val="22"/>
                <w:highlight w:val="none"/>
                <w:lang w:eastAsia="zh-CN"/>
                <w14:textFill>
                  <w14:solidFill>
                    <w14:schemeClr w14:val="tx1"/>
                  </w14:solidFill>
                </w14:textFill>
              </w:rPr>
            </w:pPr>
            <w:r>
              <w:rPr>
                <w:rFonts w:hint="eastAsia" w:ascii="宋体" w:hAnsi="宋体" w:cs="宋体"/>
                <w:color w:val="000000" w:themeColor="text1"/>
                <w:kern w:val="0"/>
                <w:sz w:val="22"/>
                <w:szCs w:val="22"/>
                <w:highlight w:val="none"/>
                <w:lang w:eastAsia="zh-CN"/>
                <w14:textFill>
                  <w14:solidFill>
                    <w14:schemeClr w14:val="tx1"/>
                  </w14:solidFill>
                </w14:textFill>
              </w:rPr>
              <w:t>500,000.00</w:t>
            </w:r>
          </w:p>
        </w:tc>
      </w:tr>
    </w:tbl>
    <w:p>
      <w:pPr>
        <w:spacing w:line="440" w:lineRule="exact"/>
        <w:ind w:firstLine="442" w:firstLineChars="200"/>
        <w:jc w:val="left"/>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注：本项目允许进口产品投标。</w:t>
      </w:r>
    </w:p>
    <w:p>
      <w:pPr>
        <w:pStyle w:val="2"/>
        <w:spacing w:beforeAutospacing="0" w:afterAutospacing="0" w:line="440" w:lineRule="exact"/>
        <w:ind w:firstLine="442" w:firstLineChars="200"/>
        <w:rPr>
          <w:rFonts w:hint="default" w:cs="宋体"/>
          <w:color w:val="000000" w:themeColor="text1"/>
          <w:sz w:val="22"/>
          <w:szCs w:val="22"/>
          <w:highlight w:val="none"/>
          <w14:textFill>
            <w14:solidFill>
              <w14:schemeClr w14:val="tx1"/>
            </w14:solidFill>
          </w14:textFill>
        </w:rPr>
      </w:pPr>
      <w:bookmarkStart w:id="227" w:name="_Toc19191"/>
    </w:p>
    <w:p>
      <w:pPr>
        <w:pStyle w:val="2"/>
        <w:spacing w:beforeAutospacing="0" w:afterAutospacing="0" w:line="440" w:lineRule="exact"/>
        <w:ind w:firstLine="442" w:firstLineChars="200"/>
        <w:rPr>
          <w:rFonts w:hint="default" w:cs="宋体"/>
          <w:color w:val="000000" w:themeColor="text1"/>
          <w:sz w:val="22"/>
          <w:szCs w:val="22"/>
          <w:highlight w:val="none"/>
          <w14:textFill>
            <w14:solidFill>
              <w14:schemeClr w14:val="tx1"/>
            </w14:solidFill>
          </w14:textFill>
        </w:rPr>
      </w:pPr>
      <w:bookmarkStart w:id="228" w:name="_Toc17672"/>
      <w:r>
        <w:rPr>
          <w:rFonts w:cs="宋体"/>
          <w:color w:val="000000" w:themeColor="text1"/>
          <w:sz w:val="22"/>
          <w:szCs w:val="22"/>
          <w:highlight w:val="none"/>
          <w14:textFill>
            <w14:solidFill>
              <w14:schemeClr w14:val="tx1"/>
            </w14:solidFill>
          </w14:textFill>
        </w:rPr>
        <w:t>第二节  具体参数</w:t>
      </w:r>
      <w:bookmarkEnd w:id="227"/>
      <w:bookmarkEnd w:id="228"/>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A包：</w:t>
      </w:r>
      <w:r>
        <w:rPr>
          <w:rFonts w:hint="eastAsia" w:ascii="宋体" w:hAnsi="宋体" w:cs="宋体"/>
          <w:b/>
          <w:bCs/>
          <w:color w:val="000000" w:themeColor="text1"/>
          <w:kern w:val="0"/>
          <w:sz w:val="22"/>
          <w:szCs w:val="22"/>
          <w:highlight w:val="none"/>
          <w14:textFill>
            <w14:solidFill>
              <w14:schemeClr w14:val="tx1"/>
            </w14:solidFill>
          </w14:textFill>
        </w:rPr>
        <w:t>全自动微生物质谱检测系统</w:t>
      </w:r>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（一）技术参数</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1、原理：利用基质辅助激光解析电离飞行时间质谱技术进行微生物的快速鉴定分析。</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2、激光器：337nm氮激光器，频率可调，激光聚焦直径可调，激光强度可调，适用于不同的MALDI样品制备方法。</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▲3、飞行</w:t>
      </w:r>
      <w:r>
        <w:rPr>
          <w:rFonts w:hint="eastAsia" w:ascii="宋体" w:hAnsi="宋体" w:cs="宋体"/>
          <w:color w:val="000000" w:themeColor="text1"/>
          <w:sz w:val="22"/>
          <w:szCs w:val="22"/>
          <w:highlight w:val="none"/>
          <w14:textFill>
            <w14:solidFill>
              <w14:schemeClr w14:val="tx1"/>
            </w14:solidFill>
          </w14:textFill>
        </w:rPr>
        <w:t>管：飞行管长度≧1.2米，至少两台涡轮分子泵（250</w:t>
      </w:r>
      <w:r>
        <w:rPr>
          <w:rFonts w:ascii="宋体" w:hAnsi="宋体" w:cs="宋体"/>
          <w:color w:val="000000" w:themeColor="text1"/>
          <w:sz w:val="22"/>
          <w:szCs w:val="22"/>
          <w:highlight w:val="none"/>
          <w14:textFill>
            <w14:solidFill>
              <w14:schemeClr w14:val="tx1"/>
            </w14:solidFill>
          </w14:textFill>
        </w:rPr>
        <w:t>L/S）</w:t>
      </w:r>
      <w:r>
        <w:rPr>
          <w:rFonts w:hint="eastAsia" w:ascii="宋体" w:hAnsi="宋体" w:cs="宋体"/>
          <w:color w:val="000000" w:themeColor="text1"/>
          <w:sz w:val="22"/>
          <w:szCs w:val="22"/>
          <w:highlight w:val="none"/>
          <w14:textFill>
            <w14:solidFill>
              <w14:schemeClr w14:val="tx1"/>
            </w14:solidFill>
          </w14:textFill>
        </w:rPr>
        <w:t>保持真空。</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4、检测质量范围：1～500 kDa；</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质量准确度：内标法&lt;30ppm，外标法&lt;200 ppm；</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分辨率≥5000 FWHM (ACTH促肾上腺皮质激素18-39)线性模式。</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5、离子源：使用射束消隐技术消除高强度干扰信号（如基质离子），离子源无需日常清洗。</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6、仪器通量：可同时容纳靶板数量≧4块，可同时上机检测样品数量≧192个，可根据实验需要分细菌、真菌、结核等不同组别同时操作和上机。</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7、具备高级图谱鉴别系统，采用权重矩阵分析方法，临床鉴定能给予唯一报告结果，并以百分比显示鉴定结果可信度。</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8、微生物数据库：配备临床库和科研库两个独立的微生物数据库，既符合临床诊断规范又满足科研工作需要。</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、临床数据库包含临床相关菌种数量&gt;1000种，菌株数量&gt;15000株，平均需大于12株/种。</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14:textFill>
            <w14:solidFill>
              <w14:schemeClr w14:val="tx1"/>
            </w14:solidFill>
          </w14:textFill>
        </w:rPr>
        <w:t>、临床数据库包含丝状真菌和分枝杆菌，并且丝状真菌和分枝杆菌鉴定有通过FDA认证，针对丝状真菌、诺卡菌及分枝杆菌有通过CFDA注册备案的提取试剂。</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11、数据库包含霍乱弧菌、炭疽芽孢杆菌、伤寒沙门菌血清型、鼠疫伊尔森菌、克柔假丝酵母菌、腐生葡萄球菌等临床重要细菌，能鉴定区分肺炎链球菌和缓症链球菌。</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12、靶板有专用校准孔位，每批样本检测前后进行校准质控检测，使用ATCC8739标准菌株，利用其中≥13个稳定表达的蛋白峰进行定标，确保结果的可靠性。</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13、用于鉴定的基质为液体试剂，不用复溶直接使用，基质试剂和用于真菌的预处理试剂均通过CFDA注册。</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14、配备质谱原厂微生物检验数字管理平台，用于连接微生物鉴定药敏分析系统和血培养仪，同时能与医院LIS系统连接，可远程登录实时监控设备的运行情况以及查阅标本状态和结果报告，重要结果具有短信发送功能，可实现≥16种统计报告。</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15、能通过微生物数字管理平台连接微生物药敏分析系统，同一操作平台即可完成质谱鉴定和药敏的标本处理及标本信息上载工作，不需人工输入直接整合鉴定药敏结果。</w:t>
      </w:r>
    </w:p>
    <w:p>
      <w:pPr>
        <w:pStyle w:val="9"/>
        <w:spacing w:after="0" w:line="440" w:lineRule="exact"/>
        <w:ind w:firstLine="440"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16、能通过微生物数字管理平台连接血培养仪器，配备阳性报警指示灯，自动提示并统计科室间污染甁、平均送甁时间、报阳时间、卸甁时间，主动监测检验前、中、后的流程状况。</w:t>
      </w:r>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（二）配置清单</w:t>
      </w:r>
    </w:p>
    <w:tbl>
      <w:tblPr>
        <w:tblStyle w:val="23"/>
        <w:tblW w:w="7980"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104"/>
        <w:gridCol w:w="5970"/>
        <w:gridCol w:w="90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9" w:hRule="atLeast"/>
          <w:jc w:val="center"/>
        </w:trPr>
        <w:tc>
          <w:tcPr>
            <w:tcW w:w="1104" w:type="dxa"/>
            <w:tcBorders>
              <w:bottom w:val="single" w:color="auto" w:sz="4" w:space="0"/>
              <w:right w:val="single" w:color="auto" w:sz="4" w:space="0"/>
            </w:tcBorders>
            <w:shd w:val="clear" w:color="auto" w:fill="E0E0E0"/>
            <w:vAlign w:val="center"/>
          </w:tcPr>
          <w:p>
            <w:pPr>
              <w:widowControl/>
              <w:jc w:val="center"/>
              <w:rPr>
                <w:rFonts w:ascii="宋体" w:hAnsi="宋体" w:cs="宋体"/>
                <w:b/>
                <w:bCs/>
                <w:color w:val="000000" w:themeColor="text1"/>
                <w:kern w:val="0"/>
                <w:sz w:val="22"/>
                <w:szCs w:val="22"/>
                <w:highlight w:val="none"/>
                <w:lang w:bidi="th-TH"/>
                <w14:textFill>
                  <w14:solidFill>
                    <w14:schemeClr w14:val="tx1"/>
                  </w14:solidFill>
                </w14:textFill>
              </w:rPr>
            </w:pPr>
            <w:r>
              <w:rPr>
                <w:rFonts w:hint="eastAsia" w:ascii="宋体" w:hAnsi="宋体" w:cs="宋体"/>
                <w:b/>
                <w:bCs/>
                <w:color w:val="000000" w:themeColor="text1"/>
                <w:kern w:val="0"/>
                <w:sz w:val="22"/>
                <w:szCs w:val="22"/>
                <w:highlight w:val="none"/>
                <w:lang w:bidi="th-TH"/>
                <w14:textFill>
                  <w14:solidFill>
                    <w14:schemeClr w14:val="tx1"/>
                  </w14:solidFill>
                </w14:textFill>
              </w:rPr>
              <w:t>项目</w:t>
            </w:r>
          </w:p>
        </w:tc>
        <w:tc>
          <w:tcPr>
            <w:tcW w:w="5970" w:type="dxa"/>
            <w:tcBorders>
              <w:left w:val="nil"/>
              <w:bottom w:val="single" w:color="auto" w:sz="4" w:space="0"/>
              <w:right w:val="single" w:color="auto" w:sz="4" w:space="0"/>
            </w:tcBorders>
            <w:shd w:val="clear" w:color="auto" w:fill="E0E0E0"/>
            <w:vAlign w:val="center"/>
          </w:tcPr>
          <w:p>
            <w:pPr>
              <w:widowControl/>
              <w:jc w:val="center"/>
              <w:rPr>
                <w:rFonts w:ascii="宋体" w:hAnsi="宋体" w:cs="宋体"/>
                <w:b/>
                <w:bCs/>
                <w:color w:val="000000" w:themeColor="text1"/>
                <w:kern w:val="0"/>
                <w:sz w:val="22"/>
                <w:szCs w:val="22"/>
                <w:highlight w:val="none"/>
                <w:lang w:bidi="th-TH"/>
                <w14:textFill>
                  <w14:solidFill>
                    <w14:schemeClr w14:val="tx1"/>
                  </w14:solidFill>
                </w14:textFill>
              </w:rPr>
            </w:pPr>
            <w:r>
              <w:rPr>
                <w:rFonts w:hint="eastAsia" w:ascii="宋体" w:hAnsi="宋体" w:cs="宋体"/>
                <w:b/>
                <w:bCs/>
                <w:color w:val="000000" w:themeColor="text1"/>
                <w:kern w:val="0"/>
                <w:sz w:val="22"/>
                <w:szCs w:val="22"/>
                <w:highlight w:val="none"/>
                <w:lang w:bidi="th-TH"/>
                <w14:textFill>
                  <w14:solidFill>
                    <w14:schemeClr w14:val="tx1"/>
                  </w14:solidFill>
                </w14:textFill>
              </w:rPr>
              <w:t>名称</w:t>
            </w:r>
          </w:p>
        </w:tc>
        <w:tc>
          <w:tcPr>
            <w:tcW w:w="906" w:type="dxa"/>
            <w:tcBorders>
              <w:left w:val="nil"/>
              <w:bottom w:val="single" w:color="auto" w:sz="4" w:space="0"/>
            </w:tcBorders>
            <w:shd w:val="clear" w:color="auto" w:fill="E0E0E0"/>
            <w:vAlign w:val="center"/>
          </w:tcPr>
          <w:p>
            <w:pPr>
              <w:widowControl/>
              <w:jc w:val="center"/>
              <w:rPr>
                <w:rFonts w:ascii="宋体" w:hAnsi="宋体" w:cs="宋体"/>
                <w:b/>
                <w:bCs/>
                <w:color w:val="000000" w:themeColor="text1"/>
                <w:kern w:val="0"/>
                <w:sz w:val="22"/>
                <w:szCs w:val="22"/>
                <w:highlight w:val="none"/>
                <w:lang w:bidi="th-TH"/>
                <w14:textFill>
                  <w14:solidFill>
                    <w14:schemeClr w14:val="tx1"/>
                  </w14:solidFill>
                </w14:textFill>
              </w:rPr>
            </w:pPr>
            <w:r>
              <w:rPr>
                <w:rFonts w:hint="eastAsia" w:ascii="宋体" w:hAnsi="宋体" w:cs="宋体"/>
                <w:b/>
                <w:bCs/>
                <w:color w:val="000000" w:themeColor="text1"/>
                <w:kern w:val="0"/>
                <w:sz w:val="22"/>
                <w:szCs w:val="22"/>
                <w:highlight w:val="none"/>
                <w:lang w:bidi="th-TH"/>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2"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w:t>
            </w:r>
          </w:p>
        </w:tc>
        <w:tc>
          <w:tcPr>
            <w:tcW w:w="59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基质辅助激光解析电离化飞行时间质谱仪器</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3" w:hRule="atLeast"/>
          <w:jc w:val="center"/>
        </w:trPr>
        <w:tc>
          <w:tcPr>
            <w:tcW w:w="1104" w:type="dxa"/>
            <w:tcBorders>
              <w:top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2</w:t>
            </w:r>
          </w:p>
        </w:tc>
        <w:tc>
          <w:tcPr>
            <w:tcW w:w="59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预处理工作站</w:t>
            </w:r>
          </w:p>
        </w:tc>
        <w:tc>
          <w:tcPr>
            <w:tcW w:w="906" w:type="dxa"/>
            <w:tcBorders>
              <w:top w:val="single" w:color="auto" w:sz="4" w:space="0"/>
              <w:left w:val="single" w:color="auto" w:sz="4" w:space="0"/>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8" w:hRule="atLeast"/>
          <w:jc w:val="center"/>
        </w:trPr>
        <w:tc>
          <w:tcPr>
            <w:tcW w:w="1104" w:type="dxa"/>
            <w:tcBorders>
              <w:top w:val="single" w:color="auto" w:sz="4" w:space="0"/>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3</w:t>
            </w:r>
          </w:p>
        </w:tc>
        <w:tc>
          <w:tcPr>
            <w:tcW w:w="59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数据采集工作站</w:t>
            </w:r>
          </w:p>
        </w:tc>
        <w:tc>
          <w:tcPr>
            <w:tcW w:w="906" w:type="dxa"/>
            <w:tcBorders>
              <w:top w:val="single" w:color="auto" w:sz="4" w:space="0"/>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2"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4</w:t>
            </w:r>
          </w:p>
        </w:tc>
        <w:tc>
          <w:tcPr>
            <w:tcW w:w="5970" w:type="dxa"/>
            <w:tcBorders>
              <w:top w:val="nil"/>
              <w:left w:val="nil"/>
              <w:bottom w:val="single" w:color="auto" w:sz="4" w:space="0"/>
              <w:right w:val="single" w:color="auto" w:sz="4" w:space="0"/>
            </w:tcBorders>
            <w:vAlign w:val="center"/>
          </w:tcPr>
          <w:p>
            <w:pPr>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微生物临床数据库(含细菌、酵母菌、丝状真菌、分枝杆菌)</w:t>
            </w:r>
          </w:p>
        </w:tc>
        <w:tc>
          <w:tcPr>
            <w:tcW w:w="906" w:type="dxa"/>
            <w:tcBorders>
              <w:top w:val="nil"/>
              <w:left w:val="nil"/>
              <w:bottom w:val="single" w:color="auto" w:sz="4" w:space="0"/>
            </w:tcBorders>
            <w:vAlign w:val="center"/>
          </w:tcPr>
          <w:p>
            <w:pPr>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2"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5</w:t>
            </w:r>
          </w:p>
        </w:tc>
        <w:tc>
          <w:tcPr>
            <w:tcW w:w="597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微生物科研数据库</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2"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6</w:t>
            </w:r>
          </w:p>
        </w:tc>
        <w:tc>
          <w:tcPr>
            <w:tcW w:w="597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微生物实验室信息管理系统软件</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42"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7</w:t>
            </w:r>
          </w:p>
        </w:tc>
        <w:tc>
          <w:tcPr>
            <w:tcW w:w="597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专用服务器</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8"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8</w:t>
            </w:r>
          </w:p>
        </w:tc>
        <w:tc>
          <w:tcPr>
            <w:tcW w:w="597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远程报警功能模块(含报警灯、短信发送器)</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8"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9</w:t>
            </w:r>
          </w:p>
        </w:tc>
        <w:tc>
          <w:tcPr>
            <w:tcW w:w="5970" w:type="dxa"/>
            <w:tcBorders>
              <w:top w:val="nil"/>
              <w:left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不间断电源（2200VA）</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8" w:hRule="atLeast"/>
          <w:jc w:val="center"/>
        </w:trPr>
        <w:tc>
          <w:tcPr>
            <w:tcW w:w="1104" w:type="dxa"/>
            <w:tcBorders>
              <w:top w:val="nil"/>
              <w:bottom w:val="single" w:color="auto" w:sz="4" w:space="0"/>
              <w:right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10</w:t>
            </w:r>
          </w:p>
        </w:tc>
        <w:tc>
          <w:tcPr>
            <w:tcW w:w="597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不间断电源（1000VA）</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8" w:hRule="atLeast"/>
          <w:jc w:val="center"/>
        </w:trPr>
        <w:tc>
          <w:tcPr>
            <w:tcW w:w="1104" w:type="dxa"/>
            <w:tcBorders>
              <w:top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11</w:t>
            </w:r>
          </w:p>
        </w:tc>
        <w:tc>
          <w:tcPr>
            <w:tcW w:w="5970" w:type="dxa"/>
            <w:tcBorders>
              <w:top w:val="nil"/>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鉴定药敏分析仪连接模块</w:t>
            </w:r>
          </w:p>
        </w:tc>
        <w:tc>
          <w:tcPr>
            <w:tcW w:w="906" w:type="dxa"/>
            <w:tcBorders>
              <w:top w:val="nil"/>
              <w:left w:val="nil"/>
              <w:bottom w:val="single" w:color="auto" w:sz="4" w:space="0"/>
            </w:tcBorders>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8" w:hRule="atLeast"/>
          <w:jc w:val="center"/>
        </w:trPr>
        <w:tc>
          <w:tcPr>
            <w:tcW w:w="1104" w:type="dxa"/>
            <w:tcBorders>
              <w:top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12</w:t>
            </w:r>
          </w:p>
        </w:tc>
        <w:tc>
          <w:tcPr>
            <w:tcW w:w="597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血培养仪连接模块</w:t>
            </w:r>
          </w:p>
        </w:tc>
        <w:tc>
          <w:tcPr>
            <w:tcW w:w="906" w:type="dxa"/>
            <w:tcBorders>
              <w:top w:val="single" w:color="auto" w:sz="4" w:space="0"/>
              <w:left w:val="nil"/>
              <w:bottom w:val="single" w:color="auto" w:sz="4" w:space="0"/>
            </w:tcBorders>
            <w:shd w:val="clear" w:color="auto" w:fill="FFFFFF"/>
            <w:vAlign w:val="center"/>
          </w:tcPr>
          <w:p>
            <w:pPr>
              <w:widowControl/>
              <w:jc w:val="center"/>
              <w:rPr>
                <w:rFonts w:ascii="宋体" w:hAnsi="宋体" w:cs="宋体"/>
                <w:color w:val="000000" w:themeColor="text1"/>
                <w:kern w:val="0"/>
                <w:sz w:val="22"/>
                <w:szCs w:val="22"/>
                <w:highlight w:val="none"/>
                <w:lang w:bidi="th-TH"/>
                <w14:textFill>
                  <w14:solidFill>
                    <w14:schemeClr w14:val="tx1"/>
                  </w14:solidFill>
                </w14:textFill>
              </w:rPr>
            </w:pPr>
            <w:r>
              <w:rPr>
                <w:rFonts w:hint="eastAsia" w:ascii="宋体" w:hAnsi="宋体" w:cs="宋体"/>
                <w:color w:val="000000" w:themeColor="text1"/>
                <w:kern w:val="0"/>
                <w:sz w:val="22"/>
                <w:szCs w:val="22"/>
                <w:highlight w:val="none"/>
                <w:lang w:bidi="th-TH"/>
                <w14:textFill>
                  <w14:solidFill>
                    <w14:schemeClr w14:val="tx1"/>
                  </w14:solidFill>
                </w14:textFill>
              </w:rPr>
              <w:t>1套</w:t>
            </w:r>
          </w:p>
        </w:tc>
      </w:tr>
    </w:tbl>
    <w:p>
      <w:pPr>
        <w:pStyle w:val="9"/>
        <w:spacing w:after="0" w:line="440" w:lineRule="exact"/>
        <w:jc w:val="left"/>
        <w:rPr>
          <w:rFonts w:ascii="宋体" w:hAnsi="宋体" w:cs="宋体"/>
          <w:b/>
          <w:bCs/>
          <w:color w:val="000000" w:themeColor="text1"/>
          <w:sz w:val="22"/>
          <w:szCs w:val="22"/>
          <w:highlight w:val="none"/>
          <w14:textFill>
            <w14:solidFill>
              <w14:schemeClr w14:val="tx1"/>
            </w14:solidFill>
          </w14:textFill>
        </w:rPr>
      </w:pPr>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B包：</w:t>
      </w:r>
      <w:r>
        <w:rPr>
          <w:rFonts w:hint="eastAsia" w:ascii="宋体" w:hAnsi="宋体" w:cs="宋体"/>
          <w:b/>
          <w:bCs/>
          <w:color w:val="000000" w:themeColor="text1"/>
          <w:kern w:val="0"/>
          <w:sz w:val="22"/>
          <w:szCs w:val="22"/>
          <w:highlight w:val="none"/>
          <w14:textFill>
            <w14:solidFill>
              <w14:schemeClr w14:val="tx1"/>
            </w14:solidFill>
          </w14:textFill>
        </w:rPr>
        <w:t>串联质谱仪</w:t>
      </w:r>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（一）技术参数</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1设备名称：串联质谱仪</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2设备功能要求和用途：具有三重四极杆的定量定性分析功能, 用于25-羟基维生素D检测、全谱维生素(脂溶性维生素，水溶性维生素)、新生儿筛查</w:t>
      </w:r>
      <w:bookmarkStart w:id="229" w:name="_Hlk48334834"/>
      <w:r>
        <w:rPr>
          <w:rFonts w:hint="eastAsia" w:ascii="宋体" w:hAnsi="宋体" w:cs="宋体"/>
          <w:color w:val="000000" w:themeColor="text1"/>
          <w:sz w:val="22"/>
          <w:szCs w:val="22"/>
          <w:highlight w:val="none"/>
          <w14:textFill>
            <w14:solidFill>
              <w14:schemeClr w14:val="tx1"/>
            </w14:solidFill>
          </w14:textFill>
        </w:rPr>
        <w:t>、</w:t>
      </w:r>
      <w:bookmarkEnd w:id="229"/>
      <w:r>
        <w:rPr>
          <w:rFonts w:hint="eastAsia" w:ascii="宋体" w:hAnsi="宋体" w:cs="宋体"/>
          <w:color w:val="000000" w:themeColor="text1"/>
          <w:sz w:val="22"/>
          <w:szCs w:val="22"/>
          <w:highlight w:val="none"/>
          <w14:textFill>
            <w14:solidFill>
              <w14:schemeClr w14:val="tx1"/>
            </w14:solidFill>
          </w14:textFill>
        </w:rPr>
        <w:t>治疗药物监测、类固醇类激素、氨基酸、脂肪酸、肉碱等的精准高通量检测，也可以用于代谢组学，脂质组学等临床科研。</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3工作条件</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3.1安全性符合中国及国际有关标准或规定</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3.2电源电压: 单相220V ±10%</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3.3环境温度: 15～30 oC</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3.4相对湿度: 35～80%</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4技术指标</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4.1总要求</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▲4.1.2 使用投标品牌串联质谱仪的国内临床质谱方法参考实验室数量需大于5家以上，以确保仪器方法学的可靠性，具有国内医疗器械注册许可证，须提供参考实验室详实名单和注册证资料，以备查证。</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▲4.1.3临床检测资质：具有国家药品监督管理局批准的医疗器械注册证，需提供注册证复印件并加盖制造商公章及官网查询链接；为确保仪器临床检测方法的可靠性，需要提供注册证证明材料。</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t>质谱硬件技术要求</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4.2.1质量分析器类型:  三重四极杆</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4.2.2配备主动排放废气装置带动离子源内溶剂气体排放，防止气体在密闭的离子源腔体中的回流，降低离子源的记忆效应和污染，降低机械泵的负荷延长机械泵泵油使用时间，维护试验环境，保障工作人员健康。需提供主动排放废气装置图纸（标注索引）。</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4.2.3离子源接口优先采用锥孔结构，无毛细管（包括金属和石英毛细管）或其它任何管路传输设计，以同时保持高灵敏度和优异的抗污染能力。需提供仪器结构放大设计图及证明文件并标注索引。考虑到后期维护成本，若投标型号为锥孔设计，需在配置中配原厂锥孔擦拭棉签2包，50根/包；若采用毛细管结构，必须在配置中配原厂备用毛细管（石英或金属）50根。</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4.2.4碰撞池技术：优先考虑弯曲碰撞池，弯曲度需≥90度，以排除中性离子和其它干扰离子，降低交叉污染，须提供含有碰撞池硬件设计图的产品彩页并标注索引。如无弯曲碰撞池需增配1个电子倍增器或光电倍增器检测器。</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4.2.5气源供应：优先考虑采用高纯氮气作为雾化气和碰撞气，无需额外氩气等其它气体，以减少日常运行成本。如投标产品需用氩气等其它气体作为碰撞气体需增配1台氩气纯化装置。需提供官方安装条件用气说明并加盖制造商公章。</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4.2.6检测器系统：优先考虑脉冲计数电子倍增器，真实记录每个信号而非模拟信号，能够满足长期大批量血尿样品定量分析的数据可靠性和重复性，如检测器为光电模拟转换器需增配1个光电倍增器作为备用。</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4.2.7真空系统：特殊设计的抽溶剂大抽速机械泵和长寿命涡轮分子泵组合差分抽气高真空系统, 无需额外水冷却系统。自动断电保护功能；</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4.3</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t>检测性能</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4.3.1质量范围m/z：5-2000amu, 且最大质量数上限必须小于2000amu，以保证全质量范围内均可达到超高灵敏度和稳定性。</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4.3.2质量稳定性：± 0.1amu/24小时</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4.3.3MRM最小驻留时间(dwell time)≤1ms</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4.4 灵敏度</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4.4.1 ESI正离子灵敏度：1pg 利血平，信噪比≥200000:1; 0.1pg利血平分别连续进样10次，峰面积CV 小于2% 。</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4.4.2 ESI负离子灵敏度：1pg 氯霉素，信噪比≥200000:1； 0.1pg氯霉素分别连续进样10次，峰面积CV 小于2%。</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4.5</w:t>
      </w:r>
      <w:r>
        <w:rPr>
          <w:rFonts w:hint="eastAsia" w:ascii="宋体" w:hAnsi="宋体" w:cs="宋体"/>
          <w:color w:val="000000" w:themeColor="text1"/>
          <w:sz w:val="22"/>
          <w:szCs w:val="22"/>
          <w:highlight w:val="none"/>
          <w14:textFill>
            <w14:solidFill>
              <w14:schemeClr w14:val="tx1"/>
            </w14:solidFill>
          </w14:textFill>
        </w:rPr>
        <w:tab/>
      </w:r>
      <w:r>
        <w:rPr>
          <w:rFonts w:hint="eastAsia" w:ascii="宋体" w:hAnsi="宋体" w:cs="宋体"/>
          <w:color w:val="000000" w:themeColor="text1"/>
          <w:sz w:val="22"/>
          <w:szCs w:val="22"/>
          <w:highlight w:val="none"/>
          <w14:textFill>
            <w14:solidFill>
              <w14:schemeClr w14:val="tx1"/>
            </w14:solidFill>
          </w14:textFill>
        </w:rPr>
        <w:t>软件</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4.5.1原厂质谱工作站软件1套，可以实现数据采集，数据分析，液相和质谱同步控制。</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4.5.2高通量定量数据处理软件1套，用于多样品高通量分析，大批数据处理更快速更精准，必须提供含有高通量定量数据处理软件图文说明的产品彩页和处理数据界面截图说明并标注索引。</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4.5.3工作站软件和高通量定量数据处理软件均具有法规要求的数据审计追踪和电子签名功能，以保证数据的严谨可靠。须提供上述软件数据审计追踪功能的图文说明并标注索引。</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4.5.4要求具有新生儿筛查专业软件，自动处理数据出具报告。必须提供新筛软件界面截图和说明，否则视为不满足要求。</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▲4.5.5配置</w:t>
      </w:r>
      <w:bookmarkStart w:id="230" w:name="_Hlk48547953"/>
      <w:r>
        <w:rPr>
          <w:rFonts w:hint="eastAsia" w:ascii="宋体" w:hAnsi="宋体" w:cs="宋体"/>
          <w:color w:val="000000" w:themeColor="text1"/>
          <w:sz w:val="22"/>
          <w:szCs w:val="22"/>
          <w:highlight w:val="none"/>
          <w14:textFill>
            <w14:solidFill>
              <w14:schemeClr w14:val="tx1"/>
            </w14:solidFill>
          </w14:textFill>
        </w:rPr>
        <w:t>样品管理质控软件，</w:t>
      </w:r>
      <w:bookmarkEnd w:id="230"/>
      <w:r>
        <w:rPr>
          <w:rFonts w:hint="eastAsia" w:ascii="宋体" w:hAnsi="宋体" w:cs="宋体"/>
          <w:color w:val="000000" w:themeColor="text1"/>
          <w:sz w:val="22"/>
          <w:szCs w:val="22"/>
          <w:highlight w:val="none"/>
          <w14:textFill>
            <w14:solidFill>
              <w14:schemeClr w14:val="tx1"/>
            </w14:solidFill>
          </w14:textFill>
        </w:rPr>
        <w:t>通过网络间的文件交换，实现LIS、质控软件与实验室设备的测试请求和检验结果的自动传输，用于设备和lims对接以及质控分析。提供该软件产品说明并盖制造商公章。</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 串联质谱仪及相关配套设备</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5.1液相色谱仪：高压二元泵压力不能低于9500psi，自动进样器交叉污染低于0.002%，柱温箱5-85℃，自动进样器可冷却控温4-40℃。</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5.2供气装置：一体式氮气发生器1台，氮气流速&gt;40L/min。整套供气系统无需氩气，如投标型号需要氩气作为碰撞气需增配氩气纯化装置，投标文件需提供供气说明材料。</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5.3串联质谱仪主机1台，包含独立的APCI和ESI离子源，一级锥孔离子源接口、分子涡轮泵、液质工作站软件、高通量定量软件、新筛软件</w:t>
      </w:r>
      <w:bookmarkStart w:id="231" w:name="_Hlk48547962"/>
      <w:r>
        <w:rPr>
          <w:rFonts w:hint="eastAsia" w:ascii="宋体" w:hAnsi="宋体" w:cs="宋体"/>
          <w:color w:val="000000" w:themeColor="text1"/>
          <w:sz w:val="22"/>
          <w:szCs w:val="22"/>
          <w:highlight w:val="none"/>
          <w14:textFill>
            <w14:solidFill>
              <w14:schemeClr w14:val="tx1"/>
            </w14:solidFill>
          </w14:textFill>
        </w:rPr>
        <w:t>、</w:t>
      </w:r>
      <w:bookmarkEnd w:id="231"/>
      <w:r>
        <w:rPr>
          <w:rFonts w:hint="eastAsia" w:ascii="宋体" w:hAnsi="宋体" w:cs="宋体"/>
          <w:color w:val="000000" w:themeColor="text1"/>
          <w:sz w:val="22"/>
          <w:szCs w:val="22"/>
          <w:highlight w:val="none"/>
          <w14:textFill>
            <w14:solidFill>
              <w14:schemeClr w14:val="tx1"/>
            </w14:solidFill>
          </w14:textFill>
        </w:rPr>
        <w:t>样品管理质控软件、进口原装高性能工作站级别计算机</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▲5.4串联质谱仪主动排放废气装置1套、脉冲计数电子倍增器1套（如为光电倍增器需2套）、线性弯曲加速高压聚焦碰撞池1套，投标文件需提供部件说明材料。</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5.5 6KVA不间断电源 UPS 1套</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5.6 HP激光打印机1套</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5.7液质备品耗材：ESI源喷雾针5根，APCI源喷雾针5根，机械泵油2瓶，安装调试标准品1套，锥孔擦拭棉签2包(若投标型号为锥孔设计) 或离子源部件毛细管50根（离子接口、传输若为毛细管结构），投标文件需提供详细备品备件清单及货号。</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6售后服务</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▲6.1具备成熟稳定的串联四极杆液质制造技术，确保仪器具备完善稳定的售后技术服务良好水准。</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6.2培训：供应商应在合同规定时间内完成仪器安装调试，并免费提供用户现场安装、调试及培训；安装工程师在用户现场安装调试完毕后，进行现场讲解培训，保证用户掌握基本技能，可以正确操作使用仪器；应用户时间要求，派负责液质联用的专业应用工程师，到用户单位进行现场一周应用培训。</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6.3故障处理：卖方对用户的服务要求应在24小时内响应；需要在现场进行维修的，应在2个工作日内到达仪器现场</w:t>
      </w:r>
    </w:p>
    <w:p>
      <w:pPr>
        <w:pStyle w:val="9"/>
        <w:spacing w:after="0" w:line="440" w:lineRule="exact"/>
        <w:ind w:firstLine="440"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6.4免费保修1年，包括仪器维修及更换零配件。</w:t>
      </w:r>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（二）配置清单</w:t>
      </w:r>
    </w:p>
    <w:tbl>
      <w:tblPr>
        <w:tblStyle w:val="23"/>
        <w:tblW w:w="404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5"/>
        <w:gridCol w:w="4250"/>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序号</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名称</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
                <w:color w:val="000000" w:themeColor="text1"/>
                <w:kern w:val="0"/>
                <w:sz w:val="22"/>
                <w:szCs w:val="22"/>
                <w:highlight w:val="none"/>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1</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串联质谱仪主机</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2</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超高效液相色谱仪</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3</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分体式氮气发生器</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4</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6KVA不间断电源 UPS</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5</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HP激光打印机</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6</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生物安全柜</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7</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超纯水机</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040"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kern w:val="0"/>
                <w:sz w:val="22"/>
                <w:szCs w:val="22"/>
                <w:highlight w:val="none"/>
                <w14:textFill>
                  <w14:solidFill>
                    <w14:schemeClr w14:val="tx1"/>
                  </w14:solidFill>
                </w14:textFill>
              </w:rPr>
            </w:pPr>
            <w:r>
              <w:rPr>
                <w:rFonts w:hint="eastAsia" w:ascii="宋体" w:hAnsi="宋体" w:cs="宋体"/>
                <w:bCs/>
                <w:color w:val="000000" w:themeColor="text1"/>
                <w:kern w:val="0"/>
                <w:sz w:val="22"/>
                <w:szCs w:val="22"/>
                <w:highlight w:val="none"/>
                <w14:textFill>
                  <w14:solidFill>
                    <w14:schemeClr w14:val="tx1"/>
                  </w14:solidFill>
                </w14:textFill>
              </w:rPr>
              <w:t>8</w:t>
            </w:r>
          </w:p>
        </w:tc>
        <w:tc>
          <w:tcPr>
            <w:tcW w:w="2861" w:type="pct"/>
            <w:tcBorders>
              <w:top w:val="single" w:color="auto" w:sz="4" w:space="0"/>
              <w:left w:val="single" w:color="auto" w:sz="4" w:space="0"/>
              <w:bottom w:val="single" w:color="auto" w:sz="4" w:space="0"/>
              <w:right w:val="single" w:color="auto" w:sz="4" w:space="0"/>
            </w:tcBorders>
            <w:shd w:val="clear" w:color="auto" w:fill="FFFFFF"/>
            <w:noWrap/>
            <w:vAlign w:val="center"/>
          </w:tcPr>
          <w:p>
            <w:pP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其他附件</w:t>
            </w:r>
          </w:p>
        </w:tc>
        <w:tc>
          <w:tcPr>
            <w:tcW w:w="1099" w:type="pct"/>
            <w:tcBorders>
              <w:top w:val="single" w:color="auto" w:sz="4" w:space="0"/>
              <w:left w:val="single" w:color="auto" w:sz="4" w:space="0"/>
              <w:bottom w:val="single" w:color="auto" w:sz="4" w:space="0"/>
              <w:right w:val="single" w:color="auto" w:sz="4" w:space="0"/>
            </w:tcBorders>
            <w:shd w:val="clear" w:color="auto" w:fill="FFFFFF"/>
            <w:noWrap/>
            <w:vAlign w:val="center"/>
          </w:tcPr>
          <w:p>
            <w:pPr>
              <w:widowControl/>
              <w:jc w:val="center"/>
              <w:rPr>
                <w:rFonts w:ascii="宋体" w:hAnsi="宋体" w:cs="宋体"/>
                <w:bCs/>
                <w:color w:val="000000" w:themeColor="text1"/>
                <w:sz w:val="22"/>
                <w:szCs w:val="22"/>
                <w:highlight w:val="none"/>
                <w14:textFill>
                  <w14:solidFill>
                    <w14:schemeClr w14:val="tx1"/>
                  </w14:solidFill>
                </w14:textFill>
              </w:rPr>
            </w:pPr>
            <w:r>
              <w:rPr>
                <w:rFonts w:hint="eastAsia" w:ascii="宋体" w:hAnsi="宋体" w:cs="宋体"/>
                <w:bCs/>
                <w:color w:val="000000" w:themeColor="text1"/>
                <w:sz w:val="22"/>
                <w:szCs w:val="22"/>
                <w:highlight w:val="none"/>
                <w14:textFill>
                  <w14:solidFill>
                    <w14:schemeClr w14:val="tx1"/>
                  </w14:solidFill>
                </w14:textFill>
              </w:rPr>
              <w:t>1套</w:t>
            </w:r>
          </w:p>
        </w:tc>
      </w:tr>
    </w:tbl>
    <w:p>
      <w:pPr>
        <w:pStyle w:val="9"/>
        <w:spacing w:after="0" w:line="440" w:lineRule="exact"/>
        <w:jc w:val="left"/>
        <w:rPr>
          <w:rFonts w:ascii="宋体" w:hAnsi="宋体" w:cs="宋体"/>
          <w:b/>
          <w:bCs/>
          <w:color w:val="000000" w:themeColor="text1"/>
          <w:sz w:val="22"/>
          <w:szCs w:val="22"/>
          <w:highlight w:val="none"/>
          <w14:textFill>
            <w14:solidFill>
              <w14:schemeClr w14:val="tx1"/>
            </w14:solidFill>
          </w14:textFill>
        </w:rPr>
      </w:pPr>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C包：全自动血液分析系统（带推片染色）</w:t>
      </w:r>
    </w:p>
    <w:p>
      <w:pPr>
        <w:pStyle w:val="9"/>
        <w:spacing w:after="0" w:line="440" w:lineRule="exact"/>
        <w:ind w:firstLine="442" w:firstLineChars="200"/>
        <w:jc w:val="left"/>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（一）</w:t>
      </w:r>
      <w:r>
        <w:rPr>
          <w:rFonts w:hint="eastAsia" w:ascii="宋体" w:hAnsi="宋体" w:cs="宋体"/>
          <w:b/>
          <w:bCs/>
          <w:color w:val="000000" w:themeColor="text1"/>
          <w:kern w:val="0"/>
          <w:sz w:val="22"/>
          <w:szCs w:val="22"/>
          <w:highlight w:val="none"/>
          <w14:textFill>
            <w14:solidFill>
              <w14:schemeClr w14:val="tx1"/>
            </w14:solidFill>
          </w14:textFill>
        </w:rPr>
        <w:t>全自动血液分析仪参数</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1、检测原理：流式细胞技术、半导体激光、鞘流阻抗法、核酸荧光染色法。</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▲2、所提供的机型通过</w:t>
      </w:r>
      <w:r>
        <w:rPr>
          <w:rFonts w:ascii="宋体" w:hAnsi="宋体" w:cs="宋体"/>
          <w:color w:val="000000" w:themeColor="text1"/>
          <w:sz w:val="22"/>
          <w:szCs w:val="22"/>
          <w:highlight w:val="none"/>
          <w14:textFill>
            <w14:solidFill>
              <w14:schemeClr w14:val="tx1"/>
            </w14:solidFill>
          </w14:textFill>
        </w:rPr>
        <w:t>FDA</w:t>
      </w:r>
      <w:r>
        <w:rPr>
          <w:rFonts w:hint="eastAsia" w:ascii="宋体" w:hAnsi="宋体" w:cs="宋体"/>
          <w:color w:val="000000" w:themeColor="text1"/>
          <w:sz w:val="22"/>
          <w:szCs w:val="22"/>
          <w:highlight w:val="none"/>
          <w14:textFill>
            <w14:solidFill>
              <w14:schemeClr w14:val="tx1"/>
            </w14:solidFill>
          </w14:textFill>
        </w:rPr>
        <w:t>认证,检测报告参数：≥4</w:t>
      </w:r>
      <w:r>
        <w:rPr>
          <w:rFonts w:ascii="宋体" w:hAnsi="宋体" w:cs="宋体"/>
          <w:color w:val="000000" w:themeColor="text1"/>
          <w:sz w:val="22"/>
          <w:szCs w:val="22"/>
          <w:highlight w:val="none"/>
          <w14:textFill>
            <w14:solidFill>
              <w14:schemeClr w14:val="tx1"/>
            </w14:solidFill>
          </w14:textFill>
        </w:rPr>
        <w:t>2</w:t>
      </w:r>
      <w:r>
        <w:rPr>
          <w:rFonts w:hint="eastAsia" w:ascii="宋体" w:hAnsi="宋体" w:cs="宋体"/>
          <w:color w:val="000000" w:themeColor="text1"/>
          <w:sz w:val="22"/>
          <w:szCs w:val="22"/>
          <w:highlight w:val="none"/>
          <w14:textFill>
            <w14:solidFill>
              <w14:schemeClr w14:val="tx1"/>
            </w14:solidFill>
          </w14:textFill>
        </w:rPr>
        <w:t>项（不含研究参数）,另有直方图和散点图。</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3、检测速度：CBC+DIFF+NRBC≥100个样本/小时,CBC+D</w:t>
      </w:r>
      <w:r>
        <w:rPr>
          <w:rFonts w:ascii="宋体" w:hAnsi="宋体" w:cs="宋体"/>
          <w:color w:val="000000" w:themeColor="text1"/>
          <w:sz w:val="22"/>
          <w:szCs w:val="22"/>
          <w:highlight w:val="none"/>
          <w14:textFill>
            <w14:solidFill>
              <w14:schemeClr w14:val="tx1"/>
            </w14:solidFill>
          </w14:textFill>
        </w:rPr>
        <w:t>IFF</w:t>
      </w:r>
      <w:r>
        <w:rPr>
          <w:rFonts w:hint="eastAsia" w:ascii="宋体" w:hAnsi="宋体" w:cs="宋体"/>
          <w:color w:val="000000" w:themeColor="text1"/>
          <w:sz w:val="22"/>
          <w:szCs w:val="22"/>
          <w:highlight w:val="none"/>
          <w14:textFill>
            <w14:solidFill>
              <w14:schemeClr w14:val="tx1"/>
            </w14:solidFill>
          </w14:textFill>
        </w:rPr>
        <w:t>+NRBC+RET≥80个样本/小时。</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4、具有末梢血检测模式，有急诊插入功能，末梢血预稀释模式用血量≤20uL；</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5、末梢血预稀释模式也能进行白细胞五分类、有核红细胞和网织红细胞检测，方便采血困难人群的血常规全参数检测。</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▲6、仪器全自动连续进样和手动进样模式样本吸样量均≤90uL，方便采血困难人群的血常规全参数的自动检测。</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7、样本进样为</w:t>
      </w:r>
      <w:r>
        <w:rPr>
          <w:rFonts w:ascii="宋体" w:hAnsi="宋体" w:cs="宋体"/>
          <w:color w:val="000000" w:themeColor="text1"/>
          <w:sz w:val="22"/>
          <w:szCs w:val="22"/>
          <w:highlight w:val="none"/>
          <w14:textFill>
            <w14:solidFill>
              <w14:schemeClr w14:val="tx1"/>
            </w14:solidFill>
          </w14:textFill>
        </w:rPr>
        <w:t>单通道进样</w:t>
      </w:r>
      <w:r>
        <w:rPr>
          <w:rFonts w:hint="eastAsia" w:ascii="宋体" w:hAnsi="宋体" w:cs="宋体"/>
          <w:color w:val="000000" w:themeColor="text1"/>
          <w:sz w:val="22"/>
          <w:szCs w:val="22"/>
          <w:highlight w:val="none"/>
          <w14:textFill>
            <w14:solidFill>
              <w14:schemeClr w14:val="tx1"/>
            </w14:solidFill>
          </w14:textFill>
        </w:rPr>
        <w:t>系统，自动模式与手动模式均由一个</w:t>
      </w:r>
      <w:r>
        <w:rPr>
          <w:rFonts w:ascii="宋体" w:hAnsi="宋体" w:cs="宋体"/>
          <w:color w:val="000000" w:themeColor="text1"/>
          <w:sz w:val="22"/>
          <w:szCs w:val="22"/>
          <w:highlight w:val="none"/>
          <w14:textFill>
            <w14:solidFill>
              <w14:schemeClr w14:val="tx1"/>
            </w14:solidFill>
          </w14:textFill>
        </w:rPr>
        <w:t>进样</w:t>
      </w:r>
      <w:r>
        <w:rPr>
          <w:rFonts w:hint="eastAsia" w:ascii="宋体" w:hAnsi="宋体" w:cs="宋体"/>
          <w:color w:val="000000" w:themeColor="text1"/>
          <w:sz w:val="22"/>
          <w:szCs w:val="22"/>
          <w:highlight w:val="none"/>
          <w14:textFill>
            <w14:solidFill>
              <w14:schemeClr w14:val="tx1"/>
            </w14:solidFill>
          </w14:textFill>
        </w:rPr>
        <w:t>系统进样，避免因模式不同所致的结果差异，自动模式与手动模式之间结果无需比对，提高工作效率和降低成本。</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8、仪器检测白细胞分类计数同时，无需额外试剂就能检测有核红细胞，并能自动进行对白细胞计数的校正，排除有核红细胞的干扰，降低复检率；</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9、具有全自动网织红细胞检测，可对网织红进行分型，提供网织红成熟度指数，网织红细胞检测无需机外染色处理，且可提供网织红细胞血红蛋白含量的功能，以帮助判断地中海贫血。</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10</w:t>
      </w:r>
      <w:r>
        <w:rPr>
          <w:rFonts w:ascii="宋体" w:hAnsi="宋体" w:cs="宋体"/>
          <w:color w:val="000000" w:themeColor="text1"/>
          <w:sz w:val="22"/>
          <w:szCs w:val="22"/>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具有体液检测模式，</w:t>
      </w:r>
      <w:r>
        <w:rPr>
          <w:rFonts w:ascii="宋体" w:hAnsi="宋体" w:cs="宋体"/>
          <w:color w:val="000000" w:themeColor="text1"/>
          <w:sz w:val="22"/>
          <w:szCs w:val="22"/>
          <w:highlight w:val="none"/>
          <w14:textFill>
            <w14:solidFill>
              <w14:schemeClr w14:val="tx1"/>
            </w14:solidFill>
          </w14:textFill>
        </w:rPr>
        <w:t>无需额外试剂就能全自动</w:t>
      </w:r>
      <w:r>
        <w:rPr>
          <w:rFonts w:hint="eastAsia" w:ascii="宋体" w:hAnsi="宋体" w:cs="宋体"/>
          <w:color w:val="000000" w:themeColor="text1"/>
          <w:sz w:val="22"/>
          <w:szCs w:val="22"/>
          <w:highlight w:val="none"/>
          <w14:textFill>
            <w14:solidFill>
              <w14:schemeClr w14:val="tx1"/>
            </w14:solidFill>
          </w14:textFill>
        </w:rPr>
        <w:t>对脑脊液、胸腹水、关节腔液等体液</w:t>
      </w:r>
      <w:r>
        <w:rPr>
          <w:rFonts w:ascii="宋体" w:hAnsi="宋体" w:cs="宋体"/>
          <w:color w:val="000000" w:themeColor="text1"/>
          <w:sz w:val="22"/>
          <w:szCs w:val="22"/>
          <w:highlight w:val="none"/>
          <w14:textFill>
            <w14:solidFill>
              <w14:schemeClr w14:val="tx1"/>
            </w14:solidFill>
          </w14:textFill>
        </w:rPr>
        <w:t>细胞进行计数和白细胞分类的功能，具有肿瘤细胞提示功能</w:t>
      </w:r>
      <w:r>
        <w:rPr>
          <w:rFonts w:hint="eastAsia" w:ascii="宋体" w:hAnsi="宋体" w:cs="宋体"/>
          <w:color w:val="000000" w:themeColor="text1"/>
          <w:sz w:val="22"/>
          <w:szCs w:val="22"/>
          <w:highlight w:val="none"/>
          <w14:textFill>
            <w14:solidFill>
              <w14:schemeClr w14:val="tx1"/>
            </w14:solidFill>
          </w14:textFill>
        </w:rPr>
        <w:t>。</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1</w:t>
      </w:r>
      <w:r>
        <w:rPr>
          <w:rFonts w:hint="eastAsia" w:ascii="宋体" w:hAnsi="宋体" w:cs="宋体"/>
          <w:color w:val="000000" w:themeColor="text1"/>
          <w:sz w:val="22"/>
          <w:szCs w:val="22"/>
          <w:highlight w:val="none"/>
          <w14:textFill>
            <w14:solidFill>
              <w14:schemeClr w14:val="tx1"/>
            </w14:solidFill>
          </w14:textFill>
        </w:rPr>
        <w:t>、在体液检测模式，具有与仪器同品牌、原厂配套的体液质控品，并通过CFDA认证，以保证体液分析的质量。</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2</w:t>
      </w:r>
      <w:r>
        <w:rPr>
          <w:rFonts w:hint="eastAsia" w:ascii="宋体" w:hAnsi="宋体" w:cs="宋体"/>
          <w:color w:val="000000" w:themeColor="text1"/>
          <w:sz w:val="22"/>
          <w:szCs w:val="22"/>
          <w:highlight w:val="none"/>
          <w14:textFill>
            <w14:solidFill>
              <w14:schemeClr w14:val="tx1"/>
            </w14:solidFill>
          </w14:textFill>
        </w:rPr>
        <w:t>、具有低值白细胞检测模式，无需手工操作，能自动对低值白细胞进行准确计数，加大检测数量，提高检测精度，WBC≥4×10</w:t>
      </w:r>
      <w:r>
        <w:rPr>
          <w:rFonts w:hint="eastAsia" w:ascii="宋体" w:hAnsi="宋体" w:cs="宋体"/>
          <w:color w:val="000000" w:themeColor="text1"/>
          <w:sz w:val="22"/>
          <w:szCs w:val="22"/>
          <w:highlight w:val="none"/>
          <w:vertAlign w:val="superscript"/>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/L时、CV值≤3.0%，WBC＜4×</w:t>
      </w:r>
      <w:r>
        <w:rPr>
          <w:rFonts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vertAlign w:val="superscript"/>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/L时、CV值≤5.0%，有利于放化疗病人的治疗监控。</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3</w:t>
      </w:r>
      <w:r>
        <w:rPr>
          <w:rFonts w:hint="eastAsia" w:ascii="宋体" w:hAnsi="宋体" w:cs="宋体"/>
          <w:color w:val="000000" w:themeColor="text1"/>
          <w:sz w:val="22"/>
          <w:szCs w:val="22"/>
          <w:highlight w:val="none"/>
          <w14:textFill>
            <w14:solidFill>
              <w14:schemeClr w14:val="tx1"/>
            </w14:solidFill>
          </w14:textFill>
        </w:rPr>
        <w:t>、具有独立的低值血小板检测通道，无需手工操作，能对低值血小板进行准确计数，</w:t>
      </w:r>
      <w:r>
        <w:rPr>
          <w:rFonts w:ascii="宋体" w:hAnsi="宋体" w:cs="宋体"/>
          <w:color w:val="000000" w:themeColor="text1"/>
          <w:sz w:val="22"/>
          <w:szCs w:val="22"/>
          <w:highlight w:val="none"/>
          <w14:textFill>
            <w14:solidFill>
              <w14:schemeClr w14:val="tx1"/>
            </w14:solidFill>
          </w14:textFill>
        </w:rPr>
        <w:t>解决血小板低值时</w:t>
      </w:r>
      <w:r>
        <w:rPr>
          <w:rFonts w:hint="eastAsia" w:ascii="宋体" w:hAnsi="宋体" w:cs="宋体"/>
          <w:color w:val="000000" w:themeColor="text1"/>
          <w:sz w:val="22"/>
          <w:szCs w:val="22"/>
          <w:highlight w:val="none"/>
          <w14:textFill>
            <w14:solidFill>
              <w14:schemeClr w14:val="tx1"/>
            </w14:solidFill>
          </w14:textFill>
        </w:rPr>
        <w:t>计数</w:t>
      </w:r>
      <w:r>
        <w:rPr>
          <w:rFonts w:ascii="宋体" w:hAnsi="宋体" w:cs="宋体"/>
          <w:color w:val="000000" w:themeColor="text1"/>
          <w:sz w:val="22"/>
          <w:szCs w:val="22"/>
          <w:highlight w:val="none"/>
          <w14:textFill>
            <w14:solidFill>
              <w14:schemeClr w14:val="tx1"/>
            </w14:solidFill>
          </w14:textFill>
        </w:rPr>
        <w:t>重复性差的问题</w:t>
      </w:r>
      <w:r>
        <w:rPr>
          <w:rFonts w:hint="eastAsia" w:ascii="宋体" w:hAnsi="宋体" w:cs="宋体"/>
          <w:color w:val="000000" w:themeColor="text1"/>
          <w:sz w:val="22"/>
          <w:szCs w:val="22"/>
          <w:highlight w:val="none"/>
          <w14:textFill>
            <w14:solidFill>
              <w14:schemeClr w14:val="tx1"/>
            </w14:solidFill>
          </w14:textFill>
        </w:rPr>
        <w:t>，当20×</w:t>
      </w:r>
      <w:r>
        <w:rPr>
          <w:rFonts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vertAlign w:val="superscript"/>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/L≤PLT&lt;100×</w:t>
      </w:r>
      <w:r>
        <w:rPr>
          <w:rFonts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vertAlign w:val="superscript"/>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/L时CV值≤5.0%，PLT≥100×</w:t>
      </w:r>
      <w:r>
        <w:rPr>
          <w:rFonts w:ascii="宋体" w:hAnsi="宋体" w:cs="宋体"/>
          <w:color w:val="000000" w:themeColor="text1"/>
          <w:sz w:val="22"/>
          <w:szCs w:val="22"/>
          <w:highlight w:val="none"/>
          <w14:textFill>
            <w14:solidFill>
              <w14:schemeClr w14:val="tx1"/>
            </w14:solidFill>
          </w14:textFill>
        </w:rPr>
        <w:t>10</w:t>
      </w:r>
      <w:r>
        <w:rPr>
          <w:rFonts w:hint="eastAsia" w:ascii="宋体" w:hAnsi="宋体" w:cs="宋体"/>
          <w:color w:val="000000" w:themeColor="text1"/>
          <w:sz w:val="22"/>
          <w:szCs w:val="22"/>
          <w:highlight w:val="none"/>
          <w:vertAlign w:val="superscript"/>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/L时CV值≤2.5%；并可提供定量网织血小板参数。</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4、具有阻抗法和</w:t>
      </w:r>
      <w:r>
        <w:rPr>
          <w:rFonts w:hint="eastAsia" w:ascii="宋体" w:hAnsi="宋体" w:cs="宋体"/>
          <w:color w:val="000000" w:themeColor="text1"/>
          <w:sz w:val="22"/>
          <w:szCs w:val="22"/>
          <w:highlight w:val="none"/>
          <w14:textFill>
            <w14:solidFill>
              <w14:schemeClr w14:val="tx1"/>
            </w14:solidFill>
          </w14:textFill>
        </w:rPr>
        <w:t>荧光特异性染色法</w:t>
      </w:r>
      <w:r>
        <w:rPr>
          <w:rFonts w:ascii="宋体" w:hAnsi="宋体" w:cs="宋体"/>
          <w:color w:val="000000" w:themeColor="text1"/>
          <w:sz w:val="22"/>
          <w:szCs w:val="22"/>
          <w:highlight w:val="none"/>
          <w14:textFill>
            <w14:solidFill>
              <w14:schemeClr w14:val="tx1"/>
            </w14:solidFill>
          </w14:textFill>
        </w:rPr>
        <w:t>等两种以上方法检测血小板，可解决细胞碎片、小</w:t>
      </w:r>
      <w:r>
        <w:rPr>
          <w:rFonts w:hint="eastAsia" w:ascii="宋体" w:hAnsi="宋体" w:cs="宋体"/>
          <w:color w:val="000000" w:themeColor="text1"/>
          <w:sz w:val="22"/>
          <w:szCs w:val="22"/>
          <w:highlight w:val="none"/>
          <w14:textFill>
            <w14:solidFill>
              <w14:schemeClr w14:val="tx1"/>
            </w14:solidFill>
          </w14:textFill>
        </w:rPr>
        <w:t>红细胞</w:t>
      </w:r>
      <w:r>
        <w:rPr>
          <w:rFonts w:ascii="宋体" w:hAnsi="宋体" w:cs="宋体"/>
          <w:color w:val="000000" w:themeColor="text1"/>
          <w:sz w:val="22"/>
          <w:szCs w:val="22"/>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微小</w:t>
      </w:r>
      <w:r>
        <w:rPr>
          <w:rFonts w:ascii="宋体" w:hAnsi="宋体" w:cs="宋体"/>
          <w:color w:val="000000" w:themeColor="text1"/>
          <w:sz w:val="22"/>
          <w:szCs w:val="22"/>
          <w:highlight w:val="none"/>
          <w14:textFill>
            <w14:solidFill>
              <w14:schemeClr w14:val="tx1"/>
            </w14:solidFill>
          </w14:textFill>
        </w:rPr>
        <w:t>血小板</w:t>
      </w:r>
      <w:r>
        <w:rPr>
          <w:rFonts w:hint="eastAsia" w:ascii="宋体" w:hAnsi="宋体" w:cs="宋体"/>
          <w:color w:val="000000" w:themeColor="text1"/>
          <w:sz w:val="22"/>
          <w:szCs w:val="22"/>
          <w:highlight w:val="none"/>
          <w14:textFill>
            <w14:solidFill>
              <w14:schemeClr w14:val="tx1"/>
            </w14:solidFill>
          </w14:textFill>
        </w:rPr>
        <w:t>、</w:t>
      </w:r>
      <w:r>
        <w:rPr>
          <w:rFonts w:ascii="宋体" w:hAnsi="宋体" w:cs="宋体"/>
          <w:color w:val="000000" w:themeColor="text1"/>
          <w:sz w:val="22"/>
          <w:szCs w:val="22"/>
          <w:highlight w:val="none"/>
          <w14:textFill>
            <w14:solidFill>
              <w14:schemeClr w14:val="tx1"/>
            </w14:solidFill>
          </w14:textFill>
        </w:rPr>
        <w:t>巨大血小板对血小板计数的干扰</w:t>
      </w:r>
      <w:r>
        <w:rPr>
          <w:rFonts w:hint="eastAsia" w:ascii="宋体" w:hAnsi="宋体" w:cs="宋体"/>
          <w:color w:val="000000" w:themeColor="text1"/>
          <w:sz w:val="22"/>
          <w:szCs w:val="22"/>
          <w:highlight w:val="none"/>
          <w14:textFill>
            <w14:solidFill>
              <w14:schemeClr w14:val="tx1"/>
            </w14:solidFill>
          </w14:textFill>
        </w:rPr>
        <w:t>及血小板低值时重复性差的问题。</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5</w:t>
      </w:r>
      <w:r>
        <w:rPr>
          <w:rFonts w:hint="eastAsia" w:ascii="宋体" w:hAnsi="宋体" w:cs="宋体"/>
          <w:color w:val="000000" w:themeColor="text1"/>
          <w:sz w:val="22"/>
          <w:szCs w:val="22"/>
          <w:highlight w:val="none"/>
          <w14:textFill>
            <w14:solidFill>
              <w14:schemeClr w14:val="tx1"/>
            </w14:solidFill>
          </w14:textFill>
        </w:rPr>
        <w:t>、检测线性范围（全血模式）：白细胞：0～440×10</w:t>
      </w:r>
      <w:r>
        <w:rPr>
          <w:rFonts w:hint="eastAsia" w:ascii="宋体" w:hAnsi="宋体" w:cs="宋体"/>
          <w:color w:val="000000" w:themeColor="text1"/>
          <w:sz w:val="22"/>
          <w:szCs w:val="22"/>
          <w:highlight w:val="none"/>
          <w:vertAlign w:val="superscript"/>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/L，红细胞：0～8.5×10</w:t>
      </w:r>
      <w:r>
        <w:rPr>
          <w:rFonts w:hint="eastAsia" w:ascii="宋体" w:hAnsi="宋体" w:cs="宋体"/>
          <w:color w:val="000000" w:themeColor="text1"/>
          <w:sz w:val="22"/>
          <w:szCs w:val="22"/>
          <w:highlight w:val="none"/>
          <w:vertAlign w:val="superscript"/>
          <w14:textFill>
            <w14:solidFill>
              <w14:schemeClr w14:val="tx1"/>
            </w14:solidFill>
          </w14:textFill>
        </w:rPr>
        <w:t>12</w:t>
      </w:r>
      <w:r>
        <w:rPr>
          <w:rFonts w:hint="eastAsia" w:ascii="宋体" w:hAnsi="宋体" w:cs="宋体"/>
          <w:color w:val="000000" w:themeColor="text1"/>
          <w:sz w:val="22"/>
          <w:szCs w:val="22"/>
          <w:highlight w:val="none"/>
          <w14:textFill>
            <w14:solidFill>
              <w14:schemeClr w14:val="tx1"/>
            </w14:solidFill>
          </w14:textFill>
        </w:rPr>
        <w:t>/L，血小板：0～5000×10</w:t>
      </w:r>
      <w:r>
        <w:rPr>
          <w:rFonts w:hint="eastAsia" w:ascii="宋体" w:hAnsi="宋体" w:cs="宋体"/>
          <w:color w:val="000000" w:themeColor="text1"/>
          <w:sz w:val="22"/>
          <w:szCs w:val="22"/>
          <w:highlight w:val="none"/>
          <w:vertAlign w:val="superscript"/>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/L，以满足异常标本的准确检测。</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6、具有专门的幼稚细胞检测</w:t>
      </w:r>
      <w:r>
        <w:rPr>
          <w:rFonts w:hint="eastAsia" w:ascii="宋体" w:hAnsi="宋体" w:cs="宋体"/>
          <w:color w:val="000000" w:themeColor="text1"/>
          <w:sz w:val="22"/>
          <w:szCs w:val="22"/>
          <w:highlight w:val="none"/>
          <w14:textFill>
            <w14:solidFill>
              <w14:schemeClr w14:val="tx1"/>
            </w14:solidFill>
          </w14:textFill>
        </w:rPr>
        <w:t>功能</w:t>
      </w:r>
      <w:r>
        <w:rPr>
          <w:rFonts w:ascii="宋体" w:hAnsi="宋体" w:cs="宋体"/>
          <w:color w:val="000000" w:themeColor="text1"/>
          <w:sz w:val="22"/>
          <w:szCs w:val="22"/>
          <w:highlight w:val="none"/>
          <w14:textFill>
            <w14:solidFill>
              <w14:schemeClr w14:val="tx1"/>
            </w14:solidFill>
          </w14:textFill>
        </w:rPr>
        <w:t>，可准确检测未成熟粒细胞等，并可提供未成熟粒细胞的绝对值和百分比</w:t>
      </w:r>
      <w:r>
        <w:rPr>
          <w:rFonts w:hint="eastAsia" w:ascii="宋体" w:hAnsi="宋体" w:cs="宋体"/>
          <w:color w:val="000000" w:themeColor="text1"/>
          <w:sz w:val="22"/>
          <w:szCs w:val="22"/>
          <w:highlight w:val="none"/>
          <w14:textFill>
            <w14:solidFill>
              <w14:schemeClr w14:val="tx1"/>
            </w14:solidFill>
          </w14:textFill>
        </w:rPr>
        <w:t>。</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7、</w:t>
      </w:r>
      <w:r>
        <w:rPr>
          <w:rFonts w:hint="eastAsia" w:ascii="宋体" w:hAnsi="宋体" w:cs="宋体"/>
          <w:color w:val="000000" w:themeColor="text1"/>
          <w:sz w:val="22"/>
          <w:szCs w:val="22"/>
          <w:highlight w:val="none"/>
          <w14:textFill>
            <w14:solidFill>
              <w14:schemeClr w14:val="tx1"/>
            </w14:solidFill>
          </w14:textFill>
        </w:rPr>
        <w:t>提供电脑连接仪器，标配≥20寸大屏彩色液晶触摸屏，与信息系统实时连接，实现信息化操作及管理。</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18、定期提供原厂配套的全血质控品（至少2个水平）和校准品，且质控品与校准品均通过CFDA注册认证，一管质控品可覆盖所有报告参数（包括网织红细胞、有核红细胞等），确保检测质量；具有原厂配套的网织红细胞校准品，可提供溯源性文件确保结果准确可靠。</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9</w:t>
      </w:r>
      <w:r>
        <w:rPr>
          <w:rFonts w:hint="eastAsia" w:ascii="宋体" w:hAnsi="宋体" w:cs="宋体"/>
          <w:color w:val="000000" w:themeColor="text1"/>
          <w:sz w:val="22"/>
          <w:szCs w:val="22"/>
          <w:highlight w:val="none"/>
          <w14:textFill>
            <w14:solidFill>
              <w14:schemeClr w14:val="tx1"/>
            </w14:solidFill>
          </w14:textFill>
        </w:rPr>
        <w:t>、</w:t>
      </w:r>
      <w:r>
        <w:rPr>
          <w:rFonts w:ascii="宋体" w:hAnsi="宋体" w:cs="宋体"/>
          <w:color w:val="000000" w:themeColor="text1"/>
          <w:sz w:val="22"/>
          <w:szCs w:val="22"/>
          <w:highlight w:val="none"/>
          <w14:textFill>
            <w14:solidFill>
              <w14:schemeClr w14:val="tx1"/>
            </w14:solidFill>
          </w14:textFill>
        </w:rPr>
        <w:t>具有自动复检功能，并可根据检测结果自动</w:t>
      </w:r>
      <w:r>
        <w:rPr>
          <w:rFonts w:hint="eastAsia" w:ascii="宋体" w:hAnsi="宋体" w:cs="宋体"/>
          <w:color w:val="000000" w:themeColor="text1"/>
          <w:sz w:val="22"/>
          <w:szCs w:val="22"/>
          <w:highlight w:val="none"/>
          <w14:textFill>
            <w14:solidFill>
              <w14:schemeClr w14:val="tx1"/>
            </w14:solidFill>
          </w14:textFill>
        </w:rPr>
        <w:t>进行</w:t>
      </w:r>
      <w:r>
        <w:rPr>
          <w:rFonts w:ascii="宋体" w:hAnsi="宋体" w:cs="宋体"/>
          <w:color w:val="000000" w:themeColor="text1"/>
          <w:sz w:val="22"/>
          <w:szCs w:val="22"/>
          <w:highlight w:val="none"/>
          <w14:textFill>
            <w14:solidFill>
              <w14:schemeClr w14:val="tx1"/>
            </w14:solidFill>
          </w14:textFill>
        </w:rPr>
        <w:t>复检</w:t>
      </w:r>
      <w:r>
        <w:rPr>
          <w:rFonts w:hint="eastAsia" w:ascii="宋体" w:hAnsi="宋体" w:cs="宋体"/>
          <w:color w:val="000000" w:themeColor="text1"/>
          <w:sz w:val="22"/>
          <w:szCs w:val="22"/>
          <w:highlight w:val="none"/>
          <w14:textFill>
            <w14:solidFill>
              <w14:schemeClr w14:val="tx1"/>
            </w14:solidFill>
          </w14:textFill>
        </w:rPr>
        <w:t>；且内置国际</w:t>
      </w:r>
      <w:r>
        <w:rPr>
          <w:rFonts w:ascii="宋体" w:hAnsi="宋体" w:cs="宋体"/>
          <w:color w:val="000000" w:themeColor="text1"/>
          <w:sz w:val="22"/>
          <w:szCs w:val="22"/>
          <w:highlight w:val="none"/>
          <w14:textFill>
            <w14:solidFill>
              <w14:schemeClr w14:val="tx1"/>
            </w14:solidFill>
          </w14:textFill>
        </w:rPr>
        <w:t>41</w:t>
      </w:r>
      <w:r>
        <w:rPr>
          <w:rFonts w:hint="eastAsia" w:ascii="宋体" w:hAnsi="宋体" w:cs="宋体"/>
          <w:color w:val="000000" w:themeColor="text1"/>
          <w:sz w:val="22"/>
          <w:szCs w:val="22"/>
          <w:highlight w:val="none"/>
          <w14:textFill>
            <w14:solidFill>
              <w14:schemeClr w14:val="tx1"/>
            </w14:solidFill>
          </w14:textFill>
        </w:rPr>
        <w:t>条推片规则，可提示需推片标本信息，推片规则可以由用户自定义修改，并具有对推片规则进行统计和评估的功能。</w:t>
      </w:r>
    </w:p>
    <w:p>
      <w:pPr>
        <w:pStyle w:val="50"/>
        <w:widowControl/>
        <w:adjustRightInd w:val="0"/>
        <w:snapToGrid w:val="0"/>
        <w:spacing w:line="440" w:lineRule="exact"/>
        <w:ind w:firstLine="44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w:t>
      </w:r>
      <w:r>
        <w:rPr>
          <w:rFonts w:ascii="宋体" w:hAnsi="宋体" w:cs="宋体"/>
          <w:color w:val="000000" w:themeColor="text1"/>
          <w:sz w:val="22"/>
          <w:szCs w:val="22"/>
          <w:highlight w:val="none"/>
          <w14:textFill>
            <w14:solidFill>
              <w14:schemeClr w14:val="tx1"/>
            </w14:solidFill>
          </w14:textFill>
        </w:rPr>
        <w:t>20</w:t>
      </w:r>
      <w:r>
        <w:rPr>
          <w:rFonts w:hint="eastAsia" w:ascii="宋体" w:hAnsi="宋体" w:cs="宋体"/>
          <w:color w:val="000000" w:themeColor="text1"/>
          <w:sz w:val="22"/>
          <w:szCs w:val="22"/>
          <w:highlight w:val="none"/>
          <w14:textFill>
            <w14:solidFill>
              <w14:schemeClr w14:val="tx1"/>
            </w14:solidFill>
          </w14:textFill>
        </w:rPr>
        <w:t>、系统扩展性：可根据实验室需求，通过轨道连接全自动细胞形态学分析仪、全自动试管管理系统，完善管理流程。</w:t>
      </w:r>
    </w:p>
    <w:p>
      <w:pPr>
        <w:pStyle w:val="50"/>
        <w:widowControl/>
        <w:adjustRightInd w:val="0"/>
        <w:snapToGrid w:val="0"/>
        <w:spacing w:line="440" w:lineRule="exact"/>
        <w:ind w:firstLine="440"/>
        <w:jc w:val="left"/>
        <w:rPr>
          <w:rFonts w:ascii="宋体" w:hAnsi="宋体" w:cs="宋体"/>
          <w:b/>
          <w:bCs/>
          <w:color w:val="000000" w:themeColor="text1"/>
          <w:sz w:val="22"/>
          <w:szCs w:val="22"/>
          <w:highlight w:val="none"/>
          <w14:textFill>
            <w14:solidFill>
              <w14:schemeClr w14:val="tx1"/>
            </w14:solidFill>
          </w14:textFill>
        </w:rPr>
      </w:pPr>
      <w:r>
        <w:rPr>
          <w:rFonts w:ascii="宋体" w:hAnsi="宋体" w:cs="宋体"/>
          <w:color w:val="000000" w:themeColor="text1"/>
          <w:sz w:val="22"/>
          <w:szCs w:val="22"/>
          <w:highlight w:val="none"/>
          <w14:textFill>
            <w14:solidFill>
              <w14:schemeClr w14:val="tx1"/>
            </w14:solidFill>
          </w14:textFill>
        </w:rPr>
        <w:t>21</w:t>
      </w:r>
      <w:r>
        <w:rPr>
          <w:rFonts w:hint="eastAsia" w:ascii="宋体" w:hAnsi="宋体" w:cs="宋体"/>
          <w:color w:val="000000" w:themeColor="text1"/>
          <w:sz w:val="22"/>
          <w:szCs w:val="22"/>
          <w:highlight w:val="none"/>
          <w14:textFill>
            <w14:solidFill>
              <w14:schemeClr w14:val="tx1"/>
            </w14:solidFill>
          </w14:textFill>
        </w:rPr>
        <w:t>、原厂免费提供实时在线网络通信系统，实现实时的全球室间质控结果比对及仪器功能监控和远程维护功能。</w:t>
      </w:r>
    </w:p>
    <w:p>
      <w:pPr>
        <w:pStyle w:val="9"/>
        <w:spacing w:after="0" w:line="440" w:lineRule="exact"/>
        <w:ind w:firstLine="442"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（二）</w:t>
      </w:r>
      <w:r>
        <w:rPr>
          <w:rFonts w:hint="eastAsia" w:ascii="宋体" w:hAnsi="宋体" w:cs="宋体"/>
          <w:b/>
          <w:bCs/>
          <w:color w:val="000000" w:themeColor="text1"/>
          <w:kern w:val="0"/>
          <w:sz w:val="22"/>
          <w:szCs w:val="22"/>
          <w:highlight w:val="none"/>
          <w14:textFill>
            <w14:solidFill>
              <w14:schemeClr w14:val="tx1"/>
            </w14:solidFill>
          </w14:textFill>
        </w:rPr>
        <w:t>全自动推片染片机参数</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w:t>
      </w:r>
      <w:r>
        <w:rPr>
          <w:rFonts w:ascii="宋体" w:hAnsi="宋体" w:cs="宋体"/>
          <w:color w:val="000000" w:themeColor="text1"/>
          <w:sz w:val="22"/>
          <w:szCs w:val="22"/>
          <w:highlight w:val="none"/>
          <w14:textFill>
            <w14:solidFill>
              <w14:schemeClr w14:val="tx1"/>
            </w14:solidFill>
          </w14:textFill>
        </w:rPr>
        <w:t>、全自动推片染片机为染色、推片一体化的机器，推片速度≥120标本/小时；</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w:t>
      </w:r>
      <w:r>
        <w:rPr>
          <w:rFonts w:ascii="宋体" w:hAnsi="宋体" w:cs="宋体"/>
          <w:color w:val="000000" w:themeColor="text1"/>
          <w:sz w:val="22"/>
          <w:szCs w:val="22"/>
          <w:highlight w:val="none"/>
          <w14:textFill>
            <w14:solidFill>
              <w14:schemeClr w14:val="tx1"/>
            </w14:solidFill>
          </w14:textFill>
        </w:rPr>
        <w:t>、全自动推片染片机可根据血液分析工作站的检测结果自动对阳性标本进行推片；</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3、用户可以自定义设定样品推片规则；</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w:t>
      </w:r>
      <w:r>
        <w:rPr>
          <w:rFonts w:ascii="宋体" w:hAnsi="宋体" w:cs="宋体"/>
          <w:color w:val="000000" w:themeColor="text1"/>
          <w:sz w:val="22"/>
          <w:szCs w:val="22"/>
          <w:highlight w:val="none"/>
          <w14:textFill>
            <w14:solidFill>
              <w14:schemeClr w14:val="tx1"/>
            </w14:solidFill>
          </w14:textFill>
        </w:rPr>
        <w:t>、</w:t>
      </w:r>
      <w:r>
        <w:rPr>
          <w:rFonts w:hint="eastAsia" w:ascii="宋体" w:hAnsi="宋体" w:cs="宋体"/>
          <w:color w:val="000000" w:themeColor="text1"/>
          <w:sz w:val="22"/>
          <w:szCs w:val="22"/>
          <w:highlight w:val="none"/>
          <w14:textFill>
            <w14:solidFill>
              <w14:schemeClr w14:val="tx1"/>
            </w14:solidFill>
          </w14:textFill>
        </w:rPr>
        <w:t>具有微量血推片模式：样本量≤60uL，可以连续进样，无需等待</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w:t>
      </w:r>
      <w:r>
        <w:rPr>
          <w:rFonts w:ascii="宋体" w:hAnsi="宋体" w:cs="宋体"/>
          <w:color w:val="000000" w:themeColor="text1"/>
          <w:sz w:val="22"/>
          <w:szCs w:val="22"/>
          <w:highlight w:val="none"/>
          <w14:textFill>
            <w14:solidFill>
              <w14:schemeClr w14:val="tx1"/>
            </w14:solidFill>
          </w14:textFill>
        </w:rPr>
        <w:t>、全自动推片染片机可自动采样及自动点样，并根据标本所测得的红细胞压积（HCT）的数值自动选择推片的角度和速度；</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6</w:t>
      </w:r>
      <w:r>
        <w:rPr>
          <w:rFonts w:ascii="宋体" w:hAnsi="宋体" w:cs="宋体"/>
          <w:color w:val="000000" w:themeColor="text1"/>
          <w:sz w:val="22"/>
          <w:szCs w:val="22"/>
          <w:highlight w:val="none"/>
          <w14:textFill>
            <w14:solidFill>
              <w14:schemeClr w14:val="tx1"/>
            </w14:solidFill>
          </w14:textFill>
        </w:rPr>
        <w:t>、全自动推片染片机能自动对标本染色、烘干，并在玻片上打印标本条形码</w:t>
      </w:r>
      <w:r>
        <w:rPr>
          <w:rFonts w:hint="eastAsia" w:ascii="宋体" w:hAnsi="宋体" w:cs="宋体"/>
          <w:color w:val="000000" w:themeColor="text1"/>
          <w:sz w:val="22"/>
          <w:szCs w:val="22"/>
          <w:highlight w:val="none"/>
          <w14:textFill>
            <w14:solidFill>
              <w14:schemeClr w14:val="tx1"/>
            </w14:solidFill>
          </w14:textFill>
        </w:rPr>
        <w:t>等信息</w:t>
      </w:r>
      <w:r>
        <w:rPr>
          <w:rFonts w:ascii="宋体" w:hAnsi="宋体" w:cs="宋体"/>
          <w:color w:val="000000" w:themeColor="text1"/>
          <w:sz w:val="22"/>
          <w:szCs w:val="22"/>
          <w:highlight w:val="none"/>
          <w14:textFill>
            <w14:solidFill>
              <w14:schemeClr w14:val="tx1"/>
            </w14:solidFill>
          </w14:textFill>
        </w:rPr>
        <w:t>；</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▲7</w:t>
      </w:r>
      <w:r>
        <w:rPr>
          <w:rFonts w:ascii="宋体" w:hAnsi="宋体" w:cs="宋体"/>
          <w:color w:val="000000" w:themeColor="text1"/>
          <w:sz w:val="22"/>
          <w:szCs w:val="22"/>
          <w:highlight w:val="none"/>
          <w14:textFill>
            <w14:solidFill>
              <w14:schemeClr w14:val="tx1"/>
            </w14:solidFill>
          </w14:textFill>
        </w:rPr>
        <w:t>、全自动推片染片机可单独进样，独立工作；</w:t>
      </w:r>
    </w:p>
    <w:p>
      <w:pPr>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▲8、仪器具有自动维护功能，包括日保养、周保养等，更好地保养仪器。</w:t>
      </w:r>
    </w:p>
    <w:p>
      <w:pPr>
        <w:pStyle w:val="9"/>
        <w:spacing w:after="0"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▲9、</w:t>
      </w:r>
      <w:r>
        <w:rPr>
          <w:rFonts w:ascii="宋体" w:hAnsi="宋体" w:cs="宋体"/>
          <w:color w:val="000000" w:themeColor="text1"/>
          <w:sz w:val="22"/>
          <w:szCs w:val="22"/>
          <w:highlight w:val="none"/>
          <w14:textFill>
            <w14:solidFill>
              <w14:schemeClr w14:val="tx1"/>
            </w14:solidFill>
          </w14:textFill>
        </w:rPr>
        <w:t>全自动推片染片机</w:t>
      </w:r>
      <w:r>
        <w:rPr>
          <w:rFonts w:hint="eastAsia" w:ascii="宋体" w:hAnsi="宋体" w:cs="宋体"/>
          <w:color w:val="000000" w:themeColor="text1"/>
          <w:sz w:val="22"/>
          <w:szCs w:val="22"/>
          <w:highlight w:val="none"/>
          <w14:textFill>
            <w14:solidFill>
              <w14:schemeClr w14:val="tx1"/>
            </w14:solidFill>
          </w14:textFill>
        </w:rPr>
        <w:t>可与全自动细胞形态学分析仪、全自动血液分析仪通过</w:t>
      </w:r>
      <w:r>
        <w:rPr>
          <w:rFonts w:ascii="宋体" w:hAnsi="宋体" w:cs="宋体"/>
          <w:color w:val="000000" w:themeColor="text1"/>
          <w:sz w:val="22"/>
          <w:szCs w:val="22"/>
          <w:highlight w:val="none"/>
          <w14:textFill>
            <w14:solidFill>
              <w14:schemeClr w14:val="tx1"/>
            </w14:solidFill>
          </w14:textFill>
        </w:rPr>
        <w:t>自动传</w:t>
      </w:r>
      <w:r>
        <w:rPr>
          <w:rFonts w:hint="eastAsia" w:ascii="宋体" w:hAnsi="宋体" w:cs="宋体"/>
          <w:color w:val="000000" w:themeColor="text1"/>
          <w:sz w:val="22"/>
          <w:szCs w:val="22"/>
          <w:highlight w:val="none"/>
          <w14:textFill>
            <w14:solidFill>
              <w14:schemeClr w14:val="tx1"/>
            </w14:solidFill>
          </w14:textFill>
        </w:rPr>
        <w:t>送</w:t>
      </w:r>
      <w:r>
        <w:rPr>
          <w:rFonts w:ascii="宋体" w:hAnsi="宋体" w:cs="宋体"/>
          <w:color w:val="000000" w:themeColor="text1"/>
          <w:sz w:val="22"/>
          <w:szCs w:val="22"/>
          <w:highlight w:val="none"/>
          <w14:textFill>
            <w14:solidFill>
              <w14:schemeClr w14:val="tx1"/>
            </w14:solidFill>
          </w14:textFill>
        </w:rPr>
        <w:t>轨道连接，所有标本可由轨道自动传送</w:t>
      </w:r>
      <w:r>
        <w:rPr>
          <w:rFonts w:hint="eastAsia" w:ascii="宋体" w:hAnsi="宋体" w:cs="宋体"/>
          <w:color w:val="000000" w:themeColor="text1"/>
          <w:sz w:val="22"/>
          <w:szCs w:val="22"/>
          <w:highlight w:val="none"/>
          <w14:textFill>
            <w14:solidFill>
              <w14:schemeClr w14:val="tx1"/>
            </w14:solidFill>
          </w14:textFill>
        </w:rPr>
        <w:t>，无需人工搬运。</w:t>
      </w:r>
    </w:p>
    <w:p>
      <w:pPr>
        <w:spacing w:line="440" w:lineRule="exact"/>
        <w:ind w:firstLine="442" w:firstLineChars="200"/>
        <w:jc w:val="left"/>
        <w:rPr>
          <w:b/>
          <w:color w:val="000000" w:themeColor="text1"/>
          <w:sz w:val="22"/>
          <w:szCs w:val="22"/>
          <w:highlight w:val="none"/>
          <w14:textFill>
            <w14:solidFill>
              <w14:schemeClr w14:val="tx1"/>
            </w14:solidFill>
          </w14:textFill>
        </w:rPr>
      </w:pPr>
    </w:p>
    <w:p>
      <w:pPr>
        <w:spacing w:line="440" w:lineRule="exact"/>
        <w:ind w:firstLine="442" w:firstLineChars="200"/>
        <w:jc w:val="left"/>
        <w:rPr>
          <w:rFonts w:ascii="宋体" w:hAnsi="宋体"/>
          <w:b/>
          <w:color w:val="000000" w:themeColor="text1"/>
          <w:sz w:val="22"/>
          <w:szCs w:val="22"/>
          <w:highlight w:val="none"/>
          <w14:textFill>
            <w14:solidFill>
              <w14:schemeClr w14:val="tx1"/>
            </w14:solidFill>
          </w14:textFill>
        </w:rPr>
      </w:pPr>
      <w:r>
        <w:rPr>
          <w:rFonts w:hint="eastAsia"/>
          <w:b/>
          <w:color w:val="000000" w:themeColor="text1"/>
          <w:sz w:val="22"/>
          <w:szCs w:val="22"/>
          <w:highlight w:val="none"/>
          <w14:textFill>
            <w14:solidFill>
              <w14:schemeClr w14:val="tx1"/>
            </w14:solidFill>
          </w14:textFill>
        </w:rPr>
        <w:t xml:space="preserve">第三节  </w:t>
      </w:r>
      <w:r>
        <w:rPr>
          <w:rFonts w:hint="eastAsia" w:ascii="宋体" w:hAnsi="宋体"/>
          <w:b/>
          <w:color w:val="000000" w:themeColor="text1"/>
          <w:sz w:val="22"/>
          <w:szCs w:val="22"/>
          <w:highlight w:val="none"/>
          <w14:textFill>
            <w14:solidFill>
              <w14:schemeClr w14:val="tx1"/>
            </w14:solidFill>
          </w14:textFill>
        </w:rPr>
        <w:t>货物总体要求</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1、投标人所投货物必须是原装、全新的产品，符合国家以及该产品的出厂标准。</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2、投标人所投货物必须符合国家环保要求及标准。</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投标人应保证仪器设备在不需要增配未列出配件（特别指出的除外）的前提下货物功能、技术标准能够达到招标文件的要求，而无须再增配未列出的配件；如投标人所提供的产品需要增配配件才能达到要求的，所增配的配件须由投标人免费提供。</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4、货物在验收合格前的保险由投标人负责，且投标人负责其派出的现场服务人员人身意外保险。</w:t>
      </w:r>
    </w:p>
    <w:p>
      <w:pPr>
        <w:pStyle w:val="11"/>
        <w:spacing w:line="440" w:lineRule="exact"/>
        <w:ind w:firstLine="440" w:firstLineChars="200"/>
        <w:jc w:val="left"/>
        <w:rPr>
          <w:rFonts w:hAnsi="宋体"/>
          <w:bCs/>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5、</w:t>
      </w:r>
      <w:r>
        <w:rPr>
          <w:rFonts w:hint="eastAsia" w:hAnsi="宋体"/>
          <w:bCs/>
          <w:color w:val="000000" w:themeColor="text1"/>
          <w:sz w:val="22"/>
          <w:szCs w:val="22"/>
          <w:highlight w:val="none"/>
          <w14:textFill>
            <w14:solidFill>
              <w14:schemeClr w14:val="tx1"/>
            </w14:solidFill>
          </w14:textFill>
        </w:rPr>
        <w:t>安装调试完成后</w:t>
      </w:r>
      <w:r>
        <w:rPr>
          <w:rFonts w:hint="eastAsia" w:hAnsi="宋体"/>
          <w:color w:val="000000" w:themeColor="text1"/>
          <w:sz w:val="22"/>
          <w:szCs w:val="22"/>
          <w:highlight w:val="none"/>
          <w14:textFill>
            <w14:solidFill>
              <w14:schemeClr w14:val="tx1"/>
            </w14:solidFill>
          </w14:textFill>
        </w:rPr>
        <w:t>由采购人（或采购人指定的单位）和投标人</w:t>
      </w:r>
      <w:r>
        <w:rPr>
          <w:rFonts w:hint="eastAsia" w:hAnsi="宋体"/>
          <w:bCs/>
          <w:color w:val="000000" w:themeColor="text1"/>
          <w:sz w:val="22"/>
          <w:szCs w:val="22"/>
          <w:highlight w:val="none"/>
          <w14:textFill>
            <w14:solidFill>
              <w14:schemeClr w14:val="tx1"/>
            </w14:solidFill>
          </w14:textFill>
        </w:rPr>
        <w:t>共同进行验收，并签署项目验收报告</w:t>
      </w:r>
      <w:r>
        <w:rPr>
          <w:rFonts w:hint="eastAsia" w:hAnsi="宋体"/>
          <w:color w:val="000000" w:themeColor="text1"/>
          <w:sz w:val="22"/>
          <w:szCs w:val="22"/>
          <w:highlight w:val="none"/>
          <w14:textFill>
            <w14:solidFill>
              <w14:schemeClr w14:val="tx1"/>
            </w14:solidFill>
          </w14:textFill>
        </w:rPr>
        <w:t>。</w:t>
      </w:r>
    </w:p>
    <w:p>
      <w:pPr>
        <w:spacing w:line="440" w:lineRule="exact"/>
        <w:ind w:firstLine="440" w:firstLineChars="200"/>
        <w:jc w:val="left"/>
        <w:rPr>
          <w:rFonts w:ascii="宋体" w:hAnsi="宋体"/>
          <w:b/>
          <w:bCs/>
          <w:color w:val="000000" w:themeColor="text1"/>
          <w:sz w:val="22"/>
          <w:szCs w:val="22"/>
          <w:highlight w:val="none"/>
          <w14:textFill>
            <w14:solidFill>
              <w14:schemeClr w14:val="tx1"/>
            </w14:solidFill>
          </w14:textFill>
        </w:rPr>
      </w:pPr>
      <w:r>
        <w:rPr>
          <w:rFonts w:hint="eastAsia" w:ascii="宋体" w:hAnsi="宋体"/>
          <w:bCs/>
          <w:color w:val="000000" w:themeColor="text1"/>
          <w:sz w:val="22"/>
          <w:szCs w:val="22"/>
          <w:highlight w:val="none"/>
          <w14:textFill>
            <w14:solidFill>
              <w14:schemeClr w14:val="tx1"/>
            </w14:solidFill>
          </w14:textFill>
        </w:rPr>
        <w:t>6、</w:t>
      </w:r>
      <w:r>
        <w:rPr>
          <w:rFonts w:hint="eastAsia" w:ascii="宋体" w:hAnsi="宋体"/>
          <w:color w:val="000000" w:themeColor="text1"/>
          <w:sz w:val="22"/>
          <w:szCs w:val="22"/>
          <w:highlight w:val="none"/>
          <w14:textFill>
            <w14:solidFill>
              <w14:schemeClr w14:val="tx1"/>
            </w14:solidFill>
          </w14:textFill>
        </w:rPr>
        <w:t>中标人应对</w:t>
      </w:r>
      <w:r>
        <w:rPr>
          <w:rFonts w:hint="eastAsia" w:hAnsi="宋体"/>
          <w:color w:val="000000" w:themeColor="text1"/>
          <w:sz w:val="22"/>
          <w:szCs w:val="22"/>
          <w:highlight w:val="none"/>
          <w14:textFill>
            <w14:solidFill>
              <w14:schemeClr w14:val="tx1"/>
            </w14:solidFill>
          </w14:textFill>
        </w:rPr>
        <w:t>采购人</w:t>
      </w:r>
      <w:r>
        <w:rPr>
          <w:rFonts w:hint="eastAsia" w:ascii="宋体" w:hAnsi="宋体"/>
          <w:color w:val="000000" w:themeColor="text1"/>
          <w:sz w:val="22"/>
          <w:szCs w:val="22"/>
          <w:highlight w:val="none"/>
          <w14:textFill>
            <w14:solidFill>
              <w14:schemeClr w14:val="tx1"/>
            </w14:solidFill>
          </w14:textFill>
        </w:rPr>
        <w:t>提供免费培训服务（如有需要）</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p>
    <w:p>
      <w:pPr>
        <w:spacing w:line="440" w:lineRule="exact"/>
        <w:ind w:firstLine="442" w:firstLineChars="200"/>
        <w:jc w:val="left"/>
        <w:rPr>
          <w:b/>
          <w:color w:val="000000" w:themeColor="text1"/>
          <w:sz w:val="22"/>
          <w:szCs w:val="22"/>
          <w:highlight w:val="none"/>
          <w14:textFill>
            <w14:solidFill>
              <w14:schemeClr w14:val="tx1"/>
            </w14:solidFill>
          </w14:textFill>
        </w:rPr>
      </w:pPr>
      <w:r>
        <w:rPr>
          <w:rFonts w:hint="eastAsia"/>
          <w:b/>
          <w:color w:val="000000" w:themeColor="text1"/>
          <w:sz w:val="22"/>
          <w:szCs w:val="22"/>
          <w:highlight w:val="none"/>
          <w14:textFill>
            <w14:solidFill>
              <w14:schemeClr w14:val="tx1"/>
            </w14:solidFill>
          </w14:textFill>
        </w:rPr>
        <w:t>第四节  安装、调试</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1、投标人负责货物的包装、运输、安装、调试等工作，并承担由此产生的所有费用，中标人负责到用户指定的地点进行安装、调试。</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2、中标人应提交详细安装进度表。</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3、中标人应设安装负责人，负责安装协调管理工作。</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4、按国家相关施工验收规范进行，分阶段进行调试。</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5、货物的安装、调试等项工作由中标人负责，但必须在采购人指定人员的参与下进行。调试的原始记录须经各方签字后作为验收的文件之一。</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p>
    <w:p>
      <w:pPr>
        <w:spacing w:line="440" w:lineRule="exact"/>
        <w:ind w:firstLine="442" w:firstLineChars="200"/>
        <w:jc w:val="left"/>
        <w:rPr>
          <w:b/>
          <w:color w:val="000000" w:themeColor="text1"/>
          <w:sz w:val="22"/>
          <w:szCs w:val="22"/>
          <w:highlight w:val="none"/>
          <w14:textFill>
            <w14:solidFill>
              <w14:schemeClr w14:val="tx1"/>
            </w14:solidFill>
          </w14:textFill>
        </w:rPr>
      </w:pPr>
      <w:r>
        <w:rPr>
          <w:rFonts w:hint="eastAsia"/>
          <w:b/>
          <w:color w:val="000000" w:themeColor="text1"/>
          <w:sz w:val="22"/>
          <w:szCs w:val="22"/>
          <w:highlight w:val="none"/>
          <w14:textFill>
            <w14:solidFill>
              <w14:schemeClr w14:val="tx1"/>
            </w14:solidFill>
          </w14:textFill>
        </w:rPr>
        <w:t>第五节  验收</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1、验收工作由采购人（或采购人指定的单位）和中标人共同进行。</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2、验收的项目指标、方法和检测仪器等原则上由中标人在验收开始前5个工作日提交采购人。采购人可以根据技术规范书和国家有关标准进行修改和补充，经双方确认后作为验收的依据。</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3、验收以采购人技术人员为主，投标人提供技术支援，对在测试中发现的技术问题双方记录，完成测试后，双方签署终验测试报告。</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4、在验收时，中标人应向采购人提供货物的出厂合格证书、出厂检测报告、厂家装箱清单、使用说明、操作手册、随机附件及其他相关资料。</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 由采购人对货物的质量、规格、数量和运行状况及其他进行检验。如发现质量、规格、数量和运行状况等任何一项与招标要求规定不符，采购人有权拒绝验收。</w:t>
      </w:r>
    </w:p>
    <w:p>
      <w:pPr>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p>
    <w:p>
      <w:pPr>
        <w:spacing w:line="440" w:lineRule="exact"/>
        <w:ind w:firstLine="442" w:firstLineChars="200"/>
        <w:jc w:val="left"/>
        <w:rPr>
          <w:b/>
          <w:color w:val="000000" w:themeColor="text1"/>
          <w:sz w:val="22"/>
          <w:szCs w:val="22"/>
          <w:highlight w:val="none"/>
          <w14:textFill>
            <w14:solidFill>
              <w14:schemeClr w14:val="tx1"/>
            </w14:solidFill>
          </w14:textFill>
        </w:rPr>
      </w:pPr>
      <w:r>
        <w:rPr>
          <w:rFonts w:hint="eastAsia"/>
          <w:b/>
          <w:color w:val="000000" w:themeColor="text1"/>
          <w:sz w:val="22"/>
          <w:szCs w:val="22"/>
          <w:highlight w:val="none"/>
          <w14:textFill>
            <w14:solidFill>
              <w14:schemeClr w14:val="tx1"/>
            </w14:solidFill>
          </w14:textFill>
        </w:rPr>
        <w:t>第六节  质量保证</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1、投标人所投货物必须符合国家环保要求及标准。</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2、所有货物在开箱检验时必须完好，无破损，配置与装箱单相符。数量、质量及性能不低于本需求书中提出的要求。</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3、货物外观清洁，标记编号以及盘面显示等字体清晰，明确。</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4、对于影响货物正常工作的必要组成部分，无论在技术规范中指出与否，投标人都应提供并在投标文件中明确列出。</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5、中标人在实际供货时，若被发现提供的货物未能达到招标文件和投标文件中的有关要求，将按有关法规进行处罚。</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6、中标人应保证主要材料零部件产地符合用户需求书的有关规定，所有主要材料零部件必须能提供原产地证明、出厂检验报告、完税证明。任何时候，采购人发现产地不符合要求，投标人应无偿更换或负进一步责任。</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7、货物验收合格后，时间自货物最终验收合格并交付使用之日起计算，个别货物在采购货物清单内有具体要求保修方式的以该要求为准，人为因素损坏除外。</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8、质保期内非人为原因损坏、失效或已达到报废标准的零部件除无偿更换外，对更换上的零部件还应有继续一年的质保期。凡因产品质量问题，在保修期内若设备经检修后又在同一部件出现相同质量故障，可无偿更换同档次新设备部件。</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p>
    <w:p>
      <w:pPr>
        <w:widowControl/>
        <w:autoSpaceDE w:val="0"/>
        <w:autoSpaceDN w:val="0"/>
        <w:spacing w:line="440" w:lineRule="exact"/>
        <w:ind w:firstLine="442" w:firstLineChars="200"/>
        <w:jc w:val="left"/>
        <w:textAlignment w:val="bottom"/>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第七节  售后服务</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1、质保期内：</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① 故障响应时间：免费质保期内，货物出现质量问题，中标人接到质量问题通知后12个小时内到场处理，24个小时内修复，如无法修复须提供相应规格的货物供采购人替代使用；其他服务承诺在投标文件中说明。</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② 如果货物不能稳定地达到投标人承诺的全部功能，投标人应对此承担责任并承担全部相关费用以及买方的直接损失，经买方同意对货物采用如下一种或几种方式处理：1.免费维修和更换损坏零部件；2.换货；3.降价，但不免除其它正常部分的质量保证责任。如投标人未能在合理的时间内将产品维修、更换或修正以符合规格，买方有权在合理时间内将产品退回卖方后要求返还已付的价款。</w:t>
      </w:r>
    </w:p>
    <w:p>
      <w:pPr>
        <w:tabs>
          <w:tab w:val="left" w:pos="360"/>
        </w:tabs>
        <w:spacing w:line="440" w:lineRule="exact"/>
        <w:ind w:firstLine="440" w:firstLineChars="2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2、质保期后：提供技术支持和详细的售后服务计划，投标人应按其在东莞地区同类产品的最优惠价格提供保修服务，终身保证配品配件的供应，更换配件的费用以成本计。</w:t>
      </w:r>
    </w:p>
    <w:p>
      <w:pPr>
        <w:tabs>
          <w:tab w:val="left" w:pos="360"/>
        </w:tabs>
        <w:spacing w:line="440" w:lineRule="exact"/>
        <w:ind w:firstLine="440" w:firstLineChars="200"/>
        <w:jc w:val="lef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3、售后服务机构：设有稳定的维修点或售后服务机构，具有提供日常维护和技术支持的能力，能提供正常的技术、备品备件、服务等；须提供服务机构名称、人员情况、办公地址、联系电话。</w:t>
      </w:r>
    </w:p>
    <w:p>
      <w:pPr>
        <w:spacing w:line="440" w:lineRule="exact"/>
        <w:ind w:firstLine="440" w:firstLineChars="200"/>
        <w:jc w:val="left"/>
        <w:rPr>
          <w:rFonts w:ascii="宋体" w:hAnsi="宋体" w:cs="宋体"/>
          <w:b/>
          <w:bCs/>
          <w:color w:val="000000" w:themeColor="text1"/>
          <w:spacing w:val="20"/>
          <w:sz w:val="44"/>
          <w:szCs w:val="44"/>
          <w:highlight w:val="none"/>
          <w14:textFill>
            <w14:solidFill>
              <w14:schemeClr w14:val="tx1"/>
            </w14:solidFill>
          </w14:textFill>
        </w:rPr>
      </w:pPr>
      <w:bookmarkStart w:id="232" w:name="_Toc4181"/>
      <w:r>
        <w:rPr>
          <w:rFonts w:hint="eastAsia" w:ascii="宋体" w:hAnsi="宋体" w:cs="宋体"/>
          <w:color w:val="000000" w:themeColor="text1"/>
          <w:sz w:val="22"/>
          <w:szCs w:val="22"/>
          <w:highlight w:val="none"/>
          <w14:textFill>
            <w14:solidFill>
              <w14:schemeClr w14:val="tx1"/>
            </w14:solidFill>
          </w14:textFill>
        </w:rPr>
        <w:t>4、培训：负责免费对用户人员进行培训，提供详细的培训计划，使其掌握操作使用等基本技能。</w:t>
      </w:r>
      <w:bookmarkEnd w:id="232"/>
    </w:p>
    <w:p>
      <w:pPr>
        <w:jc w:val="center"/>
        <w:rPr>
          <w:rFonts w:ascii="宋体" w:hAnsi="宋体" w:cs="宋体"/>
          <w:b/>
          <w:bCs/>
          <w:color w:val="000000" w:themeColor="text1"/>
          <w:spacing w:val="20"/>
          <w:sz w:val="44"/>
          <w:szCs w:val="44"/>
          <w:highlight w:val="none"/>
          <w14:textFill>
            <w14:solidFill>
              <w14:schemeClr w14:val="tx1"/>
            </w14:solidFill>
          </w14:textFill>
        </w:rPr>
      </w:pPr>
    </w:p>
    <w:p>
      <w:pPr>
        <w:jc w:val="center"/>
        <w:rPr>
          <w:rFonts w:ascii="宋体" w:hAnsi="宋体" w:cs="宋体"/>
          <w:b/>
          <w:bCs/>
          <w:color w:val="000000" w:themeColor="text1"/>
          <w:spacing w:val="20"/>
          <w:sz w:val="44"/>
          <w:szCs w:val="44"/>
          <w:highlight w:val="none"/>
          <w14:textFill>
            <w14:solidFill>
              <w14:schemeClr w14:val="tx1"/>
            </w14:solidFill>
          </w14:textFill>
        </w:rPr>
      </w:pPr>
    </w:p>
    <w:p>
      <w:pPr>
        <w:outlineLvl w:val="0"/>
        <w:rPr>
          <w:color w:val="000000" w:themeColor="text1"/>
          <w:highlight w:val="none"/>
          <w14:textFill>
            <w14:solidFill>
              <w14:schemeClr w14:val="tx1"/>
            </w14:solidFill>
          </w14:textFill>
        </w:rPr>
      </w:pPr>
      <w:bookmarkStart w:id="233" w:name="_Toc31587"/>
      <w:bookmarkStart w:id="234" w:name="_Toc1944_WPSOffice_Level1"/>
      <w:bookmarkStart w:id="235" w:name="_Toc31166_WPSOffice_Level1"/>
    </w:p>
    <w:p>
      <w:pPr>
        <w:pStyle w:val="2"/>
        <w:rPr>
          <w:rFonts w:hint="default"/>
          <w:color w:val="000000" w:themeColor="text1"/>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outlineLvl w:val="0"/>
        <w:rPr>
          <w:rFonts w:ascii="宋体" w:hAnsi="宋体" w:cs="宋体"/>
          <w:b/>
          <w:bCs/>
          <w:color w:val="000000" w:themeColor="text1"/>
          <w:spacing w:val="20"/>
          <w:sz w:val="44"/>
          <w:szCs w:val="44"/>
          <w:highlight w:val="none"/>
          <w14:textFill>
            <w14:solidFill>
              <w14:schemeClr w14:val="tx1"/>
            </w14:solidFill>
          </w14:textFill>
        </w:rPr>
      </w:pPr>
    </w:p>
    <w:p>
      <w:pPr>
        <w:outlineLvl w:val="0"/>
        <w:rPr>
          <w:rFonts w:ascii="宋体" w:hAnsi="宋体" w:cs="宋体"/>
          <w:b/>
          <w:bCs/>
          <w:color w:val="000000" w:themeColor="text1"/>
          <w:spacing w:val="20"/>
          <w:sz w:val="44"/>
          <w:szCs w:val="44"/>
          <w:highlight w:val="none"/>
          <w14:textFill>
            <w14:solidFill>
              <w14:schemeClr w14:val="tx1"/>
            </w14:solidFill>
          </w14:textFill>
        </w:rPr>
      </w:pPr>
    </w:p>
    <w:p>
      <w:pP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bookmarkStart w:id="236" w:name="_Toc27336"/>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p>
    <w:p>
      <w:pPr>
        <w:jc w:val="center"/>
        <w:outlineLvl w:val="0"/>
        <w:rPr>
          <w:rFonts w:ascii="宋体" w:hAnsi="宋体" w:cs="宋体"/>
          <w:b/>
          <w:bCs/>
          <w:color w:val="000000" w:themeColor="text1"/>
          <w:spacing w:val="20"/>
          <w:sz w:val="44"/>
          <w:szCs w:val="44"/>
          <w:highlight w:val="none"/>
          <w14:textFill>
            <w14:solidFill>
              <w14:schemeClr w14:val="tx1"/>
            </w14:solidFill>
          </w14:textFill>
        </w:rPr>
      </w:pPr>
      <w:r>
        <w:rPr>
          <w:rFonts w:hint="eastAsia" w:ascii="宋体" w:hAnsi="宋体" w:cs="宋体"/>
          <w:b/>
          <w:bCs/>
          <w:color w:val="000000" w:themeColor="text1"/>
          <w:spacing w:val="20"/>
          <w:sz w:val="44"/>
          <w:szCs w:val="44"/>
          <w:highlight w:val="none"/>
          <w14:textFill>
            <w14:solidFill>
              <w14:schemeClr w14:val="tx1"/>
            </w14:solidFill>
          </w14:textFill>
        </w:rPr>
        <w:t>第四部分  合同文本</w:t>
      </w:r>
      <w:bookmarkEnd w:id="226"/>
      <w:bookmarkEnd w:id="233"/>
      <w:bookmarkEnd w:id="234"/>
      <w:bookmarkEnd w:id="235"/>
      <w:bookmarkEnd w:id="236"/>
    </w:p>
    <w:p>
      <w:pPr>
        <w:spacing w:line="560" w:lineRule="exact"/>
        <w:jc w:val="center"/>
        <w:rPr>
          <w:rFonts w:ascii="宋体" w:hAnsi="宋体"/>
          <w:b/>
          <w:color w:val="000000" w:themeColor="text1"/>
          <w:sz w:val="32"/>
          <w:szCs w:val="32"/>
          <w:highlight w:val="none"/>
          <w14:textFill>
            <w14:solidFill>
              <w14:schemeClr w14:val="tx1"/>
            </w14:solidFill>
          </w14:textFill>
        </w:rPr>
      </w:pPr>
      <w:r>
        <w:rPr>
          <w:rFonts w:hint="eastAsia" w:ascii="宋体" w:hAnsi="宋体" w:cs="宋体"/>
          <w:b/>
          <w:bCs/>
          <w:color w:val="000000" w:themeColor="text1"/>
          <w:spacing w:val="20"/>
          <w:sz w:val="44"/>
          <w:szCs w:val="44"/>
          <w:highlight w:val="none"/>
          <w14:textFill>
            <w14:solidFill>
              <w14:schemeClr w14:val="tx1"/>
            </w14:solidFill>
          </w14:textFill>
        </w:rPr>
        <w:br w:type="page"/>
      </w:r>
      <w:bookmarkStart w:id="237" w:name="_Toc17028_WPSOffice_Level2"/>
      <w:bookmarkStart w:id="238" w:name="_Toc29429_WPSOffice_Level2"/>
      <w:r>
        <w:rPr>
          <w:rFonts w:hint="eastAsia" w:ascii="宋体" w:hAnsi="宋体"/>
          <w:color w:val="000000" w:themeColor="text1"/>
          <w:sz w:val="32"/>
          <w:szCs w:val="32"/>
          <w:highlight w:val="none"/>
          <w14:textFill>
            <w14:solidFill>
              <w14:schemeClr w14:val="tx1"/>
            </w14:solidFill>
          </w14:textFill>
        </w:rPr>
        <w:t>合同文本</w:t>
      </w:r>
      <w:bookmarkEnd w:id="237"/>
      <w:bookmarkEnd w:id="238"/>
    </w:p>
    <w:p>
      <w:pPr>
        <w:widowControl/>
        <w:tabs>
          <w:tab w:val="left" w:pos="832"/>
        </w:tabs>
        <w:snapToGrid w:val="0"/>
        <w:spacing w:line="240" w:lineRule="exact"/>
        <w:ind w:left="416" w:hanging="416" w:hangingChars="80"/>
        <w:jc w:val="center"/>
        <w:rPr>
          <w:rFonts w:ascii="宋体" w:hAnsi="宋体"/>
          <w:color w:val="000000" w:themeColor="text1"/>
          <w:sz w:val="52"/>
          <w:szCs w:val="52"/>
          <w:highlight w:val="none"/>
          <w14:textFill>
            <w14:solidFill>
              <w14:schemeClr w14:val="tx1"/>
            </w14:solidFill>
          </w14:textFill>
        </w:rPr>
      </w:pPr>
    </w:p>
    <w:p>
      <w:pPr>
        <w:wordWrap w:val="0"/>
        <w:spacing w:line="440" w:lineRule="exact"/>
        <w:jc w:val="right"/>
        <w:rPr>
          <w:rFonts w:ascii="宋体" w:hAnsi="宋体" w:cs="宋体"/>
          <w:color w:val="000000" w:themeColor="text1"/>
          <w:sz w:val="22"/>
          <w:szCs w:val="22"/>
          <w:highlight w:val="none"/>
          <w14:textFill>
            <w14:solidFill>
              <w14:schemeClr w14:val="tx1"/>
            </w14:solidFill>
          </w14:textFill>
        </w:rPr>
      </w:pPr>
    </w:p>
    <w:p>
      <w:pPr>
        <w:spacing w:line="440" w:lineRule="exact"/>
        <w:rPr>
          <w:rFonts w:ascii="宋体" w:hAnsi="宋体" w:cs="宋体"/>
          <w:color w:val="000000" w:themeColor="text1"/>
          <w:sz w:val="22"/>
          <w:szCs w:val="22"/>
          <w:highlight w:val="none"/>
          <w14:textFill>
            <w14:solidFill>
              <w14:schemeClr w14:val="tx1"/>
            </w14:solidFill>
          </w14:textFill>
        </w:rPr>
      </w:pPr>
      <w:bookmarkStart w:id="239" w:name="_Toc21947"/>
      <w:bookmarkStart w:id="240" w:name="_Toc20812"/>
      <w:bookmarkStart w:id="241" w:name="_Toc1048_WPSOffice_Level1"/>
      <w:bookmarkStart w:id="242" w:name="_Toc13535_WPSOffice_Level1"/>
      <w:r>
        <w:rPr>
          <w:rFonts w:hint="eastAsia" w:ascii="宋体" w:hAnsi="宋体" w:cs="宋体"/>
          <w:color w:val="000000" w:themeColor="text1"/>
          <w:sz w:val="22"/>
          <w:szCs w:val="22"/>
          <w:highlight w:val="none"/>
          <w14:textFill>
            <w14:solidFill>
              <w14:schemeClr w14:val="tx1"/>
            </w14:solidFill>
          </w14:textFill>
        </w:rPr>
        <w:t xml:space="preserve">甲方：（采购人）                     </w:t>
      </w:r>
    </w:p>
    <w:p>
      <w:pPr>
        <w:spacing w:line="44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乙方：（中标供应商）</w:t>
      </w:r>
    </w:p>
    <w:p>
      <w:pPr>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p>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受甲方委托，</w:t>
      </w:r>
      <w:r>
        <w:rPr>
          <w:rFonts w:hint="eastAsia" w:ascii="宋体" w:hAnsi="宋体" w:cs="宋体"/>
          <w:color w:val="000000" w:themeColor="text1"/>
          <w:sz w:val="22"/>
          <w:szCs w:val="22"/>
          <w:highlight w:val="none"/>
          <w:u w:val="single"/>
          <w14:textFill>
            <w14:solidFill>
              <w14:schemeClr w14:val="tx1"/>
            </w14:solidFill>
          </w14:textFill>
        </w:rPr>
        <w:t xml:space="preserve">           (采购代理机构)</w:t>
      </w:r>
      <w:r>
        <w:rPr>
          <w:rFonts w:hint="eastAsia" w:ascii="宋体" w:hAnsi="宋体" w:cs="宋体"/>
          <w:color w:val="000000" w:themeColor="text1"/>
          <w:sz w:val="22"/>
          <w:szCs w:val="22"/>
          <w:highlight w:val="none"/>
          <w14:textFill>
            <w14:solidFill>
              <w14:schemeClr w14:val="tx1"/>
            </w14:solidFill>
          </w14:textFill>
        </w:rPr>
        <w:t>组织对</w:t>
      </w:r>
      <w:r>
        <w:rPr>
          <w:rFonts w:hint="eastAsia" w:ascii="宋体" w:hAnsi="宋体" w:cs="宋体"/>
          <w:color w:val="000000" w:themeColor="text1"/>
          <w:sz w:val="22"/>
          <w:szCs w:val="22"/>
          <w:highlight w:val="none"/>
          <w:u w:val="single"/>
          <w14:textFill>
            <w14:solidFill>
              <w14:schemeClr w14:val="tx1"/>
            </w14:solidFill>
          </w14:textFill>
        </w:rPr>
        <w:t xml:space="preserve">         （项目名称）</w:t>
      </w:r>
      <w:r>
        <w:rPr>
          <w:rFonts w:hint="eastAsia" w:ascii="宋体" w:hAnsi="宋体" w:cs="宋体"/>
          <w:color w:val="000000" w:themeColor="text1"/>
          <w:sz w:val="22"/>
          <w:szCs w:val="22"/>
          <w:highlight w:val="none"/>
          <w14:textFill>
            <w14:solidFill>
              <w14:schemeClr w14:val="tx1"/>
            </w14:solidFill>
          </w14:textFill>
        </w:rPr>
        <w:t>采购项目（采购编号为）进行采购，于年月日通过公开招标，经评标委员会评定乙方为中标供应商。为了保护甲乙双方合法权益，根据《中华人民共和国政府采购法》及其实施条例、《中华人民共和国合同法》等有关法律法规的规定，在平等自愿的基础上，甲乙双方按照下面的条款和条件，签署本合同。</w:t>
      </w:r>
    </w:p>
    <w:p>
      <w:pPr>
        <w:pStyle w:val="20"/>
        <w:spacing w:line="440" w:lineRule="exact"/>
        <w:ind w:firstLine="442" w:firstLineChars="200"/>
        <w:rPr>
          <w:rFonts w:ascii="宋体" w:hAnsi="宋体" w:cs="宋体"/>
          <w:b/>
          <w:color w:val="000000" w:themeColor="text1"/>
          <w:sz w:val="22"/>
          <w:szCs w:val="22"/>
          <w:highlight w:val="none"/>
          <w14:textFill>
            <w14:solidFill>
              <w14:schemeClr w14:val="tx1"/>
            </w14:solidFill>
          </w14:textFill>
        </w:rPr>
      </w:pPr>
    </w:p>
    <w:p>
      <w:pPr>
        <w:pStyle w:val="20"/>
        <w:spacing w:line="440" w:lineRule="exact"/>
        <w:ind w:firstLine="442" w:firstLineChars="200"/>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 xml:space="preserve">一、合同组成及合同总价 </w:t>
      </w:r>
    </w:p>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合同文件组成内容包括：本合同书 、中标通知书、投标文件（含澄清内容）、招标文件（含招标文件澄清通知）等。</w:t>
      </w:r>
    </w:p>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1.2货物需求一览表及技术规格：</w:t>
      </w:r>
    </w:p>
    <w:tbl>
      <w:tblPr>
        <w:tblStyle w:val="23"/>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67"/>
        <w:gridCol w:w="1810"/>
        <w:gridCol w:w="1134"/>
        <w:gridCol w:w="851"/>
        <w:gridCol w:w="708"/>
        <w:gridCol w:w="709"/>
        <w:gridCol w:w="803"/>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序号</w:t>
            </w:r>
          </w:p>
        </w:tc>
        <w:tc>
          <w:tcPr>
            <w:tcW w:w="1167"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货物名称</w:t>
            </w:r>
          </w:p>
        </w:tc>
        <w:tc>
          <w:tcPr>
            <w:tcW w:w="1810"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品牌/型号/规格</w:t>
            </w:r>
          </w:p>
        </w:tc>
        <w:tc>
          <w:tcPr>
            <w:tcW w:w="1134" w:type="dxa"/>
          </w:tcPr>
          <w:p>
            <w:pPr>
              <w:spacing w:line="440" w:lineRule="exac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配置要求</w:t>
            </w:r>
          </w:p>
        </w:tc>
        <w:tc>
          <w:tcPr>
            <w:tcW w:w="851"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产地</w:t>
            </w:r>
          </w:p>
        </w:tc>
        <w:tc>
          <w:tcPr>
            <w:tcW w:w="708"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单位</w:t>
            </w:r>
          </w:p>
        </w:tc>
        <w:tc>
          <w:tcPr>
            <w:tcW w:w="709"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数量</w:t>
            </w:r>
          </w:p>
        </w:tc>
        <w:tc>
          <w:tcPr>
            <w:tcW w:w="803"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单价</w:t>
            </w:r>
          </w:p>
        </w:tc>
        <w:tc>
          <w:tcPr>
            <w:tcW w:w="709"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金额</w:t>
            </w:r>
          </w:p>
        </w:tc>
        <w:tc>
          <w:tcPr>
            <w:tcW w:w="709" w:type="dxa"/>
          </w:tcPr>
          <w:p>
            <w:pPr>
              <w:spacing w:line="440" w:lineRule="exact"/>
              <w:jc w:val="center"/>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67"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810"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34"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51"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8"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03"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67"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810"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34"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51"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8"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03"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67"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810"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34"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51"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8"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03"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67"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810"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34"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51"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8"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03"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67"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810"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1134"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51"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8"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803"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c>
          <w:tcPr>
            <w:tcW w:w="709" w:type="dxa"/>
          </w:tcPr>
          <w:p>
            <w:pPr>
              <w:spacing w:line="440" w:lineRule="exact"/>
              <w:rPr>
                <w:rFonts w:ascii="宋体" w:hAnsi="宋体" w:cs="宋体"/>
                <w:color w:val="000000" w:themeColor="text1"/>
                <w:sz w:val="22"/>
                <w:szCs w:val="22"/>
                <w:highlight w:val="none"/>
                <w14:textFill>
                  <w14:solidFill>
                    <w14:schemeClr w14:val="tx1"/>
                  </w14:solidFill>
                </w14:textFill>
              </w:rPr>
            </w:pPr>
          </w:p>
        </w:tc>
      </w:tr>
    </w:tbl>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1.3本合同总价为人民币元（￥元）。</w:t>
      </w:r>
    </w:p>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本合同总价</w:t>
      </w:r>
      <w:r>
        <w:rPr>
          <w:rFonts w:hint="eastAsia" w:ascii="宋体"/>
          <w:color w:val="000000" w:themeColor="text1"/>
          <w:sz w:val="22"/>
          <w:szCs w:val="22"/>
          <w:highlight w:val="none"/>
          <w14:textFill>
            <w14:solidFill>
              <w14:schemeClr w14:val="tx1"/>
            </w14:solidFill>
          </w14:textFill>
        </w:rPr>
        <w:t>包含购置费、包装费、运输费、安装调试费、人工费、保险费、各种税费、验收费、售后服务费及合同实施过程中的应预见和不可预见费用等完成合同规定责任和义务、达到合同目的的一切费用</w:t>
      </w:r>
      <w:r>
        <w:rPr>
          <w:rFonts w:hint="eastAsia" w:ascii="宋体" w:hAnsi="宋体" w:cs="宋体"/>
          <w:color w:val="000000" w:themeColor="text1"/>
          <w:sz w:val="22"/>
          <w:szCs w:val="22"/>
          <w:highlight w:val="none"/>
          <w14:textFill>
            <w14:solidFill>
              <w14:schemeClr w14:val="tx1"/>
            </w14:solidFill>
          </w14:textFill>
        </w:rPr>
        <w:t>。</w:t>
      </w:r>
    </w:p>
    <w:p>
      <w:pPr>
        <w:pStyle w:val="20"/>
        <w:spacing w:line="440" w:lineRule="exact"/>
        <w:ind w:firstLine="442" w:firstLineChars="200"/>
        <w:rPr>
          <w:rFonts w:ascii="宋体" w:hAnsi="宋体" w:cs="宋体"/>
          <w:b/>
          <w:color w:val="000000" w:themeColor="text1"/>
          <w:sz w:val="22"/>
          <w:szCs w:val="22"/>
          <w:highlight w:val="none"/>
          <w14:textFill>
            <w14:solidFill>
              <w14:schemeClr w14:val="tx1"/>
            </w14:solidFill>
          </w14:textFill>
        </w:rPr>
      </w:pPr>
    </w:p>
    <w:p>
      <w:pPr>
        <w:pStyle w:val="20"/>
        <w:spacing w:line="440" w:lineRule="exact"/>
        <w:ind w:firstLine="442" w:firstLineChars="200"/>
        <w:rPr>
          <w:rFonts w:ascii="宋体" w:hAnsi="宋体" w:cs="宋体"/>
          <w:b/>
          <w:color w:val="000000" w:themeColor="text1"/>
          <w:sz w:val="22"/>
          <w:szCs w:val="22"/>
          <w:highlight w:val="none"/>
          <w14:textFill>
            <w14:solidFill>
              <w14:schemeClr w14:val="tx1"/>
            </w14:solidFill>
          </w14:textFill>
        </w:rPr>
      </w:pPr>
      <w:r>
        <w:rPr>
          <w:rFonts w:hint="eastAsia" w:ascii="宋体" w:hAnsi="宋体" w:cs="宋体"/>
          <w:b/>
          <w:color w:val="000000" w:themeColor="text1"/>
          <w:sz w:val="22"/>
          <w:szCs w:val="22"/>
          <w:highlight w:val="none"/>
          <w14:textFill>
            <w14:solidFill>
              <w14:schemeClr w14:val="tx1"/>
            </w14:solidFill>
          </w14:textFill>
        </w:rPr>
        <w:t>二、合同主要条款</w:t>
      </w:r>
    </w:p>
    <w:p>
      <w:pPr>
        <w:pStyle w:val="20"/>
        <w:spacing w:line="440" w:lineRule="exact"/>
        <w:ind w:firstLine="440" w:firstLineChars="200"/>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1.1本合同的付款方式为：</w:t>
      </w:r>
    </w:p>
    <w:p>
      <w:pPr>
        <w:pStyle w:val="20"/>
        <w:spacing w:line="440" w:lineRule="exact"/>
        <w:ind w:firstLine="440" w:firstLineChars="200"/>
        <w:rPr>
          <w:rFonts w:ascii="宋体" w:hAnsi="宋体" w:cs="宋体"/>
          <w:color w:val="000000" w:themeColor="text1"/>
          <w:sz w:val="22"/>
          <w:szCs w:val="22"/>
          <w:highlight w:val="none"/>
          <w:u w:val="single"/>
          <w14:textFill>
            <w14:solidFill>
              <w14:schemeClr w14:val="tx1"/>
            </w14:solidFill>
          </w14:textFill>
        </w:rPr>
      </w:pPr>
    </w:p>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付款前乙方应向甲方提出请款申请及所需的材料和等额合法发票，且发票名称必需与乙方完全一致，否则甲方有权拒绝付款。</w:t>
      </w:r>
    </w:p>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货款支付程序如果因乙方怠于或者拒绝提供资料或者办理手续等乙方原因导致的付款迟延，责任全部由乙方承担，甲方不以违约论。因财政请款原因导致付款迟延的，甲方不以违约论。</w:t>
      </w:r>
    </w:p>
    <w:p>
      <w:pPr>
        <w:pStyle w:val="20"/>
        <w:spacing w:line="44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1.2本合同货物的完工期为：；交货地点为：。乙方送货到现场后，由甲乙双方共同进行初步验收，经初步验收合格后由乙方进行安装、调试。乙方应在天内完成安装调试工作并由甲方双方进行最终验收。货物最终验收合格并交付甲方使用前的一切风险由乙方承担。</w:t>
      </w:r>
    </w:p>
    <w:p>
      <w:pPr>
        <w:pStyle w:val="20"/>
        <w:spacing w:line="440" w:lineRule="exact"/>
        <w:ind w:firstLine="440" w:firstLineChars="200"/>
        <w:rPr>
          <w:rFonts w:ascii="宋体" w:hAnsi="宋体" w:cs="宋体"/>
          <w:color w:val="000000" w:themeColor="text1"/>
          <w:sz w:val="22"/>
          <w:szCs w:val="22"/>
          <w:highlight w:val="none"/>
          <w:u w:val="singl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1.3本合同货物的质保期为：，自货物交付、完成安装调试并经甲方最终验收合格之日起算。质量保修期内发生质量问题，全部由乙方负责并承担相应费用。乙方应在收到甲方的保修通知后小时内到现场进行保修。乙方怠于或拒绝履行的，甲方可委托第三方代为履行，发生的费用及损失由乙方承担。</w:t>
      </w:r>
    </w:p>
    <w:p>
      <w:pPr>
        <w:spacing w:line="440" w:lineRule="exact"/>
        <w:ind w:firstLine="440" w:firstLineChars="200"/>
        <w:jc w:val="left"/>
        <w:rPr>
          <w:rFonts w:ascii="宋体" w:hAnsi="宋体" w:cs="宋体"/>
          <w:color w:val="000000" w:themeColor="text1"/>
          <w:sz w:val="22"/>
          <w:szCs w:val="22"/>
          <w:highlight w:val="none"/>
          <w:u w:val="single"/>
          <w14:textFill>
            <w14:solidFill>
              <w14:schemeClr w14:val="tx1"/>
            </w14:solidFill>
          </w14:textFill>
        </w:rPr>
      </w:pP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三、验收方式</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1、验收应在甲乙双方共同参加下进行，依据招标文件及本合同的有关规定制定的方案进行验收，并按国家有关规定、规范进行。</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2、甲方组织项目验收小组按国家有关规定、规范进行验收，必要时邀请相关专业人员或机构参与验收。</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3、对验收不合格的部分，乙方应在甲方规定时间内及时整改完善直至合格。</w:t>
      </w: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四、税和关税</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1、中国政府根据现行税法对甲方征收的与本合同有关的一切税费均应由甲方承担。</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2、中国政府根据现行税法规定对乙方或其雇员征收的与本合同有关的一切税费应由乙方承担。</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3、在中国境外发生的与本合同执行有关的一切税费均应由乙方承担。</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第九条 其它约定</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1、严禁转包，未经甲方书面同意不得分包。</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2、乙方全部工作人员，须符合东莞市政府用工标准要求。</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3、乙方服务人员进行服务期间的过失或故意行为，造成甲方经济损失的，由乙方负责赔偿。</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4、服务人员的劳动关系隶属乙方，乙方负责服务人员的工资、节假日和超时加班补助费、社会保险、住宿、伙食等。</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5、乙方负责本项目服务人员购买因意外身故或伤残和因意外事故住院治疗保险，并负责办理一切保险赔偿手续。</w:t>
      </w: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五、违约责任</w:t>
      </w:r>
    </w:p>
    <w:p>
      <w:pPr>
        <w:spacing w:line="440" w:lineRule="exact"/>
        <w:ind w:firstLine="360" w:firstLineChars="150"/>
        <w:rPr>
          <w:color w:val="000000" w:themeColor="text1"/>
          <w:sz w:val="24"/>
          <w:highlight w:val="none"/>
          <w14:textFill>
            <w14:solidFill>
              <w14:schemeClr w14:val="tx1"/>
            </w14:solidFill>
          </w14:textFill>
        </w:rPr>
      </w:pPr>
      <w:bookmarkStart w:id="243" w:name="_Toc86481570"/>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、乙方交付的设备不符合合同规定的，甲方有权拒收，乙方向甲方支付合同总金额</w:t>
      </w:r>
      <w:r>
        <w:rPr>
          <w:color w:val="000000" w:themeColor="text1"/>
          <w:sz w:val="24"/>
          <w:highlight w:val="none"/>
          <w:u w:val="single"/>
          <w14:textFill>
            <w14:solidFill>
              <w14:schemeClr w14:val="tx1"/>
            </w14:solidFill>
          </w14:textFill>
        </w:rPr>
        <w:t xml:space="preserve"> 5 </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的违约金。</w:t>
      </w:r>
    </w:p>
    <w:p>
      <w:pPr>
        <w:spacing w:line="440" w:lineRule="exact"/>
        <w:ind w:firstLine="360" w:firstLineChars="15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、甲方无正当理由拒收设备，拒付货款的，甲方向乙方偿付合同总金额</w:t>
      </w:r>
      <w:r>
        <w:rPr>
          <w:color w:val="000000" w:themeColor="text1"/>
          <w:sz w:val="24"/>
          <w:highlight w:val="none"/>
          <w:u w:val="single"/>
          <w14:textFill>
            <w14:solidFill>
              <w14:schemeClr w14:val="tx1"/>
            </w14:solidFill>
          </w14:textFill>
        </w:rPr>
        <w:t xml:space="preserve">5 </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的违约金。</w:t>
      </w:r>
    </w:p>
    <w:p>
      <w:pPr>
        <w:spacing w:line="440" w:lineRule="exact"/>
        <w:ind w:firstLine="360" w:firstLineChars="15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、乙方逾期交付设备，则每日按合同总金额</w:t>
      </w:r>
      <w:r>
        <w:rPr>
          <w:color w:val="000000" w:themeColor="text1"/>
          <w:sz w:val="24"/>
          <w:highlight w:val="none"/>
          <w:u w:val="single"/>
          <w14:textFill>
            <w14:solidFill>
              <w14:schemeClr w14:val="tx1"/>
            </w14:solidFill>
          </w14:textFill>
        </w:rPr>
        <w:t xml:space="preserve"> 0.5 </w:t>
      </w:r>
      <w:r>
        <w:rPr>
          <w:rFonts w:hint="eastAsia"/>
          <w:color w:val="000000" w:themeColor="text1"/>
          <w:sz w:val="24"/>
          <w:highlight w:val="none"/>
          <w14:textFill>
            <w14:solidFill>
              <w14:schemeClr w14:val="tx1"/>
            </w14:solidFill>
          </w14:textFill>
        </w:rPr>
        <w:t>‰向对方偿付违约金。逾期交付超过</w:t>
      </w:r>
      <w:r>
        <w:rPr>
          <w:color w:val="000000" w:themeColor="text1"/>
          <w:sz w:val="24"/>
          <w:highlight w:val="none"/>
          <w14:textFill>
            <w14:solidFill>
              <w14:schemeClr w14:val="tx1"/>
            </w14:solidFill>
          </w14:textFill>
        </w:rPr>
        <w:t>15</w:t>
      </w:r>
      <w:r>
        <w:rPr>
          <w:rFonts w:hint="eastAsia"/>
          <w:color w:val="000000" w:themeColor="text1"/>
          <w:sz w:val="24"/>
          <w:highlight w:val="none"/>
          <w14:textFill>
            <w14:solidFill>
              <w14:schemeClr w14:val="tx1"/>
            </w14:solidFill>
          </w14:textFill>
        </w:rPr>
        <w:t>天，甲方有权终止合同。</w:t>
      </w:r>
    </w:p>
    <w:p>
      <w:pPr>
        <w:spacing w:line="440" w:lineRule="exact"/>
        <w:ind w:firstLine="360" w:firstLineChars="15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、甲方逾期付款，则每日按合同总金额</w:t>
      </w:r>
      <w:r>
        <w:rPr>
          <w:color w:val="000000" w:themeColor="text1"/>
          <w:sz w:val="24"/>
          <w:highlight w:val="none"/>
          <w:u w:val="single"/>
          <w14:textFill>
            <w14:solidFill>
              <w14:schemeClr w14:val="tx1"/>
            </w14:solidFill>
          </w14:textFill>
        </w:rPr>
        <w:t xml:space="preserve"> 0.5 </w:t>
      </w:r>
      <w:r>
        <w:rPr>
          <w:rFonts w:hint="eastAsia"/>
          <w:color w:val="000000" w:themeColor="text1"/>
          <w:sz w:val="24"/>
          <w:highlight w:val="none"/>
          <w14:textFill>
            <w14:solidFill>
              <w14:schemeClr w14:val="tx1"/>
            </w14:solidFill>
          </w14:textFill>
        </w:rPr>
        <w:t>‰向对方偿付违约金。</w:t>
      </w: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六、争议的解决</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1、凡与本合同有关而引起的一切争议，甲乙双方应首先通过友好协商解决，如经协商后仍不能达成协议时，任何一方可以向法院提出诉讼。</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2、本合同发生的诉讼管辖地为东莞市有管辖权的法院。</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3、在进行法院审理期间，除提交法院审理的事项外，合同其他部分仍继续履行。</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4、本合同按照中华人民共和国的法律进行解释。</w:t>
      </w: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bookmarkStart w:id="244" w:name="_Toc86481569"/>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七、合同生效</w:t>
      </w:r>
      <w:bookmarkEnd w:id="244"/>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1、本合同由双方法定代表人或委托代理人签字盖章后立即生效，具有同等法律效力，合同有效期随服务期结束而自然终止。</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2、本合同一式    份，其中甲方    份、乙方    份，采购代理机构 壹 份（须在合同签订之日起7个工作日内递交）。</w:t>
      </w: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p>
    <w:p>
      <w:pPr>
        <w:spacing w:line="420" w:lineRule="atLeast"/>
        <w:ind w:firstLine="442" w:firstLineChars="200"/>
        <w:rPr>
          <w:rFonts w:ascii="宋体" w:hAnsi="宋体" w:cs="宋体"/>
          <w:b/>
          <w:bCs/>
          <w:color w:val="000000" w:themeColor="text1"/>
          <w:sz w:val="22"/>
          <w:szCs w:val="22"/>
          <w:highlight w:val="none"/>
          <w14:textFill>
            <w14:solidFill>
              <w14:schemeClr w14:val="tx1"/>
            </w14:solidFill>
          </w14:textFill>
        </w:rPr>
      </w:pPr>
      <w:r>
        <w:rPr>
          <w:rFonts w:hint="eastAsia" w:ascii="宋体" w:hAnsi="宋体" w:cs="宋体"/>
          <w:b/>
          <w:bCs/>
          <w:color w:val="000000" w:themeColor="text1"/>
          <w:sz w:val="22"/>
          <w:szCs w:val="22"/>
          <w:highlight w:val="none"/>
          <w14:textFill>
            <w14:solidFill>
              <w14:schemeClr w14:val="tx1"/>
            </w14:solidFill>
          </w14:textFill>
        </w:rPr>
        <w:t>八、其它</w:t>
      </w:r>
      <w:bookmarkEnd w:id="243"/>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1、本合同未尽事宜，双方可签订补充合同，补充合同与所有附件均为合同的有效组成部分，与本合同具有同等法律效力。</w:t>
      </w:r>
    </w:p>
    <w:p>
      <w:pPr>
        <w:spacing w:line="420" w:lineRule="atLeas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2、在执行本合同的过程中，所有经甲乙双方签署确认的文件（包括会议纪要、补充协议、往来信函、合同附件等）即成为本合同的有效组成部分，其生效日期为双方签字盖章或确认之日期。</w:t>
      </w:r>
    </w:p>
    <w:p>
      <w:pPr>
        <w:spacing w:line="420" w:lineRule="atLeas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本合同合计   页A4纸张，缺页之合同为无效合同。</w:t>
      </w:r>
    </w:p>
    <w:p>
      <w:pPr>
        <w:spacing w:line="420" w:lineRule="atLeast"/>
        <w:ind w:firstLine="440" w:firstLineChars="200"/>
        <w:rPr>
          <w:rFonts w:ascii="宋体" w:hAnsi="宋体"/>
          <w:color w:val="000000" w:themeColor="text1"/>
          <w:sz w:val="22"/>
          <w:szCs w:val="22"/>
          <w:highlight w:val="none"/>
          <w14:textFill>
            <w14:solidFill>
              <w14:schemeClr w14:val="tx1"/>
            </w14:solidFill>
          </w14:textFill>
        </w:rPr>
      </w:pPr>
    </w:p>
    <w:p>
      <w:pPr>
        <w:spacing w:line="420" w:lineRule="atLeast"/>
        <w:ind w:firstLine="440" w:firstLineChars="200"/>
        <w:rPr>
          <w:rFonts w:ascii="宋体" w:hAnsi="宋体"/>
          <w:color w:val="000000" w:themeColor="text1"/>
          <w:sz w:val="22"/>
          <w:szCs w:val="22"/>
          <w:highlight w:val="none"/>
          <w14:textFill>
            <w14:solidFill>
              <w14:schemeClr w14:val="tx1"/>
            </w14:solidFill>
          </w14:textFill>
        </w:rPr>
      </w:pP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甲方（盖章）：                      乙方（盖章）：</w:t>
      </w:r>
    </w:p>
    <w:p>
      <w:pPr>
        <w:spacing w:line="420" w:lineRule="atLeast"/>
        <w:rPr>
          <w:rFonts w:ascii="宋体" w:hAnsi="宋体"/>
          <w:color w:val="000000" w:themeColor="text1"/>
          <w:sz w:val="22"/>
          <w:szCs w:val="22"/>
          <w:highlight w:val="none"/>
          <w14:textFill>
            <w14:solidFill>
              <w14:schemeClr w14:val="tx1"/>
            </w14:solidFill>
          </w14:textFill>
        </w:rPr>
      </w:pPr>
    </w:p>
    <w:p>
      <w:pPr>
        <w:spacing w:line="420" w:lineRule="atLeast"/>
        <w:rPr>
          <w:rFonts w:ascii="宋体" w:hAnsi="宋体"/>
          <w:color w:val="000000" w:themeColor="text1"/>
          <w:sz w:val="22"/>
          <w:szCs w:val="22"/>
          <w:highlight w:val="none"/>
          <w14:textFill>
            <w14:solidFill>
              <w14:schemeClr w14:val="tx1"/>
            </w14:solidFill>
          </w14:textFill>
        </w:rPr>
      </w:pP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法定代表(签字)：                   法定代表(签字)：</w:t>
      </w: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地址：                             地址： </w:t>
      </w: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电话：                             电话：</w:t>
      </w: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传真：</w:t>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传真：</w:t>
      </w: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开户银行：</w:t>
      </w: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 xml:space="preserve">                       开户银行：</w:t>
      </w: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账号：                            账号：</w:t>
      </w:r>
    </w:p>
    <w:p>
      <w:pPr>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签约时间：</w:t>
      </w:r>
    </w:p>
    <w:p>
      <w:pPr>
        <w:spacing w:line="420" w:lineRule="atLeast"/>
        <w:rPr>
          <w:rFonts w:ascii="宋体" w:hAnsi="宋体" w:cs="宋体"/>
          <w:b/>
          <w:bCs/>
          <w:color w:val="000000" w:themeColor="text1"/>
          <w:spacing w:val="20"/>
          <w:sz w:val="44"/>
          <w:szCs w:val="44"/>
          <w:highlight w:val="none"/>
          <w14:textFill>
            <w14:solidFill>
              <w14:schemeClr w14:val="tx1"/>
            </w14:solidFill>
          </w14:textFill>
        </w:rPr>
        <w:sectPr>
          <w:pgSz w:w="11906" w:h="16838"/>
          <w:pgMar w:top="1474" w:right="1474" w:bottom="1474" w:left="1474" w:header="850" w:footer="907" w:gutter="0"/>
          <w:cols w:space="720" w:num="1"/>
          <w:docGrid w:type="lines" w:linePitch="315" w:charSpace="0"/>
        </w:sectPr>
      </w:pPr>
      <w:r>
        <w:rPr>
          <w:rFonts w:hint="eastAsia" w:ascii="宋体" w:hAnsi="宋体"/>
          <w:color w:val="000000" w:themeColor="text1"/>
          <w:sz w:val="22"/>
          <w:szCs w:val="22"/>
          <w:highlight w:val="none"/>
          <w14:textFill>
            <w14:solidFill>
              <w14:schemeClr w14:val="tx1"/>
            </w14:solidFill>
          </w14:textFill>
        </w:rPr>
        <w:t>签约地点：</w:t>
      </w:r>
    </w:p>
    <w:p>
      <w:pPr>
        <w:spacing w:beforeLines="2000" w:afterLines="2000"/>
        <w:jc w:val="center"/>
        <w:outlineLvl w:val="0"/>
        <w:rPr>
          <w:rFonts w:ascii="宋体" w:hAnsi="宋体" w:cs="宋体"/>
          <w:b/>
          <w:bCs/>
          <w:color w:val="000000" w:themeColor="text1"/>
          <w:spacing w:val="20"/>
          <w:sz w:val="44"/>
          <w:szCs w:val="44"/>
          <w:highlight w:val="none"/>
          <w14:textFill>
            <w14:solidFill>
              <w14:schemeClr w14:val="tx1"/>
            </w14:solidFill>
          </w14:textFill>
        </w:rPr>
      </w:pPr>
      <w:bookmarkStart w:id="245" w:name="_Toc16452"/>
      <w:r>
        <w:rPr>
          <w:rFonts w:hint="eastAsia" w:ascii="宋体" w:hAnsi="宋体" w:cs="宋体"/>
          <w:b/>
          <w:bCs/>
          <w:color w:val="000000" w:themeColor="text1"/>
          <w:spacing w:val="20"/>
          <w:sz w:val="44"/>
          <w:szCs w:val="44"/>
          <w:highlight w:val="none"/>
          <w14:textFill>
            <w14:solidFill>
              <w14:schemeClr w14:val="tx1"/>
            </w14:solidFill>
          </w14:textFill>
        </w:rPr>
        <w:t>第五部分  投标文件格式</w:t>
      </w:r>
      <w:bookmarkEnd w:id="239"/>
      <w:bookmarkEnd w:id="240"/>
      <w:bookmarkEnd w:id="241"/>
      <w:bookmarkEnd w:id="242"/>
      <w:bookmarkEnd w:id="245"/>
    </w:p>
    <w:p>
      <w:pPr>
        <w:pStyle w:val="4"/>
        <w:jc w:val="both"/>
        <w:rPr>
          <w:rFonts w:ascii="宋体" w:hAnsi="宋体" w:eastAsia="宋体"/>
          <w:color w:val="000000" w:themeColor="text1"/>
          <w:szCs w:val="32"/>
          <w:highlight w:val="none"/>
          <w14:textFill>
            <w14:solidFill>
              <w14:schemeClr w14:val="tx1"/>
            </w14:solidFill>
          </w14:textFill>
        </w:rPr>
      </w:pPr>
      <w:r>
        <w:rPr>
          <w:rFonts w:hint="eastAsia" w:ascii="宋体" w:hAnsi="宋体" w:eastAsia="宋体" w:cs="宋体"/>
          <w:bCs/>
          <w:color w:val="000000" w:themeColor="text1"/>
          <w:spacing w:val="20"/>
          <w:sz w:val="44"/>
          <w:szCs w:val="44"/>
          <w:highlight w:val="none"/>
          <w14:textFill>
            <w14:solidFill>
              <w14:schemeClr w14:val="tx1"/>
            </w14:solidFill>
          </w14:textFill>
        </w:rPr>
        <w:br w:type="page"/>
      </w:r>
      <w:bookmarkStart w:id="246" w:name="_Toc22792"/>
      <w:bookmarkStart w:id="247" w:name="_Toc13422_WPSOffice_Level2"/>
      <w:bookmarkStart w:id="248" w:name="_Toc5848_WPSOffice_Level2"/>
      <w:bookmarkStart w:id="249" w:name="_Toc13714"/>
      <w:bookmarkStart w:id="250" w:name="_Toc9047"/>
      <w:r>
        <w:rPr>
          <w:rFonts w:hint="eastAsia" w:ascii="宋体" w:hAnsi="宋体" w:eastAsia="宋体"/>
          <w:color w:val="000000" w:themeColor="text1"/>
          <w:szCs w:val="32"/>
          <w:highlight w:val="none"/>
          <w14:textFill>
            <w14:solidFill>
              <w14:schemeClr w14:val="tx1"/>
            </w14:solidFill>
          </w14:textFill>
        </w:rPr>
        <w:t>一、价格文件（独立成册）</w:t>
      </w:r>
      <w:bookmarkEnd w:id="246"/>
      <w:bookmarkEnd w:id="247"/>
      <w:bookmarkEnd w:id="248"/>
      <w:bookmarkEnd w:id="249"/>
      <w:bookmarkEnd w:id="250"/>
    </w:p>
    <w:p>
      <w:pPr>
        <w:spacing w:line="360" w:lineRule="auto"/>
        <w:jc w:val="right"/>
        <w:rPr>
          <w:rFonts w:ascii="黑体" w:hAnsi="黑体" w:eastAsia="黑体"/>
          <w:color w:val="000000" w:themeColor="text1"/>
          <w:spacing w:val="-20"/>
          <w:sz w:val="56"/>
          <w:szCs w:val="56"/>
          <w:highlight w:val="none"/>
          <w14:textFill>
            <w14:solidFill>
              <w14:schemeClr w14:val="tx1"/>
            </w14:solidFill>
          </w14:textFill>
        </w:rPr>
      </w:pPr>
      <w:r>
        <w:rPr>
          <w:rFonts w:hint="eastAsia" w:ascii="黑体" w:hAnsi="黑体" w:eastAsia="黑体"/>
          <w:b/>
          <w:color w:val="000000" w:themeColor="text1"/>
          <w:szCs w:val="21"/>
          <w:highlight w:val="none"/>
          <w14:textFill>
            <w14:solidFill>
              <w14:schemeClr w14:val="tx1"/>
            </w14:solidFill>
          </w14:textFill>
        </w:rPr>
        <w:t>正本/副本</w:t>
      </w:r>
    </w:p>
    <w:p>
      <w:pPr>
        <w:spacing w:beforeLines="200" w:line="360" w:lineRule="auto"/>
        <w:jc w:val="center"/>
        <w:rPr>
          <w:rFonts w:ascii="黑体" w:hAnsi="黑体" w:eastAsia="黑体"/>
          <w:color w:val="000000" w:themeColor="text1"/>
          <w:spacing w:val="-20"/>
          <w:sz w:val="56"/>
          <w:szCs w:val="56"/>
          <w:highlight w:val="none"/>
          <w14:textFill>
            <w14:solidFill>
              <w14:schemeClr w14:val="tx1"/>
            </w14:solidFill>
          </w14:textFill>
        </w:rPr>
      </w:pPr>
      <w:r>
        <w:rPr>
          <w:rFonts w:hint="eastAsia" w:ascii="黑体" w:hAnsi="黑体" w:eastAsia="黑体"/>
          <w:color w:val="000000" w:themeColor="text1"/>
          <w:spacing w:val="-20"/>
          <w:sz w:val="56"/>
          <w:szCs w:val="56"/>
          <w:highlight w:val="none"/>
          <w:lang w:eastAsia="zh-CN"/>
          <w14:textFill>
            <w14:solidFill>
              <w14:schemeClr w14:val="tx1"/>
            </w14:solidFill>
          </w14:textFill>
        </w:rPr>
        <w:t>东莞市妇幼保健院医疗设备采购项目</w:t>
      </w:r>
      <w:r>
        <w:rPr>
          <w:rFonts w:hint="eastAsia" w:ascii="黑体" w:hAnsi="黑体" w:eastAsia="黑体"/>
          <w:color w:val="000000" w:themeColor="text1"/>
          <w:spacing w:val="-20"/>
          <w:sz w:val="56"/>
          <w:szCs w:val="56"/>
          <w:highlight w:val="none"/>
          <w14:textFill>
            <w14:solidFill>
              <w14:schemeClr w14:val="tx1"/>
            </w14:solidFill>
          </w14:textFill>
        </w:rPr>
        <w:t>（  包）</w:t>
      </w:r>
    </w:p>
    <w:p>
      <w:pPr>
        <w:spacing w:beforeLines="100" w:line="500" w:lineRule="exact"/>
        <w:jc w:val="center"/>
        <w:rPr>
          <w:rFonts w:ascii="黑体" w:hAnsi="黑体" w:eastAsia="黑体"/>
          <w:b/>
          <w:color w:val="000000" w:themeColor="text1"/>
          <w:szCs w:val="21"/>
          <w:highlight w:val="none"/>
          <w14:textFill>
            <w14:solidFill>
              <w14:schemeClr w14:val="tx1"/>
            </w14:solidFill>
          </w14:textFill>
        </w:rPr>
      </w:pPr>
      <w:r>
        <w:rPr>
          <w:rFonts w:hint="eastAsia" w:ascii="黑体" w:hAnsi="黑体" w:eastAsia="黑体"/>
          <w:b/>
          <w:color w:val="000000" w:themeColor="text1"/>
          <w:szCs w:val="21"/>
          <w:highlight w:val="none"/>
          <w14:textFill>
            <w14:solidFill>
              <w14:schemeClr w14:val="tx1"/>
            </w14:solidFill>
          </w14:textFill>
        </w:rPr>
        <w:t>（项目编号：）</w:t>
      </w:r>
    </w:p>
    <w:p>
      <w:pPr>
        <w:spacing w:beforeLines="100"/>
        <w:jc w:val="center"/>
        <w:rPr>
          <w:rFonts w:ascii="黑体" w:hAnsi="黑体" w:eastAsia="黑体"/>
          <w:b/>
          <w:color w:val="000000" w:themeColor="text1"/>
          <w:szCs w:val="21"/>
          <w:highlight w:val="none"/>
          <w14:textFill>
            <w14:solidFill>
              <w14:schemeClr w14:val="tx1"/>
            </w14:solidFill>
          </w14:textFill>
        </w:rPr>
      </w:pPr>
    </w:p>
    <w:p>
      <w:pPr>
        <w:spacing w:beforeLines="400"/>
        <w:jc w:val="center"/>
        <w:rPr>
          <w:rFonts w:ascii="黑体" w:hAnsi="黑体" w:eastAsia="黑体"/>
          <w:b/>
          <w:color w:val="000000" w:themeColor="text1"/>
          <w:spacing w:val="60"/>
          <w:sz w:val="72"/>
          <w:szCs w:val="72"/>
          <w:highlight w:val="none"/>
          <w14:textFill>
            <w14:solidFill>
              <w14:schemeClr w14:val="tx1"/>
            </w14:solidFill>
          </w14:textFill>
        </w:rPr>
      </w:pPr>
      <w:r>
        <w:rPr>
          <w:rFonts w:hint="eastAsia" w:ascii="黑体" w:hAnsi="黑体" w:eastAsia="黑体"/>
          <w:b/>
          <w:color w:val="000000" w:themeColor="text1"/>
          <w:spacing w:val="60"/>
          <w:sz w:val="72"/>
          <w:szCs w:val="72"/>
          <w:highlight w:val="none"/>
          <w14:textFill>
            <w14:solidFill>
              <w14:schemeClr w14:val="tx1"/>
            </w14:solidFill>
          </w14:textFill>
        </w:rPr>
        <w:t>价格文件</w:t>
      </w:r>
    </w:p>
    <w:p>
      <w:pPr>
        <w:spacing w:afterLines="300"/>
        <w:jc w:val="center"/>
        <w:rPr>
          <w:rFonts w:ascii="黑体" w:hAnsi="黑体" w:eastAsia="黑体"/>
          <w:b/>
          <w:color w:val="000000" w:themeColor="text1"/>
          <w:szCs w:val="21"/>
          <w:highlight w:val="none"/>
          <w14:textFill>
            <w14:solidFill>
              <w14:schemeClr w14:val="tx1"/>
            </w14:solidFill>
          </w14:textFill>
        </w:rPr>
      </w:pPr>
      <w:r>
        <w:rPr>
          <w:rFonts w:hint="eastAsia" w:ascii="黑体" w:hAnsi="黑体" w:eastAsia="黑体"/>
          <w:b/>
          <w:color w:val="000000" w:themeColor="text1"/>
          <w:szCs w:val="21"/>
          <w:highlight w:val="none"/>
          <w14:textFill>
            <w14:solidFill>
              <w14:schemeClr w14:val="tx1"/>
            </w14:solidFill>
          </w14:textFill>
        </w:rPr>
        <w:t>（封面格式仅供参考）</w:t>
      </w:r>
    </w:p>
    <w:tbl>
      <w:tblPr>
        <w:tblStyle w:val="23"/>
        <w:tblW w:w="7712" w:type="dxa"/>
        <w:jc w:val="center"/>
        <w:tblLayout w:type="fixed"/>
        <w:tblCellMar>
          <w:top w:w="0" w:type="dxa"/>
          <w:left w:w="108" w:type="dxa"/>
          <w:bottom w:w="0" w:type="dxa"/>
          <w:right w:w="108" w:type="dxa"/>
        </w:tblCellMar>
      </w:tblPr>
      <w:tblGrid>
        <w:gridCol w:w="2192"/>
        <w:gridCol w:w="5520"/>
      </w:tblGrid>
      <w:tr>
        <w:tblPrEx>
          <w:tblCellMar>
            <w:top w:w="0" w:type="dxa"/>
            <w:left w:w="108" w:type="dxa"/>
            <w:bottom w:w="0" w:type="dxa"/>
            <w:right w:w="108" w:type="dxa"/>
          </w:tblCellMar>
        </w:tblPrEx>
        <w:trPr>
          <w:trHeight w:val="507"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投标单位全称：</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56"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投标单位地址：</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50" w:hRule="atLeast"/>
          <w:jc w:val="center"/>
        </w:trPr>
        <w:tc>
          <w:tcPr>
            <w:tcW w:w="2192" w:type="dxa"/>
            <w:vAlign w:val="center"/>
          </w:tcPr>
          <w:p>
            <w:pPr>
              <w:spacing w:line="360" w:lineRule="auto"/>
              <w:jc w:val="center"/>
              <w:rPr>
                <w:rFonts w:ascii="黑体" w:hAnsi="黑体" w:eastAsia="黑体"/>
                <w:color w:val="000000" w:themeColor="text1"/>
                <w:spacing w:val="-10"/>
                <w:sz w:val="24"/>
                <w:highlight w:val="none"/>
                <w14:textFill>
                  <w14:solidFill>
                    <w14:schemeClr w14:val="tx1"/>
                  </w14:solidFill>
                </w14:textFill>
              </w:rPr>
            </w:pPr>
            <w:r>
              <w:rPr>
                <w:rFonts w:hint="eastAsia" w:ascii="黑体" w:hAnsi="黑体" w:eastAsia="黑体"/>
                <w:color w:val="000000" w:themeColor="text1"/>
                <w:spacing w:val="-10"/>
                <w:sz w:val="24"/>
                <w:highlight w:val="none"/>
                <w14:textFill>
                  <w14:solidFill>
                    <w14:schemeClr w14:val="tx1"/>
                  </w14:solidFill>
                </w14:textFill>
              </w:rPr>
              <w:t>投标单位联系人：</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58"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投标单位固话：</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66"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投标单位传真：</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bl>
    <w:p>
      <w:pPr>
        <w:spacing w:line="360" w:lineRule="auto"/>
        <w:rPr>
          <w:rFonts w:ascii="黑体" w:hAnsi="黑体" w:eastAsia="黑体"/>
          <w:color w:val="000000" w:themeColor="text1"/>
          <w:szCs w:val="21"/>
          <w:highlight w:val="none"/>
          <w14:textFill>
            <w14:solidFill>
              <w14:schemeClr w14:val="tx1"/>
            </w14:solidFill>
          </w14:textFill>
        </w:rPr>
      </w:pPr>
    </w:p>
    <w:p>
      <w:pPr>
        <w:jc w:val="center"/>
        <w:rPr>
          <w:rFonts w:ascii="黑体" w:hAnsi="黑体" w:eastAsia="黑体"/>
          <w:b/>
          <w:color w:val="000000" w:themeColor="text1"/>
          <w:spacing w:val="40"/>
          <w:sz w:val="24"/>
          <w:highlight w:val="none"/>
          <w14:textFill>
            <w14:solidFill>
              <w14:schemeClr w14:val="tx1"/>
            </w14:solidFill>
          </w14:textFill>
        </w:rPr>
      </w:pPr>
    </w:p>
    <w:p>
      <w:pPr>
        <w:jc w:val="center"/>
        <w:rPr>
          <w:rFonts w:ascii="黑体" w:hAnsi="黑体" w:eastAsia="黑体"/>
          <w:b/>
          <w:color w:val="000000" w:themeColor="text1"/>
          <w:spacing w:val="40"/>
          <w:sz w:val="24"/>
          <w:highlight w:val="none"/>
          <w14:textFill>
            <w14:solidFill>
              <w14:schemeClr w14:val="tx1"/>
            </w14:solidFill>
          </w14:textFill>
        </w:rPr>
      </w:pPr>
    </w:p>
    <w:p>
      <w:pPr>
        <w:jc w:val="center"/>
        <w:rPr>
          <w:rFonts w:ascii="黑体" w:hAnsi="黑体" w:eastAsia="黑体"/>
          <w:b/>
          <w:color w:val="000000" w:themeColor="text1"/>
          <w:spacing w:val="40"/>
          <w:sz w:val="24"/>
          <w:highlight w:val="none"/>
          <w14:textFill>
            <w14:solidFill>
              <w14:schemeClr w14:val="tx1"/>
            </w14:solidFill>
          </w14:textFill>
        </w:rPr>
      </w:pPr>
    </w:p>
    <w:p>
      <w:pPr>
        <w:jc w:val="center"/>
        <w:rPr>
          <w:rFonts w:ascii="黑体" w:hAnsi="黑体" w:eastAsia="黑体"/>
          <w:b/>
          <w:color w:val="000000" w:themeColor="text1"/>
          <w:spacing w:val="40"/>
          <w:sz w:val="24"/>
          <w:highlight w:val="none"/>
          <w14:textFill>
            <w14:solidFill>
              <w14:schemeClr w14:val="tx1"/>
            </w14:solidFill>
          </w14:textFill>
        </w:rPr>
      </w:pPr>
      <w:r>
        <w:rPr>
          <w:rFonts w:hint="eastAsia" w:ascii="黑体" w:hAnsi="黑体" w:eastAsia="黑体"/>
          <w:b/>
          <w:color w:val="000000" w:themeColor="text1"/>
          <w:spacing w:val="40"/>
          <w:sz w:val="24"/>
          <w:highlight w:val="none"/>
          <w14:textFill>
            <w14:solidFill>
              <w14:schemeClr w14:val="tx1"/>
            </w14:solidFill>
          </w14:textFill>
        </w:rPr>
        <w:t>日期：二〇二〇年月日</w:t>
      </w:r>
    </w:p>
    <w:p>
      <w:pPr>
        <w:spacing w:beforeLines="200" w:afterLines="200"/>
        <w:outlineLvl w:val="1"/>
        <w:rPr>
          <w:rFonts w:ascii="宋体" w:hAnsi="宋体"/>
          <w:b/>
          <w:color w:val="000000" w:themeColor="text1"/>
          <w:sz w:val="28"/>
          <w:szCs w:val="28"/>
          <w:highlight w:val="none"/>
          <w14:textFill>
            <w14:solidFill>
              <w14:schemeClr w14:val="tx1"/>
            </w14:solidFill>
          </w14:textFill>
        </w:rPr>
      </w:pPr>
      <w:r>
        <w:rPr>
          <w:rFonts w:hint="eastAsia" w:ascii="黑体" w:hAnsi="黑体" w:eastAsia="黑体"/>
          <w:b/>
          <w:color w:val="000000" w:themeColor="text1"/>
          <w:spacing w:val="40"/>
          <w:sz w:val="24"/>
          <w:highlight w:val="none"/>
          <w14:textFill>
            <w14:solidFill>
              <w14:schemeClr w14:val="tx1"/>
            </w14:solidFill>
          </w14:textFill>
        </w:rPr>
        <w:br w:type="page"/>
      </w:r>
      <w:bookmarkStart w:id="251" w:name="_Toc210188794"/>
      <w:bookmarkStart w:id="252" w:name="_Toc314476030"/>
      <w:bookmarkStart w:id="253" w:name="_Toc314476228"/>
      <w:bookmarkStart w:id="254" w:name="_Toc15038"/>
      <w:r>
        <w:rPr>
          <w:rFonts w:hint="eastAsia" w:ascii="宋体" w:hAnsi="宋体"/>
          <w:b/>
          <w:color w:val="000000" w:themeColor="text1"/>
          <w:sz w:val="28"/>
          <w:szCs w:val="28"/>
          <w:highlight w:val="none"/>
          <w14:textFill>
            <w14:solidFill>
              <w14:schemeClr w14:val="tx1"/>
            </w14:solidFill>
          </w14:textFill>
        </w:rPr>
        <w:t>（一）开标一览表（报价总表</w:t>
      </w:r>
      <w:bookmarkEnd w:id="251"/>
      <w:bookmarkEnd w:id="252"/>
      <w:bookmarkEnd w:id="253"/>
      <w:r>
        <w:rPr>
          <w:rFonts w:hint="eastAsia" w:ascii="宋体" w:hAnsi="宋体"/>
          <w:b/>
          <w:color w:val="000000" w:themeColor="text1"/>
          <w:sz w:val="28"/>
          <w:szCs w:val="28"/>
          <w:highlight w:val="none"/>
          <w14:textFill>
            <w14:solidFill>
              <w14:schemeClr w14:val="tx1"/>
            </w14:solidFill>
          </w14:textFill>
        </w:rPr>
        <w:t>）</w:t>
      </w:r>
      <w:bookmarkEnd w:id="254"/>
    </w:p>
    <w:p>
      <w:pPr>
        <w:spacing w:beforeLines="200" w:afterLines="200"/>
        <w:jc w:val="center"/>
        <w:rPr>
          <w:rFonts w:ascii="宋体" w:hAnsi="宋体"/>
          <w:b/>
          <w:color w:val="000000" w:themeColor="text1"/>
          <w:sz w:val="32"/>
          <w:szCs w:val="3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开标一览表（报价总表）</w:t>
      </w:r>
    </w:p>
    <w:p>
      <w:pPr>
        <w:spacing w:beforeLines="200" w:afterLines="200"/>
        <w:rPr>
          <w:rFonts w:ascii="宋体"/>
          <w:b/>
          <w:bCs/>
          <w:color w:val="000000" w:themeColor="text1"/>
          <w:sz w:val="28"/>
          <w:szCs w:val="28"/>
          <w:highlight w:val="none"/>
          <w14:textFill>
            <w14:solidFill>
              <w14:schemeClr w14:val="tx1"/>
            </w14:solidFill>
          </w14:textFill>
        </w:rPr>
      </w:pPr>
      <w:r>
        <w:rPr>
          <w:rFonts w:hint="eastAsia" w:ascii="宋体"/>
          <w:b/>
          <w:bCs/>
          <w:color w:val="000000" w:themeColor="text1"/>
          <w:sz w:val="28"/>
          <w:szCs w:val="28"/>
          <w:highlight w:val="none"/>
          <w14:textFill>
            <w14:solidFill>
              <w14:schemeClr w14:val="tx1"/>
            </w14:solidFill>
          </w14:textFill>
        </w:rPr>
        <w:t xml:space="preserve">项目名称：                          </w:t>
      </w:r>
    </w:p>
    <w:p>
      <w:pPr>
        <w:spacing w:beforeLines="200" w:afterLines="200"/>
        <w:rPr>
          <w:rFonts w:ascii="宋体" w:hAnsi="宋体"/>
          <w:b/>
          <w:bCs/>
          <w:color w:val="000000" w:themeColor="text1"/>
          <w:sz w:val="36"/>
          <w:szCs w:val="36"/>
          <w:highlight w:val="none"/>
          <w14:textFill>
            <w14:solidFill>
              <w14:schemeClr w14:val="tx1"/>
            </w14:solidFill>
          </w14:textFill>
        </w:rPr>
      </w:pPr>
      <w:r>
        <w:rPr>
          <w:rFonts w:hint="eastAsia" w:ascii="宋体"/>
          <w:b/>
          <w:bCs/>
          <w:color w:val="000000" w:themeColor="text1"/>
          <w:sz w:val="28"/>
          <w:szCs w:val="28"/>
          <w:highlight w:val="none"/>
          <w14:textFill>
            <w14:solidFill>
              <w14:schemeClr w14:val="tx1"/>
            </w14:solidFill>
          </w14:textFill>
        </w:rPr>
        <w:t>采购编号：</w:t>
      </w:r>
    </w:p>
    <w:tbl>
      <w:tblPr>
        <w:tblStyle w:val="23"/>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
        <w:gridCol w:w="3833"/>
        <w:gridCol w:w="382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pStyle w:val="42"/>
              <w:widowControl w:val="0"/>
              <w:overflowPunct w:val="0"/>
              <w:adjustRightInd w:val="0"/>
              <w:spacing w:line="600" w:lineRule="exact"/>
              <w:ind w:firstLine="0"/>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包号</w:t>
            </w:r>
          </w:p>
        </w:tc>
        <w:tc>
          <w:tcPr>
            <w:tcW w:w="3833" w:type="dxa"/>
            <w:tcBorders>
              <w:top w:val="single" w:color="auto" w:sz="4" w:space="0"/>
              <w:left w:val="single" w:color="auto" w:sz="4" w:space="0"/>
              <w:bottom w:val="single" w:color="auto" w:sz="4" w:space="0"/>
              <w:right w:val="single" w:color="auto" w:sz="4" w:space="0"/>
            </w:tcBorders>
            <w:vAlign w:val="center"/>
          </w:tcPr>
          <w:p>
            <w:pPr>
              <w:pStyle w:val="42"/>
              <w:widowControl w:val="0"/>
              <w:overflowPunct w:val="0"/>
              <w:adjustRightInd w:val="0"/>
              <w:spacing w:line="500" w:lineRule="exact"/>
              <w:ind w:firstLine="0"/>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投标总价（元）</w:t>
            </w:r>
          </w:p>
        </w:tc>
        <w:tc>
          <w:tcPr>
            <w:tcW w:w="3829" w:type="dxa"/>
            <w:tcBorders>
              <w:top w:val="single" w:color="auto" w:sz="4" w:space="0"/>
              <w:left w:val="single" w:color="auto" w:sz="4" w:space="0"/>
              <w:bottom w:val="single" w:color="auto" w:sz="4" w:space="0"/>
              <w:right w:val="single" w:color="auto" w:sz="4" w:space="0"/>
            </w:tcBorders>
            <w:vAlign w:val="center"/>
          </w:tcPr>
          <w:p>
            <w:pPr>
              <w:pStyle w:val="42"/>
              <w:widowControl w:val="0"/>
              <w:overflowPunct w:val="0"/>
              <w:adjustRightInd w:val="0"/>
              <w:spacing w:line="500" w:lineRule="exact"/>
              <w:ind w:firstLine="0"/>
              <w:jc w:val="center"/>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860" w:type="dxa"/>
            <w:tcBorders>
              <w:top w:val="single" w:color="auto" w:sz="4" w:space="0"/>
              <w:left w:val="single" w:color="auto" w:sz="4" w:space="0"/>
              <w:bottom w:val="single" w:color="auto" w:sz="4" w:space="0"/>
              <w:right w:val="single" w:color="auto" w:sz="4" w:space="0"/>
            </w:tcBorders>
            <w:vAlign w:val="center"/>
          </w:tcPr>
          <w:p>
            <w:pPr>
              <w:pStyle w:val="42"/>
              <w:widowControl w:val="0"/>
              <w:overflowPunct w:val="0"/>
              <w:adjustRightInd w:val="0"/>
              <w:spacing w:line="600" w:lineRule="exact"/>
              <w:ind w:firstLine="0"/>
              <w:jc w:val="center"/>
              <w:rPr>
                <w:rFonts w:ascii="宋体" w:hAnsi="宋体" w:eastAsia="宋体"/>
                <w:color w:val="000000" w:themeColor="text1"/>
                <w:sz w:val="24"/>
                <w:szCs w:val="24"/>
                <w:highlight w:val="none"/>
                <w14:textFill>
                  <w14:solidFill>
                    <w14:schemeClr w14:val="tx1"/>
                  </w14:solidFill>
                </w14:textFill>
              </w:rPr>
            </w:pPr>
          </w:p>
        </w:tc>
        <w:tc>
          <w:tcPr>
            <w:tcW w:w="3833" w:type="dxa"/>
            <w:tcBorders>
              <w:top w:val="single" w:color="auto" w:sz="4" w:space="0"/>
              <w:left w:val="single" w:color="auto" w:sz="4" w:space="0"/>
              <w:bottom w:val="single" w:color="auto" w:sz="4" w:space="0"/>
              <w:right w:val="single" w:color="auto" w:sz="4" w:space="0"/>
            </w:tcBorders>
            <w:vAlign w:val="center"/>
          </w:tcPr>
          <w:p>
            <w:pPr>
              <w:pStyle w:val="42"/>
              <w:widowControl w:val="0"/>
              <w:overflowPunct w:val="0"/>
              <w:adjustRightInd w:val="0"/>
              <w:spacing w:line="600" w:lineRule="exact"/>
              <w:ind w:firstLine="480"/>
              <w:jc w:val="center"/>
              <w:rPr>
                <w:rFonts w:ascii="宋体" w:hAnsi="宋体" w:eastAsia="宋体"/>
                <w:color w:val="000000" w:themeColor="text1"/>
                <w:sz w:val="24"/>
                <w:szCs w:val="24"/>
                <w:highlight w:val="none"/>
                <w14:textFill>
                  <w14:solidFill>
                    <w14:schemeClr w14:val="tx1"/>
                  </w14:solidFill>
                </w14:textFill>
              </w:rPr>
            </w:pPr>
          </w:p>
        </w:tc>
        <w:tc>
          <w:tcPr>
            <w:tcW w:w="3829" w:type="dxa"/>
            <w:tcBorders>
              <w:top w:val="single" w:color="auto" w:sz="4" w:space="0"/>
              <w:left w:val="single" w:color="auto" w:sz="4" w:space="0"/>
              <w:bottom w:val="single" w:color="auto" w:sz="4" w:space="0"/>
              <w:right w:val="single" w:color="auto" w:sz="4" w:space="0"/>
            </w:tcBorders>
            <w:vAlign w:val="center"/>
          </w:tcPr>
          <w:p>
            <w:pPr>
              <w:pStyle w:val="42"/>
              <w:widowControl w:val="0"/>
              <w:overflowPunct w:val="0"/>
              <w:adjustRightInd w:val="0"/>
              <w:spacing w:line="600" w:lineRule="exact"/>
              <w:ind w:firstLine="480"/>
              <w:jc w:val="center"/>
              <w:rPr>
                <w:rFonts w:ascii="宋体" w:hAnsi="宋体" w:eastAsia="宋体"/>
                <w:color w:val="000000" w:themeColor="text1"/>
                <w:sz w:val="24"/>
                <w:szCs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6" w:hRule="atLeast"/>
          <w:jc w:val="center"/>
        </w:trPr>
        <w:tc>
          <w:tcPr>
            <w:tcW w:w="8522" w:type="dxa"/>
            <w:gridSpan w:val="3"/>
            <w:tcBorders>
              <w:top w:val="single" w:color="auto" w:sz="4" w:space="0"/>
              <w:left w:val="single" w:color="auto" w:sz="4" w:space="0"/>
              <w:bottom w:val="single" w:color="auto" w:sz="4" w:space="0"/>
              <w:right w:val="single" w:color="auto" w:sz="4" w:space="0"/>
            </w:tcBorders>
            <w:vAlign w:val="center"/>
          </w:tcPr>
          <w:p>
            <w:pPr>
              <w:pStyle w:val="42"/>
              <w:widowControl w:val="0"/>
              <w:overflowPunct w:val="0"/>
              <w:adjustRightInd w:val="0"/>
              <w:spacing w:line="600" w:lineRule="exact"/>
              <w:ind w:firstLine="0"/>
              <w:rPr>
                <w:rFonts w:ascii="宋体" w:hAnsi="宋体" w:eastAsia="宋体"/>
                <w:color w:val="000000" w:themeColor="text1"/>
                <w:sz w:val="24"/>
                <w:szCs w:val="24"/>
                <w:highlight w:val="none"/>
                <w14:textFill>
                  <w14:solidFill>
                    <w14:schemeClr w14:val="tx1"/>
                  </w14:solidFill>
                </w14:textFill>
              </w:rPr>
            </w:pPr>
            <w:r>
              <w:rPr>
                <w:rFonts w:hint="eastAsia" w:ascii="宋体" w:hAnsi="宋体" w:eastAsia="宋体"/>
                <w:color w:val="000000" w:themeColor="text1"/>
                <w:sz w:val="24"/>
                <w:szCs w:val="24"/>
                <w:highlight w:val="none"/>
                <w14:textFill>
                  <w14:solidFill>
                    <w14:schemeClr w14:val="tx1"/>
                  </w14:solidFill>
                </w14:textFill>
              </w:rPr>
              <w:t>投标总价（大写）：</w:t>
            </w:r>
          </w:p>
        </w:tc>
      </w:tr>
    </w:tbl>
    <w:p>
      <w:pPr>
        <w:ind w:left="735" w:leftChars="350" w:firstLine="550" w:firstLineChars="250"/>
        <w:rPr>
          <w:rFonts w:ascii="宋体" w:hAnsi="宋体"/>
          <w:color w:val="000000" w:themeColor="text1"/>
          <w:sz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注明：1.投标报价栏须用文字和数字两种方式表示的投标报价。投标报价大小写不一致，以大写为准。投标报价必须准确唯一且应包含完成本项目的所有费用。</w:t>
      </w: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p>
      <w:pPr>
        <w:spacing w:line="360" w:lineRule="auto"/>
        <w:rPr>
          <w:rFonts w:ascii="宋体" w:hAnsi="宋体"/>
          <w:color w:val="000000" w:themeColor="text1"/>
          <w:sz w:val="22"/>
          <w:szCs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spacing w:beforeLines="200" w:afterLines="200"/>
        <w:outlineLvl w:val="1"/>
        <w:rPr>
          <w:rFonts w:ascii="宋体" w:hAnsi="宋体"/>
          <w:b/>
          <w:color w:val="000000" w:themeColor="text1"/>
          <w:sz w:val="28"/>
          <w:szCs w:val="28"/>
          <w:highlight w:val="none"/>
          <w14:textFill>
            <w14:solidFill>
              <w14:schemeClr w14:val="tx1"/>
            </w14:solidFill>
          </w14:textFill>
        </w:rPr>
      </w:pPr>
      <w:r>
        <w:rPr>
          <w:rFonts w:hint="eastAsia" w:ascii="宋体" w:hAnsi="宋体"/>
          <w:color w:val="000000" w:themeColor="text1"/>
          <w:spacing w:val="20"/>
          <w:szCs w:val="44"/>
          <w:highlight w:val="none"/>
          <w14:textFill>
            <w14:solidFill>
              <w14:schemeClr w14:val="tx1"/>
            </w14:solidFill>
          </w14:textFill>
        </w:rPr>
        <w:br w:type="page"/>
      </w:r>
      <w:bookmarkStart w:id="255" w:name="_Toc27271"/>
      <w:r>
        <w:rPr>
          <w:rFonts w:hint="eastAsia" w:ascii="宋体" w:hAnsi="宋体"/>
          <w:b/>
          <w:color w:val="000000" w:themeColor="text1"/>
          <w:sz w:val="28"/>
          <w:szCs w:val="28"/>
          <w:highlight w:val="none"/>
          <w14:textFill>
            <w14:solidFill>
              <w14:schemeClr w14:val="tx1"/>
            </w14:solidFill>
          </w14:textFill>
        </w:rPr>
        <w:t>（二）投标分项报价表</w:t>
      </w:r>
      <w:bookmarkEnd w:id="255"/>
    </w:p>
    <w:p>
      <w:pPr>
        <w:pStyle w:val="9"/>
        <w:ind w:right="300"/>
        <w:jc w:val="center"/>
        <w:rPr>
          <w:rFonts w:ascii="宋体" w:hAnsi="宋体"/>
          <w:color w:val="000000" w:themeColor="text1"/>
          <w:sz w:val="22"/>
          <w:szCs w:val="22"/>
          <w:highlight w:val="none"/>
          <w14:textFill>
            <w14:solidFill>
              <w14:schemeClr w14:val="tx1"/>
            </w14:solidFill>
          </w14:textFill>
        </w:rPr>
      </w:pPr>
      <w:r>
        <w:rPr>
          <w:rFonts w:hint="eastAsia" w:ascii="宋体" w:hAnsi="宋体"/>
          <w:b/>
          <w:color w:val="000000" w:themeColor="text1"/>
          <w:sz w:val="32"/>
          <w:szCs w:val="32"/>
          <w:highlight w:val="none"/>
          <w14:textFill>
            <w14:solidFill>
              <w14:schemeClr w14:val="tx1"/>
            </w14:solidFill>
          </w14:textFill>
        </w:rPr>
        <w:t>分项报价表（单位：元）</w:t>
      </w:r>
    </w:p>
    <w:p>
      <w:pPr>
        <w:pStyle w:val="9"/>
        <w:spacing w:after="0" w:line="38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项目名称：                                 项目编号：</w:t>
      </w:r>
    </w:p>
    <w:p>
      <w:pPr>
        <w:pStyle w:val="9"/>
        <w:spacing w:after="0" w:line="38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货物明细表：                                                单位：元/（人民币）</w:t>
      </w:r>
    </w:p>
    <w:tbl>
      <w:tblPr>
        <w:tblStyle w:val="23"/>
        <w:tblW w:w="964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7"/>
        <w:gridCol w:w="2350"/>
        <w:gridCol w:w="1433"/>
        <w:gridCol w:w="1483"/>
        <w:gridCol w:w="784"/>
        <w:gridCol w:w="1150"/>
        <w:gridCol w:w="17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2" w:hRule="atLeast"/>
          <w:jc w:val="center"/>
        </w:trPr>
        <w:tc>
          <w:tcPr>
            <w:tcW w:w="707"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序号</w:t>
            </w:r>
          </w:p>
        </w:tc>
        <w:tc>
          <w:tcPr>
            <w:tcW w:w="2350"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货物名称</w:t>
            </w:r>
          </w:p>
        </w:tc>
        <w:tc>
          <w:tcPr>
            <w:tcW w:w="1433"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产地品牌</w:t>
            </w:r>
          </w:p>
        </w:tc>
        <w:tc>
          <w:tcPr>
            <w:tcW w:w="1483"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规格型号</w:t>
            </w:r>
          </w:p>
        </w:tc>
        <w:tc>
          <w:tcPr>
            <w:tcW w:w="784"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数量</w:t>
            </w:r>
          </w:p>
        </w:tc>
        <w:tc>
          <w:tcPr>
            <w:tcW w:w="1150"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单价</w:t>
            </w:r>
          </w:p>
        </w:tc>
        <w:tc>
          <w:tcPr>
            <w:tcW w:w="1733"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分项总价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07"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23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8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784"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1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7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07"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23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8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784"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1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7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0" w:hRule="atLeast"/>
          <w:jc w:val="center"/>
        </w:trPr>
        <w:tc>
          <w:tcPr>
            <w:tcW w:w="707"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23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8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784"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1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7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707"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23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w:t>
            </w:r>
          </w:p>
        </w:tc>
        <w:tc>
          <w:tcPr>
            <w:tcW w:w="14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8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784"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1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7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3" w:hRule="atLeast"/>
          <w:jc w:val="center"/>
        </w:trPr>
        <w:tc>
          <w:tcPr>
            <w:tcW w:w="707"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23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合计</w:t>
            </w:r>
          </w:p>
        </w:tc>
        <w:tc>
          <w:tcPr>
            <w:tcW w:w="14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48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784"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150"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c>
          <w:tcPr>
            <w:tcW w:w="1733"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p>
        </w:tc>
      </w:tr>
    </w:tbl>
    <w:p>
      <w:pPr>
        <w:pStyle w:val="9"/>
        <w:spacing w:after="0" w:line="38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其他费用明细表：</w:t>
      </w:r>
    </w:p>
    <w:tbl>
      <w:tblPr>
        <w:tblStyle w:val="23"/>
        <w:tblW w:w="92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3166"/>
        <w:gridCol w:w="2297"/>
        <w:gridCol w:w="1575"/>
        <w:gridCol w:w="130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945"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序号</w:t>
            </w:r>
          </w:p>
        </w:tc>
        <w:tc>
          <w:tcPr>
            <w:tcW w:w="3166"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项目</w:t>
            </w:r>
          </w:p>
        </w:tc>
        <w:tc>
          <w:tcPr>
            <w:tcW w:w="2297"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内容和标准</w:t>
            </w:r>
          </w:p>
        </w:tc>
        <w:tc>
          <w:tcPr>
            <w:tcW w:w="1575"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报价</w:t>
            </w:r>
          </w:p>
        </w:tc>
        <w:tc>
          <w:tcPr>
            <w:tcW w:w="1307" w:type="dxa"/>
            <w:vAlign w:val="center"/>
          </w:tcPr>
          <w:p>
            <w:pPr>
              <w:spacing w:line="380" w:lineRule="exact"/>
              <w:jc w:val="center"/>
              <w:rPr>
                <w:rFonts w:ascii="宋体" w:hAnsi="宋体"/>
                <w:b/>
                <w:color w:val="000000" w:themeColor="text1"/>
                <w:sz w:val="22"/>
                <w:szCs w:val="22"/>
                <w:highlight w:val="none"/>
                <w14:textFill>
                  <w14:solidFill>
                    <w14:schemeClr w14:val="tx1"/>
                  </w14:solidFill>
                </w14:textFill>
              </w:rPr>
            </w:pPr>
            <w:r>
              <w:rPr>
                <w:rFonts w:hint="eastAsia" w:ascii="宋体" w:hAnsi="宋体"/>
                <w:b/>
                <w:color w:val="000000" w:themeColor="text1"/>
                <w:sz w:val="22"/>
                <w:szCs w:val="22"/>
                <w:highlight w:val="none"/>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945" w:type="dxa"/>
            <w:vAlign w:val="center"/>
          </w:tcPr>
          <w:p>
            <w:pPr>
              <w:ind w:right="-3"/>
              <w:jc w:val="center"/>
              <w:rPr>
                <w:color w:val="000000" w:themeColor="text1"/>
                <w:sz w:val="22"/>
                <w:szCs w:val="22"/>
                <w:highlight w:val="none"/>
                <w14:textFill>
                  <w14:solidFill>
                    <w14:schemeClr w14:val="tx1"/>
                  </w14:solidFill>
                </w14:textFill>
              </w:rPr>
            </w:pPr>
          </w:p>
        </w:tc>
        <w:tc>
          <w:tcPr>
            <w:tcW w:w="3166" w:type="dxa"/>
            <w:vAlign w:val="center"/>
          </w:tcPr>
          <w:p>
            <w:pPr>
              <w:jc w:val="center"/>
              <w:rPr>
                <w:rFonts w:ascii="宋体" w:hAnsi="宋体"/>
                <w:color w:val="000000" w:themeColor="text1"/>
                <w:sz w:val="22"/>
                <w:szCs w:val="22"/>
                <w:highlight w:val="none"/>
                <w14:textFill>
                  <w14:solidFill>
                    <w14:schemeClr w14:val="tx1"/>
                  </w14:solidFill>
                </w14:textFill>
              </w:rPr>
            </w:pPr>
          </w:p>
        </w:tc>
        <w:tc>
          <w:tcPr>
            <w:tcW w:w="2297" w:type="dxa"/>
            <w:vAlign w:val="center"/>
          </w:tcPr>
          <w:p>
            <w:pPr>
              <w:ind w:right="17"/>
              <w:jc w:val="center"/>
              <w:rPr>
                <w:b/>
                <w:color w:val="000000" w:themeColor="text1"/>
                <w:sz w:val="22"/>
                <w:szCs w:val="22"/>
                <w:highlight w:val="none"/>
                <w14:textFill>
                  <w14:solidFill>
                    <w14:schemeClr w14:val="tx1"/>
                  </w14:solidFill>
                </w14:textFill>
              </w:rPr>
            </w:pPr>
          </w:p>
        </w:tc>
        <w:tc>
          <w:tcPr>
            <w:tcW w:w="1575" w:type="dxa"/>
            <w:vAlign w:val="center"/>
          </w:tcPr>
          <w:p>
            <w:pPr>
              <w:ind w:right="17"/>
              <w:jc w:val="center"/>
              <w:rPr>
                <w:color w:val="000000" w:themeColor="text1"/>
                <w:sz w:val="22"/>
                <w:szCs w:val="22"/>
                <w:highlight w:val="none"/>
                <w14:textFill>
                  <w14:solidFill>
                    <w14:schemeClr w14:val="tx1"/>
                  </w14:solidFill>
                </w14:textFill>
              </w:rPr>
            </w:pPr>
          </w:p>
        </w:tc>
        <w:tc>
          <w:tcPr>
            <w:tcW w:w="1307" w:type="dxa"/>
            <w:vAlign w:val="center"/>
          </w:tcPr>
          <w:p>
            <w:pPr>
              <w:ind w:right="17"/>
              <w:jc w:val="center"/>
              <w:rPr>
                <w:color w:val="000000" w:themeColor="text1"/>
                <w:sz w:val="22"/>
                <w:szCs w:val="2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945" w:type="dxa"/>
            <w:vAlign w:val="center"/>
          </w:tcPr>
          <w:p>
            <w:pPr>
              <w:ind w:right="-3"/>
              <w:jc w:val="center"/>
              <w:rPr>
                <w:color w:val="000000" w:themeColor="text1"/>
                <w:sz w:val="22"/>
                <w:szCs w:val="22"/>
                <w:highlight w:val="none"/>
                <w14:textFill>
                  <w14:solidFill>
                    <w14:schemeClr w14:val="tx1"/>
                  </w14:solidFill>
                </w14:textFill>
              </w:rPr>
            </w:pPr>
          </w:p>
        </w:tc>
        <w:tc>
          <w:tcPr>
            <w:tcW w:w="3166" w:type="dxa"/>
            <w:vAlign w:val="center"/>
          </w:tcPr>
          <w:p>
            <w:pPr>
              <w:jc w:val="center"/>
              <w:rPr>
                <w:rFonts w:ascii="宋体" w:hAnsi="宋体"/>
                <w:color w:val="000000" w:themeColor="text1"/>
                <w:sz w:val="22"/>
                <w:szCs w:val="22"/>
                <w:highlight w:val="none"/>
                <w14:textFill>
                  <w14:solidFill>
                    <w14:schemeClr w14:val="tx1"/>
                  </w14:solidFill>
                </w14:textFill>
              </w:rPr>
            </w:pPr>
          </w:p>
        </w:tc>
        <w:tc>
          <w:tcPr>
            <w:tcW w:w="2297" w:type="dxa"/>
            <w:vAlign w:val="center"/>
          </w:tcPr>
          <w:p>
            <w:pPr>
              <w:ind w:right="17"/>
              <w:jc w:val="center"/>
              <w:rPr>
                <w:b/>
                <w:color w:val="000000" w:themeColor="text1"/>
                <w:sz w:val="22"/>
                <w:szCs w:val="22"/>
                <w:highlight w:val="none"/>
                <w14:textFill>
                  <w14:solidFill>
                    <w14:schemeClr w14:val="tx1"/>
                  </w14:solidFill>
                </w14:textFill>
              </w:rPr>
            </w:pPr>
          </w:p>
        </w:tc>
        <w:tc>
          <w:tcPr>
            <w:tcW w:w="1575" w:type="dxa"/>
            <w:vAlign w:val="center"/>
          </w:tcPr>
          <w:p>
            <w:pPr>
              <w:ind w:right="17"/>
              <w:jc w:val="center"/>
              <w:rPr>
                <w:color w:val="000000" w:themeColor="text1"/>
                <w:sz w:val="22"/>
                <w:szCs w:val="22"/>
                <w:highlight w:val="none"/>
                <w14:textFill>
                  <w14:solidFill>
                    <w14:schemeClr w14:val="tx1"/>
                  </w14:solidFill>
                </w14:textFill>
              </w:rPr>
            </w:pPr>
          </w:p>
        </w:tc>
        <w:tc>
          <w:tcPr>
            <w:tcW w:w="1307" w:type="dxa"/>
            <w:vAlign w:val="center"/>
          </w:tcPr>
          <w:p>
            <w:pPr>
              <w:ind w:right="17"/>
              <w:jc w:val="center"/>
              <w:rPr>
                <w:color w:val="000000" w:themeColor="text1"/>
                <w:sz w:val="22"/>
                <w:szCs w:val="2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945" w:type="dxa"/>
            <w:vAlign w:val="center"/>
          </w:tcPr>
          <w:p>
            <w:pPr>
              <w:ind w:right="-3"/>
              <w:jc w:val="center"/>
              <w:rPr>
                <w:color w:val="000000" w:themeColor="text1"/>
                <w:sz w:val="22"/>
                <w:szCs w:val="22"/>
                <w:highlight w:val="none"/>
                <w14:textFill>
                  <w14:solidFill>
                    <w14:schemeClr w14:val="tx1"/>
                  </w14:solidFill>
                </w14:textFill>
              </w:rPr>
            </w:pPr>
          </w:p>
        </w:tc>
        <w:tc>
          <w:tcPr>
            <w:tcW w:w="3166" w:type="dxa"/>
            <w:vAlign w:val="center"/>
          </w:tcPr>
          <w:p>
            <w:pPr>
              <w:jc w:val="center"/>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w:t>
            </w:r>
          </w:p>
        </w:tc>
        <w:tc>
          <w:tcPr>
            <w:tcW w:w="2297" w:type="dxa"/>
            <w:vAlign w:val="center"/>
          </w:tcPr>
          <w:p>
            <w:pPr>
              <w:ind w:right="17"/>
              <w:jc w:val="center"/>
              <w:rPr>
                <w:b/>
                <w:color w:val="000000" w:themeColor="text1"/>
                <w:sz w:val="22"/>
                <w:szCs w:val="22"/>
                <w:highlight w:val="none"/>
                <w14:textFill>
                  <w14:solidFill>
                    <w14:schemeClr w14:val="tx1"/>
                  </w14:solidFill>
                </w14:textFill>
              </w:rPr>
            </w:pPr>
          </w:p>
        </w:tc>
        <w:tc>
          <w:tcPr>
            <w:tcW w:w="1575" w:type="dxa"/>
            <w:vAlign w:val="center"/>
          </w:tcPr>
          <w:p>
            <w:pPr>
              <w:ind w:right="17"/>
              <w:jc w:val="center"/>
              <w:rPr>
                <w:color w:val="000000" w:themeColor="text1"/>
                <w:sz w:val="22"/>
                <w:szCs w:val="22"/>
                <w:highlight w:val="none"/>
                <w14:textFill>
                  <w14:solidFill>
                    <w14:schemeClr w14:val="tx1"/>
                  </w14:solidFill>
                </w14:textFill>
              </w:rPr>
            </w:pPr>
          </w:p>
        </w:tc>
        <w:tc>
          <w:tcPr>
            <w:tcW w:w="1307" w:type="dxa"/>
            <w:vAlign w:val="center"/>
          </w:tcPr>
          <w:p>
            <w:pPr>
              <w:ind w:right="17"/>
              <w:jc w:val="center"/>
              <w:rPr>
                <w:color w:val="000000" w:themeColor="text1"/>
                <w:sz w:val="22"/>
                <w:szCs w:val="22"/>
                <w:highlight w:val="no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945" w:type="dxa"/>
            <w:vAlign w:val="center"/>
          </w:tcPr>
          <w:p>
            <w:pPr>
              <w:ind w:right="-3"/>
              <w:jc w:val="center"/>
              <w:rPr>
                <w:color w:val="000000" w:themeColor="text1"/>
                <w:sz w:val="22"/>
                <w:szCs w:val="22"/>
                <w:highlight w:val="none"/>
                <w14:textFill>
                  <w14:solidFill>
                    <w14:schemeClr w14:val="tx1"/>
                  </w14:solidFill>
                </w14:textFill>
              </w:rPr>
            </w:pPr>
          </w:p>
        </w:tc>
        <w:tc>
          <w:tcPr>
            <w:tcW w:w="3166" w:type="dxa"/>
            <w:vAlign w:val="center"/>
          </w:tcPr>
          <w:p>
            <w:pPr>
              <w:ind w:right="17"/>
              <w:jc w:val="center"/>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合计</w:t>
            </w:r>
          </w:p>
        </w:tc>
        <w:tc>
          <w:tcPr>
            <w:tcW w:w="2297" w:type="dxa"/>
            <w:vAlign w:val="center"/>
          </w:tcPr>
          <w:p>
            <w:pPr>
              <w:ind w:right="17"/>
              <w:jc w:val="center"/>
              <w:rPr>
                <w:b/>
                <w:color w:val="000000" w:themeColor="text1"/>
                <w:sz w:val="22"/>
                <w:szCs w:val="22"/>
                <w:highlight w:val="none"/>
                <w14:textFill>
                  <w14:solidFill>
                    <w14:schemeClr w14:val="tx1"/>
                  </w14:solidFill>
                </w14:textFill>
              </w:rPr>
            </w:pPr>
          </w:p>
        </w:tc>
        <w:tc>
          <w:tcPr>
            <w:tcW w:w="1575" w:type="dxa"/>
            <w:vAlign w:val="center"/>
          </w:tcPr>
          <w:p>
            <w:pPr>
              <w:ind w:right="17"/>
              <w:jc w:val="center"/>
              <w:rPr>
                <w:color w:val="000000" w:themeColor="text1"/>
                <w:sz w:val="22"/>
                <w:szCs w:val="22"/>
                <w:highlight w:val="none"/>
                <w14:textFill>
                  <w14:solidFill>
                    <w14:schemeClr w14:val="tx1"/>
                  </w14:solidFill>
                </w14:textFill>
              </w:rPr>
            </w:pPr>
          </w:p>
        </w:tc>
        <w:tc>
          <w:tcPr>
            <w:tcW w:w="1307" w:type="dxa"/>
            <w:vAlign w:val="center"/>
          </w:tcPr>
          <w:p>
            <w:pPr>
              <w:ind w:right="17"/>
              <w:jc w:val="center"/>
              <w:rPr>
                <w:color w:val="000000" w:themeColor="text1"/>
                <w:sz w:val="22"/>
                <w:szCs w:val="22"/>
                <w:highlight w:val="none"/>
                <w14:textFill>
                  <w14:solidFill>
                    <w14:schemeClr w14:val="tx1"/>
                  </w14:solidFill>
                </w14:textFill>
              </w:rPr>
            </w:pPr>
          </w:p>
        </w:tc>
      </w:tr>
    </w:tbl>
    <w:p>
      <w:pPr>
        <w:pStyle w:val="9"/>
        <w:spacing w:after="0" w:line="38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明细报价汇总表：</w:t>
      </w:r>
    </w:p>
    <w:tbl>
      <w:tblPr>
        <w:tblStyle w:val="23"/>
        <w:tblW w:w="929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111"/>
        <w:gridCol w:w="517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7" w:hRule="atLeast"/>
        </w:trPr>
        <w:tc>
          <w:tcPr>
            <w:tcW w:w="4111" w:type="dxa"/>
            <w:vAlign w:val="center"/>
          </w:tcPr>
          <w:p>
            <w:pPr>
              <w:spacing w:line="380" w:lineRule="exact"/>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报价总计（货物报价合计+其他费用合计）</w:t>
            </w:r>
            <w:r>
              <w:rPr>
                <w:rFonts w:hint="eastAsia" w:ascii="宋体" w:hAnsi="宋体"/>
                <w:color w:val="000000" w:themeColor="text1"/>
                <w:szCs w:val="21"/>
                <w:highlight w:val="none"/>
                <w14:textFill>
                  <w14:solidFill>
                    <w14:schemeClr w14:val="tx1"/>
                  </w14:solidFill>
                </w14:textFill>
              </w:rPr>
              <w:t>（人民币／元）</w:t>
            </w:r>
          </w:p>
        </w:tc>
        <w:tc>
          <w:tcPr>
            <w:tcW w:w="5179" w:type="dxa"/>
            <w:vAlign w:val="center"/>
          </w:tcPr>
          <w:p>
            <w:pPr>
              <w:tabs>
                <w:tab w:val="left" w:pos="654"/>
                <w:tab w:val="left" w:pos="1734"/>
                <w:tab w:val="left" w:pos="2814"/>
                <w:tab w:val="left" w:pos="3894"/>
                <w:tab w:val="left" w:pos="5334"/>
                <w:tab w:val="left" w:pos="6414"/>
                <w:tab w:val="left" w:pos="7254"/>
                <w:tab w:val="left" w:pos="8574"/>
                <w:tab w:val="left" w:pos="9654"/>
              </w:tabs>
              <w:spacing w:beforeLines="25" w:line="360" w:lineRule="auto"/>
              <w:jc w:val="left"/>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大写：</w:t>
            </w:r>
          </w:p>
          <w:p>
            <w:pPr>
              <w:spacing w:line="360" w:lineRule="auto"/>
              <w:ind w:right="17"/>
              <w:rPr>
                <w:color w:val="000000" w:themeColor="text1"/>
                <w:sz w:val="22"/>
                <w:szCs w:val="22"/>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小写：</w:t>
            </w:r>
          </w:p>
        </w:tc>
      </w:tr>
    </w:tbl>
    <w:p>
      <w:pPr>
        <w:pStyle w:val="9"/>
        <w:spacing w:beforeLines="50" w:after="0"/>
        <w:ind w:left="220" w:hanging="220" w:hangingChars="1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注：1.此表为报价总表的明细表，详细报价可另附页说明。</w:t>
      </w:r>
    </w:p>
    <w:p>
      <w:pPr>
        <w:pStyle w:val="9"/>
        <w:spacing w:after="0"/>
        <w:ind w:left="218" w:leftChars="104" w:firstLine="220" w:firstLineChars="100"/>
        <w:jc w:val="lef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2.如果单价和总价不符时，以单价为准，修正总价。</w:t>
      </w:r>
    </w:p>
    <w:p>
      <w:pPr>
        <w:overflowPunct w:val="0"/>
        <w:adjustRightInd w:val="0"/>
        <w:ind w:left="218" w:leftChars="104" w:firstLine="220" w:firstLineChars="100"/>
        <w:jc w:val="left"/>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3.报价要求：</w:t>
      </w:r>
      <w:r>
        <w:rPr>
          <w:rFonts w:hint="eastAsia" w:ascii="宋体"/>
          <w:color w:val="000000" w:themeColor="text1"/>
          <w:sz w:val="22"/>
          <w:szCs w:val="22"/>
          <w:highlight w:val="none"/>
          <w14:textFill>
            <w14:solidFill>
              <w14:schemeClr w14:val="tx1"/>
            </w14:solidFill>
          </w14:textFill>
        </w:rPr>
        <w:t>报价应包含</w:t>
      </w:r>
      <w:r>
        <w:rPr>
          <w:rFonts w:hint="eastAsia" w:ascii="宋体" w:hAnsi="宋体"/>
          <w:color w:val="000000" w:themeColor="text1"/>
          <w:sz w:val="22"/>
          <w:szCs w:val="22"/>
          <w:highlight w:val="none"/>
          <w14:textFill>
            <w14:solidFill>
              <w14:schemeClr w14:val="tx1"/>
            </w14:solidFill>
          </w14:textFill>
        </w:rPr>
        <w:t>货物及所需附件</w:t>
      </w:r>
      <w:r>
        <w:rPr>
          <w:rFonts w:hint="eastAsia" w:ascii="宋体"/>
          <w:color w:val="000000" w:themeColor="text1"/>
          <w:sz w:val="22"/>
          <w:szCs w:val="22"/>
          <w:highlight w:val="none"/>
          <w14:textFill>
            <w14:solidFill>
              <w14:schemeClr w14:val="tx1"/>
            </w14:solidFill>
          </w14:textFill>
        </w:rPr>
        <w:t>购置费</w:t>
      </w:r>
      <w:r>
        <w:rPr>
          <w:rFonts w:hint="eastAsia" w:ascii="宋体" w:hAnsi="宋体"/>
          <w:color w:val="000000" w:themeColor="text1"/>
          <w:sz w:val="22"/>
          <w:szCs w:val="22"/>
          <w:highlight w:val="none"/>
          <w14:textFill>
            <w14:solidFill>
              <w14:schemeClr w14:val="tx1"/>
            </w14:solidFill>
          </w14:textFill>
        </w:rPr>
        <w:t>、包装费、运输费、</w:t>
      </w:r>
      <w:r>
        <w:rPr>
          <w:rFonts w:hint="eastAsia" w:ascii="宋体"/>
          <w:color w:val="000000" w:themeColor="text1"/>
          <w:sz w:val="22"/>
          <w:szCs w:val="22"/>
          <w:highlight w:val="none"/>
          <w14:textFill>
            <w14:solidFill>
              <w14:schemeClr w14:val="tx1"/>
            </w14:solidFill>
          </w14:textFill>
        </w:rPr>
        <w:t>人工费、</w:t>
      </w:r>
      <w:r>
        <w:rPr>
          <w:rFonts w:hint="eastAsia" w:ascii="宋体" w:hAnsi="宋体"/>
          <w:color w:val="000000" w:themeColor="text1"/>
          <w:sz w:val="22"/>
          <w:szCs w:val="22"/>
          <w:highlight w:val="none"/>
          <w14:textFill>
            <w14:solidFill>
              <w14:schemeClr w14:val="tx1"/>
            </w14:solidFill>
          </w14:textFill>
        </w:rPr>
        <w:t>保险费、安装调试费、各种税费、资料费、</w:t>
      </w:r>
      <w:r>
        <w:rPr>
          <w:rFonts w:hint="eastAsia" w:ascii="宋体"/>
          <w:color w:val="000000" w:themeColor="text1"/>
          <w:sz w:val="22"/>
          <w:szCs w:val="22"/>
          <w:highlight w:val="none"/>
          <w14:textFill>
            <w14:solidFill>
              <w14:schemeClr w14:val="tx1"/>
            </w14:solidFill>
          </w14:textFill>
        </w:rPr>
        <w:t>售后服务费及合同实施过程中的不可预见费用等全部费用</w:t>
      </w:r>
      <w:r>
        <w:rPr>
          <w:rFonts w:hint="eastAsia" w:ascii="宋体" w:hAnsi="宋体"/>
          <w:color w:val="000000" w:themeColor="text1"/>
          <w:sz w:val="22"/>
          <w:szCs w:val="22"/>
          <w:highlight w:val="none"/>
          <w14:textFill>
            <w14:solidFill>
              <w14:schemeClr w14:val="tx1"/>
            </w14:solidFill>
          </w14:textFill>
        </w:rPr>
        <w:t>。</w:t>
      </w: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4"/>
        <w:spacing w:before="0" w:after="0"/>
        <w:jc w:val="both"/>
        <w:rPr>
          <w:rFonts w:ascii="宋体" w:hAnsi="宋体" w:eastAsia="宋体"/>
          <w:color w:val="000000" w:themeColor="text1"/>
          <w:szCs w:val="32"/>
          <w:highlight w:val="none"/>
          <w14:textFill>
            <w14:solidFill>
              <w14:schemeClr w14:val="tx1"/>
            </w14:solidFill>
          </w14:textFill>
        </w:rPr>
      </w:pPr>
      <w:r>
        <w:rPr>
          <w:rFonts w:hint="eastAsia" w:ascii="宋体" w:hAnsi="宋体"/>
          <w:color w:val="000000" w:themeColor="text1"/>
          <w:spacing w:val="20"/>
          <w:szCs w:val="44"/>
          <w:highlight w:val="none"/>
          <w14:textFill>
            <w14:solidFill>
              <w14:schemeClr w14:val="tx1"/>
            </w14:solidFill>
          </w14:textFill>
        </w:rPr>
        <w:br w:type="page"/>
      </w:r>
      <w:bookmarkStart w:id="256" w:name="_Toc28580_WPSOffice_Level2"/>
      <w:bookmarkStart w:id="257" w:name="_Toc14533"/>
      <w:bookmarkStart w:id="258" w:name="_Toc14028"/>
      <w:bookmarkStart w:id="259" w:name="_Toc4507"/>
      <w:bookmarkStart w:id="260" w:name="_Toc11305_WPSOffice_Level2"/>
      <w:r>
        <w:rPr>
          <w:rFonts w:hint="eastAsia" w:ascii="宋体" w:hAnsi="宋体" w:eastAsia="宋体"/>
          <w:color w:val="000000" w:themeColor="text1"/>
          <w:highlight w:val="none"/>
          <w14:textFill>
            <w14:solidFill>
              <w14:schemeClr w14:val="tx1"/>
            </w14:solidFill>
          </w14:textFill>
        </w:rPr>
        <w:t>二、商务技术文件</w:t>
      </w:r>
      <w:bookmarkEnd w:id="256"/>
      <w:bookmarkEnd w:id="257"/>
      <w:bookmarkEnd w:id="258"/>
      <w:bookmarkEnd w:id="259"/>
      <w:bookmarkEnd w:id="260"/>
    </w:p>
    <w:p>
      <w:pPr>
        <w:spacing w:line="360" w:lineRule="auto"/>
        <w:ind w:right="105"/>
        <w:jc w:val="right"/>
        <w:rPr>
          <w:rFonts w:ascii="黑体" w:hAnsi="黑体" w:eastAsia="黑体"/>
          <w:b/>
          <w:color w:val="000000" w:themeColor="text1"/>
          <w:szCs w:val="21"/>
          <w:highlight w:val="none"/>
          <w14:textFill>
            <w14:solidFill>
              <w14:schemeClr w14:val="tx1"/>
            </w14:solidFill>
          </w14:textFill>
        </w:rPr>
      </w:pPr>
      <w:r>
        <w:rPr>
          <w:rFonts w:hint="eastAsia" w:ascii="黑体" w:hAnsi="黑体" w:eastAsia="黑体"/>
          <w:b/>
          <w:color w:val="000000" w:themeColor="text1"/>
          <w:szCs w:val="21"/>
          <w:highlight w:val="none"/>
          <w14:textFill>
            <w14:solidFill>
              <w14:schemeClr w14:val="tx1"/>
            </w14:solidFill>
          </w14:textFill>
        </w:rPr>
        <w:t>正本/副本</w:t>
      </w:r>
    </w:p>
    <w:p>
      <w:pPr>
        <w:spacing w:line="360" w:lineRule="auto"/>
        <w:ind w:right="105"/>
        <w:jc w:val="right"/>
        <w:rPr>
          <w:rFonts w:ascii="黑体" w:hAnsi="黑体" w:eastAsia="黑体"/>
          <w:b/>
          <w:color w:val="000000" w:themeColor="text1"/>
          <w:szCs w:val="21"/>
          <w:highlight w:val="none"/>
          <w14:textFill>
            <w14:solidFill>
              <w14:schemeClr w14:val="tx1"/>
            </w14:solidFill>
          </w14:textFill>
        </w:rPr>
      </w:pPr>
    </w:p>
    <w:p>
      <w:pPr>
        <w:spacing w:line="360" w:lineRule="auto"/>
        <w:jc w:val="center"/>
        <w:rPr>
          <w:rFonts w:ascii="黑体" w:hAnsi="黑体" w:eastAsia="黑体"/>
          <w:color w:val="000000" w:themeColor="text1"/>
          <w:spacing w:val="-20"/>
          <w:sz w:val="56"/>
          <w:szCs w:val="56"/>
          <w:highlight w:val="none"/>
          <w14:textFill>
            <w14:solidFill>
              <w14:schemeClr w14:val="tx1"/>
            </w14:solidFill>
          </w14:textFill>
        </w:rPr>
      </w:pPr>
      <w:r>
        <w:rPr>
          <w:rFonts w:hint="eastAsia" w:ascii="黑体" w:hAnsi="黑体" w:eastAsia="黑体"/>
          <w:color w:val="000000" w:themeColor="text1"/>
          <w:spacing w:val="-20"/>
          <w:sz w:val="56"/>
          <w:szCs w:val="56"/>
          <w:highlight w:val="none"/>
          <w:lang w:eastAsia="zh-CN"/>
          <w14:textFill>
            <w14:solidFill>
              <w14:schemeClr w14:val="tx1"/>
            </w14:solidFill>
          </w14:textFill>
        </w:rPr>
        <w:t>东莞市妇幼保健院医疗设备采购项目</w:t>
      </w:r>
      <w:r>
        <w:rPr>
          <w:rFonts w:hint="eastAsia" w:ascii="黑体" w:hAnsi="黑体" w:eastAsia="黑体"/>
          <w:color w:val="000000" w:themeColor="text1"/>
          <w:spacing w:val="-20"/>
          <w:sz w:val="56"/>
          <w:szCs w:val="56"/>
          <w:highlight w:val="none"/>
          <w14:textFill>
            <w14:solidFill>
              <w14:schemeClr w14:val="tx1"/>
            </w14:solidFill>
          </w14:textFill>
        </w:rPr>
        <w:t>（  包）</w:t>
      </w:r>
    </w:p>
    <w:p>
      <w:pPr>
        <w:spacing w:line="360" w:lineRule="auto"/>
        <w:jc w:val="center"/>
        <w:rPr>
          <w:rFonts w:ascii="黑体" w:hAnsi="黑体" w:eastAsia="黑体"/>
          <w:b/>
          <w:color w:val="000000" w:themeColor="text1"/>
          <w:szCs w:val="21"/>
          <w:highlight w:val="none"/>
          <w14:textFill>
            <w14:solidFill>
              <w14:schemeClr w14:val="tx1"/>
            </w14:solidFill>
          </w14:textFill>
        </w:rPr>
      </w:pPr>
    </w:p>
    <w:p>
      <w:pPr>
        <w:spacing w:line="360" w:lineRule="auto"/>
        <w:jc w:val="center"/>
        <w:rPr>
          <w:rFonts w:ascii="黑体" w:hAnsi="黑体" w:eastAsia="黑体"/>
          <w:b/>
          <w:color w:val="000000" w:themeColor="text1"/>
          <w:szCs w:val="21"/>
          <w:highlight w:val="none"/>
          <w14:textFill>
            <w14:solidFill>
              <w14:schemeClr w14:val="tx1"/>
            </w14:solidFill>
          </w14:textFill>
        </w:rPr>
      </w:pPr>
      <w:r>
        <w:rPr>
          <w:rFonts w:hint="eastAsia" w:ascii="黑体" w:hAnsi="黑体" w:eastAsia="黑体"/>
          <w:b/>
          <w:color w:val="000000" w:themeColor="text1"/>
          <w:szCs w:val="21"/>
          <w:highlight w:val="none"/>
          <w14:textFill>
            <w14:solidFill>
              <w14:schemeClr w14:val="tx1"/>
            </w14:solidFill>
          </w14:textFill>
        </w:rPr>
        <w:t>（项目编号：）</w:t>
      </w:r>
    </w:p>
    <w:p>
      <w:pPr>
        <w:spacing w:line="360" w:lineRule="auto"/>
        <w:jc w:val="center"/>
        <w:rPr>
          <w:rFonts w:ascii="黑体" w:hAnsi="黑体" w:eastAsia="黑体"/>
          <w:b/>
          <w:color w:val="000000" w:themeColor="text1"/>
          <w:szCs w:val="21"/>
          <w:highlight w:val="none"/>
          <w14:textFill>
            <w14:solidFill>
              <w14:schemeClr w14:val="tx1"/>
            </w14:solidFill>
          </w14:textFill>
        </w:rPr>
      </w:pPr>
    </w:p>
    <w:p>
      <w:pPr>
        <w:spacing w:beforeLines="600" w:line="360" w:lineRule="auto"/>
        <w:jc w:val="center"/>
        <w:rPr>
          <w:rFonts w:ascii="黑体" w:hAnsi="黑体" w:eastAsia="黑体"/>
          <w:b/>
          <w:color w:val="000000" w:themeColor="text1"/>
          <w:spacing w:val="60"/>
          <w:sz w:val="72"/>
          <w:szCs w:val="72"/>
          <w:highlight w:val="none"/>
          <w14:textFill>
            <w14:solidFill>
              <w14:schemeClr w14:val="tx1"/>
            </w14:solidFill>
          </w14:textFill>
        </w:rPr>
      </w:pPr>
      <w:r>
        <w:rPr>
          <w:rFonts w:hint="eastAsia" w:ascii="黑体" w:hAnsi="黑体" w:eastAsia="黑体"/>
          <w:b/>
          <w:color w:val="000000" w:themeColor="text1"/>
          <w:spacing w:val="60"/>
          <w:sz w:val="72"/>
          <w:szCs w:val="72"/>
          <w:highlight w:val="none"/>
          <w14:textFill>
            <w14:solidFill>
              <w14:schemeClr w14:val="tx1"/>
            </w14:solidFill>
          </w14:textFill>
        </w:rPr>
        <w:t>商务技术文件</w:t>
      </w:r>
    </w:p>
    <w:p>
      <w:pPr>
        <w:spacing w:afterLines="600" w:line="360" w:lineRule="auto"/>
        <w:jc w:val="center"/>
        <w:rPr>
          <w:rFonts w:ascii="黑体" w:hAnsi="黑体" w:eastAsia="黑体"/>
          <w:b/>
          <w:color w:val="000000" w:themeColor="text1"/>
          <w:szCs w:val="21"/>
          <w:highlight w:val="none"/>
          <w14:textFill>
            <w14:solidFill>
              <w14:schemeClr w14:val="tx1"/>
            </w14:solidFill>
          </w14:textFill>
        </w:rPr>
      </w:pPr>
      <w:r>
        <w:rPr>
          <w:rFonts w:hint="eastAsia" w:ascii="黑体" w:hAnsi="黑体" w:eastAsia="黑体"/>
          <w:b/>
          <w:color w:val="000000" w:themeColor="text1"/>
          <w:szCs w:val="21"/>
          <w:highlight w:val="none"/>
          <w14:textFill>
            <w14:solidFill>
              <w14:schemeClr w14:val="tx1"/>
            </w14:solidFill>
          </w14:textFill>
        </w:rPr>
        <w:t>（封面格式仅供参考）</w:t>
      </w:r>
    </w:p>
    <w:tbl>
      <w:tblPr>
        <w:tblStyle w:val="23"/>
        <w:tblW w:w="7712" w:type="dxa"/>
        <w:jc w:val="center"/>
        <w:tblLayout w:type="fixed"/>
        <w:tblCellMar>
          <w:top w:w="0" w:type="dxa"/>
          <w:left w:w="108" w:type="dxa"/>
          <w:bottom w:w="0" w:type="dxa"/>
          <w:right w:w="108" w:type="dxa"/>
        </w:tblCellMar>
      </w:tblPr>
      <w:tblGrid>
        <w:gridCol w:w="2192"/>
        <w:gridCol w:w="5520"/>
      </w:tblGrid>
      <w:tr>
        <w:tblPrEx>
          <w:tblCellMar>
            <w:top w:w="0" w:type="dxa"/>
            <w:left w:w="108" w:type="dxa"/>
            <w:bottom w:w="0" w:type="dxa"/>
            <w:right w:w="108" w:type="dxa"/>
          </w:tblCellMar>
        </w:tblPrEx>
        <w:trPr>
          <w:trHeight w:val="507"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投标单位全称：</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56"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投标单位地址：</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50" w:hRule="atLeast"/>
          <w:jc w:val="center"/>
        </w:trPr>
        <w:tc>
          <w:tcPr>
            <w:tcW w:w="2192" w:type="dxa"/>
            <w:vAlign w:val="center"/>
          </w:tcPr>
          <w:p>
            <w:pPr>
              <w:spacing w:line="360" w:lineRule="auto"/>
              <w:jc w:val="center"/>
              <w:rPr>
                <w:rFonts w:ascii="黑体" w:hAnsi="黑体" w:eastAsia="黑体"/>
                <w:color w:val="000000" w:themeColor="text1"/>
                <w:spacing w:val="-10"/>
                <w:sz w:val="24"/>
                <w:highlight w:val="none"/>
                <w14:textFill>
                  <w14:solidFill>
                    <w14:schemeClr w14:val="tx1"/>
                  </w14:solidFill>
                </w14:textFill>
              </w:rPr>
            </w:pPr>
            <w:r>
              <w:rPr>
                <w:rFonts w:hint="eastAsia" w:ascii="黑体" w:hAnsi="黑体" w:eastAsia="黑体"/>
                <w:color w:val="000000" w:themeColor="text1"/>
                <w:spacing w:val="-10"/>
                <w:sz w:val="24"/>
                <w:highlight w:val="none"/>
                <w14:textFill>
                  <w14:solidFill>
                    <w14:schemeClr w14:val="tx1"/>
                  </w14:solidFill>
                </w14:textFill>
              </w:rPr>
              <w:t>投标单位联系人：</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58"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投标单位固话：</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r>
        <w:tblPrEx>
          <w:tblCellMar>
            <w:top w:w="0" w:type="dxa"/>
            <w:left w:w="108" w:type="dxa"/>
            <w:bottom w:w="0" w:type="dxa"/>
            <w:right w:w="108" w:type="dxa"/>
          </w:tblCellMar>
        </w:tblPrEx>
        <w:trPr>
          <w:trHeight w:val="566" w:hRule="atLeast"/>
          <w:jc w:val="center"/>
        </w:trPr>
        <w:tc>
          <w:tcPr>
            <w:tcW w:w="2192" w:type="dxa"/>
            <w:vAlign w:val="center"/>
          </w:tcPr>
          <w:p>
            <w:pPr>
              <w:spacing w:line="360" w:lineRule="auto"/>
              <w:jc w:val="center"/>
              <w:rPr>
                <w:rFonts w:ascii="黑体" w:hAnsi="黑体" w:eastAsia="黑体"/>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投标单位传真：</w:t>
            </w:r>
          </w:p>
        </w:tc>
        <w:tc>
          <w:tcPr>
            <w:tcW w:w="5520" w:type="dxa"/>
            <w:vAlign w:val="center"/>
          </w:tcPr>
          <w:p>
            <w:pPr>
              <w:spacing w:line="360" w:lineRule="auto"/>
              <w:jc w:val="left"/>
              <w:rPr>
                <w:rFonts w:ascii="黑体" w:hAnsi="黑体" w:eastAsia="黑体"/>
                <w:color w:val="000000" w:themeColor="text1"/>
                <w:sz w:val="24"/>
                <w:highlight w:val="none"/>
                <w:u w:val="single"/>
                <w14:textFill>
                  <w14:solidFill>
                    <w14:schemeClr w14:val="tx1"/>
                  </w14:solidFill>
                </w14:textFill>
              </w:rPr>
            </w:pPr>
          </w:p>
        </w:tc>
      </w:tr>
    </w:tbl>
    <w:p>
      <w:pPr>
        <w:spacing w:line="360" w:lineRule="auto"/>
        <w:rPr>
          <w:rFonts w:ascii="黑体" w:hAnsi="黑体" w:eastAsia="黑体"/>
          <w:color w:val="000000" w:themeColor="text1"/>
          <w:szCs w:val="21"/>
          <w:highlight w:val="none"/>
          <w14:textFill>
            <w14:solidFill>
              <w14:schemeClr w14:val="tx1"/>
            </w14:solidFill>
          </w14:textFill>
        </w:rPr>
      </w:pPr>
    </w:p>
    <w:p>
      <w:pPr>
        <w:jc w:val="center"/>
        <w:rPr>
          <w:rFonts w:ascii="黑体" w:hAnsi="黑体" w:eastAsia="黑体"/>
          <w:b/>
          <w:color w:val="000000" w:themeColor="text1"/>
          <w:spacing w:val="40"/>
          <w:sz w:val="24"/>
          <w:highlight w:val="none"/>
          <w14:textFill>
            <w14:solidFill>
              <w14:schemeClr w14:val="tx1"/>
            </w14:solidFill>
          </w14:textFill>
        </w:rPr>
      </w:pPr>
      <w:r>
        <w:rPr>
          <w:rFonts w:hint="eastAsia" w:ascii="黑体" w:hAnsi="黑体" w:eastAsia="黑体"/>
          <w:b/>
          <w:color w:val="000000" w:themeColor="text1"/>
          <w:spacing w:val="40"/>
          <w:sz w:val="24"/>
          <w:highlight w:val="none"/>
          <w14:textFill>
            <w14:solidFill>
              <w14:schemeClr w14:val="tx1"/>
            </w14:solidFill>
          </w14:textFill>
        </w:rPr>
        <w:t>日期：二〇二〇年月日</w:t>
      </w:r>
    </w:p>
    <w:p>
      <w:pPr>
        <w:rPr>
          <w:rFonts w:ascii="黑体" w:hAnsi="黑体" w:eastAsia="黑体"/>
          <w:b/>
          <w:color w:val="000000" w:themeColor="text1"/>
          <w:spacing w:val="40"/>
          <w:sz w:val="24"/>
          <w:highlight w:val="none"/>
          <w14:textFill>
            <w14:solidFill>
              <w14:schemeClr w14:val="tx1"/>
            </w14:solidFill>
          </w14:textFill>
        </w:rPr>
      </w:pPr>
      <w:r>
        <w:rPr>
          <w:rFonts w:hint="eastAsia" w:ascii="黑体" w:hAnsi="黑体" w:eastAsia="黑体"/>
          <w:b/>
          <w:color w:val="000000" w:themeColor="text1"/>
          <w:spacing w:val="40"/>
          <w:sz w:val="24"/>
          <w:highlight w:val="none"/>
          <w14:textFill>
            <w14:solidFill>
              <w14:schemeClr w14:val="tx1"/>
            </w14:solidFill>
          </w14:textFill>
        </w:rPr>
        <w:br w:type="page"/>
      </w:r>
      <w:bookmarkStart w:id="261" w:name="_Toc6005"/>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rPr>
          <w:rFonts w:ascii="黑体" w:hAnsi="黑体" w:eastAsia="黑体"/>
          <w:b/>
          <w:color w:val="000000" w:themeColor="text1"/>
          <w:spacing w:val="40"/>
          <w:sz w:val="24"/>
          <w:highlight w:val="none"/>
          <w14:textFill>
            <w14:solidFill>
              <w14:schemeClr w14:val="tx1"/>
            </w14:solidFill>
          </w14:textFill>
        </w:rPr>
      </w:pPr>
    </w:p>
    <w:p>
      <w:pPr>
        <w:pStyle w:val="4"/>
        <w:rPr>
          <w:rFonts w:ascii="宋体" w:hAnsi="宋体" w:eastAsia="宋体"/>
          <w:color w:val="000000" w:themeColor="text1"/>
          <w:sz w:val="50"/>
          <w:szCs w:val="50"/>
          <w:highlight w:val="none"/>
          <w14:textFill>
            <w14:solidFill>
              <w14:schemeClr w14:val="tx1"/>
            </w14:solidFill>
          </w14:textFill>
        </w:rPr>
      </w:pPr>
      <w:bookmarkStart w:id="262" w:name="_Toc6536"/>
      <w:bookmarkStart w:id="263" w:name="_Toc19508"/>
      <w:r>
        <w:rPr>
          <w:rFonts w:hint="eastAsia" w:ascii="宋体" w:hAnsi="宋体" w:eastAsia="宋体"/>
          <w:color w:val="000000" w:themeColor="text1"/>
          <w:sz w:val="50"/>
          <w:szCs w:val="50"/>
          <w:highlight w:val="none"/>
          <w14:textFill>
            <w14:solidFill>
              <w14:schemeClr w14:val="tx1"/>
            </w14:solidFill>
          </w14:textFill>
        </w:rPr>
        <w:t>第一章   商务文件</w:t>
      </w:r>
      <w:bookmarkEnd w:id="261"/>
      <w:bookmarkEnd w:id="262"/>
      <w:bookmarkEnd w:id="263"/>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（一）投标函</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致：广东中凯工程管理咨询有限公司</w:t>
      </w:r>
    </w:p>
    <w:p>
      <w:pPr>
        <w:pStyle w:val="33"/>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本公司确认收到贵公司提供的</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采购项目 （采购编号：</w:t>
      </w:r>
      <w:r>
        <w:rPr>
          <w:rFonts w:hint="eastAsia" w:ascii="宋体" w:eastAsia="宋体"/>
          <w:color w:val="000000" w:themeColor="text1"/>
          <w:sz w:val="22"/>
          <w:szCs w:val="22"/>
          <w:highlight w:val="none"/>
          <w:u w:val="single"/>
          <w14:textFill>
            <w14:solidFill>
              <w14:schemeClr w14:val="tx1"/>
            </w14:solidFill>
          </w14:textFill>
        </w:rPr>
        <w:t>　　</w:t>
      </w:r>
      <w:r>
        <w:rPr>
          <w:rFonts w:hint="eastAsia" w:ascii="宋体" w:eastAsia="宋体"/>
          <w:color w:val="000000" w:themeColor="text1"/>
          <w:sz w:val="22"/>
          <w:szCs w:val="22"/>
          <w:highlight w:val="none"/>
          <w14:textFill>
            <w14:solidFill>
              <w14:schemeClr w14:val="tx1"/>
            </w14:solidFill>
          </w14:textFill>
        </w:rPr>
        <w:t>） 招标的货物及相关服务的招标文件的全部内容。本公司：</w:t>
      </w:r>
      <w:r>
        <w:rPr>
          <w:rFonts w:hint="eastAsia" w:ascii="宋体" w:eastAsia="宋体"/>
          <w:color w:val="000000" w:themeColor="text1"/>
          <w:sz w:val="22"/>
          <w:szCs w:val="22"/>
          <w:highlight w:val="none"/>
          <w:u w:val="single"/>
          <w14:textFill>
            <w14:solidFill>
              <w14:schemeClr w14:val="tx1"/>
            </w14:solidFill>
          </w14:textFill>
        </w:rPr>
        <w:t>（投标人名称）</w:t>
      </w:r>
      <w:r>
        <w:rPr>
          <w:rFonts w:hint="eastAsia" w:ascii="宋体" w:eastAsia="宋体"/>
          <w:color w:val="000000" w:themeColor="text1"/>
          <w:sz w:val="22"/>
          <w:szCs w:val="22"/>
          <w:highlight w:val="none"/>
          <w14:textFill>
            <w14:solidFill>
              <w14:schemeClr w14:val="tx1"/>
            </w14:solidFill>
          </w14:textFill>
        </w:rPr>
        <w:t>作为投标人正式委托</w:t>
      </w:r>
      <w:r>
        <w:rPr>
          <w:rFonts w:hint="eastAsia" w:ascii="宋体" w:eastAsia="宋体"/>
          <w:color w:val="000000" w:themeColor="text1"/>
          <w:sz w:val="22"/>
          <w:szCs w:val="22"/>
          <w:highlight w:val="none"/>
          <w:u w:val="single"/>
          <w14:textFill>
            <w14:solidFill>
              <w14:schemeClr w14:val="tx1"/>
            </w14:solidFill>
          </w14:textFill>
        </w:rPr>
        <w:t>　　　　</w:t>
      </w:r>
      <w:r>
        <w:rPr>
          <w:rFonts w:hint="eastAsia" w:ascii="宋体" w:eastAsia="宋体"/>
          <w:color w:val="000000" w:themeColor="text1"/>
          <w:sz w:val="22"/>
          <w:szCs w:val="22"/>
          <w:highlight w:val="none"/>
          <w14:textFill>
            <w14:solidFill>
              <w14:schemeClr w14:val="tx1"/>
            </w14:solidFill>
          </w14:textFill>
        </w:rPr>
        <w:t>（授权代表全名，职务）代表本公司进行有关本项目投标的一切事宜。</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本公司在参与投标前已详细研究了招标文件的所有内容，包括澄清、修改文件（如果有）和所有已提供的参考资料以及有关附件，本公司完全明白并认为此招标文件没有倾向性，也不存在排斥潜在投标人的内容，本公司同意招标文件的相关条款，放弃对招标文件提出误解和质疑的一切权力。</w:t>
      </w:r>
    </w:p>
    <w:p>
      <w:pPr>
        <w:pStyle w:val="33"/>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在此提交的投标文件，正本</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套、副本</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套和唱标信封</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份。</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本公司已完全明白招标文件的所有条款要求，并申明如下：</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1、按招标文件提供的全部货物与相关服务的投标总报价详见《开标一览表》。</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2、本投标文件的有效期为投标截止时间起90天。如中标，有效期将延至合同终止日为止。在此提交的资格证明文件均至投标截止日有效，如有在投标有效期内失效的，本公司承诺在中标后补齐一切手续，保证所有资格证明文件能在签订采购合同时直至采购合同终止日有效。</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3、本公司明白并同意，在规定的开标日之后，投标有效期之内撤回投标或中标后不按规定与采购人签订合同或不提交履约保证金, 则贵公司将不予退还投标保证金。</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4、本公司同意按照贵公司可能提出的要求而提供与投标有关的任何其它数据、信息或资料。</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5、本公司理解贵公司不一定接受最低投标价或贵公司可能收到的投标。</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6、本公司如果中标，将保证履行招标文件及其澄清、修改文件（如果有）中的全部责任和义务，按质、按量、按期完成《采购需求书》及《合同书》中的全部任务。</w:t>
      </w:r>
    </w:p>
    <w:p>
      <w:pPr>
        <w:pStyle w:val="11"/>
        <w:tabs>
          <w:tab w:val="left" w:pos="9360"/>
        </w:tabs>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7、本公司依法注册，在法律、财务和运作上独立于采购人、采购代理机构的投标人，在此保证所提交的所有文件和全部说明是真实的和正确的。</w:t>
      </w:r>
    </w:p>
    <w:p>
      <w:pPr>
        <w:spacing w:line="600" w:lineRule="exact"/>
        <w:ind w:firstLine="376" w:firstLineChars="171"/>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8、本公司投标报价已包含应向知识产权所有权人支付的所有相关税费，并保证采购人在中国使用本公司提供的货物或服务时，如有第三方提出侵犯其知识产权主张的，责任由本公司承担。 </w:t>
      </w:r>
    </w:p>
    <w:p>
      <w:pPr>
        <w:spacing w:line="600" w:lineRule="exact"/>
        <w:ind w:firstLine="376" w:firstLineChars="171"/>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9、本公司具备《中华人民共和国政府采购法》第二十二条规定的条件。</w:t>
      </w:r>
    </w:p>
    <w:p>
      <w:pPr>
        <w:pStyle w:val="11"/>
        <w:spacing w:line="600" w:lineRule="exact"/>
        <w:ind w:firstLine="440" w:firstLineChars="200"/>
        <w:rPr>
          <w:rFonts w:hAnsi="宋体"/>
          <w:color w:val="000000" w:themeColor="text1"/>
          <w:sz w:val="22"/>
          <w:szCs w:val="22"/>
          <w:highlight w:val="none"/>
          <w14:textFill>
            <w14:solidFill>
              <w14:schemeClr w14:val="tx1"/>
            </w14:solidFill>
          </w14:textFill>
        </w:rPr>
      </w:pPr>
      <w:r>
        <w:rPr>
          <w:rFonts w:hint="eastAsia" w:hAnsi="宋体"/>
          <w:color w:val="000000" w:themeColor="text1"/>
          <w:sz w:val="22"/>
          <w:szCs w:val="22"/>
          <w:highlight w:val="none"/>
          <w14:textFill>
            <w14:solidFill>
              <w14:schemeClr w14:val="tx1"/>
            </w14:solidFill>
          </w14:textFill>
        </w:rPr>
        <w:t>10、本公司对在本函及投标文件中所作的所有承诺承担法律责任。</w:t>
      </w:r>
    </w:p>
    <w:p>
      <w:pPr>
        <w:pStyle w:val="33"/>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11、所有与本次采购有关的函件请发往下列地址：</w:t>
      </w:r>
    </w:p>
    <w:p>
      <w:pPr>
        <w:spacing w:line="600" w:lineRule="exact"/>
        <w:rPr>
          <w:rFonts w:ascii="宋体" w:hAnsi="宋体"/>
          <w:color w:val="000000" w:themeColor="text1"/>
          <w:sz w:val="22"/>
          <w:szCs w:val="22"/>
          <w:highlight w:val="none"/>
          <w14:textFill>
            <w14:solidFill>
              <w14:schemeClr w14:val="tx1"/>
            </w14:solidFill>
          </w14:textFill>
        </w:rPr>
      </w:pP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地  　址：　　　　　　　　　　　邮政编码：　　　　　</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联系人：</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联系电话：　　　　　　　　　　  传　　真：　　　　　　</w:t>
      </w:r>
    </w:p>
    <w:p>
      <w:pPr>
        <w:spacing w:line="600" w:lineRule="exact"/>
        <w:rPr>
          <w:rFonts w:ascii="宋体" w:hAnsi="宋体"/>
          <w:color w:val="000000" w:themeColor="text1"/>
          <w:sz w:val="22"/>
          <w:szCs w:val="22"/>
          <w:highlight w:val="none"/>
          <w14:textFill>
            <w14:solidFill>
              <w14:schemeClr w14:val="tx1"/>
            </w14:solidFill>
          </w14:textFill>
        </w:rPr>
      </w:pPr>
    </w:p>
    <w:p>
      <w:pPr>
        <w:spacing w:line="600" w:lineRule="exact"/>
        <w:rPr>
          <w:rFonts w:ascii="宋体" w:hAnsi="宋体"/>
          <w:color w:val="000000" w:themeColor="text1"/>
          <w:sz w:val="22"/>
          <w:szCs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9"/>
        <w:spacing w:after="0" w:line="600" w:lineRule="exact"/>
        <w:rPr>
          <w:rFonts w:ascii="宋体" w:hAnsi="宋体"/>
          <w:color w:val="000000" w:themeColor="text1"/>
          <w:sz w:val="28"/>
          <w:highlight w:val="none"/>
          <w14:textFill>
            <w14:solidFill>
              <w14:schemeClr w14:val="tx1"/>
            </w14:solidFill>
          </w14:textFill>
        </w:rPr>
      </w:pPr>
    </w:p>
    <w:p>
      <w:pPr>
        <w:pStyle w:val="9"/>
        <w:spacing w:after="0" w:line="600" w:lineRule="exact"/>
        <w:rPr>
          <w:rFonts w:ascii="宋体" w:hAnsi="宋体"/>
          <w:color w:val="000000" w:themeColor="text1"/>
          <w:sz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bookmarkStart w:id="264" w:name="_Toc210188796"/>
      <w:bookmarkStart w:id="265" w:name="_Toc88985367"/>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（二）资格证明文件</w:t>
      </w: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1.法定代表人身份证明书</w:t>
      </w:r>
    </w:p>
    <w:p>
      <w:pPr>
        <w:spacing w:beforeLines="100" w:afterLines="50" w:line="360" w:lineRule="auto"/>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致：广东中凯工程管理咨询有限公司</w:t>
      </w:r>
    </w:p>
    <w:p>
      <w:pPr>
        <w:pStyle w:val="33"/>
        <w:spacing w:line="420" w:lineRule="atLeas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 xml:space="preserve">投标人名称: </w:t>
      </w:r>
    </w:p>
    <w:p>
      <w:pPr>
        <w:pStyle w:val="33"/>
        <w:spacing w:line="420" w:lineRule="atLeas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单 位 性质：</w:t>
      </w:r>
    </w:p>
    <w:p>
      <w:pPr>
        <w:pStyle w:val="33"/>
        <w:spacing w:line="420" w:lineRule="atLeas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地      址：</w:t>
      </w:r>
    </w:p>
    <w:p>
      <w:pPr>
        <w:pStyle w:val="33"/>
        <w:spacing w:line="420" w:lineRule="atLeas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成 立 时间：年月日</w:t>
      </w:r>
    </w:p>
    <w:p>
      <w:pPr>
        <w:pStyle w:val="33"/>
        <w:spacing w:line="420" w:lineRule="atLeas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经 营 期限：</w:t>
      </w:r>
    </w:p>
    <w:p>
      <w:pPr>
        <w:pStyle w:val="33"/>
        <w:spacing w:line="420" w:lineRule="atLeas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姓名：性别：年龄：职务：</w:t>
      </w:r>
    </w:p>
    <w:p>
      <w:pPr>
        <w:pStyle w:val="33"/>
        <w:spacing w:line="420" w:lineRule="atLeast"/>
        <w:ind w:firstLine="453"/>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系</w:t>
      </w:r>
      <w:r>
        <w:rPr>
          <w:rFonts w:hint="eastAsia" w:ascii="宋体" w:eastAsia="宋体"/>
          <w:color w:val="000000" w:themeColor="text1"/>
          <w:sz w:val="22"/>
          <w:szCs w:val="22"/>
          <w:highlight w:val="none"/>
          <w:u w:val="single"/>
          <w14:textFill>
            <w14:solidFill>
              <w14:schemeClr w14:val="tx1"/>
            </w14:solidFill>
          </w14:textFill>
        </w:rPr>
        <w:t>（投标人名称）</w:t>
      </w:r>
      <w:r>
        <w:rPr>
          <w:rFonts w:hint="eastAsia" w:ascii="宋体" w:eastAsia="宋体"/>
          <w:color w:val="000000" w:themeColor="text1"/>
          <w:sz w:val="22"/>
          <w:szCs w:val="22"/>
          <w:highlight w:val="none"/>
          <w14:textFill>
            <w14:solidFill>
              <w14:schemeClr w14:val="tx1"/>
            </w14:solidFill>
          </w14:textFill>
        </w:rPr>
        <w:t>的法定代表人。</w:t>
      </w:r>
    </w:p>
    <w:p>
      <w:pPr>
        <w:spacing w:line="420" w:lineRule="atLeast"/>
        <w:ind w:firstLine="440" w:firstLineChars="20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特此证明。</w:t>
      </w:r>
    </w:p>
    <w:p>
      <w:pPr>
        <w:spacing w:line="600" w:lineRule="exact"/>
        <w:rPr>
          <w:rFonts w:ascii="宋体" w:hAnsi="宋体"/>
          <w:color w:val="000000" w:themeColor="text1"/>
          <w:sz w:val="28"/>
          <w:highlight w:val="none"/>
          <w14:textFill>
            <w14:solidFill>
              <w14:schemeClr w14:val="tx1"/>
            </w14:solidFill>
          </w14:textFill>
        </w:rPr>
      </w:pPr>
    </w:p>
    <w:p>
      <w:pPr>
        <w:pStyle w:val="33"/>
        <w:spacing w:line="420" w:lineRule="exact"/>
        <w:ind w:firstLine="3685" w:firstLineChars="167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投标人名称（加盖公章）</w:t>
      </w:r>
    </w:p>
    <w:p>
      <w:pPr>
        <w:pStyle w:val="33"/>
        <w:spacing w:line="420" w:lineRule="exact"/>
        <w:ind w:firstLine="3685" w:firstLineChars="167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法定代表人（签名或盖私章）：</w:t>
      </w:r>
    </w:p>
    <w:p>
      <w:pPr>
        <w:pStyle w:val="33"/>
        <w:spacing w:line="420" w:lineRule="exact"/>
        <w:ind w:firstLine="3685" w:firstLineChars="1675"/>
        <w:rPr>
          <w:rFonts w:ascii="宋体" w:eastAsia="宋体"/>
          <w:color w:val="000000" w:themeColor="text1"/>
          <w:sz w:val="22"/>
          <w:szCs w:val="22"/>
          <w:highlight w:val="none"/>
          <w:u w:val="singl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身份证号码：</w:t>
      </w:r>
    </w:p>
    <w:p>
      <w:pPr>
        <w:pStyle w:val="33"/>
        <w:spacing w:line="500" w:lineRule="atLeast"/>
        <w:ind w:firstLine="3674" w:firstLineChars="167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日      期：年月日</w:t>
      </w:r>
    </w:p>
    <w:p>
      <w:pPr>
        <w:spacing w:line="600" w:lineRule="exact"/>
        <w:rPr>
          <w:rFonts w:ascii="宋体" w:hAnsi="宋体"/>
          <w:color w:val="000000" w:themeColor="text1"/>
          <w:sz w:val="28"/>
          <w:highlight w:val="none"/>
          <w14:textFill>
            <w14:solidFill>
              <w14:schemeClr w14:val="tx1"/>
            </w14:solidFill>
          </w14:textFill>
        </w:rPr>
      </w:pPr>
    </w:p>
    <w:p>
      <w:pPr>
        <w:spacing w:line="420" w:lineRule="atLeast"/>
        <w:ind w:firstLine="442" w:firstLineChars="200"/>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须附：法定代表人身份证复印件</w:t>
      </w:r>
    </w:p>
    <w:p>
      <w:pPr>
        <w:spacing w:line="420" w:lineRule="atLeast"/>
        <w:ind w:firstLine="482" w:firstLineChars="200"/>
        <w:rPr>
          <w:rFonts w:ascii="宋体"/>
          <w:b/>
          <w:color w:val="000000" w:themeColor="text1"/>
          <w:sz w:val="24"/>
          <w:highlight w:val="none"/>
          <w14:textFill>
            <w14:solidFill>
              <w14:schemeClr w14:val="tx1"/>
            </w14:solidFill>
          </w14:textFill>
        </w:rPr>
      </w:pPr>
    </w:p>
    <w:tbl>
      <w:tblPr>
        <w:tblStyle w:val="23"/>
        <w:tblW w:w="83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182"/>
        <w:gridCol w:w="418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17" w:hRule="atLeast"/>
          <w:jc w:val="center"/>
        </w:trPr>
        <w:tc>
          <w:tcPr>
            <w:tcW w:w="4182" w:type="dxa"/>
            <w:vAlign w:val="center"/>
          </w:tcPr>
          <w:p>
            <w:pPr>
              <w:pStyle w:val="33"/>
              <w:spacing w:line="460" w:lineRule="exact"/>
              <w:ind w:firstLine="0" w:firstLineChars="0"/>
              <w:jc w:val="center"/>
              <w:rPr>
                <w:rFonts w:ascii="宋体" w:eastAsia="宋体"/>
                <w:color w:val="000000" w:themeColor="text1"/>
                <w:kern w:val="0"/>
                <w:sz w:val="22"/>
                <w:szCs w:val="22"/>
                <w:highlight w:val="none"/>
                <w14:textFill>
                  <w14:solidFill>
                    <w14:schemeClr w14:val="tx1"/>
                  </w14:solidFill>
                </w14:textFill>
              </w:rPr>
            </w:pPr>
            <w:r>
              <w:rPr>
                <w:rFonts w:hint="eastAsia" w:ascii="宋体" w:eastAsia="宋体"/>
                <w:color w:val="000000" w:themeColor="text1"/>
                <w:kern w:val="0"/>
                <w:sz w:val="22"/>
                <w:szCs w:val="22"/>
                <w:highlight w:val="none"/>
                <w14:textFill>
                  <w14:solidFill>
                    <w14:schemeClr w14:val="tx1"/>
                  </w14:solidFill>
                </w14:textFill>
              </w:rPr>
              <w:t>正面</w:t>
            </w:r>
          </w:p>
        </w:tc>
        <w:tc>
          <w:tcPr>
            <w:tcW w:w="4182" w:type="dxa"/>
            <w:vAlign w:val="center"/>
          </w:tcPr>
          <w:p>
            <w:pPr>
              <w:pStyle w:val="33"/>
              <w:spacing w:line="460" w:lineRule="exact"/>
              <w:ind w:firstLine="0" w:firstLineChars="0"/>
              <w:jc w:val="center"/>
              <w:rPr>
                <w:rFonts w:ascii="宋体" w:eastAsia="宋体"/>
                <w:color w:val="000000" w:themeColor="text1"/>
                <w:kern w:val="0"/>
                <w:sz w:val="22"/>
                <w:szCs w:val="22"/>
                <w:highlight w:val="none"/>
                <w14:textFill>
                  <w14:solidFill>
                    <w14:schemeClr w14:val="tx1"/>
                  </w14:solidFill>
                </w14:textFill>
              </w:rPr>
            </w:pPr>
            <w:r>
              <w:rPr>
                <w:rFonts w:hint="eastAsia" w:ascii="宋体" w:eastAsia="宋体"/>
                <w:color w:val="000000" w:themeColor="text1"/>
                <w:kern w:val="0"/>
                <w:sz w:val="22"/>
                <w:szCs w:val="22"/>
                <w:highlight w:val="none"/>
                <w14:textFill>
                  <w14:solidFill>
                    <w14:schemeClr w14:val="tx1"/>
                  </w14:solidFill>
                </w14:textFill>
              </w:rPr>
              <w:t>背面</w:t>
            </w:r>
          </w:p>
        </w:tc>
      </w:tr>
    </w:tbl>
    <w:p>
      <w:pPr>
        <w:spacing w:line="600" w:lineRule="exact"/>
        <w:rPr>
          <w:rFonts w:ascii="宋体" w:hAnsi="宋体"/>
          <w:color w:val="000000" w:themeColor="text1"/>
          <w:sz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bookmarkStart w:id="266" w:name="_Toc210188797"/>
      <w:bookmarkStart w:id="267" w:name="_Toc88985368"/>
      <w:r>
        <w:rPr>
          <w:rFonts w:hint="eastAsia"/>
          <w:b/>
          <w:color w:val="000000" w:themeColor="text1"/>
          <w:sz w:val="28"/>
          <w:szCs w:val="28"/>
          <w:highlight w:val="none"/>
          <w14:textFill>
            <w14:solidFill>
              <w14:schemeClr w14:val="tx1"/>
            </w14:solidFill>
          </w14:textFill>
        </w:rPr>
        <w:t>2.法定代表人授权委托书</w:t>
      </w:r>
      <w:bookmarkEnd w:id="266"/>
      <w:bookmarkEnd w:id="267"/>
    </w:p>
    <w:p>
      <w:pPr>
        <w:spacing w:beforeLines="150" w:afterLines="100" w:line="360" w:lineRule="auto"/>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致：广东中凯工程管理咨询有限公司</w:t>
      </w:r>
    </w:p>
    <w:p>
      <w:pPr>
        <w:pStyle w:val="33"/>
        <w:spacing w:line="360" w:lineRule="auto"/>
        <w:ind w:firstLine="45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本人</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i/>
          <w:color w:val="000000" w:themeColor="text1"/>
          <w:sz w:val="22"/>
          <w:szCs w:val="22"/>
          <w:highlight w:val="none"/>
          <w:u w:val="single"/>
          <w14:textFill>
            <w14:solidFill>
              <w14:schemeClr w14:val="tx1"/>
            </w14:solidFill>
          </w14:textFill>
        </w:rPr>
        <w:t>姓名</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系</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i/>
          <w:color w:val="000000" w:themeColor="text1"/>
          <w:sz w:val="22"/>
          <w:szCs w:val="22"/>
          <w:highlight w:val="none"/>
          <w:u w:val="single"/>
          <w14:textFill>
            <w14:solidFill>
              <w14:schemeClr w14:val="tx1"/>
            </w14:solidFill>
          </w14:textFill>
        </w:rPr>
        <w:t>投标人名称</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的法定代表人，现委托</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i/>
          <w:color w:val="000000" w:themeColor="text1"/>
          <w:sz w:val="22"/>
          <w:szCs w:val="22"/>
          <w:highlight w:val="none"/>
          <w:u w:val="single"/>
          <w14:textFill>
            <w14:solidFill>
              <w14:schemeClr w14:val="tx1"/>
            </w14:solidFill>
          </w14:textFill>
        </w:rPr>
        <w:t>姓名</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为我方合法代理人。代理人根据授权，以我方名义签署、澄清、说明、补正、递交、撤回、修改</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i/>
          <w:color w:val="000000" w:themeColor="text1"/>
          <w:sz w:val="22"/>
          <w:szCs w:val="22"/>
          <w:highlight w:val="none"/>
          <w:u w:val="single"/>
          <w14:textFill>
            <w14:solidFill>
              <w14:schemeClr w14:val="tx1"/>
            </w14:solidFill>
          </w14:textFill>
        </w:rPr>
        <w:t>项目名称</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（项目编号：</w:t>
      </w:r>
      <w:r>
        <w:rPr>
          <w:rFonts w:hint="eastAsia" w:ascii="宋体" w:eastAsia="宋体"/>
          <w:color w:val="000000" w:themeColor="text1"/>
          <w:sz w:val="22"/>
          <w:szCs w:val="22"/>
          <w:highlight w:val="none"/>
          <w:u w:val="single"/>
          <w14:textFill>
            <w14:solidFill>
              <w14:schemeClr w14:val="tx1"/>
            </w14:solidFill>
          </w14:textFill>
        </w:rPr>
        <w:t>　　     　</w:t>
      </w:r>
      <w:r>
        <w:rPr>
          <w:rFonts w:hint="eastAsia" w:ascii="宋体" w:eastAsia="宋体"/>
          <w:color w:val="000000" w:themeColor="text1"/>
          <w:sz w:val="22"/>
          <w:szCs w:val="22"/>
          <w:highlight w:val="none"/>
          <w14:textFill>
            <w14:solidFill>
              <w14:schemeClr w14:val="tx1"/>
            </w14:solidFill>
          </w14:textFill>
        </w:rPr>
        <w:t>）投标文件、签订合同和处理有关事宜，其法律后果由我方承担。</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本委托书于</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年</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月</w:t>
      </w:r>
      <w:r>
        <w:rPr>
          <w:rFonts w:hint="eastAsia" w:ascii="宋体" w:eastAsia="宋体"/>
          <w:color w:val="000000" w:themeColor="text1"/>
          <w:sz w:val="22"/>
          <w:szCs w:val="22"/>
          <w:highlight w:val="none"/>
          <w:u w:val="single"/>
          <w14:textFill>
            <w14:solidFill>
              <w14:schemeClr w14:val="tx1"/>
            </w14:solidFill>
          </w14:textFill>
        </w:rPr>
        <w:t xml:space="preserve">　 </w:t>
      </w:r>
      <w:r>
        <w:rPr>
          <w:rFonts w:hint="eastAsia" w:ascii="宋体" w:eastAsia="宋体"/>
          <w:color w:val="000000" w:themeColor="text1"/>
          <w:sz w:val="22"/>
          <w:szCs w:val="22"/>
          <w:highlight w:val="none"/>
          <w14:textFill>
            <w14:solidFill>
              <w14:schemeClr w14:val="tx1"/>
            </w14:solidFill>
          </w14:textFill>
        </w:rPr>
        <w:t>日签字生效，特此证明。</w:t>
      </w:r>
    </w:p>
    <w:p>
      <w:pPr>
        <w:pStyle w:val="33"/>
        <w:spacing w:line="360" w:lineRule="auto"/>
        <w:ind w:firstLine="448" w:firstLineChars="20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受委托人无转委托权。</w:t>
      </w:r>
    </w:p>
    <w:p>
      <w:pPr>
        <w:pStyle w:val="33"/>
        <w:spacing w:line="360" w:lineRule="auto"/>
        <w:ind w:firstLine="0" w:firstLineChars="0"/>
        <w:rPr>
          <w:rFonts w:ascii="宋体" w:eastAsia="宋体"/>
          <w:color w:val="000000" w:themeColor="text1"/>
          <w:sz w:val="22"/>
          <w:szCs w:val="22"/>
          <w:highlight w:val="none"/>
          <w14:textFill>
            <w14:solidFill>
              <w14:schemeClr w14:val="tx1"/>
            </w14:solidFill>
          </w14:textFill>
        </w:rPr>
      </w:pPr>
    </w:p>
    <w:p>
      <w:pPr>
        <w:pStyle w:val="33"/>
        <w:spacing w:line="360" w:lineRule="auto"/>
        <w:ind w:firstLine="0" w:firstLineChars="0"/>
        <w:rPr>
          <w:rFonts w:ascii="宋体" w:eastAsia="宋体"/>
          <w:color w:val="000000" w:themeColor="text1"/>
          <w:sz w:val="22"/>
          <w:szCs w:val="22"/>
          <w:highlight w:val="none"/>
          <w14:textFill>
            <w14:solidFill>
              <w14:schemeClr w14:val="tx1"/>
            </w14:solidFill>
          </w14:textFill>
        </w:rPr>
      </w:pPr>
    </w:p>
    <w:p>
      <w:pPr>
        <w:pStyle w:val="33"/>
        <w:spacing w:line="420" w:lineRule="exact"/>
        <w:ind w:firstLine="3685" w:firstLineChars="167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投标人名称（加盖公章）</w:t>
      </w:r>
    </w:p>
    <w:p>
      <w:pPr>
        <w:pStyle w:val="33"/>
        <w:spacing w:line="420" w:lineRule="exact"/>
        <w:ind w:firstLine="3685" w:firstLineChars="167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法定代表人（签名或盖私章）：</w:t>
      </w:r>
    </w:p>
    <w:p>
      <w:pPr>
        <w:pStyle w:val="33"/>
        <w:spacing w:line="420" w:lineRule="exact"/>
        <w:ind w:firstLine="3685" w:firstLineChars="167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身份证号码：</w:t>
      </w:r>
    </w:p>
    <w:p>
      <w:pPr>
        <w:pStyle w:val="33"/>
        <w:spacing w:line="420" w:lineRule="exact"/>
        <w:ind w:firstLine="3685" w:firstLineChars="1675"/>
        <w:rPr>
          <w:rFonts w:ascii="宋体" w:eastAsia="宋体"/>
          <w:color w:val="000000" w:themeColor="text1"/>
          <w:sz w:val="22"/>
          <w:szCs w:val="22"/>
          <w:highlight w:val="none"/>
          <w14:textFill>
            <w14:solidFill>
              <w14:schemeClr w14:val="tx1"/>
            </w14:solidFill>
          </w14:textFill>
        </w:rPr>
      </w:pPr>
    </w:p>
    <w:p>
      <w:pPr>
        <w:pStyle w:val="33"/>
        <w:spacing w:line="420" w:lineRule="exact"/>
        <w:ind w:firstLine="3685" w:firstLineChars="1675"/>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受托代理人（签名或盖私章）：</w:t>
      </w:r>
    </w:p>
    <w:p>
      <w:pPr>
        <w:pStyle w:val="33"/>
        <w:spacing w:line="420" w:lineRule="exact"/>
        <w:ind w:firstLine="3685" w:firstLineChars="1675"/>
        <w:rPr>
          <w:rFonts w:ascii="宋体" w:eastAsia="宋体"/>
          <w:color w:val="000000" w:themeColor="text1"/>
          <w:sz w:val="22"/>
          <w:szCs w:val="22"/>
          <w:highlight w:val="none"/>
          <w:u w:val="singl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身份证号码：</w:t>
      </w:r>
    </w:p>
    <w:p>
      <w:pPr>
        <w:pStyle w:val="33"/>
        <w:spacing w:line="460" w:lineRule="exact"/>
        <w:ind w:firstLine="3674" w:firstLineChars="167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日      期：年月日</w:t>
      </w:r>
    </w:p>
    <w:p>
      <w:pPr>
        <w:pStyle w:val="33"/>
        <w:ind w:firstLine="577"/>
        <w:rPr>
          <w:rFonts w:ascii="宋体" w:eastAsia="宋体"/>
          <w:color w:val="000000" w:themeColor="text1"/>
          <w:sz w:val="28"/>
          <w:highlight w:val="none"/>
          <w14:textFill>
            <w14:solidFill>
              <w14:schemeClr w14:val="tx1"/>
            </w14:solidFill>
          </w14:textFill>
        </w:rPr>
      </w:pPr>
    </w:p>
    <w:p>
      <w:pPr>
        <w:spacing w:line="420" w:lineRule="atLeast"/>
        <w:ind w:firstLine="442" w:firstLineChars="200"/>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须附：授权代理人身份证复印件</w:t>
      </w:r>
    </w:p>
    <w:p>
      <w:pPr>
        <w:spacing w:line="420" w:lineRule="atLeast"/>
        <w:ind w:firstLine="440" w:firstLineChars="200"/>
        <w:rPr>
          <w:rFonts w:ascii="宋体" w:hAnsi="宋体"/>
          <w:color w:val="000000" w:themeColor="text1"/>
          <w:sz w:val="22"/>
          <w:highlight w:val="none"/>
          <w14:textFill>
            <w14:solidFill>
              <w14:schemeClr w14:val="tx1"/>
            </w14:solidFill>
          </w14:textFill>
        </w:rPr>
      </w:pPr>
    </w:p>
    <w:tbl>
      <w:tblPr>
        <w:tblStyle w:val="23"/>
        <w:tblW w:w="8464"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232"/>
        <w:gridCol w:w="423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661" w:hRule="atLeast"/>
          <w:jc w:val="center"/>
        </w:trPr>
        <w:tc>
          <w:tcPr>
            <w:tcW w:w="4232" w:type="dxa"/>
            <w:vAlign w:val="center"/>
          </w:tcPr>
          <w:p>
            <w:pPr>
              <w:pStyle w:val="33"/>
              <w:spacing w:line="460" w:lineRule="exact"/>
              <w:ind w:firstLine="0" w:firstLineChars="0"/>
              <w:jc w:val="center"/>
              <w:rPr>
                <w:rFonts w:ascii="宋体" w:eastAsia="宋体"/>
                <w:color w:val="000000" w:themeColor="text1"/>
                <w:kern w:val="0"/>
                <w:sz w:val="22"/>
                <w:szCs w:val="22"/>
                <w:highlight w:val="none"/>
                <w14:textFill>
                  <w14:solidFill>
                    <w14:schemeClr w14:val="tx1"/>
                  </w14:solidFill>
                </w14:textFill>
              </w:rPr>
            </w:pPr>
            <w:r>
              <w:rPr>
                <w:rFonts w:hint="eastAsia" w:ascii="宋体" w:eastAsia="宋体"/>
                <w:color w:val="000000" w:themeColor="text1"/>
                <w:kern w:val="0"/>
                <w:sz w:val="22"/>
                <w:szCs w:val="22"/>
                <w:highlight w:val="none"/>
                <w14:textFill>
                  <w14:solidFill>
                    <w14:schemeClr w14:val="tx1"/>
                  </w14:solidFill>
                </w14:textFill>
              </w:rPr>
              <w:t>正面</w:t>
            </w:r>
          </w:p>
        </w:tc>
        <w:tc>
          <w:tcPr>
            <w:tcW w:w="4232" w:type="dxa"/>
            <w:vAlign w:val="center"/>
          </w:tcPr>
          <w:p>
            <w:pPr>
              <w:pStyle w:val="33"/>
              <w:spacing w:line="460" w:lineRule="exact"/>
              <w:ind w:firstLine="0" w:firstLineChars="0"/>
              <w:jc w:val="center"/>
              <w:rPr>
                <w:rFonts w:ascii="宋体" w:eastAsia="宋体"/>
                <w:color w:val="000000" w:themeColor="text1"/>
                <w:kern w:val="0"/>
                <w:sz w:val="22"/>
                <w:szCs w:val="22"/>
                <w:highlight w:val="none"/>
                <w14:textFill>
                  <w14:solidFill>
                    <w14:schemeClr w14:val="tx1"/>
                  </w14:solidFill>
                </w14:textFill>
              </w:rPr>
            </w:pPr>
            <w:r>
              <w:rPr>
                <w:rFonts w:hint="eastAsia" w:ascii="宋体" w:eastAsia="宋体"/>
                <w:color w:val="000000" w:themeColor="text1"/>
                <w:kern w:val="0"/>
                <w:sz w:val="22"/>
                <w:szCs w:val="22"/>
                <w:highlight w:val="none"/>
                <w14:textFill>
                  <w14:solidFill>
                    <w14:schemeClr w14:val="tx1"/>
                  </w14:solidFill>
                </w14:textFill>
              </w:rPr>
              <w:t>背面</w:t>
            </w:r>
          </w:p>
        </w:tc>
      </w:tr>
    </w:tbl>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3.投标人基本情况说明</w:t>
      </w:r>
    </w:p>
    <w:p>
      <w:pPr>
        <w:pStyle w:val="37"/>
        <w:numPr>
          <w:ilvl w:val="0"/>
          <w:numId w:val="3"/>
        </w:numPr>
        <w:spacing w:beforeLines="30" w:afterLines="30"/>
        <w:ind w:firstLineChars="0"/>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公司基本情况</w:t>
      </w:r>
    </w:p>
    <w:tbl>
      <w:tblPr>
        <w:tblStyle w:val="23"/>
        <w:tblW w:w="9216" w:type="dxa"/>
        <w:jc w:val="center"/>
        <w:tblLayout w:type="fixed"/>
        <w:tblCellMar>
          <w:top w:w="0" w:type="dxa"/>
          <w:left w:w="108" w:type="dxa"/>
          <w:bottom w:w="0" w:type="dxa"/>
          <w:right w:w="108" w:type="dxa"/>
        </w:tblCellMar>
      </w:tblPr>
      <w:tblGrid>
        <w:gridCol w:w="1844"/>
        <w:gridCol w:w="1843"/>
        <w:gridCol w:w="1843"/>
        <w:gridCol w:w="1843"/>
        <w:gridCol w:w="1843"/>
      </w:tblGrid>
      <w:tr>
        <w:tblPrEx>
          <w:tblCellMar>
            <w:top w:w="0" w:type="dxa"/>
            <w:left w:w="108" w:type="dxa"/>
            <w:bottom w:w="0" w:type="dxa"/>
            <w:right w:w="108" w:type="dxa"/>
          </w:tblCellMar>
        </w:tblPrEx>
        <w:trPr>
          <w:jc w:val="center"/>
        </w:trPr>
        <w:tc>
          <w:tcPr>
            <w:tcW w:w="5530" w:type="dxa"/>
            <w:gridSpan w:val="3"/>
          </w:tcPr>
          <w:p>
            <w:pPr>
              <w:spacing w:line="360" w:lineRule="auto"/>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公司名称：</w:t>
            </w:r>
          </w:p>
        </w:tc>
        <w:tc>
          <w:tcPr>
            <w:tcW w:w="3686" w:type="dxa"/>
            <w:gridSpan w:val="2"/>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公司固话：</w:t>
            </w:r>
          </w:p>
        </w:tc>
      </w:tr>
      <w:tr>
        <w:tblPrEx>
          <w:tblCellMar>
            <w:top w:w="0" w:type="dxa"/>
            <w:left w:w="108" w:type="dxa"/>
            <w:bottom w:w="0" w:type="dxa"/>
            <w:right w:w="108" w:type="dxa"/>
          </w:tblCellMar>
        </w:tblPrEx>
        <w:trPr>
          <w:jc w:val="center"/>
        </w:trPr>
        <w:tc>
          <w:tcPr>
            <w:tcW w:w="5530" w:type="dxa"/>
            <w:gridSpan w:val="3"/>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单位地址：</w:t>
            </w:r>
          </w:p>
        </w:tc>
        <w:tc>
          <w:tcPr>
            <w:tcW w:w="3686" w:type="dxa"/>
            <w:gridSpan w:val="2"/>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公司传真：</w:t>
            </w:r>
          </w:p>
        </w:tc>
      </w:tr>
      <w:tr>
        <w:tblPrEx>
          <w:tblCellMar>
            <w:top w:w="0" w:type="dxa"/>
            <w:left w:w="108" w:type="dxa"/>
            <w:bottom w:w="0" w:type="dxa"/>
            <w:right w:w="108" w:type="dxa"/>
          </w:tblCellMar>
        </w:tblPrEx>
        <w:trPr>
          <w:jc w:val="center"/>
        </w:trPr>
        <w:tc>
          <w:tcPr>
            <w:tcW w:w="5530" w:type="dxa"/>
            <w:gridSpan w:val="3"/>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注册资金：</w:t>
            </w:r>
          </w:p>
        </w:tc>
        <w:tc>
          <w:tcPr>
            <w:tcW w:w="3686" w:type="dxa"/>
            <w:gridSpan w:val="2"/>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单位性质：</w:t>
            </w:r>
          </w:p>
        </w:tc>
      </w:tr>
      <w:tr>
        <w:tblPrEx>
          <w:tblCellMar>
            <w:top w:w="0" w:type="dxa"/>
            <w:left w:w="108" w:type="dxa"/>
            <w:bottom w:w="0" w:type="dxa"/>
            <w:right w:w="108" w:type="dxa"/>
          </w:tblCellMar>
        </w:tblPrEx>
        <w:trPr>
          <w:jc w:val="center"/>
        </w:trPr>
        <w:tc>
          <w:tcPr>
            <w:tcW w:w="5530" w:type="dxa"/>
            <w:gridSpan w:val="3"/>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公司开户银行名称：</w:t>
            </w:r>
          </w:p>
        </w:tc>
        <w:tc>
          <w:tcPr>
            <w:tcW w:w="3686" w:type="dxa"/>
            <w:gridSpan w:val="2"/>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开户账号：</w:t>
            </w:r>
          </w:p>
        </w:tc>
      </w:tr>
      <w:tr>
        <w:tblPrEx>
          <w:tblCellMar>
            <w:top w:w="0" w:type="dxa"/>
            <w:left w:w="108" w:type="dxa"/>
            <w:bottom w:w="0" w:type="dxa"/>
            <w:right w:w="108" w:type="dxa"/>
          </w:tblCellMar>
        </w:tblPrEx>
        <w:trPr>
          <w:jc w:val="center"/>
        </w:trPr>
        <w:tc>
          <w:tcPr>
            <w:tcW w:w="9216" w:type="dxa"/>
            <w:gridSpan w:val="5"/>
          </w:tcPr>
          <w:p>
            <w:pPr>
              <w:spacing w:line="360" w:lineRule="auto"/>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营业注册执照号</w:t>
            </w:r>
            <w:r>
              <w:rPr>
                <w:rFonts w:hint="eastAsia" w:ascii="宋体" w:hAnsi="宋体"/>
                <w:color w:val="000000" w:themeColor="text1"/>
                <w:sz w:val="22"/>
                <w:highlight w:val="none"/>
                <w14:textFill>
                  <w14:solidFill>
                    <w14:schemeClr w14:val="tx1"/>
                  </w14:solidFill>
                </w14:textFill>
              </w:rPr>
              <w:t>：</w:t>
            </w:r>
          </w:p>
        </w:tc>
      </w:tr>
      <w:tr>
        <w:tblPrEx>
          <w:tblCellMar>
            <w:top w:w="0" w:type="dxa"/>
            <w:left w:w="108" w:type="dxa"/>
            <w:bottom w:w="0" w:type="dxa"/>
            <w:right w:w="108" w:type="dxa"/>
          </w:tblCellMar>
        </w:tblPrEx>
        <w:trPr>
          <w:trHeight w:val="576" w:hRule="atLeast"/>
          <w:jc w:val="center"/>
        </w:trPr>
        <w:tc>
          <w:tcPr>
            <w:tcW w:w="9216" w:type="dxa"/>
            <w:gridSpan w:val="5"/>
          </w:tcPr>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公司财务状况：（如有）                            【价格单位：（人民币）元】</w:t>
            </w:r>
          </w:p>
        </w:tc>
      </w:tr>
      <w:tr>
        <w:tblPrEx>
          <w:tblCellMar>
            <w:top w:w="0" w:type="dxa"/>
            <w:left w:w="108" w:type="dxa"/>
            <w:bottom w:w="0" w:type="dxa"/>
            <w:right w:w="108" w:type="dxa"/>
          </w:tblCellMar>
        </w:tblPrEx>
        <w:trPr>
          <w:trHeight w:val="454" w:hRule="atLeast"/>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年  度</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总资产（元）</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资产负债率（%）</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年营业额（元）</w:t>
            </w: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年净利润（元）</w:t>
            </w:r>
          </w:p>
        </w:tc>
      </w:tr>
      <w:tr>
        <w:tblPrEx>
          <w:tblCellMar>
            <w:top w:w="0" w:type="dxa"/>
            <w:left w:w="108" w:type="dxa"/>
            <w:bottom w:w="0" w:type="dxa"/>
            <w:right w:w="108" w:type="dxa"/>
          </w:tblCellMar>
        </w:tblPrEx>
        <w:trPr>
          <w:trHeight w:val="454" w:hRule="atLeast"/>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r>
      <w:tr>
        <w:tblPrEx>
          <w:tblCellMar>
            <w:top w:w="0" w:type="dxa"/>
            <w:left w:w="108" w:type="dxa"/>
            <w:bottom w:w="0" w:type="dxa"/>
            <w:right w:w="108" w:type="dxa"/>
          </w:tblCellMar>
        </w:tblPrEx>
        <w:trPr>
          <w:trHeight w:val="454" w:hRule="atLeast"/>
          <w:jc w:val="center"/>
        </w:trPr>
        <w:tc>
          <w:tcPr>
            <w:tcW w:w="184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olor w:val="000000" w:themeColor="text1"/>
                <w:sz w:val="22"/>
                <w:highlight w:val="none"/>
                <w14:textFill>
                  <w14:solidFill>
                    <w14:schemeClr w14:val="tx1"/>
                  </w14:solidFill>
                </w14:textFill>
              </w:rPr>
            </w:pPr>
          </w:p>
        </w:tc>
      </w:tr>
    </w:tbl>
    <w:p>
      <w:pPr>
        <w:spacing w:beforeLines="50" w:afterLines="50"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备注：需提供证明资料内容详见</w:t>
      </w:r>
      <w:r>
        <w:rPr>
          <w:rFonts w:hint="eastAsia" w:ascii="宋体" w:hAnsi="宋体"/>
          <w:color w:val="000000" w:themeColor="text1"/>
          <w:sz w:val="22"/>
          <w:highlight w:val="none"/>
          <w:u w:val="single"/>
          <w14:textFill>
            <w14:solidFill>
              <w14:schemeClr w14:val="tx1"/>
            </w14:solidFill>
          </w14:textFill>
        </w:rPr>
        <w:t>（招标文件第二部分评分标准相对应条款）</w:t>
      </w:r>
      <w:r>
        <w:rPr>
          <w:rFonts w:hint="eastAsia" w:ascii="宋体" w:hAnsi="宋体"/>
          <w:color w:val="000000" w:themeColor="text1"/>
          <w:sz w:val="22"/>
          <w:highlight w:val="none"/>
          <w14:textFill>
            <w14:solidFill>
              <w14:schemeClr w14:val="tx1"/>
            </w14:solidFill>
          </w14:textFill>
        </w:rPr>
        <w:t>。</w:t>
      </w:r>
    </w:p>
    <w:p>
      <w:pPr>
        <w:pStyle w:val="37"/>
        <w:numPr>
          <w:ilvl w:val="0"/>
          <w:numId w:val="3"/>
        </w:numPr>
        <w:spacing w:beforeLines="50" w:afterLines="50"/>
        <w:ind w:firstLineChars="0"/>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投标人获得国家有关部门颁发的资质证明</w:t>
      </w:r>
      <w:r>
        <w:rPr>
          <w:rFonts w:hint="eastAsia" w:ascii="宋体" w:hAnsi="宋体"/>
          <w:color w:val="000000" w:themeColor="text1"/>
          <w:sz w:val="22"/>
          <w:highlight w:val="none"/>
          <w14:textFill>
            <w14:solidFill>
              <w14:schemeClr w14:val="tx1"/>
            </w14:solidFill>
          </w14:textFill>
        </w:rPr>
        <w:t>或荣誉</w:t>
      </w:r>
      <w:r>
        <w:rPr>
          <w:rFonts w:ascii="宋体" w:hAnsi="宋体"/>
          <w:color w:val="000000" w:themeColor="text1"/>
          <w:sz w:val="22"/>
          <w:highlight w:val="none"/>
          <w14:textFill>
            <w14:solidFill>
              <w14:schemeClr w14:val="tx1"/>
            </w14:solidFill>
          </w14:textFill>
        </w:rPr>
        <w:t>：</w:t>
      </w:r>
      <w:r>
        <w:rPr>
          <w:rFonts w:hint="eastAsia" w:ascii="宋体" w:hAnsi="宋体"/>
          <w:color w:val="000000" w:themeColor="text1"/>
          <w:sz w:val="22"/>
          <w:highlight w:val="none"/>
          <w14:textFill>
            <w14:solidFill>
              <w14:schemeClr w14:val="tx1"/>
            </w14:solidFill>
          </w14:textFill>
        </w:rPr>
        <w:t>（如有）</w:t>
      </w:r>
    </w:p>
    <w:tbl>
      <w:tblPr>
        <w:tblStyle w:val="2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4"/>
        <w:gridCol w:w="2304"/>
        <w:gridCol w:w="2304"/>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证书名称</w:t>
            </w:r>
          </w:p>
        </w:tc>
        <w:tc>
          <w:tcPr>
            <w:tcW w:w="2304" w:type="dxa"/>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发证单位</w:t>
            </w:r>
          </w:p>
        </w:tc>
        <w:tc>
          <w:tcPr>
            <w:tcW w:w="2304" w:type="dxa"/>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证书等级</w:t>
            </w:r>
          </w:p>
        </w:tc>
        <w:tc>
          <w:tcPr>
            <w:tcW w:w="2304" w:type="dxa"/>
            <w:vAlign w:val="center"/>
          </w:tcPr>
          <w:p>
            <w:pPr>
              <w:spacing w:line="280" w:lineRule="exact"/>
              <w:jc w:val="center"/>
              <w:rPr>
                <w:rFonts w:ascii="宋体" w:hAnsi="宋体"/>
                <w:color w:val="000000" w:themeColor="text1"/>
                <w:sz w:val="22"/>
                <w:highlight w:val="none"/>
                <w14:textFill>
                  <w14:solidFill>
                    <w14:schemeClr w14:val="tx1"/>
                  </w14:solidFill>
                </w14:textFill>
              </w:rPr>
            </w:pPr>
            <w:r>
              <w:rPr>
                <w:rFonts w:ascii="宋体" w:hAnsi="宋体"/>
                <w:color w:val="000000" w:themeColor="text1"/>
                <w:sz w:val="22"/>
                <w:highlight w:val="none"/>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c>
          <w:tcPr>
            <w:tcW w:w="2304" w:type="dxa"/>
            <w:vAlign w:val="center"/>
          </w:tcPr>
          <w:p>
            <w:pPr>
              <w:spacing w:line="280" w:lineRule="exact"/>
              <w:rPr>
                <w:rFonts w:ascii="宋体" w:hAnsi="宋体"/>
                <w:color w:val="000000" w:themeColor="text1"/>
                <w:sz w:val="22"/>
                <w:highlight w:val="none"/>
                <w14:textFill>
                  <w14:solidFill>
                    <w14:schemeClr w14:val="tx1"/>
                  </w14:solidFill>
                </w14:textFill>
              </w:rPr>
            </w:pPr>
          </w:p>
        </w:tc>
      </w:tr>
    </w:tbl>
    <w:p>
      <w:pPr>
        <w:spacing w:beforeLines="50"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备注：需提供证明资料内容详见</w:t>
      </w:r>
      <w:r>
        <w:rPr>
          <w:rFonts w:hint="eastAsia" w:ascii="宋体" w:hAnsi="宋体"/>
          <w:color w:val="000000" w:themeColor="text1"/>
          <w:sz w:val="22"/>
          <w:highlight w:val="none"/>
          <w:u w:val="single"/>
          <w14:textFill>
            <w14:solidFill>
              <w14:schemeClr w14:val="tx1"/>
            </w14:solidFill>
          </w14:textFill>
        </w:rPr>
        <w:t>（招标文件第二部分评分标准相对应条款）</w:t>
      </w:r>
      <w:r>
        <w:rPr>
          <w:rFonts w:hint="eastAsia" w:ascii="宋体" w:hAnsi="宋体"/>
          <w:color w:val="000000" w:themeColor="text1"/>
          <w:sz w:val="22"/>
          <w:highlight w:val="none"/>
          <w14:textFill>
            <w14:solidFill>
              <w14:schemeClr w14:val="tx1"/>
            </w14:solidFill>
          </w14:textFill>
        </w:rPr>
        <w:t>。</w:t>
      </w:r>
    </w:p>
    <w:p>
      <w:pPr>
        <w:spacing w:beforeLines="50" w:afterLines="50"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兹证明上述声明是真实、正确的，并提供了全部能提供的资料和数据，我方同意遵照贵方要求出示有关证明文件。</w:t>
      </w: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spacing w:beforeLines="200" w:afterLines="200" w:line="600" w:lineRule="exact"/>
        <w:jc w:val="center"/>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4.投标人资格证明文件</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4.1提供《营业执照》或《其他主体证书》、《税务登记证》、《组织机构代码证》复印件。如“三证合一”的营业执照，则不需要提供税务登记证和组织机构代码证。</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4.2提供自然人的身份证复印件（如自然人参加政府采购活动的话）。</w:t>
      </w: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5.投标人特定资格条件的证明材料</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5.1提供投标人特定资格条件的证明材料复印件（如投标人资格条件要求有的话）。</w:t>
      </w: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jc w:val="center"/>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6.投标人资格声明函</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致：广东中凯工程管理咨询有限公司</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本公司参加</w:t>
      </w:r>
      <w:r>
        <w:rPr>
          <w:rFonts w:hint="eastAsia" w:ascii="宋体" w:hAnsi="宋体"/>
          <w:color w:val="000000" w:themeColor="text1"/>
          <w:sz w:val="22"/>
          <w:szCs w:val="22"/>
          <w:highlight w:val="none"/>
          <w:u w:val="single"/>
          <w14:textFill>
            <w14:solidFill>
              <w14:schemeClr w14:val="tx1"/>
            </w14:solidFill>
          </w14:textFill>
        </w:rPr>
        <w:t>　　　</w:t>
      </w:r>
      <w:r>
        <w:rPr>
          <w:rFonts w:hint="eastAsia" w:ascii="宋体" w:hAnsi="宋体"/>
          <w:color w:val="000000" w:themeColor="text1"/>
          <w:sz w:val="22"/>
          <w:szCs w:val="22"/>
          <w:highlight w:val="none"/>
          <w14:textFill>
            <w14:solidFill>
              <w14:schemeClr w14:val="tx1"/>
            </w14:solidFill>
          </w14:textFill>
        </w:rPr>
        <w:t>采购项目（采购编号：</w:t>
      </w:r>
      <w:r>
        <w:rPr>
          <w:rFonts w:hint="eastAsia" w:ascii="宋体" w:hAnsi="宋体"/>
          <w:color w:val="000000" w:themeColor="text1"/>
          <w:sz w:val="22"/>
          <w:szCs w:val="22"/>
          <w:highlight w:val="none"/>
          <w:u w:val="single"/>
          <w14:textFill>
            <w14:solidFill>
              <w14:schemeClr w14:val="tx1"/>
            </w14:solidFill>
          </w14:textFill>
        </w:rPr>
        <w:t>　　　　</w:t>
      </w:r>
      <w:r>
        <w:rPr>
          <w:rFonts w:hint="eastAsia" w:ascii="宋体" w:hAnsi="宋体"/>
          <w:color w:val="000000" w:themeColor="text1"/>
          <w:sz w:val="22"/>
          <w:szCs w:val="22"/>
          <w:highlight w:val="none"/>
          <w14:textFill>
            <w14:solidFill>
              <w14:schemeClr w14:val="tx1"/>
            </w14:solidFill>
          </w14:textFill>
        </w:rPr>
        <w:t>）的政府采购活动，并声明：</w:t>
      </w:r>
    </w:p>
    <w:p>
      <w:pPr>
        <w:spacing w:line="600" w:lineRule="exact"/>
        <w:ind w:firstLine="57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本公司具备《中华人民共和国政府采购法》第二十二条资格条件，已清楚招标文件所有要求及有关规定；并承诺参加本次政府采购活动中，如有违法、违规、弄虚作假行为，所造成的损失、不良后果及法律责任，一律由本公司承担。</w:t>
      </w:r>
    </w:p>
    <w:p>
      <w:pPr>
        <w:spacing w:line="600" w:lineRule="exact"/>
        <w:ind w:firstLine="57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特此声明！</w:t>
      </w:r>
    </w:p>
    <w:p>
      <w:pPr>
        <w:pStyle w:val="33"/>
        <w:ind w:firstLine="453"/>
        <w:rPr>
          <w:rFonts w:ascii="宋体" w:eastAsia="宋体"/>
          <w:color w:val="000000" w:themeColor="text1"/>
          <w:sz w:val="28"/>
          <w:highlight w:val="none"/>
          <w14:textFill>
            <w14:solidFill>
              <w14:schemeClr w14:val="tx1"/>
            </w14:solidFill>
          </w14:textFill>
        </w:rPr>
      </w:pPr>
      <w:r>
        <w:rPr>
          <w:rFonts w:ascii="宋体" w:eastAsia="宋体"/>
          <w:color w:val="000000" w:themeColor="text1"/>
          <w:sz w:val="22"/>
          <w:szCs w:val="22"/>
          <w:highlight w:val="none"/>
          <w14:textFill>
            <w14:solidFill>
              <w14:schemeClr w14:val="tx1"/>
            </w14:solidFill>
          </w14:textFill>
        </w:rPr>
        <w:cr/>
      </w:r>
    </w:p>
    <w:p>
      <w:pPr>
        <w:pStyle w:val="33"/>
        <w:ind w:firstLine="577"/>
        <w:rPr>
          <w:rFonts w:ascii="宋体" w:eastAsia="宋体"/>
          <w:color w:val="000000" w:themeColor="text1"/>
          <w:sz w:val="28"/>
          <w:highlight w:val="none"/>
          <w14:textFill>
            <w14:solidFill>
              <w14:schemeClr w14:val="tx1"/>
            </w14:solidFill>
          </w14:textFill>
        </w:rPr>
      </w:pPr>
    </w:p>
    <w:p>
      <w:pPr>
        <w:pStyle w:val="33"/>
        <w:ind w:firstLine="579"/>
        <w:rPr>
          <w:rFonts w:ascii="宋体" w:eastAsia="宋体"/>
          <w:b/>
          <w:color w:val="000000" w:themeColor="text1"/>
          <w:sz w:val="28"/>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spacing w:line="600" w:lineRule="exact"/>
        <w:ind w:right="560"/>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p>
      <w:pPr>
        <w:spacing w:beforeLines="200" w:afterLines="200"/>
        <w:jc w:val="center"/>
        <w:rPr>
          <w:rFonts w:ascii="宋体" w:hAnsi="宋体"/>
          <w:color w:val="000000" w:themeColor="text1"/>
          <w:sz w:val="28"/>
          <w:highlight w:val="none"/>
          <w14:textFill>
            <w14:solidFill>
              <w14:schemeClr w14:val="tx1"/>
            </w14:solidFill>
          </w14:textFill>
        </w:rPr>
      </w:pPr>
    </w:p>
    <w:p>
      <w:pPr>
        <w:spacing w:beforeLines="200" w:afterLines="200"/>
        <w:jc w:val="center"/>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7.在经营活动中没有重大违法记录的书面声明</w:t>
      </w:r>
    </w:p>
    <w:p>
      <w:pPr>
        <w:pStyle w:val="40"/>
        <w:spacing w:before="0" w:beforeAutospacing="0" w:after="0" w:afterAutospacing="0" w:line="600" w:lineRule="exact"/>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致：广东中凯工程管理咨询有限公司</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本公司参加</w:t>
      </w:r>
      <w:r>
        <w:rPr>
          <w:rFonts w:hint="eastAsia" w:ascii="宋体" w:hAnsi="宋体"/>
          <w:color w:val="000000" w:themeColor="text1"/>
          <w:sz w:val="22"/>
          <w:szCs w:val="22"/>
          <w:highlight w:val="none"/>
          <w:u w:val="single"/>
          <w14:textFill>
            <w14:solidFill>
              <w14:schemeClr w14:val="tx1"/>
            </w14:solidFill>
          </w14:textFill>
        </w:rPr>
        <w:t>　　　</w:t>
      </w:r>
      <w:r>
        <w:rPr>
          <w:rFonts w:hint="eastAsia" w:ascii="宋体" w:hAnsi="宋体"/>
          <w:color w:val="000000" w:themeColor="text1"/>
          <w:sz w:val="22"/>
          <w:szCs w:val="22"/>
          <w:highlight w:val="none"/>
          <w14:textFill>
            <w14:solidFill>
              <w14:schemeClr w14:val="tx1"/>
            </w14:solidFill>
          </w14:textFill>
        </w:rPr>
        <w:t>采购项目（采购编号：</w:t>
      </w:r>
      <w:r>
        <w:rPr>
          <w:rFonts w:hint="eastAsia" w:ascii="宋体" w:hAnsi="宋体"/>
          <w:color w:val="000000" w:themeColor="text1"/>
          <w:sz w:val="22"/>
          <w:szCs w:val="22"/>
          <w:highlight w:val="none"/>
          <w:u w:val="single"/>
          <w14:textFill>
            <w14:solidFill>
              <w14:schemeClr w14:val="tx1"/>
            </w14:solidFill>
          </w14:textFill>
        </w:rPr>
        <w:t>　　　　</w:t>
      </w:r>
      <w:r>
        <w:rPr>
          <w:rFonts w:hint="eastAsia" w:ascii="宋体" w:hAnsi="宋体"/>
          <w:color w:val="000000" w:themeColor="text1"/>
          <w:sz w:val="22"/>
          <w:szCs w:val="22"/>
          <w:highlight w:val="none"/>
          <w14:textFill>
            <w14:solidFill>
              <w14:schemeClr w14:val="tx1"/>
            </w14:solidFill>
          </w14:textFill>
        </w:rPr>
        <w:t>）的政府采购活动，并声明：</w:t>
      </w: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本公司参加本采购项目政府采购前3年内在经营活动中没有因违法经营受到刑事处罚或者责令停产停业、吊销许可证或者执照、较大数额罚款等行政处罚。</w:t>
      </w:r>
    </w:p>
    <w:p>
      <w:pPr>
        <w:pStyle w:val="40"/>
        <w:spacing w:before="0" w:beforeAutospacing="0" w:after="0" w:afterAutospacing="0" w:line="600" w:lineRule="exact"/>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    特此声明！</w:t>
      </w:r>
    </w:p>
    <w:p>
      <w:pPr>
        <w:pStyle w:val="40"/>
        <w:spacing w:before="0" w:beforeAutospacing="0" w:after="0" w:afterAutospacing="0" w:line="600" w:lineRule="exact"/>
        <w:rPr>
          <w:color w:val="000000" w:themeColor="text1"/>
          <w:sz w:val="28"/>
          <w:szCs w:val="28"/>
          <w:highlight w:val="none"/>
          <w14:textFill>
            <w14:solidFill>
              <w14:schemeClr w14:val="tx1"/>
            </w14:solidFill>
          </w14:textFill>
        </w:rPr>
      </w:pPr>
    </w:p>
    <w:p>
      <w:pPr>
        <w:pStyle w:val="40"/>
        <w:spacing w:before="0" w:beforeAutospacing="0" w:after="0" w:afterAutospacing="0" w:line="600" w:lineRule="exact"/>
        <w:rPr>
          <w:color w:val="000000" w:themeColor="text1"/>
          <w:sz w:val="28"/>
          <w:szCs w:val="28"/>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spacing w:line="600" w:lineRule="exact"/>
        <w:ind w:right="560"/>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p>
      <w:pPr>
        <w:spacing w:line="600" w:lineRule="exact"/>
        <w:ind w:right="560"/>
        <w:rPr>
          <w:rFonts w:ascii="宋体" w:hAnsi="宋体"/>
          <w:color w:val="000000" w:themeColor="text1"/>
          <w:sz w:val="28"/>
          <w:highlight w:val="none"/>
          <w14:textFill>
            <w14:solidFill>
              <w14:schemeClr w14:val="tx1"/>
            </w14:solidFill>
          </w14:textFill>
        </w:rPr>
      </w:pPr>
    </w:p>
    <w:bookmarkEnd w:id="264"/>
    <w:bookmarkEnd w:id="265"/>
    <w:p>
      <w:pPr>
        <w:spacing w:line="360" w:lineRule="auto"/>
        <w:rPr>
          <w:rFonts w:ascii="宋体" w:hAnsi="宋体"/>
          <w:color w:val="000000" w:themeColor="text1"/>
          <w:sz w:val="22"/>
          <w:highlight w:val="none"/>
          <w14:textFill>
            <w14:solidFill>
              <w14:schemeClr w14:val="tx1"/>
            </w14:solidFill>
          </w14:textFill>
        </w:rPr>
      </w:pPr>
      <w:bookmarkStart w:id="268" w:name="_Toc210188799"/>
      <w:bookmarkStart w:id="269" w:name="_Toc88985370"/>
    </w:p>
    <w:p>
      <w:pPr>
        <w:spacing w:beforeLines="200" w:afterLines="200" w:line="600" w:lineRule="exact"/>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（三）业绩表</w:t>
      </w:r>
    </w:p>
    <w:tbl>
      <w:tblPr>
        <w:tblStyle w:val="23"/>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772"/>
        <w:gridCol w:w="2313"/>
        <w:gridCol w:w="2514"/>
        <w:gridCol w:w="1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4730" w:type="dxa"/>
            <w:gridSpan w:val="3"/>
            <w:vAlign w:val="center"/>
          </w:tcPr>
          <w:p>
            <w:pPr>
              <w:spacing w:before="156" w:after="156" w:line="240" w:lineRule="exact"/>
              <w:jc w:val="left"/>
              <w:rPr>
                <w:rFonts w:ascii="宋体" w:hAnsi="宋体"/>
                <w:b/>
                <w:bCs/>
                <w:color w:val="000000" w:themeColor="text1"/>
                <w:sz w:val="22"/>
                <w:highlight w:val="none"/>
                <w14:textFill>
                  <w14:solidFill>
                    <w14:schemeClr w14:val="tx1"/>
                  </w14:solidFill>
                </w14:textFill>
              </w:rPr>
            </w:pPr>
            <w:r>
              <w:rPr>
                <w:rFonts w:hint="eastAsia" w:ascii="宋体" w:hAnsi="宋体"/>
                <w:b/>
                <w:bCs/>
                <w:color w:val="000000" w:themeColor="text1"/>
                <w:sz w:val="22"/>
                <w:highlight w:val="none"/>
                <w14:textFill>
                  <w14:solidFill>
                    <w14:schemeClr w14:val="tx1"/>
                  </w14:solidFill>
                </w14:textFill>
              </w:rPr>
              <w:t>项目名称：</w:t>
            </w:r>
          </w:p>
        </w:tc>
        <w:tc>
          <w:tcPr>
            <w:tcW w:w="3820" w:type="dxa"/>
            <w:gridSpan w:val="2"/>
            <w:vAlign w:val="center"/>
          </w:tcPr>
          <w:p>
            <w:pPr>
              <w:spacing w:before="156" w:after="156" w:line="240" w:lineRule="exact"/>
              <w:jc w:val="left"/>
              <w:rPr>
                <w:rFonts w:ascii="宋体" w:hAnsi="宋体"/>
                <w:b/>
                <w:bCs/>
                <w:color w:val="000000" w:themeColor="text1"/>
                <w:sz w:val="22"/>
                <w:highlight w:val="none"/>
                <w14:textFill>
                  <w14:solidFill>
                    <w14:schemeClr w14:val="tx1"/>
                  </w14:solidFill>
                </w14:textFill>
              </w:rPr>
            </w:pPr>
            <w:r>
              <w:rPr>
                <w:rFonts w:hint="eastAsia" w:ascii="宋体" w:hAnsi="宋体"/>
                <w:b/>
                <w:bCs/>
                <w:color w:val="000000" w:themeColor="text1"/>
                <w:sz w:val="22"/>
                <w:highlight w:val="none"/>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645" w:type="dxa"/>
            <w:vAlign w:val="center"/>
          </w:tcPr>
          <w:p>
            <w:pPr>
              <w:spacing w:before="156" w:after="156" w:line="240" w:lineRule="exact"/>
              <w:jc w:val="center"/>
              <w:rPr>
                <w:rFonts w:ascii="宋体" w:hAnsi="宋体"/>
                <w:bCs/>
                <w:color w:val="000000" w:themeColor="text1"/>
                <w:sz w:val="22"/>
                <w:highlight w:val="none"/>
                <w14:textFill>
                  <w14:solidFill>
                    <w14:schemeClr w14:val="tx1"/>
                  </w14:solidFill>
                </w14:textFill>
              </w:rPr>
            </w:pPr>
            <w:r>
              <w:rPr>
                <w:rFonts w:ascii="宋体" w:hAnsi="宋体"/>
                <w:bCs/>
                <w:color w:val="000000" w:themeColor="text1"/>
                <w:sz w:val="22"/>
                <w:highlight w:val="none"/>
                <w14:textFill>
                  <w14:solidFill>
                    <w14:schemeClr w14:val="tx1"/>
                  </w14:solidFill>
                </w14:textFill>
              </w:rPr>
              <w:t>序号</w:t>
            </w:r>
          </w:p>
        </w:tc>
        <w:tc>
          <w:tcPr>
            <w:tcW w:w="1772" w:type="dxa"/>
            <w:vAlign w:val="center"/>
          </w:tcPr>
          <w:p>
            <w:pPr>
              <w:spacing w:before="156" w:after="156" w:line="240" w:lineRule="exact"/>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项目名称</w:t>
            </w:r>
          </w:p>
        </w:tc>
        <w:tc>
          <w:tcPr>
            <w:tcW w:w="2313" w:type="dxa"/>
            <w:vAlign w:val="center"/>
          </w:tcPr>
          <w:p>
            <w:pPr>
              <w:spacing w:before="156" w:after="156" w:line="240" w:lineRule="exact"/>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签约时间</w:t>
            </w:r>
          </w:p>
        </w:tc>
        <w:tc>
          <w:tcPr>
            <w:tcW w:w="2514" w:type="dxa"/>
            <w:vAlign w:val="center"/>
          </w:tcPr>
          <w:p>
            <w:pPr>
              <w:spacing w:before="156" w:after="156" w:line="240" w:lineRule="exact"/>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完成情况</w:t>
            </w:r>
          </w:p>
        </w:tc>
        <w:tc>
          <w:tcPr>
            <w:tcW w:w="1306" w:type="dxa"/>
            <w:vAlign w:val="center"/>
          </w:tcPr>
          <w:p>
            <w:pPr>
              <w:spacing w:before="156" w:after="156" w:line="240" w:lineRule="exact"/>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5"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772"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313"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2514"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c>
          <w:tcPr>
            <w:tcW w:w="1306" w:type="dxa"/>
            <w:vAlign w:val="center"/>
          </w:tcPr>
          <w:p>
            <w:pPr>
              <w:spacing w:before="156" w:after="156" w:line="240" w:lineRule="exact"/>
              <w:jc w:val="center"/>
              <w:rPr>
                <w:rFonts w:ascii="宋体" w:hAnsi="宋体"/>
                <w:color w:val="000000" w:themeColor="text1"/>
                <w:sz w:val="22"/>
                <w:highlight w:val="none"/>
                <w14:textFill>
                  <w14:solidFill>
                    <w14:schemeClr w14:val="tx1"/>
                  </w14:solidFill>
                </w14:textFill>
              </w:rPr>
            </w:pPr>
          </w:p>
        </w:tc>
      </w:tr>
    </w:tbl>
    <w:p>
      <w:pPr>
        <w:pStyle w:val="33"/>
        <w:ind w:firstLine="110" w:firstLineChars="50"/>
        <w:rPr>
          <w:rFonts w:ascii="宋体" w:eastAsia="宋体"/>
          <w:b/>
          <w:color w:val="000000" w:themeColor="text1"/>
          <w:sz w:val="22"/>
          <w:szCs w:val="22"/>
          <w:highlight w:val="none"/>
          <w14:textFill>
            <w14:solidFill>
              <w14:schemeClr w14:val="tx1"/>
            </w14:solidFill>
          </w14:textFill>
        </w:rPr>
      </w:pPr>
      <w:r>
        <w:rPr>
          <w:rFonts w:hint="eastAsia" w:ascii="宋体" w:eastAsia="宋体"/>
          <w:b/>
          <w:color w:val="000000" w:themeColor="text1"/>
          <w:sz w:val="22"/>
          <w:szCs w:val="22"/>
          <w:highlight w:val="none"/>
          <w14:textFill>
            <w14:solidFill>
              <w14:schemeClr w14:val="tx1"/>
            </w14:solidFill>
          </w14:textFill>
        </w:rPr>
        <w:t>注：根据评分标准要求提供相关的业绩等证明材料。（如有的话）</w:t>
      </w: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577"/>
        <w:rPr>
          <w:rFonts w:ascii="宋体" w:eastAsia="宋体"/>
          <w:color w:val="000000" w:themeColor="text1"/>
          <w:sz w:val="28"/>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33"/>
        <w:ind w:firstLine="577"/>
        <w:rPr>
          <w:rFonts w:ascii="宋体" w:eastAsia="宋体"/>
          <w:color w:val="000000" w:themeColor="text1"/>
          <w:sz w:val="28"/>
          <w:highlight w:val="none"/>
          <w14:textFill>
            <w14:solidFill>
              <w14:schemeClr w14:val="tx1"/>
            </w14:solidFill>
          </w14:textFill>
        </w:rPr>
      </w:pPr>
    </w:p>
    <w:p>
      <w:pPr>
        <w:pStyle w:val="33"/>
        <w:ind w:firstLine="577"/>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bookmarkStart w:id="270" w:name="_Toc226862178"/>
      <w:bookmarkStart w:id="271" w:name="_Toc222651008"/>
      <w:r>
        <w:rPr>
          <w:rFonts w:hint="eastAsia"/>
          <w:b/>
          <w:color w:val="000000" w:themeColor="text1"/>
          <w:sz w:val="28"/>
          <w:szCs w:val="28"/>
          <w:highlight w:val="none"/>
          <w14:textFill>
            <w14:solidFill>
              <w14:schemeClr w14:val="tx1"/>
            </w14:solidFill>
          </w14:textFill>
        </w:rPr>
        <w:t>（四）商务差异表</w:t>
      </w:r>
      <w:bookmarkEnd w:id="270"/>
      <w:bookmarkEnd w:id="271"/>
    </w:p>
    <w:tbl>
      <w:tblPr>
        <w:tblStyle w:val="2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2577"/>
        <w:gridCol w:w="2324"/>
        <w:gridCol w:w="1281"/>
        <w:gridCol w:w="1311"/>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666" w:type="dxa"/>
            <w:gridSpan w:val="3"/>
            <w:vAlign w:val="center"/>
          </w:tcPr>
          <w:p>
            <w:pPr>
              <w:jc w:val="left"/>
              <w:rPr>
                <w:rFonts w:ascii="宋体" w:hAnsi="宋体"/>
                <w:b/>
                <w:bCs/>
                <w:color w:val="000000" w:themeColor="text1"/>
                <w:sz w:val="22"/>
                <w:highlight w:val="none"/>
                <w14:textFill>
                  <w14:solidFill>
                    <w14:schemeClr w14:val="tx1"/>
                  </w14:solidFill>
                </w14:textFill>
              </w:rPr>
            </w:pPr>
            <w:r>
              <w:rPr>
                <w:rFonts w:hint="eastAsia" w:ascii="宋体" w:hAnsi="宋体"/>
                <w:b/>
                <w:bCs/>
                <w:color w:val="000000" w:themeColor="text1"/>
                <w:sz w:val="22"/>
                <w:highlight w:val="none"/>
                <w14:textFill>
                  <w14:solidFill>
                    <w14:schemeClr w14:val="tx1"/>
                  </w14:solidFill>
                </w14:textFill>
              </w:rPr>
              <w:t>项目名称：</w:t>
            </w:r>
          </w:p>
        </w:tc>
        <w:tc>
          <w:tcPr>
            <w:tcW w:w="3550" w:type="dxa"/>
            <w:gridSpan w:val="3"/>
            <w:vAlign w:val="center"/>
          </w:tcPr>
          <w:p>
            <w:pPr>
              <w:spacing w:line="360" w:lineRule="auto"/>
              <w:jc w:val="left"/>
              <w:rPr>
                <w:rFonts w:ascii="宋体" w:hAnsi="宋体"/>
                <w:b/>
                <w:bCs/>
                <w:color w:val="000000" w:themeColor="text1"/>
                <w:sz w:val="22"/>
                <w:highlight w:val="none"/>
                <w14:textFill>
                  <w14:solidFill>
                    <w14:schemeClr w14:val="tx1"/>
                  </w14:solidFill>
                </w14:textFill>
              </w:rPr>
            </w:pPr>
            <w:r>
              <w:rPr>
                <w:rFonts w:hint="eastAsia" w:ascii="宋体" w:hAnsi="宋体"/>
                <w:b/>
                <w:bCs/>
                <w:color w:val="000000" w:themeColor="text1"/>
                <w:sz w:val="22"/>
                <w:highlight w:val="none"/>
                <w14:textFill>
                  <w14:solidFill>
                    <w14:schemeClr w14:val="tx1"/>
                  </w14:solidFill>
                </w14:textFill>
              </w:rPr>
              <w:t>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65" w:type="dxa"/>
            <w:vAlign w:val="center"/>
          </w:tcPr>
          <w:p>
            <w:pPr>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序号</w:t>
            </w:r>
          </w:p>
        </w:tc>
        <w:tc>
          <w:tcPr>
            <w:tcW w:w="2577" w:type="dxa"/>
            <w:vAlign w:val="center"/>
          </w:tcPr>
          <w:p>
            <w:pPr>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招标文件商务条款</w:t>
            </w:r>
          </w:p>
        </w:tc>
        <w:tc>
          <w:tcPr>
            <w:tcW w:w="2324" w:type="dxa"/>
            <w:vAlign w:val="center"/>
          </w:tcPr>
          <w:p>
            <w:pPr>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投标文件商务条款</w:t>
            </w:r>
          </w:p>
        </w:tc>
        <w:tc>
          <w:tcPr>
            <w:tcW w:w="1281" w:type="dxa"/>
            <w:vAlign w:val="center"/>
          </w:tcPr>
          <w:p>
            <w:pPr>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响应情况</w:t>
            </w:r>
          </w:p>
        </w:tc>
        <w:tc>
          <w:tcPr>
            <w:tcW w:w="1311" w:type="dxa"/>
            <w:vAlign w:val="center"/>
          </w:tcPr>
          <w:p>
            <w:pPr>
              <w:spacing w:line="360" w:lineRule="auto"/>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偏离情况</w:t>
            </w:r>
          </w:p>
        </w:tc>
        <w:tc>
          <w:tcPr>
            <w:tcW w:w="958" w:type="dxa"/>
            <w:vAlign w:val="center"/>
          </w:tcPr>
          <w:p>
            <w:pPr>
              <w:spacing w:line="360" w:lineRule="auto"/>
              <w:jc w:val="center"/>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65"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577" w:type="dxa"/>
            <w:vAlign w:val="center"/>
          </w:tcPr>
          <w:p>
            <w:pPr>
              <w:spacing w:line="360" w:lineRule="auto"/>
              <w:rPr>
                <w:rFonts w:ascii="宋体" w:hAnsi="宋体"/>
                <w:color w:val="000000" w:themeColor="text1"/>
                <w:sz w:val="22"/>
                <w:highlight w:val="none"/>
                <w14:textFill>
                  <w14:solidFill>
                    <w14:schemeClr w14:val="tx1"/>
                  </w14:solidFill>
                </w14:textFill>
              </w:rPr>
            </w:pPr>
          </w:p>
        </w:tc>
        <w:tc>
          <w:tcPr>
            <w:tcW w:w="2324" w:type="dxa"/>
          </w:tcPr>
          <w:p>
            <w:pPr>
              <w:pStyle w:val="30"/>
              <w:tabs>
                <w:tab w:val="right" w:leader="dot" w:pos="8302"/>
                <w:tab w:val="right" w:leader="dot" w:pos="8835"/>
              </w:tabs>
              <w:ind w:left="210" w:right="210" w:firstLine="171"/>
              <w:rPr>
                <w:color w:val="000000" w:themeColor="text1"/>
                <w:highlight w:val="none"/>
                <w14:textFill>
                  <w14:solidFill>
                    <w14:schemeClr w14:val="tx1"/>
                  </w14:solidFill>
                </w14:textFill>
              </w:rPr>
            </w:pPr>
          </w:p>
        </w:tc>
        <w:tc>
          <w:tcPr>
            <w:tcW w:w="1281" w:type="dxa"/>
          </w:tcPr>
          <w:p>
            <w:pPr>
              <w:spacing w:line="360" w:lineRule="auto"/>
              <w:rPr>
                <w:rFonts w:ascii="宋体" w:hAnsi="宋体"/>
                <w:color w:val="000000" w:themeColor="text1"/>
                <w:sz w:val="22"/>
                <w:highlight w:val="none"/>
                <w14:textFill>
                  <w14:solidFill>
                    <w14:schemeClr w14:val="tx1"/>
                  </w14:solidFill>
                </w14:textFill>
              </w:rPr>
            </w:pPr>
          </w:p>
        </w:tc>
        <w:tc>
          <w:tcPr>
            <w:tcW w:w="1311" w:type="dxa"/>
          </w:tcPr>
          <w:p>
            <w:pPr>
              <w:spacing w:line="360" w:lineRule="auto"/>
              <w:rPr>
                <w:rFonts w:ascii="宋体" w:hAnsi="宋体"/>
                <w:color w:val="000000" w:themeColor="text1"/>
                <w:sz w:val="22"/>
                <w:highlight w:val="none"/>
                <w14:textFill>
                  <w14:solidFill>
                    <w14:schemeClr w14:val="tx1"/>
                  </w14:solidFill>
                </w14:textFill>
              </w:rPr>
            </w:pPr>
          </w:p>
        </w:tc>
        <w:tc>
          <w:tcPr>
            <w:tcW w:w="958" w:type="dxa"/>
          </w:tcPr>
          <w:p>
            <w:pPr>
              <w:spacing w:line="360" w:lineRule="auto"/>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765"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577" w:type="dxa"/>
            <w:vAlign w:val="center"/>
          </w:tcPr>
          <w:p>
            <w:pPr>
              <w:spacing w:line="360" w:lineRule="auto"/>
              <w:rPr>
                <w:rFonts w:ascii="宋体" w:hAnsi="宋体"/>
                <w:color w:val="000000" w:themeColor="text1"/>
                <w:sz w:val="22"/>
                <w:highlight w:val="none"/>
                <w14:textFill>
                  <w14:solidFill>
                    <w14:schemeClr w14:val="tx1"/>
                  </w14:solidFill>
                </w14:textFill>
              </w:rPr>
            </w:pPr>
          </w:p>
        </w:tc>
        <w:tc>
          <w:tcPr>
            <w:tcW w:w="2324" w:type="dxa"/>
          </w:tcPr>
          <w:p>
            <w:pPr>
              <w:spacing w:line="360" w:lineRule="auto"/>
              <w:rPr>
                <w:rFonts w:ascii="宋体" w:hAnsi="宋体"/>
                <w:color w:val="000000" w:themeColor="text1"/>
                <w:sz w:val="22"/>
                <w:highlight w:val="none"/>
                <w14:textFill>
                  <w14:solidFill>
                    <w14:schemeClr w14:val="tx1"/>
                  </w14:solidFill>
                </w14:textFill>
              </w:rPr>
            </w:pPr>
          </w:p>
        </w:tc>
        <w:tc>
          <w:tcPr>
            <w:tcW w:w="1281" w:type="dxa"/>
          </w:tcPr>
          <w:p>
            <w:pPr>
              <w:spacing w:line="360" w:lineRule="auto"/>
              <w:rPr>
                <w:rFonts w:ascii="宋体" w:hAnsi="宋体"/>
                <w:color w:val="000000" w:themeColor="text1"/>
                <w:sz w:val="22"/>
                <w:highlight w:val="none"/>
                <w14:textFill>
                  <w14:solidFill>
                    <w14:schemeClr w14:val="tx1"/>
                  </w14:solidFill>
                </w14:textFill>
              </w:rPr>
            </w:pPr>
          </w:p>
        </w:tc>
        <w:tc>
          <w:tcPr>
            <w:tcW w:w="1311" w:type="dxa"/>
          </w:tcPr>
          <w:p>
            <w:pPr>
              <w:spacing w:line="360" w:lineRule="auto"/>
              <w:rPr>
                <w:rFonts w:ascii="宋体" w:hAnsi="宋体"/>
                <w:color w:val="000000" w:themeColor="text1"/>
                <w:sz w:val="22"/>
                <w:highlight w:val="none"/>
                <w14:textFill>
                  <w14:solidFill>
                    <w14:schemeClr w14:val="tx1"/>
                  </w14:solidFill>
                </w14:textFill>
              </w:rPr>
            </w:pPr>
          </w:p>
        </w:tc>
        <w:tc>
          <w:tcPr>
            <w:tcW w:w="958" w:type="dxa"/>
          </w:tcPr>
          <w:p>
            <w:pPr>
              <w:spacing w:line="360" w:lineRule="auto"/>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65"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577" w:type="dxa"/>
            <w:vAlign w:val="center"/>
          </w:tcPr>
          <w:p>
            <w:pPr>
              <w:spacing w:line="360" w:lineRule="auto"/>
              <w:rPr>
                <w:rFonts w:ascii="宋体" w:hAnsi="宋体"/>
                <w:color w:val="000000" w:themeColor="text1"/>
                <w:sz w:val="22"/>
                <w:highlight w:val="none"/>
                <w14:textFill>
                  <w14:solidFill>
                    <w14:schemeClr w14:val="tx1"/>
                  </w14:solidFill>
                </w14:textFill>
              </w:rPr>
            </w:pPr>
          </w:p>
        </w:tc>
        <w:tc>
          <w:tcPr>
            <w:tcW w:w="2324" w:type="dxa"/>
          </w:tcPr>
          <w:p>
            <w:pPr>
              <w:spacing w:line="360" w:lineRule="auto"/>
              <w:rPr>
                <w:rFonts w:ascii="宋体" w:hAnsi="宋体"/>
                <w:color w:val="000000" w:themeColor="text1"/>
                <w:sz w:val="22"/>
                <w:highlight w:val="none"/>
                <w14:textFill>
                  <w14:solidFill>
                    <w14:schemeClr w14:val="tx1"/>
                  </w14:solidFill>
                </w14:textFill>
              </w:rPr>
            </w:pPr>
          </w:p>
        </w:tc>
        <w:tc>
          <w:tcPr>
            <w:tcW w:w="1281" w:type="dxa"/>
          </w:tcPr>
          <w:p>
            <w:pPr>
              <w:spacing w:line="360" w:lineRule="auto"/>
              <w:rPr>
                <w:rFonts w:ascii="宋体" w:hAnsi="宋体"/>
                <w:color w:val="000000" w:themeColor="text1"/>
                <w:sz w:val="22"/>
                <w:highlight w:val="none"/>
                <w14:textFill>
                  <w14:solidFill>
                    <w14:schemeClr w14:val="tx1"/>
                  </w14:solidFill>
                </w14:textFill>
              </w:rPr>
            </w:pPr>
          </w:p>
        </w:tc>
        <w:tc>
          <w:tcPr>
            <w:tcW w:w="1311" w:type="dxa"/>
          </w:tcPr>
          <w:p>
            <w:pPr>
              <w:spacing w:line="360" w:lineRule="auto"/>
              <w:rPr>
                <w:rFonts w:ascii="宋体" w:hAnsi="宋体"/>
                <w:color w:val="000000" w:themeColor="text1"/>
                <w:sz w:val="22"/>
                <w:highlight w:val="none"/>
                <w14:textFill>
                  <w14:solidFill>
                    <w14:schemeClr w14:val="tx1"/>
                  </w14:solidFill>
                </w14:textFill>
              </w:rPr>
            </w:pPr>
          </w:p>
        </w:tc>
        <w:tc>
          <w:tcPr>
            <w:tcW w:w="958" w:type="dxa"/>
          </w:tcPr>
          <w:p>
            <w:pPr>
              <w:spacing w:line="360" w:lineRule="auto"/>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65"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577" w:type="dxa"/>
            <w:vAlign w:val="center"/>
          </w:tcPr>
          <w:p>
            <w:pPr>
              <w:spacing w:line="360" w:lineRule="auto"/>
              <w:rPr>
                <w:rFonts w:ascii="宋体" w:hAnsi="宋体"/>
                <w:color w:val="000000" w:themeColor="text1"/>
                <w:sz w:val="22"/>
                <w:highlight w:val="none"/>
                <w14:textFill>
                  <w14:solidFill>
                    <w14:schemeClr w14:val="tx1"/>
                  </w14:solidFill>
                </w14:textFill>
              </w:rPr>
            </w:pPr>
          </w:p>
        </w:tc>
        <w:tc>
          <w:tcPr>
            <w:tcW w:w="2324" w:type="dxa"/>
          </w:tcPr>
          <w:p>
            <w:pPr>
              <w:spacing w:line="360" w:lineRule="auto"/>
              <w:rPr>
                <w:rFonts w:ascii="宋体" w:hAnsi="宋体"/>
                <w:color w:val="000000" w:themeColor="text1"/>
                <w:sz w:val="22"/>
                <w:highlight w:val="none"/>
                <w14:textFill>
                  <w14:solidFill>
                    <w14:schemeClr w14:val="tx1"/>
                  </w14:solidFill>
                </w14:textFill>
              </w:rPr>
            </w:pPr>
          </w:p>
        </w:tc>
        <w:tc>
          <w:tcPr>
            <w:tcW w:w="1281" w:type="dxa"/>
          </w:tcPr>
          <w:p>
            <w:pPr>
              <w:spacing w:line="360" w:lineRule="auto"/>
              <w:rPr>
                <w:rFonts w:ascii="宋体" w:hAnsi="宋体"/>
                <w:color w:val="000000" w:themeColor="text1"/>
                <w:sz w:val="22"/>
                <w:highlight w:val="none"/>
                <w14:textFill>
                  <w14:solidFill>
                    <w14:schemeClr w14:val="tx1"/>
                  </w14:solidFill>
                </w14:textFill>
              </w:rPr>
            </w:pPr>
          </w:p>
        </w:tc>
        <w:tc>
          <w:tcPr>
            <w:tcW w:w="1311" w:type="dxa"/>
          </w:tcPr>
          <w:p>
            <w:pPr>
              <w:spacing w:line="360" w:lineRule="auto"/>
              <w:rPr>
                <w:rFonts w:ascii="宋体" w:hAnsi="宋体"/>
                <w:color w:val="000000" w:themeColor="text1"/>
                <w:sz w:val="22"/>
                <w:highlight w:val="none"/>
                <w14:textFill>
                  <w14:solidFill>
                    <w14:schemeClr w14:val="tx1"/>
                  </w14:solidFill>
                </w14:textFill>
              </w:rPr>
            </w:pPr>
          </w:p>
        </w:tc>
        <w:tc>
          <w:tcPr>
            <w:tcW w:w="958" w:type="dxa"/>
          </w:tcPr>
          <w:p>
            <w:pPr>
              <w:spacing w:line="360" w:lineRule="auto"/>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765"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577" w:type="dxa"/>
            <w:vAlign w:val="center"/>
          </w:tcPr>
          <w:p>
            <w:pPr>
              <w:spacing w:line="360" w:lineRule="auto"/>
              <w:rPr>
                <w:rFonts w:ascii="宋体" w:hAnsi="宋体"/>
                <w:color w:val="000000" w:themeColor="text1"/>
                <w:sz w:val="22"/>
                <w:highlight w:val="none"/>
                <w14:textFill>
                  <w14:solidFill>
                    <w14:schemeClr w14:val="tx1"/>
                  </w14:solidFill>
                </w14:textFill>
              </w:rPr>
            </w:pPr>
          </w:p>
        </w:tc>
        <w:tc>
          <w:tcPr>
            <w:tcW w:w="2324" w:type="dxa"/>
          </w:tcPr>
          <w:p>
            <w:pPr>
              <w:spacing w:line="360" w:lineRule="auto"/>
              <w:rPr>
                <w:rFonts w:ascii="宋体" w:hAnsi="宋体"/>
                <w:color w:val="000000" w:themeColor="text1"/>
                <w:sz w:val="22"/>
                <w:highlight w:val="none"/>
                <w14:textFill>
                  <w14:solidFill>
                    <w14:schemeClr w14:val="tx1"/>
                  </w14:solidFill>
                </w14:textFill>
              </w:rPr>
            </w:pPr>
          </w:p>
        </w:tc>
        <w:tc>
          <w:tcPr>
            <w:tcW w:w="1281" w:type="dxa"/>
          </w:tcPr>
          <w:p>
            <w:pPr>
              <w:spacing w:line="360" w:lineRule="auto"/>
              <w:rPr>
                <w:rFonts w:ascii="宋体" w:hAnsi="宋体"/>
                <w:color w:val="000000" w:themeColor="text1"/>
                <w:sz w:val="22"/>
                <w:highlight w:val="none"/>
                <w14:textFill>
                  <w14:solidFill>
                    <w14:schemeClr w14:val="tx1"/>
                  </w14:solidFill>
                </w14:textFill>
              </w:rPr>
            </w:pPr>
          </w:p>
        </w:tc>
        <w:tc>
          <w:tcPr>
            <w:tcW w:w="1311" w:type="dxa"/>
          </w:tcPr>
          <w:p>
            <w:pPr>
              <w:spacing w:line="360" w:lineRule="auto"/>
              <w:rPr>
                <w:rFonts w:ascii="宋体" w:hAnsi="宋体"/>
                <w:color w:val="000000" w:themeColor="text1"/>
                <w:sz w:val="22"/>
                <w:highlight w:val="none"/>
                <w14:textFill>
                  <w14:solidFill>
                    <w14:schemeClr w14:val="tx1"/>
                  </w14:solidFill>
                </w14:textFill>
              </w:rPr>
            </w:pPr>
          </w:p>
        </w:tc>
        <w:tc>
          <w:tcPr>
            <w:tcW w:w="958" w:type="dxa"/>
          </w:tcPr>
          <w:p>
            <w:pPr>
              <w:spacing w:line="360" w:lineRule="auto"/>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65"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577" w:type="dxa"/>
          </w:tcPr>
          <w:p>
            <w:pPr>
              <w:spacing w:line="360" w:lineRule="auto"/>
              <w:rPr>
                <w:rFonts w:ascii="宋体" w:hAnsi="宋体"/>
                <w:color w:val="000000" w:themeColor="text1"/>
                <w:sz w:val="22"/>
                <w:highlight w:val="none"/>
                <w14:textFill>
                  <w14:solidFill>
                    <w14:schemeClr w14:val="tx1"/>
                  </w14:solidFill>
                </w14:textFill>
              </w:rPr>
            </w:pPr>
          </w:p>
        </w:tc>
        <w:tc>
          <w:tcPr>
            <w:tcW w:w="2324" w:type="dxa"/>
          </w:tcPr>
          <w:p>
            <w:pPr>
              <w:spacing w:line="360" w:lineRule="auto"/>
              <w:rPr>
                <w:rFonts w:ascii="宋体" w:hAnsi="宋体"/>
                <w:color w:val="000000" w:themeColor="text1"/>
                <w:sz w:val="22"/>
                <w:highlight w:val="none"/>
                <w14:textFill>
                  <w14:solidFill>
                    <w14:schemeClr w14:val="tx1"/>
                  </w14:solidFill>
                </w14:textFill>
              </w:rPr>
            </w:pPr>
          </w:p>
        </w:tc>
        <w:tc>
          <w:tcPr>
            <w:tcW w:w="1281" w:type="dxa"/>
          </w:tcPr>
          <w:p>
            <w:pPr>
              <w:spacing w:line="360" w:lineRule="auto"/>
              <w:rPr>
                <w:rFonts w:ascii="宋体" w:hAnsi="宋体"/>
                <w:color w:val="000000" w:themeColor="text1"/>
                <w:sz w:val="22"/>
                <w:highlight w:val="none"/>
                <w14:textFill>
                  <w14:solidFill>
                    <w14:schemeClr w14:val="tx1"/>
                  </w14:solidFill>
                </w14:textFill>
              </w:rPr>
            </w:pPr>
          </w:p>
        </w:tc>
        <w:tc>
          <w:tcPr>
            <w:tcW w:w="1311" w:type="dxa"/>
          </w:tcPr>
          <w:p>
            <w:pPr>
              <w:spacing w:line="360" w:lineRule="auto"/>
              <w:rPr>
                <w:rFonts w:ascii="宋体" w:hAnsi="宋体"/>
                <w:color w:val="000000" w:themeColor="text1"/>
                <w:sz w:val="22"/>
                <w:highlight w:val="none"/>
                <w14:textFill>
                  <w14:solidFill>
                    <w14:schemeClr w14:val="tx1"/>
                  </w14:solidFill>
                </w14:textFill>
              </w:rPr>
            </w:pPr>
          </w:p>
        </w:tc>
        <w:tc>
          <w:tcPr>
            <w:tcW w:w="958" w:type="dxa"/>
          </w:tcPr>
          <w:p>
            <w:pPr>
              <w:spacing w:line="360" w:lineRule="auto"/>
              <w:rPr>
                <w:rFonts w:ascii="宋体" w:hAnsi="宋体"/>
                <w:color w:val="000000" w:themeColor="text1"/>
                <w:sz w:val="22"/>
                <w:highlight w:val="none"/>
                <w14:textFill>
                  <w14:solidFill>
                    <w14:schemeClr w14:val="tx1"/>
                  </w14:solidFill>
                </w14:textFill>
              </w:rPr>
            </w:pPr>
          </w:p>
        </w:tc>
      </w:tr>
    </w:tbl>
    <w:p>
      <w:pPr>
        <w:spacing w:beforeLines="50"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注明：</w:t>
      </w:r>
    </w:p>
    <w:p>
      <w:pPr>
        <w:pStyle w:val="37"/>
        <w:numPr>
          <w:ilvl w:val="0"/>
          <w:numId w:val="4"/>
        </w:numPr>
        <w:ind w:firstLineChars="0"/>
        <w:rPr>
          <w:rFonts w:ascii="宋体" w:hAnsi="宋体"/>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偏离情况项填写“正”、“负”或“无”，说明项中填写原因。</w:t>
      </w:r>
    </w:p>
    <w:p>
      <w:pPr>
        <w:pStyle w:val="37"/>
        <w:numPr>
          <w:ilvl w:val="0"/>
          <w:numId w:val="4"/>
        </w:numPr>
        <w:ind w:firstLineChars="0"/>
        <w:rPr>
          <w:rFonts w:ascii="宋体" w:hAnsi="宋体"/>
          <w:bCs/>
          <w:color w:val="000000" w:themeColor="text1"/>
          <w:sz w:val="22"/>
          <w:highlight w:val="none"/>
          <w14:textFill>
            <w14:solidFill>
              <w14:schemeClr w14:val="tx1"/>
            </w14:solidFill>
          </w14:textFill>
        </w:rPr>
      </w:pPr>
      <w:r>
        <w:rPr>
          <w:rFonts w:hint="eastAsia" w:ascii="宋体" w:hAnsi="宋体"/>
          <w:bCs/>
          <w:color w:val="000000" w:themeColor="text1"/>
          <w:sz w:val="22"/>
          <w:highlight w:val="none"/>
          <w14:textFill>
            <w14:solidFill>
              <w14:schemeClr w14:val="tx1"/>
            </w14:solidFill>
          </w14:textFill>
        </w:rPr>
        <w:t>商务条款为商务需求书内容，包括但不限于合格投标人条件、服务期限、付款方式、投标有效期、投标报价、合同条款内容等要求。</w:t>
      </w:r>
    </w:p>
    <w:p>
      <w:pPr>
        <w:pStyle w:val="37"/>
        <w:numPr>
          <w:ilvl w:val="0"/>
          <w:numId w:val="4"/>
        </w:numPr>
        <w:ind w:firstLineChars="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不论出于何种原因此表未填写，投标人都被认为已清楚了解招标文件商务条款的内容并对商务要求作全面响应。</w:t>
      </w:r>
    </w:p>
    <w:p>
      <w:pPr>
        <w:spacing w:line="360" w:lineRule="auto"/>
        <w:rPr>
          <w:rFonts w:ascii="宋体" w:hAnsi="宋体"/>
          <w:color w:val="000000" w:themeColor="text1"/>
          <w:sz w:val="22"/>
          <w:highlight w:val="none"/>
          <w14:textFill>
            <w14:solidFill>
              <w14:schemeClr w14:val="tx1"/>
            </w14:solidFill>
          </w14:textFill>
        </w:rPr>
      </w:pPr>
    </w:p>
    <w:p>
      <w:pPr>
        <w:spacing w:line="360" w:lineRule="auto"/>
        <w:rPr>
          <w:rFonts w:ascii="宋体" w:hAnsi="宋体"/>
          <w:color w:val="000000" w:themeColor="text1"/>
          <w:sz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33"/>
        <w:ind w:firstLine="453"/>
        <w:rPr>
          <w:rFonts w:ascii="宋体" w:eastAsia="宋体"/>
          <w:color w:val="000000" w:themeColor="text1"/>
          <w:sz w:val="22"/>
          <w:szCs w:val="22"/>
          <w:highlight w:val="none"/>
          <w14:textFill>
            <w14:solidFill>
              <w14:schemeClr w14:val="tx1"/>
            </w14:solidFill>
          </w14:textFill>
        </w:rPr>
      </w:pPr>
    </w:p>
    <w:p>
      <w:pPr>
        <w:spacing w:beforeLines="200" w:afterLines="200" w:line="600" w:lineRule="exact"/>
        <w:rPr>
          <w:rFonts w:ascii="宋体"/>
          <w:color w:val="000000" w:themeColor="text1"/>
          <w:sz w:val="22"/>
          <w:szCs w:val="22"/>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（五）投标人认为有必要的其他证明文件</w:t>
      </w: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2"/>
          <w:szCs w:val="22"/>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p>
      <w:pPr>
        <w:spacing w:line="440" w:lineRule="exact"/>
        <w:rPr>
          <w:rFonts w:ascii="宋体" w:hAnsi="宋体"/>
          <w:color w:val="000000" w:themeColor="text1"/>
          <w:sz w:val="28"/>
          <w:highlight w:val="none"/>
          <w14:textFill>
            <w14:solidFill>
              <w14:schemeClr w14:val="tx1"/>
            </w14:solidFill>
          </w14:textFill>
        </w:rPr>
      </w:pPr>
    </w:p>
    <w:bookmarkEnd w:id="268"/>
    <w:bookmarkEnd w:id="269"/>
    <w:p>
      <w:pPr>
        <w:rPr>
          <w:rFonts w:ascii="宋体" w:hAnsi="宋体"/>
          <w:color w:val="000000" w:themeColor="text1"/>
          <w:sz w:val="44"/>
          <w:szCs w:val="44"/>
          <w:highlight w:val="none"/>
          <w14:textFill>
            <w14:solidFill>
              <w14:schemeClr w14:val="tx1"/>
            </w14:solidFill>
          </w14:textFill>
        </w:rPr>
      </w:pPr>
      <w:bookmarkStart w:id="272" w:name="_Toc222651010"/>
      <w:bookmarkStart w:id="273" w:name="_Toc226862180"/>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rPr>
          <w:rFonts w:ascii="宋体" w:hAnsi="宋体"/>
          <w:color w:val="000000" w:themeColor="text1"/>
          <w:sz w:val="44"/>
          <w:szCs w:val="44"/>
          <w:highlight w:val="none"/>
          <w14:textFill>
            <w14:solidFill>
              <w14:schemeClr w14:val="tx1"/>
            </w14:solidFill>
          </w14:textFill>
        </w:rPr>
      </w:pPr>
    </w:p>
    <w:p>
      <w:pPr>
        <w:pStyle w:val="4"/>
        <w:rPr>
          <w:rFonts w:ascii="宋体" w:hAnsi="宋体" w:eastAsia="宋体"/>
          <w:color w:val="000000" w:themeColor="text1"/>
          <w:sz w:val="50"/>
          <w:szCs w:val="50"/>
          <w:highlight w:val="none"/>
          <w14:textFill>
            <w14:solidFill>
              <w14:schemeClr w14:val="tx1"/>
            </w14:solidFill>
          </w14:textFill>
        </w:rPr>
      </w:pPr>
      <w:bookmarkStart w:id="274" w:name="_Toc6832"/>
      <w:bookmarkStart w:id="275" w:name="_Toc20596"/>
      <w:bookmarkStart w:id="276" w:name="_Toc26872"/>
      <w:r>
        <w:rPr>
          <w:rFonts w:hint="eastAsia" w:ascii="宋体" w:hAnsi="宋体" w:eastAsia="宋体"/>
          <w:color w:val="000000" w:themeColor="text1"/>
          <w:sz w:val="50"/>
          <w:szCs w:val="50"/>
          <w:highlight w:val="none"/>
          <w14:textFill>
            <w14:solidFill>
              <w14:schemeClr w14:val="tx1"/>
            </w14:solidFill>
          </w14:textFill>
        </w:rPr>
        <w:t>第二章   技术文件</w:t>
      </w:r>
      <w:bookmarkEnd w:id="274"/>
      <w:bookmarkEnd w:id="275"/>
      <w:bookmarkEnd w:id="276"/>
    </w:p>
    <w:p>
      <w:pPr>
        <w:rPr>
          <w:rFonts w:ascii="宋体" w:hAnsi="宋体"/>
          <w:color w:val="000000" w:themeColor="text1"/>
          <w:highlight w:val="none"/>
          <w14:textFill>
            <w14:solidFill>
              <w14:schemeClr w14:val="tx1"/>
            </w14:solidFill>
          </w14:textFill>
        </w:rPr>
      </w:pPr>
    </w:p>
    <w:p>
      <w:pPr>
        <w:rPr>
          <w:rFonts w:ascii="宋体" w:hAnsi="宋体"/>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bookmarkEnd w:id="272"/>
    <w:bookmarkEnd w:id="273"/>
    <w:p>
      <w:pPr>
        <w:spacing w:beforeLines="200" w:afterLines="200" w:line="600" w:lineRule="exact"/>
        <w:jc w:val="center"/>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（一）投标货物说明</w:t>
      </w:r>
    </w:p>
    <w:p>
      <w:pPr>
        <w:pStyle w:val="12"/>
        <w:spacing w:line="600" w:lineRule="exact"/>
        <w:ind w:firstLine="383"/>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供应商应按照采购需求书的要求，详细列出投标货物的各项技术要求、技术措施或处理，并提供相关货物的实物图片及产品彩页或者说明书。</w:t>
      </w:r>
    </w:p>
    <w:p>
      <w:pPr>
        <w:spacing w:line="600" w:lineRule="exact"/>
        <w:ind w:firstLine="382" w:firstLineChars="174"/>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1.货物技术规格及性能：</w:t>
      </w:r>
    </w:p>
    <w:p>
      <w:pPr>
        <w:spacing w:line="600" w:lineRule="exact"/>
        <w:ind w:firstLine="382" w:firstLineChars="174"/>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w:t>
      </w:r>
    </w:p>
    <w:p>
      <w:pPr>
        <w:spacing w:line="600" w:lineRule="exact"/>
        <w:ind w:firstLine="382" w:firstLineChars="174"/>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2.产品用材：</w:t>
      </w:r>
    </w:p>
    <w:p>
      <w:pPr>
        <w:spacing w:line="600" w:lineRule="exact"/>
        <w:ind w:firstLine="382" w:firstLineChars="174"/>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w:t>
      </w:r>
    </w:p>
    <w:p>
      <w:pPr>
        <w:spacing w:line="600" w:lineRule="exact"/>
        <w:ind w:firstLine="382" w:firstLineChars="174"/>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3.防护措施：</w:t>
      </w:r>
    </w:p>
    <w:p>
      <w:pPr>
        <w:spacing w:line="600" w:lineRule="exact"/>
        <w:ind w:firstLine="382" w:firstLineChars="174"/>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w:t>
      </w:r>
    </w:p>
    <w:p>
      <w:pPr>
        <w:pStyle w:val="12"/>
        <w:spacing w:line="600" w:lineRule="exact"/>
        <w:ind w:firstLine="371" w:firstLineChars="169"/>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此外，供应商还应对所投标货物其制造商的加工、检测能力进行描述。</w:t>
      </w:r>
    </w:p>
    <w:p>
      <w:pPr>
        <w:jc w:val="center"/>
        <w:rPr>
          <w:rFonts w:ascii="宋体" w:hAnsi="宋体"/>
          <w:b/>
          <w:color w:val="000000" w:themeColor="text1"/>
          <w:sz w:val="28"/>
          <w:szCs w:val="28"/>
          <w:highlight w:val="none"/>
          <w14:textFill>
            <w14:solidFill>
              <w14:schemeClr w14:val="tx1"/>
            </w14:solidFill>
          </w14:textFill>
        </w:rPr>
      </w:pPr>
      <w:r>
        <w:rPr>
          <w:rFonts w:hint="eastAsia" w:ascii="宋体" w:hAnsi="宋体"/>
          <w:b/>
          <w:color w:val="000000" w:themeColor="text1"/>
          <w:sz w:val="28"/>
          <w:szCs w:val="28"/>
          <w:highlight w:val="none"/>
          <w14:textFill>
            <w14:solidFill>
              <w14:schemeClr w14:val="tx1"/>
            </w14:solidFill>
          </w14:textFill>
        </w:rPr>
        <w:t>货物配置一览表</w:t>
      </w:r>
    </w:p>
    <w:tbl>
      <w:tblPr>
        <w:tblStyle w:val="23"/>
        <w:tblW w:w="9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457"/>
        <w:gridCol w:w="900"/>
        <w:gridCol w:w="1722"/>
        <w:gridCol w:w="2238"/>
        <w:gridCol w:w="2238"/>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713"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序号</w:t>
            </w:r>
          </w:p>
        </w:tc>
        <w:tc>
          <w:tcPr>
            <w:tcW w:w="1457"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货物名称</w:t>
            </w:r>
          </w:p>
        </w:tc>
        <w:tc>
          <w:tcPr>
            <w:tcW w:w="900"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数量</w:t>
            </w:r>
          </w:p>
        </w:tc>
        <w:tc>
          <w:tcPr>
            <w:tcW w:w="1722"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产地品牌</w:t>
            </w:r>
          </w:p>
        </w:tc>
        <w:tc>
          <w:tcPr>
            <w:tcW w:w="2238"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规格型号</w:t>
            </w:r>
          </w:p>
        </w:tc>
        <w:tc>
          <w:tcPr>
            <w:tcW w:w="2238"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性能及技术参数</w:t>
            </w:r>
          </w:p>
        </w:tc>
        <w:tc>
          <w:tcPr>
            <w:tcW w:w="706"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w:t>
            </w:r>
          </w:p>
        </w:tc>
        <w:tc>
          <w:tcPr>
            <w:tcW w:w="1457" w:type="dxa"/>
          </w:tcPr>
          <w:p>
            <w:pPr>
              <w:rPr>
                <w:rFonts w:ascii="宋体" w:hAnsi="宋体"/>
                <w:color w:val="000000" w:themeColor="text1"/>
                <w:sz w:val="22"/>
                <w:szCs w:val="22"/>
                <w:highlight w:val="none"/>
                <w14:textFill>
                  <w14:solidFill>
                    <w14:schemeClr w14:val="tx1"/>
                  </w14:solidFill>
                </w14:textFill>
              </w:rPr>
            </w:pPr>
          </w:p>
        </w:tc>
        <w:tc>
          <w:tcPr>
            <w:tcW w:w="900" w:type="dxa"/>
          </w:tcPr>
          <w:p>
            <w:pPr>
              <w:rPr>
                <w:rFonts w:ascii="宋体" w:hAnsi="宋体"/>
                <w:color w:val="000000" w:themeColor="text1"/>
                <w:sz w:val="22"/>
                <w:szCs w:val="22"/>
                <w:highlight w:val="none"/>
                <w14:textFill>
                  <w14:solidFill>
                    <w14:schemeClr w14:val="tx1"/>
                  </w14:solidFill>
                </w14:textFill>
              </w:rPr>
            </w:pPr>
          </w:p>
        </w:tc>
        <w:tc>
          <w:tcPr>
            <w:tcW w:w="1722"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706"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w:t>
            </w:r>
          </w:p>
        </w:tc>
        <w:tc>
          <w:tcPr>
            <w:tcW w:w="1457" w:type="dxa"/>
          </w:tcPr>
          <w:p>
            <w:pPr>
              <w:rPr>
                <w:rFonts w:ascii="宋体" w:hAnsi="宋体"/>
                <w:color w:val="000000" w:themeColor="text1"/>
                <w:sz w:val="22"/>
                <w:szCs w:val="22"/>
                <w:highlight w:val="none"/>
                <w14:textFill>
                  <w14:solidFill>
                    <w14:schemeClr w14:val="tx1"/>
                  </w14:solidFill>
                </w14:textFill>
              </w:rPr>
            </w:pPr>
          </w:p>
        </w:tc>
        <w:tc>
          <w:tcPr>
            <w:tcW w:w="900" w:type="dxa"/>
          </w:tcPr>
          <w:p>
            <w:pPr>
              <w:rPr>
                <w:rFonts w:ascii="宋体" w:hAnsi="宋体"/>
                <w:color w:val="000000" w:themeColor="text1"/>
                <w:sz w:val="22"/>
                <w:szCs w:val="22"/>
                <w:highlight w:val="none"/>
                <w14:textFill>
                  <w14:solidFill>
                    <w14:schemeClr w14:val="tx1"/>
                  </w14:solidFill>
                </w14:textFill>
              </w:rPr>
            </w:pPr>
          </w:p>
        </w:tc>
        <w:tc>
          <w:tcPr>
            <w:tcW w:w="1722"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706"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w:t>
            </w:r>
          </w:p>
        </w:tc>
        <w:tc>
          <w:tcPr>
            <w:tcW w:w="1457" w:type="dxa"/>
          </w:tcPr>
          <w:p>
            <w:pPr>
              <w:rPr>
                <w:rFonts w:ascii="宋体" w:hAnsi="宋体"/>
                <w:color w:val="000000" w:themeColor="text1"/>
                <w:sz w:val="22"/>
                <w:szCs w:val="22"/>
                <w:highlight w:val="none"/>
                <w14:textFill>
                  <w14:solidFill>
                    <w14:schemeClr w14:val="tx1"/>
                  </w14:solidFill>
                </w14:textFill>
              </w:rPr>
            </w:pPr>
          </w:p>
        </w:tc>
        <w:tc>
          <w:tcPr>
            <w:tcW w:w="900" w:type="dxa"/>
          </w:tcPr>
          <w:p>
            <w:pPr>
              <w:rPr>
                <w:rFonts w:ascii="宋体" w:hAnsi="宋体"/>
                <w:color w:val="000000" w:themeColor="text1"/>
                <w:sz w:val="22"/>
                <w:szCs w:val="22"/>
                <w:highlight w:val="none"/>
                <w14:textFill>
                  <w14:solidFill>
                    <w14:schemeClr w14:val="tx1"/>
                  </w14:solidFill>
                </w14:textFill>
              </w:rPr>
            </w:pPr>
          </w:p>
        </w:tc>
        <w:tc>
          <w:tcPr>
            <w:tcW w:w="1722"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706"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4</w:t>
            </w:r>
          </w:p>
        </w:tc>
        <w:tc>
          <w:tcPr>
            <w:tcW w:w="1457" w:type="dxa"/>
          </w:tcPr>
          <w:p>
            <w:pPr>
              <w:rPr>
                <w:rFonts w:ascii="宋体" w:hAnsi="宋体"/>
                <w:color w:val="000000" w:themeColor="text1"/>
                <w:sz w:val="22"/>
                <w:szCs w:val="22"/>
                <w:highlight w:val="none"/>
                <w14:textFill>
                  <w14:solidFill>
                    <w14:schemeClr w14:val="tx1"/>
                  </w14:solidFill>
                </w14:textFill>
              </w:rPr>
            </w:pPr>
          </w:p>
        </w:tc>
        <w:tc>
          <w:tcPr>
            <w:tcW w:w="900" w:type="dxa"/>
          </w:tcPr>
          <w:p>
            <w:pPr>
              <w:rPr>
                <w:rFonts w:ascii="宋体" w:hAnsi="宋体"/>
                <w:color w:val="000000" w:themeColor="text1"/>
                <w:sz w:val="22"/>
                <w:szCs w:val="22"/>
                <w:highlight w:val="none"/>
                <w14:textFill>
                  <w14:solidFill>
                    <w14:schemeClr w14:val="tx1"/>
                  </w14:solidFill>
                </w14:textFill>
              </w:rPr>
            </w:pPr>
          </w:p>
        </w:tc>
        <w:tc>
          <w:tcPr>
            <w:tcW w:w="1722"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706"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5</w:t>
            </w:r>
          </w:p>
        </w:tc>
        <w:tc>
          <w:tcPr>
            <w:tcW w:w="1457" w:type="dxa"/>
          </w:tcPr>
          <w:p>
            <w:pPr>
              <w:rPr>
                <w:rFonts w:ascii="宋体" w:hAnsi="宋体"/>
                <w:color w:val="000000" w:themeColor="text1"/>
                <w:sz w:val="22"/>
                <w:szCs w:val="22"/>
                <w:highlight w:val="none"/>
                <w14:textFill>
                  <w14:solidFill>
                    <w14:schemeClr w14:val="tx1"/>
                  </w14:solidFill>
                </w14:textFill>
              </w:rPr>
            </w:pPr>
          </w:p>
        </w:tc>
        <w:tc>
          <w:tcPr>
            <w:tcW w:w="900" w:type="dxa"/>
          </w:tcPr>
          <w:p>
            <w:pPr>
              <w:rPr>
                <w:rFonts w:ascii="宋体" w:hAnsi="宋体"/>
                <w:color w:val="000000" w:themeColor="text1"/>
                <w:sz w:val="22"/>
                <w:szCs w:val="22"/>
                <w:highlight w:val="none"/>
                <w14:textFill>
                  <w14:solidFill>
                    <w14:schemeClr w14:val="tx1"/>
                  </w14:solidFill>
                </w14:textFill>
              </w:rPr>
            </w:pPr>
          </w:p>
        </w:tc>
        <w:tc>
          <w:tcPr>
            <w:tcW w:w="1722"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706"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w:t>
            </w:r>
          </w:p>
        </w:tc>
        <w:tc>
          <w:tcPr>
            <w:tcW w:w="1457" w:type="dxa"/>
          </w:tcPr>
          <w:p>
            <w:pPr>
              <w:rPr>
                <w:rFonts w:ascii="宋体" w:hAnsi="宋体"/>
                <w:color w:val="000000" w:themeColor="text1"/>
                <w:sz w:val="22"/>
                <w:szCs w:val="22"/>
                <w:highlight w:val="none"/>
                <w14:textFill>
                  <w14:solidFill>
                    <w14:schemeClr w14:val="tx1"/>
                  </w14:solidFill>
                </w14:textFill>
              </w:rPr>
            </w:pPr>
          </w:p>
        </w:tc>
        <w:tc>
          <w:tcPr>
            <w:tcW w:w="900" w:type="dxa"/>
          </w:tcPr>
          <w:p>
            <w:pPr>
              <w:rPr>
                <w:rFonts w:ascii="宋体" w:hAnsi="宋体"/>
                <w:color w:val="000000" w:themeColor="text1"/>
                <w:sz w:val="22"/>
                <w:szCs w:val="22"/>
                <w:highlight w:val="none"/>
                <w14:textFill>
                  <w14:solidFill>
                    <w14:schemeClr w14:val="tx1"/>
                  </w14:solidFill>
                </w14:textFill>
              </w:rPr>
            </w:pPr>
          </w:p>
        </w:tc>
        <w:tc>
          <w:tcPr>
            <w:tcW w:w="1722"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706"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rPr>
                <w:rFonts w:ascii="宋体" w:hAnsi="宋体"/>
                <w:color w:val="000000" w:themeColor="text1"/>
                <w:sz w:val="22"/>
                <w:szCs w:val="22"/>
                <w:highlight w:val="none"/>
                <w14:textFill>
                  <w14:solidFill>
                    <w14:schemeClr w14:val="tx1"/>
                  </w14:solidFill>
                </w14:textFill>
              </w:rPr>
            </w:pPr>
          </w:p>
        </w:tc>
        <w:tc>
          <w:tcPr>
            <w:tcW w:w="1457" w:type="dxa"/>
          </w:tcPr>
          <w:p>
            <w:pPr>
              <w:rPr>
                <w:rFonts w:ascii="宋体" w:hAnsi="宋体"/>
                <w:color w:val="000000" w:themeColor="text1"/>
                <w:sz w:val="22"/>
                <w:szCs w:val="22"/>
                <w:highlight w:val="none"/>
                <w14:textFill>
                  <w14:solidFill>
                    <w14:schemeClr w14:val="tx1"/>
                  </w14:solidFill>
                </w14:textFill>
              </w:rPr>
            </w:pPr>
          </w:p>
        </w:tc>
        <w:tc>
          <w:tcPr>
            <w:tcW w:w="900" w:type="dxa"/>
          </w:tcPr>
          <w:p>
            <w:pPr>
              <w:rPr>
                <w:rFonts w:ascii="宋体" w:hAnsi="宋体"/>
                <w:color w:val="000000" w:themeColor="text1"/>
                <w:sz w:val="22"/>
                <w:szCs w:val="22"/>
                <w:highlight w:val="none"/>
                <w14:textFill>
                  <w14:solidFill>
                    <w14:schemeClr w14:val="tx1"/>
                  </w14:solidFill>
                </w14:textFill>
              </w:rPr>
            </w:pPr>
          </w:p>
        </w:tc>
        <w:tc>
          <w:tcPr>
            <w:tcW w:w="1722"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2238" w:type="dxa"/>
          </w:tcPr>
          <w:p>
            <w:pPr>
              <w:rPr>
                <w:rFonts w:ascii="宋体" w:hAnsi="宋体"/>
                <w:color w:val="000000" w:themeColor="text1"/>
                <w:sz w:val="22"/>
                <w:szCs w:val="22"/>
                <w:highlight w:val="none"/>
                <w14:textFill>
                  <w14:solidFill>
                    <w14:schemeClr w14:val="tx1"/>
                  </w14:solidFill>
                </w14:textFill>
              </w:rPr>
            </w:pPr>
          </w:p>
        </w:tc>
        <w:tc>
          <w:tcPr>
            <w:tcW w:w="706" w:type="dxa"/>
          </w:tcPr>
          <w:p>
            <w:pPr>
              <w:rPr>
                <w:rFonts w:ascii="宋体" w:hAnsi="宋体"/>
                <w:color w:val="000000" w:themeColor="text1"/>
                <w:sz w:val="22"/>
                <w:szCs w:val="22"/>
                <w:highlight w:val="none"/>
                <w14:textFill>
                  <w14:solidFill>
                    <w14:schemeClr w14:val="tx1"/>
                  </w14:solidFill>
                </w14:textFill>
              </w:rPr>
            </w:pPr>
          </w:p>
        </w:tc>
      </w:tr>
    </w:tbl>
    <w:p>
      <w:pPr>
        <w:spacing w:line="600" w:lineRule="exact"/>
        <w:ind w:firstLine="560" w:firstLineChars="200"/>
        <w:rPr>
          <w:rFonts w:ascii="宋体" w:hAnsi="宋体"/>
          <w:color w:val="000000" w:themeColor="text1"/>
          <w:sz w:val="28"/>
          <w:szCs w:val="28"/>
          <w:highlight w:val="none"/>
          <w14:textFill>
            <w14:solidFill>
              <w14:schemeClr w14:val="tx1"/>
            </w14:solidFill>
          </w14:textFill>
        </w:rPr>
      </w:pPr>
    </w:p>
    <w:p>
      <w:pPr>
        <w:spacing w:line="600" w:lineRule="exact"/>
        <w:ind w:firstLine="560" w:firstLineChars="200"/>
        <w:rPr>
          <w:rFonts w:ascii="宋体" w:hAnsi="宋体"/>
          <w:color w:val="000000" w:themeColor="text1"/>
          <w:sz w:val="28"/>
          <w:szCs w:val="28"/>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9"/>
        <w:spacing w:after="0" w:line="560" w:lineRule="exact"/>
        <w:ind w:firstLine="574" w:firstLineChars="205"/>
        <w:rPr>
          <w:rFonts w:ascii="宋体" w:hAnsi="宋体"/>
          <w:color w:val="000000" w:themeColor="text1"/>
          <w:sz w:val="28"/>
          <w:highlight w:val="none"/>
          <w14:textFill>
            <w14:solidFill>
              <w14:schemeClr w14:val="tx1"/>
            </w14:solidFill>
          </w14:textFill>
        </w:rPr>
        <w:sectPr>
          <w:pgSz w:w="11906" w:h="16838"/>
          <w:pgMar w:top="1474" w:right="1474" w:bottom="1474" w:left="1474" w:header="850" w:footer="907" w:gutter="0"/>
          <w:paperSrc w:first="7" w:other="7"/>
          <w:cols w:space="720" w:num="1"/>
          <w:titlePg/>
          <w:docGrid w:linePitch="523" w:charSpace="0"/>
        </w:sectPr>
      </w:pPr>
    </w:p>
    <w:p>
      <w:pPr>
        <w:pStyle w:val="38"/>
        <w:spacing w:after="0"/>
        <w:jc w:val="center"/>
        <w:rPr>
          <w:color w:val="000000" w:themeColor="text1"/>
          <w:sz w:val="24"/>
          <w:highlight w:val="none"/>
          <w14:textFill>
            <w14:solidFill>
              <w14:schemeClr w14:val="tx1"/>
            </w14:solidFill>
          </w14:textFill>
        </w:rPr>
      </w:pPr>
      <w:bookmarkStart w:id="277" w:name="_Toc429645611"/>
      <w:bookmarkStart w:id="278" w:name="_Toc26865"/>
      <w:bookmarkStart w:id="279" w:name="_Toc2409"/>
      <w:r>
        <w:rPr>
          <w:rFonts w:hint="eastAsia"/>
          <w:color w:val="000000" w:themeColor="text1"/>
          <w:sz w:val="28"/>
          <w:szCs w:val="28"/>
          <w:highlight w:val="none"/>
          <w14:textFill>
            <w14:solidFill>
              <w14:schemeClr w14:val="tx1"/>
            </w14:solidFill>
          </w14:textFill>
        </w:rPr>
        <w:t>（二）</w:t>
      </w:r>
      <w:bookmarkEnd w:id="277"/>
      <w:r>
        <w:rPr>
          <w:rFonts w:hint="eastAsia"/>
          <w:color w:val="000000" w:themeColor="text1"/>
          <w:sz w:val="24"/>
          <w:highlight w:val="none"/>
          <w14:textFill>
            <w14:solidFill>
              <w14:schemeClr w14:val="tx1"/>
            </w14:solidFill>
          </w14:textFill>
        </w:rPr>
        <w:t>政府采购政策执行情况表（节能产品、环境标志产品价格扣除）</w:t>
      </w:r>
      <w:bookmarkEnd w:id="278"/>
      <w:bookmarkEnd w:id="279"/>
    </w:p>
    <w:p>
      <w:pPr>
        <w:spacing w:afterLines="200" w:line="360" w:lineRule="exact"/>
        <w:jc w:val="center"/>
        <w:rPr>
          <w:color w:val="000000" w:themeColor="text1"/>
          <w:sz w:val="24"/>
          <w:highlight w:val="none"/>
          <w14:textFill>
            <w14:solidFill>
              <w14:schemeClr w14:val="tx1"/>
            </w14:solidFill>
          </w14:textFill>
        </w:rPr>
      </w:pPr>
      <w:r>
        <w:rPr>
          <w:rFonts w:hint="eastAsia" w:ascii="黑体" w:hAnsi="黑体" w:eastAsia="黑体"/>
          <w:color w:val="000000" w:themeColor="text1"/>
          <w:sz w:val="24"/>
          <w:highlight w:val="none"/>
          <w14:textFill>
            <w14:solidFill>
              <w14:schemeClr w14:val="tx1"/>
            </w14:solidFill>
          </w14:textFill>
        </w:rPr>
        <w:t>（由供应商根据需要选用）</w:t>
      </w:r>
    </w:p>
    <w:tbl>
      <w:tblPr>
        <w:tblStyle w:val="23"/>
        <w:tblW w:w="9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2015"/>
        <w:gridCol w:w="1343"/>
        <w:gridCol w:w="2335"/>
        <w:gridCol w:w="1276"/>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007" w:type="dxa"/>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类别</w:t>
            </w:r>
          </w:p>
        </w:tc>
        <w:tc>
          <w:tcPr>
            <w:tcW w:w="2015" w:type="dxa"/>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投标产品</w:t>
            </w:r>
          </w:p>
        </w:tc>
        <w:tc>
          <w:tcPr>
            <w:tcW w:w="1343" w:type="dxa"/>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制造商</w:t>
            </w:r>
          </w:p>
        </w:tc>
        <w:tc>
          <w:tcPr>
            <w:tcW w:w="2335" w:type="dxa"/>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认证证书编号</w:t>
            </w:r>
          </w:p>
        </w:tc>
        <w:tc>
          <w:tcPr>
            <w:tcW w:w="1276" w:type="dxa"/>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金额</w:t>
            </w:r>
          </w:p>
        </w:tc>
        <w:tc>
          <w:tcPr>
            <w:tcW w:w="1243" w:type="dxa"/>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金额占投标总报价比重（累计</w:t>
            </w:r>
            <w:r>
              <w:rPr>
                <w:rFonts w:ascii="宋体" w:hAnsi="宋体"/>
                <w:color w:val="000000" w:themeColor="text1"/>
                <w:sz w:val="24"/>
                <w:szCs w:val="21"/>
                <w:highlight w:val="none"/>
                <w:lang w:val="en-GB"/>
                <w14:textFill>
                  <w14:solidFill>
                    <w14:schemeClr w14:val="tx1"/>
                  </w14:solidFill>
                </w14:textFill>
              </w:rPr>
              <w:t xml:space="preserve"> %</w:t>
            </w:r>
            <w:r>
              <w:rPr>
                <w:rFonts w:hint="eastAsia" w:ascii="宋体" w:hAnsi="宋体"/>
                <w:color w:val="000000" w:themeColor="text1"/>
                <w:sz w:val="24"/>
                <w:szCs w:val="21"/>
                <w:highlight w:val="none"/>
                <w:lang w:val="en-GB"/>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7" w:type="dxa"/>
            <w:vMerge w:val="restart"/>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节能产品（非强制采购）</w:t>
            </w:r>
          </w:p>
        </w:tc>
        <w:tc>
          <w:tcPr>
            <w:tcW w:w="201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343"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233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76"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43" w:type="dxa"/>
            <w:vMerge w:val="restart"/>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07" w:type="dxa"/>
            <w:vMerge w:val="continue"/>
            <w:noWrap/>
            <w:vAlign w:val="center"/>
          </w:tcPr>
          <w:p>
            <w:pPr>
              <w:tabs>
                <w:tab w:val="left" w:pos="1260"/>
              </w:tabs>
              <w:ind w:left="-86" w:leftChars="-41" w:right="-71" w:rightChars="-34"/>
              <w:jc w:val="center"/>
              <w:rPr>
                <w:rFonts w:ascii="宋体" w:hAnsi="宋体"/>
                <w:color w:val="000000" w:themeColor="text1"/>
                <w:sz w:val="24"/>
                <w:szCs w:val="21"/>
                <w:highlight w:val="none"/>
                <w:lang w:val="en-GB"/>
                <w14:textFill>
                  <w14:solidFill>
                    <w14:schemeClr w14:val="tx1"/>
                  </w14:solidFill>
                </w14:textFill>
              </w:rPr>
            </w:pPr>
          </w:p>
        </w:tc>
        <w:tc>
          <w:tcPr>
            <w:tcW w:w="201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343"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233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76"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43" w:type="dxa"/>
            <w:vMerge w:val="continue"/>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007" w:type="dxa"/>
            <w:vMerge w:val="continue"/>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5693" w:type="dxa"/>
            <w:gridSpan w:val="3"/>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合计</w:t>
            </w:r>
          </w:p>
        </w:tc>
        <w:tc>
          <w:tcPr>
            <w:tcW w:w="1276"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43" w:type="dxa"/>
            <w:vMerge w:val="continue"/>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7" w:type="dxa"/>
            <w:vMerge w:val="restart"/>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环境标志产品</w:t>
            </w:r>
          </w:p>
        </w:tc>
        <w:tc>
          <w:tcPr>
            <w:tcW w:w="201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343"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233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76"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43" w:type="dxa"/>
            <w:vMerge w:val="restart"/>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07" w:type="dxa"/>
            <w:vMerge w:val="continue"/>
            <w:noWrap/>
            <w:vAlign w:val="center"/>
          </w:tcPr>
          <w:p>
            <w:pPr>
              <w:tabs>
                <w:tab w:val="left" w:pos="1260"/>
              </w:tabs>
              <w:ind w:left="-86" w:leftChars="-41" w:right="-71" w:rightChars="-34"/>
              <w:jc w:val="center"/>
              <w:rPr>
                <w:rFonts w:ascii="宋体" w:hAnsi="宋体"/>
                <w:color w:val="000000" w:themeColor="text1"/>
                <w:sz w:val="24"/>
                <w:szCs w:val="21"/>
                <w:highlight w:val="none"/>
                <w:lang w:val="en-GB"/>
                <w14:textFill>
                  <w14:solidFill>
                    <w14:schemeClr w14:val="tx1"/>
                  </w14:solidFill>
                </w14:textFill>
              </w:rPr>
            </w:pPr>
          </w:p>
        </w:tc>
        <w:tc>
          <w:tcPr>
            <w:tcW w:w="201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343"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2335"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76"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43" w:type="dxa"/>
            <w:vMerge w:val="continue"/>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1007" w:type="dxa"/>
            <w:vMerge w:val="continue"/>
            <w:noWrap/>
            <w:vAlign w:val="center"/>
          </w:tcPr>
          <w:p>
            <w:pPr>
              <w:tabs>
                <w:tab w:val="left" w:pos="1260"/>
              </w:tabs>
              <w:ind w:left="-86" w:leftChars="-41" w:right="-71" w:rightChars="-34"/>
              <w:jc w:val="center"/>
              <w:rPr>
                <w:rFonts w:ascii="宋体"/>
                <w:color w:val="000000" w:themeColor="text1"/>
                <w:sz w:val="24"/>
                <w:szCs w:val="21"/>
                <w:highlight w:val="none"/>
                <w:lang w:val="en-GB"/>
                <w14:textFill>
                  <w14:solidFill>
                    <w14:schemeClr w14:val="tx1"/>
                  </w14:solidFill>
                </w14:textFill>
              </w:rPr>
            </w:pPr>
          </w:p>
        </w:tc>
        <w:tc>
          <w:tcPr>
            <w:tcW w:w="5693" w:type="dxa"/>
            <w:gridSpan w:val="3"/>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合计</w:t>
            </w:r>
          </w:p>
        </w:tc>
        <w:tc>
          <w:tcPr>
            <w:tcW w:w="1276" w:type="dxa"/>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c>
          <w:tcPr>
            <w:tcW w:w="1243" w:type="dxa"/>
            <w:vMerge w:val="continue"/>
            <w:noWrap/>
            <w:vAlign w:val="center"/>
          </w:tcPr>
          <w:p>
            <w:pPr>
              <w:tabs>
                <w:tab w:val="left" w:pos="1260"/>
              </w:tabs>
              <w:jc w:val="center"/>
              <w:rPr>
                <w:rFonts w:ascii="宋体"/>
                <w:color w:val="000000" w:themeColor="text1"/>
                <w:sz w:val="24"/>
                <w:szCs w:val="21"/>
                <w:highlight w:val="none"/>
                <w:lang w:val="en-GB"/>
                <w14:textFill>
                  <w14:solidFill>
                    <w14:schemeClr w14:val="tx1"/>
                  </w14:solidFill>
                </w14:textFill>
              </w:rPr>
            </w:pPr>
          </w:p>
        </w:tc>
      </w:tr>
    </w:tbl>
    <w:p>
      <w:pPr>
        <w:spacing w:line="500" w:lineRule="exact"/>
        <w:rPr>
          <w:rFonts w:ascii="宋体"/>
          <w:color w:val="000000" w:themeColor="text1"/>
          <w:sz w:val="24"/>
          <w:szCs w:val="21"/>
          <w:highlight w:val="none"/>
          <w:lang w:val="en-GB"/>
          <w14:textFill>
            <w14:solidFill>
              <w14:schemeClr w14:val="tx1"/>
            </w14:solidFill>
          </w14:textFill>
        </w:rPr>
      </w:pPr>
      <w:r>
        <w:rPr>
          <w:rFonts w:hint="eastAsia" w:ascii="宋体" w:hAnsi="宋体"/>
          <w:color w:val="000000" w:themeColor="text1"/>
          <w:sz w:val="24"/>
          <w:szCs w:val="21"/>
          <w:highlight w:val="none"/>
          <w:lang w:val="en-GB"/>
          <w14:textFill>
            <w14:solidFill>
              <w14:schemeClr w14:val="tx1"/>
            </w14:solidFill>
          </w14:textFill>
        </w:rPr>
        <w:t>注：</w:t>
      </w:r>
    </w:p>
    <w:p>
      <w:pPr>
        <w:spacing w:line="500" w:lineRule="exact"/>
        <w:rPr>
          <w:rFonts w:ascii="宋体"/>
          <w:color w:val="000000" w:themeColor="text1"/>
          <w:sz w:val="24"/>
          <w:szCs w:val="21"/>
          <w:highlight w:val="none"/>
          <w:lang w:val="en-GB"/>
          <w14:textFill>
            <w14:solidFill>
              <w14:schemeClr w14:val="tx1"/>
            </w14:solidFill>
          </w14:textFill>
        </w:rPr>
      </w:pPr>
      <w:r>
        <w:rPr>
          <w:rFonts w:ascii="宋体" w:hAnsi="宋体"/>
          <w:color w:val="000000" w:themeColor="text1"/>
          <w:sz w:val="24"/>
          <w:szCs w:val="21"/>
          <w:highlight w:val="none"/>
          <w:lang w:val="en-GB"/>
          <w14:textFill>
            <w14:solidFill>
              <w14:schemeClr w14:val="tx1"/>
            </w14:solidFill>
          </w14:textFill>
        </w:rPr>
        <w:t>1.</w:t>
      </w:r>
      <w:r>
        <w:rPr>
          <w:rFonts w:hint="eastAsia" w:ascii="宋体" w:hAnsi="宋体"/>
          <w:color w:val="000000" w:themeColor="text1"/>
          <w:sz w:val="24"/>
          <w:szCs w:val="21"/>
          <w:highlight w:val="none"/>
          <w:lang w:val="en-GB"/>
          <w14:textFill>
            <w14:solidFill>
              <w14:schemeClr w14:val="tx1"/>
            </w14:solidFill>
          </w14:textFill>
        </w:rPr>
        <w:t>节能产品（非强制采购）是纳入财政部发展改革委颁布最新一期《节能产品政府采购品目清单》的，须同时提供投标产品所在清单页并对相关品目作圈记、处于有效期之内的节能产品认证证书复印件加盖投标人公章。</w:t>
      </w:r>
    </w:p>
    <w:p>
      <w:pPr>
        <w:spacing w:beforeLines="100" w:line="360" w:lineRule="auto"/>
        <w:ind w:firstLine="48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4"/>
          <w:szCs w:val="21"/>
          <w:highlight w:val="none"/>
          <w:lang w:val="en-GB"/>
          <w14:textFill>
            <w14:solidFill>
              <w14:schemeClr w14:val="tx1"/>
            </w14:solidFill>
          </w14:textFill>
        </w:rPr>
        <w:t>2.</w:t>
      </w:r>
      <w:r>
        <w:rPr>
          <w:rFonts w:hint="eastAsia" w:ascii="宋体" w:hAnsi="宋体"/>
          <w:color w:val="000000" w:themeColor="text1"/>
          <w:sz w:val="24"/>
          <w:szCs w:val="21"/>
          <w:highlight w:val="none"/>
          <w:lang w:val="en-GB"/>
          <w14:textFill>
            <w14:solidFill>
              <w14:schemeClr w14:val="tx1"/>
            </w14:solidFill>
          </w14:textFill>
        </w:rPr>
        <w:t>环境标志产品是纳入财政部 生态环境部颁布最新一期《环境标志产品政府采购品目清单》的，须同时提供投标产品所在清单页并对相关品目作圈记、处于有效期之内的环境标志产品认证证书复印件加盖投标人公章。</w:t>
      </w: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（三）中小企业声明函（供应商为中小企业时适用）</w:t>
      </w:r>
    </w:p>
    <w:p>
      <w:pPr>
        <w:spacing w:line="360" w:lineRule="auto"/>
        <w:jc w:val="center"/>
        <w:rPr>
          <w:rFonts w:ascii="宋体" w:hAnsi="宋体"/>
          <w:b/>
          <w:color w:val="000000" w:themeColor="text1"/>
          <w:sz w:val="28"/>
          <w:szCs w:val="28"/>
          <w:highlight w:val="none"/>
          <w14:textFill>
            <w14:solidFill>
              <w14:schemeClr w14:val="tx1"/>
            </w14:solidFill>
          </w14:textFill>
        </w:rPr>
      </w:pPr>
      <w:r>
        <w:rPr>
          <w:rFonts w:hint="eastAsia" w:ascii="宋体" w:hAnsi="宋体"/>
          <w:bCs/>
          <w:color w:val="000000" w:themeColor="text1"/>
          <w:sz w:val="28"/>
          <w:szCs w:val="28"/>
          <w:highlight w:val="none"/>
          <w:u w:val="single"/>
          <w14:textFill>
            <w14:solidFill>
              <w14:schemeClr w14:val="tx1"/>
            </w14:solidFill>
          </w14:textFill>
        </w:rPr>
        <w:t>注：（投标人须将此声明函放入唱标信封）</w:t>
      </w:r>
    </w:p>
    <w:p>
      <w:pPr>
        <w:pStyle w:val="9"/>
        <w:rPr>
          <w:color w:val="000000" w:themeColor="text1"/>
          <w:highlight w:val="none"/>
          <w14:textFill>
            <w14:solidFill>
              <w14:schemeClr w14:val="tx1"/>
            </w14:solidFill>
          </w14:textFill>
        </w:rPr>
      </w:pPr>
    </w:p>
    <w:p>
      <w:pPr>
        <w:spacing w:line="50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本公司郑重声明，根据《政府采购促进中小企业发展暂行办法》（财库[2011]181号）的规定，本公司为</w:t>
      </w:r>
      <w:bookmarkStart w:id="280" w:name="OLE_LINK2"/>
      <w:bookmarkStart w:id="281" w:name="OLE_LINK5"/>
      <w:r>
        <w:rPr>
          <w:rFonts w:hint="eastAsia" w:ascii="宋体" w:hAnsi="宋体" w:cs="宋体"/>
          <w:color w:val="000000" w:themeColor="text1"/>
          <w:sz w:val="22"/>
          <w:szCs w:val="22"/>
          <w:highlight w:val="none"/>
          <w14:textFill>
            <w14:solidFill>
              <w14:schemeClr w14:val="tx1"/>
            </w14:solidFill>
          </w14:textFill>
        </w:rPr>
        <w:t>______（请填写：中型、小型、微型）企业</w:t>
      </w:r>
      <w:bookmarkEnd w:id="280"/>
      <w:bookmarkEnd w:id="281"/>
      <w:r>
        <w:rPr>
          <w:rFonts w:hint="eastAsia" w:ascii="宋体" w:hAnsi="宋体" w:cs="宋体"/>
          <w:color w:val="000000" w:themeColor="text1"/>
          <w:sz w:val="22"/>
          <w:szCs w:val="22"/>
          <w:highlight w:val="none"/>
          <w14:textFill>
            <w14:solidFill>
              <w14:schemeClr w14:val="tx1"/>
            </w14:solidFill>
          </w14:textFill>
        </w:rPr>
        <w:t>。即，本公司同时满足以下条件：</w:t>
      </w:r>
    </w:p>
    <w:p>
      <w:pPr>
        <w:spacing w:line="50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1.根据《工业和信息化部、国家统计局、国家发展和改革委员会、财政部关于印发中小企业划型标准规定的通知》（工信部联企业[2011]300号）规定的划分标准，本公司为______（请填写：中型、小型、微型）企业。</w:t>
      </w:r>
    </w:p>
    <w:p>
      <w:pPr>
        <w:spacing w:line="50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00" w:lineRule="exact"/>
        <w:ind w:firstLine="440" w:firstLineChars="200"/>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本公司对上述声明的真实性负责。如有虚假，将依法承担相应责任。</w:t>
      </w:r>
    </w:p>
    <w:p>
      <w:pPr>
        <w:spacing w:line="500" w:lineRule="exact"/>
        <w:jc w:val="righ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企业名称（加盖公章）：</w:t>
      </w:r>
    </w:p>
    <w:p>
      <w:pPr>
        <w:spacing w:line="500" w:lineRule="exact"/>
        <w:jc w:val="right"/>
        <w:rPr>
          <w:rFonts w:ascii="宋体" w:hAnsi="宋体" w:cs="宋体"/>
          <w:color w:val="000000" w:themeColor="text1"/>
          <w:sz w:val="22"/>
          <w:szCs w:val="22"/>
          <w:highlight w:val="none"/>
          <w14:textFill>
            <w14:solidFill>
              <w14:schemeClr w14:val="tx1"/>
            </w14:solidFill>
          </w14:textFill>
        </w:rPr>
      </w:pPr>
      <w:r>
        <w:rPr>
          <w:rFonts w:hint="eastAsia" w:ascii="宋体" w:hAnsi="宋体" w:cs="宋体"/>
          <w:color w:val="000000" w:themeColor="text1"/>
          <w:sz w:val="22"/>
          <w:szCs w:val="22"/>
          <w:highlight w:val="none"/>
          <w14:textFill>
            <w14:solidFill>
              <w14:schemeClr w14:val="tx1"/>
            </w14:solidFill>
          </w14:textFill>
        </w:rPr>
        <w:t>日      期：</w:t>
      </w:r>
    </w:p>
    <w:p>
      <w:pPr>
        <w:spacing w:line="5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w:t>
      </w:r>
    </w:p>
    <w:p>
      <w:pPr>
        <w:spacing w:line="5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投标人应根据《关于印发中小企业划型标准规定的通知》（工信部联企业[2011]300号）的有关规定如实填写此表。（监狱企业视同小型、微型企业，监狱企业参加政府采购活动时，应当提供由省级以上监狱管理局、戒毒管理局(含新疆生产建设兵团)出具的属于监狱企业的证明文件）</w:t>
      </w:r>
    </w:p>
    <w:p>
      <w:pPr>
        <w:spacing w:line="500" w:lineRule="exact"/>
        <w:ind w:firstLine="442" w:firstLineChars="200"/>
        <w:rPr>
          <w:rFonts w:ascii="宋体" w:hAnsi="宋体"/>
          <w:b/>
          <w:bCs/>
          <w:color w:val="000000" w:themeColor="text1"/>
          <w:sz w:val="22"/>
          <w:szCs w:val="22"/>
          <w:highlight w:val="none"/>
          <w14:textFill>
            <w14:solidFill>
              <w14:schemeClr w14:val="tx1"/>
            </w14:solidFill>
          </w14:textFill>
        </w:rPr>
      </w:pPr>
      <w:r>
        <w:rPr>
          <w:rFonts w:hint="eastAsia" w:ascii="宋体" w:hAnsi="宋体"/>
          <w:b/>
          <w:bCs/>
          <w:color w:val="000000" w:themeColor="text1"/>
          <w:sz w:val="22"/>
          <w:szCs w:val="22"/>
          <w:highlight w:val="none"/>
          <w14:textFill>
            <w14:solidFill>
              <w14:schemeClr w14:val="tx1"/>
            </w14:solidFill>
          </w14:textFill>
        </w:rPr>
        <w:t>2、若投标人不属于规定的中小企业范围，或提供的产品不是中小企业制造的，则无需提供此表。</w:t>
      </w:r>
    </w:p>
    <w:p>
      <w:pPr>
        <w:tabs>
          <w:tab w:val="left" w:pos="465"/>
          <w:tab w:val="left" w:pos="780"/>
        </w:tabs>
        <w:spacing w:line="5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ab/>
      </w:r>
      <w:r>
        <w:rPr>
          <w:rFonts w:hint="eastAsia" w:ascii="宋体" w:hAnsi="宋体"/>
          <w:color w:val="000000" w:themeColor="text1"/>
          <w:sz w:val="22"/>
          <w:szCs w:val="22"/>
          <w:highlight w:val="none"/>
          <w14:textFill>
            <w14:solidFill>
              <w14:schemeClr w14:val="tx1"/>
            </w14:solidFill>
          </w14:textFill>
        </w:rPr>
        <w:t>3、投标人应该在《报价明细表》中单独列明属于小型和微型企业产品（货物、承担的工程或者服务）的报价，若投标人只提供《中小企业声明函》但未列明小型或微型企业产品的，在计算价格得分时不予以相应的扣除。</w:t>
      </w:r>
    </w:p>
    <w:p>
      <w:pPr>
        <w:spacing w:line="600" w:lineRule="exact"/>
        <w:rPr>
          <w:rFonts w:ascii="宋体" w:hAnsi="宋体"/>
          <w:color w:val="000000" w:themeColor="text1"/>
          <w:sz w:val="22"/>
          <w:szCs w:val="22"/>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（四）投标技术服务方案</w:t>
      </w:r>
    </w:p>
    <w:p>
      <w:pPr>
        <w:pStyle w:val="38"/>
        <w:jc w:val="center"/>
        <w:rPr>
          <w:color w:val="000000" w:themeColor="text1"/>
          <w:sz w:val="28"/>
          <w:szCs w:val="28"/>
          <w:highlight w:val="none"/>
          <w14:textFill>
            <w14:solidFill>
              <w14:schemeClr w14:val="tx1"/>
            </w14:solidFill>
          </w14:textFill>
        </w:rPr>
      </w:pPr>
    </w:p>
    <w:p>
      <w:pPr>
        <w:spacing w:line="52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供应商应按照采购需求书的要求提供详细的投标技术、服务方案（格式自定）。</w:t>
      </w:r>
    </w:p>
    <w:p>
      <w:pPr>
        <w:spacing w:line="520" w:lineRule="exact"/>
        <w:rPr>
          <w:rFonts w:ascii="宋体" w:hAnsi="宋体"/>
          <w:color w:val="000000" w:themeColor="text1"/>
          <w:sz w:val="28"/>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jc w:val="center"/>
        <w:rPr>
          <w:rFonts w:ascii="宋体" w:hAnsi="宋体"/>
          <w:color w:val="000000" w:themeColor="text1"/>
          <w:sz w:val="44"/>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（五）技术差异表</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项目名称：                                  项目编号：</w:t>
      </w:r>
    </w:p>
    <w:tbl>
      <w:tblPr>
        <w:tblStyle w:val="23"/>
        <w:tblW w:w="8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222"/>
        <w:gridCol w:w="1759"/>
        <w:gridCol w:w="1222"/>
        <w:gridCol w:w="1508"/>
        <w:gridCol w:w="1056"/>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802" w:type="dxa"/>
            <w:vMerge w:val="restart"/>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序号</w:t>
            </w:r>
          </w:p>
        </w:tc>
        <w:tc>
          <w:tcPr>
            <w:tcW w:w="2981" w:type="dxa"/>
            <w:gridSpan w:val="2"/>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招标文件要求</w:t>
            </w:r>
          </w:p>
        </w:tc>
        <w:tc>
          <w:tcPr>
            <w:tcW w:w="2730" w:type="dxa"/>
            <w:gridSpan w:val="2"/>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投标文件内容</w:t>
            </w:r>
          </w:p>
        </w:tc>
        <w:tc>
          <w:tcPr>
            <w:tcW w:w="1056" w:type="dxa"/>
            <w:vMerge w:val="restart"/>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响应情况</w:t>
            </w:r>
          </w:p>
        </w:tc>
        <w:tc>
          <w:tcPr>
            <w:tcW w:w="1254" w:type="dxa"/>
            <w:vMerge w:val="restart"/>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802" w:type="dxa"/>
            <w:vMerge w:val="continue"/>
            <w:vAlign w:val="center"/>
          </w:tcPr>
          <w:p>
            <w:pPr>
              <w:jc w:val="center"/>
              <w:rPr>
                <w:rFonts w:ascii="宋体" w:hAnsi="宋体"/>
                <w:color w:val="000000" w:themeColor="text1"/>
                <w:sz w:val="22"/>
                <w:szCs w:val="22"/>
                <w:highlight w:val="none"/>
                <w14:textFill>
                  <w14:solidFill>
                    <w14:schemeClr w14:val="tx1"/>
                  </w14:solidFill>
                </w14:textFill>
              </w:rPr>
            </w:pPr>
          </w:p>
        </w:tc>
        <w:tc>
          <w:tcPr>
            <w:tcW w:w="1222"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条款号</w:t>
            </w:r>
          </w:p>
        </w:tc>
        <w:tc>
          <w:tcPr>
            <w:tcW w:w="1759"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简要内容</w:t>
            </w:r>
          </w:p>
        </w:tc>
        <w:tc>
          <w:tcPr>
            <w:tcW w:w="1222"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条款号</w:t>
            </w:r>
          </w:p>
        </w:tc>
        <w:tc>
          <w:tcPr>
            <w:tcW w:w="1508"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实质响应的具体内容</w:t>
            </w:r>
          </w:p>
        </w:tc>
        <w:tc>
          <w:tcPr>
            <w:tcW w:w="1056" w:type="dxa"/>
            <w:vMerge w:val="continue"/>
            <w:vAlign w:val="center"/>
          </w:tcPr>
          <w:p>
            <w:pPr>
              <w:jc w:val="center"/>
              <w:rPr>
                <w:rFonts w:ascii="宋体" w:hAnsi="宋体"/>
                <w:color w:val="000000" w:themeColor="text1"/>
                <w:sz w:val="22"/>
                <w:szCs w:val="22"/>
                <w:highlight w:val="none"/>
                <w14:textFill>
                  <w14:solidFill>
                    <w14:schemeClr w14:val="tx1"/>
                  </w14:solidFill>
                </w14:textFill>
              </w:rPr>
            </w:pPr>
          </w:p>
        </w:tc>
        <w:tc>
          <w:tcPr>
            <w:tcW w:w="1254" w:type="dxa"/>
            <w:vMerge w:val="continue"/>
            <w:vAlign w:val="center"/>
          </w:tcPr>
          <w:p>
            <w:pPr>
              <w:ind w:right="-107" w:rightChars="-51"/>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802"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759" w:type="dxa"/>
          </w:tcPr>
          <w:p>
            <w:pPr>
              <w:rPr>
                <w:rFonts w:ascii="宋体" w:hAnsi="宋体"/>
                <w:color w:val="000000" w:themeColor="text1"/>
                <w:sz w:val="22"/>
                <w:szCs w:val="22"/>
                <w:highlight w:val="none"/>
                <w14:textFill>
                  <w14:solidFill>
                    <w14:schemeClr w14:val="tx1"/>
                  </w14:solidFill>
                </w14:textFill>
              </w:rPr>
            </w:pPr>
          </w:p>
        </w:tc>
        <w:tc>
          <w:tcPr>
            <w:tcW w:w="1222" w:type="dxa"/>
          </w:tcPr>
          <w:p>
            <w:pPr>
              <w:rPr>
                <w:rFonts w:ascii="宋体" w:hAnsi="宋体"/>
                <w:color w:val="000000" w:themeColor="text1"/>
                <w:sz w:val="22"/>
                <w:szCs w:val="22"/>
                <w:highlight w:val="none"/>
                <w14:textFill>
                  <w14:solidFill>
                    <w14:schemeClr w14:val="tx1"/>
                  </w14:solidFill>
                </w14:textFill>
              </w:rPr>
            </w:pPr>
          </w:p>
        </w:tc>
        <w:tc>
          <w:tcPr>
            <w:tcW w:w="1508" w:type="dxa"/>
          </w:tcPr>
          <w:p>
            <w:pPr>
              <w:rPr>
                <w:rFonts w:ascii="宋体" w:hAnsi="宋体"/>
                <w:color w:val="000000" w:themeColor="text1"/>
                <w:sz w:val="22"/>
                <w:szCs w:val="22"/>
                <w:highlight w:val="none"/>
                <w14:textFill>
                  <w14:solidFill>
                    <w14:schemeClr w14:val="tx1"/>
                  </w14:solidFill>
                </w14:textFill>
              </w:rPr>
            </w:pPr>
          </w:p>
        </w:tc>
        <w:tc>
          <w:tcPr>
            <w:tcW w:w="1056" w:type="dxa"/>
          </w:tcPr>
          <w:p>
            <w:pPr>
              <w:rPr>
                <w:rFonts w:ascii="宋体" w:hAnsi="宋体"/>
                <w:color w:val="000000" w:themeColor="text1"/>
                <w:sz w:val="22"/>
                <w:szCs w:val="22"/>
                <w:highlight w:val="none"/>
                <w14:textFill>
                  <w14:solidFill>
                    <w14:schemeClr w14:val="tx1"/>
                  </w14:solidFill>
                </w14:textFill>
              </w:rPr>
            </w:pPr>
          </w:p>
        </w:tc>
        <w:tc>
          <w:tcPr>
            <w:tcW w:w="1254" w:type="dxa"/>
          </w:tcPr>
          <w:p>
            <w:pPr>
              <w:rPr>
                <w:rFonts w:ascii="宋体" w:hAnsi="宋体"/>
                <w:color w:val="000000" w:themeColor="text1"/>
                <w:sz w:val="22"/>
                <w:szCs w:val="22"/>
                <w:highlight w:val="none"/>
                <w14:textFill>
                  <w14:solidFill>
                    <w14:schemeClr w14:val="tx1"/>
                  </w14:solidFill>
                </w14:textFill>
              </w:rPr>
            </w:pPr>
          </w:p>
        </w:tc>
      </w:tr>
    </w:tbl>
    <w:p>
      <w:pPr>
        <w:pStyle w:val="12"/>
        <w:spacing w:line="600" w:lineRule="exact"/>
        <w:ind w:firstLine="383"/>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注：1)</w:t>
      </w:r>
      <w:r>
        <w:rPr>
          <w:rFonts w:hint="eastAsia" w:ascii="宋体" w:hAnsi="宋体" w:eastAsia="宋体"/>
          <w:color w:val="000000" w:themeColor="text1"/>
          <w:sz w:val="22"/>
          <w:szCs w:val="22"/>
          <w:highlight w:val="none"/>
          <w14:textFill>
            <w14:solidFill>
              <w14:schemeClr w14:val="tx1"/>
            </w14:solidFill>
          </w14:textFill>
        </w:rPr>
        <w:tab/>
      </w:r>
      <w:r>
        <w:rPr>
          <w:rFonts w:hint="eastAsia" w:ascii="宋体" w:hAnsi="宋体" w:eastAsia="宋体"/>
          <w:color w:val="000000" w:themeColor="text1"/>
          <w:sz w:val="22"/>
          <w:szCs w:val="22"/>
          <w:highlight w:val="none"/>
          <w14:textFill>
            <w14:solidFill>
              <w14:schemeClr w14:val="tx1"/>
            </w14:solidFill>
          </w14:textFill>
        </w:rPr>
        <w:t>偏离情况项填写“正”、“负”或“无”。</w:t>
      </w:r>
    </w:p>
    <w:p>
      <w:pPr>
        <w:pStyle w:val="12"/>
        <w:spacing w:line="600" w:lineRule="exact"/>
        <w:ind w:firstLine="383"/>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2）供应商应按照招标文件要求，对技术需求书的内容作出全面响应。对响应有差异的，则在差异表中写明实际响应的具体内容。须提供采购需求书中要求的相关证明资料，否则视为负偏离。</w:t>
      </w:r>
    </w:p>
    <w:p>
      <w:pPr>
        <w:pStyle w:val="33"/>
        <w:ind w:firstLine="0" w:firstLineChars="0"/>
        <w:rPr>
          <w:rFonts w:ascii="宋体" w:eastAsia="宋体"/>
          <w:color w:val="000000" w:themeColor="text1"/>
          <w:sz w:val="22"/>
          <w:szCs w:val="22"/>
          <w:highlight w:val="none"/>
          <w14:textFill>
            <w14:solidFill>
              <w14:schemeClr w14:val="tx1"/>
            </w14:solidFill>
          </w14:textFill>
        </w:rPr>
      </w:pPr>
    </w:p>
    <w:p>
      <w:pPr>
        <w:pStyle w:val="33"/>
        <w:ind w:firstLine="0" w:firstLineChars="0"/>
        <w:rPr>
          <w:rFonts w:ascii="宋体" w:eastAsia="宋体"/>
          <w:color w:val="000000" w:themeColor="text1"/>
          <w:sz w:val="22"/>
          <w:szCs w:val="22"/>
          <w:highlight w:val="none"/>
          <w14:textFill>
            <w14:solidFill>
              <w14:schemeClr w14:val="tx1"/>
            </w14:solidFill>
          </w14:textFill>
        </w:rPr>
      </w:pPr>
    </w:p>
    <w:p>
      <w:pPr>
        <w:pStyle w:val="33"/>
        <w:ind w:firstLine="0" w:firstLineChars="0"/>
        <w:rPr>
          <w:rFonts w:ascii="宋体" w:eastAsia="宋体"/>
          <w:color w:val="000000" w:themeColor="text1"/>
          <w:sz w:val="22"/>
          <w:szCs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33"/>
        <w:ind w:firstLine="0" w:firstLineChars="0"/>
        <w:rPr>
          <w:rFonts w:ascii="Times New Roman" w:hAnsi="Times New Roman" w:eastAsia="宋体"/>
          <w:b/>
          <w:color w:val="000000" w:themeColor="text1"/>
          <w:kern w:val="0"/>
          <w:sz w:val="28"/>
          <w:highlight w:val="none"/>
          <w14:textFill>
            <w14:solidFill>
              <w14:schemeClr w14:val="tx1"/>
            </w14:solidFill>
          </w14:textFill>
        </w:rPr>
      </w:pPr>
    </w:p>
    <w:p>
      <w:pPr>
        <w:pStyle w:val="33"/>
        <w:ind w:firstLine="0" w:firstLineChars="0"/>
        <w:jc w:val="center"/>
        <w:rPr>
          <w:rFonts w:ascii="Times New Roman" w:hAnsi="Times New Roman" w:eastAsia="宋体"/>
          <w:b/>
          <w:color w:val="000000" w:themeColor="text1"/>
          <w:kern w:val="0"/>
          <w:sz w:val="28"/>
          <w:highlight w:val="none"/>
          <w14:textFill>
            <w14:solidFill>
              <w14:schemeClr w14:val="tx1"/>
            </w14:solidFill>
          </w14:textFill>
        </w:rPr>
      </w:pPr>
      <w:r>
        <w:rPr>
          <w:rFonts w:hint="eastAsia" w:ascii="Times New Roman" w:hAnsi="Times New Roman" w:eastAsia="宋体"/>
          <w:b/>
          <w:color w:val="000000" w:themeColor="text1"/>
          <w:kern w:val="0"/>
          <w:sz w:val="28"/>
          <w:highlight w:val="none"/>
          <w14:textFill>
            <w14:solidFill>
              <w14:schemeClr w14:val="tx1"/>
            </w14:solidFill>
          </w14:textFill>
        </w:rPr>
        <w:t>（六）带“</w:t>
      </w:r>
      <w:r>
        <w:rPr>
          <w:rFonts w:hint="eastAsia" w:ascii="宋体" w:eastAsia="宋体"/>
          <w:b/>
          <w:color w:val="000000" w:themeColor="text1"/>
          <w:sz w:val="22"/>
          <w:szCs w:val="22"/>
          <w:highlight w:val="none"/>
          <w14:textFill>
            <w14:solidFill>
              <w14:schemeClr w14:val="tx1"/>
            </w14:solidFill>
          </w14:textFill>
        </w:rPr>
        <w:t>★</w:t>
      </w:r>
      <w:r>
        <w:rPr>
          <w:rFonts w:hint="eastAsia" w:ascii="Times New Roman" w:hAnsi="Times New Roman" w:eastAsia="宋体"/>
          <w:b/>
          <w:color w:val="000000" w:themeColor="text1"/>
          <w:kern w:val="0"/>
          <w:sz w:val="28"/>
          <w:highlight w:val="none"/>
          <w14:textFill>
            <w14:solidFill>
              <w14:schemeClr w14:val="tx1"/>
            </w14:solidFill>
          </w14:textFill>
        </w:rPr>
        <w:t>”号条款响应情况表（含商务技术需求）</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项目名称：                                  项目编号：</w:t>
      </w:r>
    </w:p>
    <w:tbl>
      <w:tblPr>
        <w:tblStyle w:val="2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653"/>
        <w:gridCol w:w="1265"/>
        <w:gridCol w:w="1560"/>
        <w:gridCol w:w="1243"/>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3085" w:type="dxa"/>
            <w:gridSpan w:val="2"/>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招标文件要求</w:t>
            </w:r>
          </w:p>
        </w:tc>
        <w:tc>
          <w:tcPr>
            <w:tcW w:w="2825" w:type="dxa"/>
            <w:gridSpan w:val="2"/>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响应文件内容</w:t>
            </w:r>
          </w:p>
        </w:tc>
        <w:tc>
          <w:tcPr>
            <w:tcW w:w="1243" w:type="dxa"/>
            <w:vMerge w:val="restart"/>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响应情况</w:t>
            </w:r>
          </w:p>
        </w:tc>
        <w:tc>
          <w:tcPr>
            <w:tcW w:w="1907" w:type="dxa"/>
            <w:vMerge w:val="restart"/>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证明资料对应响应文件页码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1432"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条款号</w:t>
            </w:r>
          </w:p>
        </w:tc>
        <w:tc>
          <w:tcPr>
            <w:tcW w:w="1653"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简要内容</w:t>
            </w:r>
          </w:p>
        </w:tc>
        <w:tc>
          <w:tcPr>
            <w:tcW w:w="1265"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条款号</w:t>
            </w:r>
          </w:p>
        </w:tc>
        <w:tc>
          <w:tcPr>
            <w:tcW w:w="1560"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实质响应的具体内容</w:t>
            </w:r>
          </w:p>
        </w:tc>
        <w:tc>
          <w:tcPr>
            <w:tcW w:w="1243" w:type="dxa"/>
            <w:vMerge w:val="continue"/>
            <w:vAlign w:val="center"/>
          </w:tcPr>
          <w:p>
            <w:pPr>
              <w:jc w:val="center"/>
              <w:rPr>
                <w:rFonts w:ascii="宋体" w:hAnsi="宋体"/>
                <w:color w:val="000000" w:themeColor="text1"/>
                <w:sz w:val="22"/>
                <w:szCs w:val="22"/>
                <w:highlight w:val="none"/>
                <w14:textFill>
                  <w14:solidFill>
                    <w14:schemeClr w14:val="tx1"/>
                  </w14:solidFill>
                </w14:textFill>
              </w:rPr>
            </w:pPr>
          </w:p>
        </w:tc>
        <w:tc>
          <w:tcPr>
            <w:tcW w:w="1907" w:type="dxa"/>
            <w:vMerge w:val="continue"/>
            <w:vAlign w:val="center"/>
          </w:tcPr>
          <w:p>
            <w:pPr>
              <w:ind w:right="-107" w:rightChars="-51"/>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bl>
    <w:p>
      <w:pPr>
        <w:pStyle w:val="12"/>
        <w:spacing w:line="600" w:lineRule="exact"/>
        <w:ind w:firstLine="383"/>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注：1）供应商应按照采购需求书带“</w:t>
      </w:r>
      <w:r>
        <w:rPr>
          <w:rFonts w:hint="eastAsia" w:ascii="宋体" w:eastAsia="宋体"/>
          <w:b/>
          <w:color w:val="000000" w:themeColor="text1"/>
          <w:sz w:val="22"/>
          <w:szCs w:val="22"/>
          <w:highlight w:val="none"/>
          <w14:textFill>
            <w14:solidFill>
              <w14:schemeClr w14:val="tx1"/>
            </w14:solidFill>
          </w14:textFill>
        </w:rPr>
        <w:t>★</w:t>
      </w:r>
      <w:r>
        <w:rPr>
          <w:rFonts w:hint="eastAsia" w:ascii="宋体" w:hAnsi="宋体" w:eastAsia="宋体"/>
          <w:color w:val="000000" w:themeColor="text1"/>
          <w:sz w:val="22"/>
          <w:szCs w:val="22"/>
          <w:highlight w:val="none"/>
          <w14:textFill>
            <w14:solidFill>
              <w14:schemeClr w14:val="tx1"/>
            </w14:solidFill>
          </w14:textFill>
        </w:rPr>
        <w:t>”号条款要求内容作全面响应，不响应作废标处理。</w:t>
      </w: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 xml:space="preserve">       2）用户需求有特别要求提供证明资料的须填写证明资料所对应的响应文件页码。</w:t>
      </w: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33"/>
        <w:ind w:firstLine="0" w:firstLineChars="0"/>
        <w:jc w:val="center"/>
        <w:rPr>
          <w:rFonts w:ascii="Times New Roman" w:hAnsi="Times New Roman" w:eastAsia="宋体"/>
          <w:b/>
          <w:color w:val="000000" w:themeColor="text1"/>
          <w:kern w:val="0"/>
          <w:sz w:val="28"/>
          <w:highlight w:val="none"/>
          <w14:textFill>
            <w14:solidFill>
              <w14:schemeClr w14:val="tx1"/>
            </w14:solidFill>
          </w14:textFill>
        </w:rPr>
      </w:pPr>
    </w:p>
    <w:p>
      <w:pPr>
        <w:pStyle w:val="33"/>
        <w:ind w:firstLine="0" w:firstLineChars="0"/>
        <w:jc w:val="center"/>
        <w:rPr>
          <w:rFonts w:ascii="Times New Roman" w:hAnsi="Times New Roman" w:eastAsia="宋体"/>
          <w:b/>
          <w:color w:val="000000" w:themeColor="text1"/>
          <w:kern w:val="0"/>
          <w:sz w:val="28"/>
          <w:highlight w:val="none"/>
          <w14:textFill>
            <w14:solidFill>
              <w14:schemeClr w14:val="tx1"/>
            </w14:solidFill>
          </w14:textFill>
        </w:rPr>
      </w:pPr>
    </w:p>
    <w:p>
      <w:pPr>
        <w:pStyle w:val="33"/>
        <w:ind w:firstLine="0" w:firstLineChars="0"/>
        <w:jc w:val="center"/>
        <w:rPr>
          <w:rFonts w:ascii="Times New Roman" w:hAnsi="Times New Roman" w:eastAsia="宋体"/>
          <w:b/>
          <w:color w:val="000000" w:themeColor="text1"/>
          <w:kern w:val="0"/>
          <w:sz w:val="28"/>
          <w:highlight w:val="none"/>
          <w14:textFill>
            <w14:solidFill>
              <w14:schemeClr w14:val="tx1"/>
            </w14:solidFill>
          </w14:textFill>
        </w:rPr>
      </w:pPr>
    </w:p>
    <w:p>
      <w:pPr>
        <w:pStyle w:val="33"/>
        <w:ind w:firstLine="0" w:firstLineChars="0"/>
        <w:jc w:val="center"/>
        <w:rPr>
          <w:rFonts w:ascii="Times New Roman" w:hAnsi="Times New Roman" w:eastAsia="宋体"/>
          <w:b/>
          <w:color w:val="000000" w:themeColor="text1"/>
          <w:kern w:val="0"/>
          <w:sz w:val="28"/>
          <w:highlight w:val="none"/>
          <w14:textFill>
            <w14:solidFill>
              <w14:schemeClr w14:val="tx1"/>
            </w14:solidFill>
          </w14:textFill>
        </w:rPr>
      </w:pPr>
      <w:r>
        <w:rPr>
          <w:rFonts w:hint="eastAsia" w:ascii="Times New Roman" w:hAnsi="Times New Roman" w:eastAsia="宋体"/>
          <w:b/>
          <w:color w:val="000000" w:themeColor="text1"/>
          <w:kern w:val="0"/>
          <w:sz w:val="28"/>
          <w:highlight w:val="none"/>
          <w14:textFill>
            <w14:solidFill>
              <w14:schemeClr w14:val="tx1"/>
            </w14:solidFill>
          </w14:textFill>
        </w:rPr>
        <w:t>（七）带“</w:t>
      </w:r>
      <w:r>
        <w:rPr>
          <w:rFonts w:hint="eastAsia" w:ascii="宋体" w:cs="宋体"/>
          <w:color w:val="000000" w:themeColor="text1"/>
          <w:sz w:val="22"/>
          <w:szCs w:val="22"/>
          <w:highlight w:val="none"/>
          <w14:textFill>
            <w14:solidFill>
              <w14:schemeClr w14:val="tx1"/>
            </w14:solidFill>
          </w14:textFill>
        </w:rPr>
        <w:t>▲</w:t>
      </w:r>
      <w:r>
        <w:rPr>
          <w:rFonts w:hint="eastAsia" w:ascii="Times New Roman" w:hAnsi="Times New Roman" w:eastAsia="宋体"/>
          <w:b/>
          <w:color w:val="000000" w:themeColor="text1"/>
          <w:kern w:val="0"/>
          <w:sz w:val="28"/>
          <w:highlight w:val="none"/>
          <w14:textFill>
            <w14:solidFill>
              <w14:schemeClr w14:val="tx1"/>
            </w14:solidFill>
          </w14:textFill>
        </w:rPr>
        <w:t>”号条款响应情况表</w:t>
      </w:r>
    </w:p>
    <w:p>
      <w:pPr>
        <w:spacing w:line="600" w:lineRule="exact"/>
        <w:rPr>
          <w:rFonts w:ascii="宋体" w:hAnsi="宋体"/>
          <w:color w:val="000000" w:themeColor="text1"/>
          <w:sz w:val="22"/>
          <w:szCs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项目名称：                                  项目编号：</w:t>
      </w:r>
    </w:p>
    <w:tbl>
      <w:tblPr>
        <w:tblStyle w:val="2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653"/>
        <w:gridCol w:w="1265"/>
        <w:gridCol w:w="1560"/>
        <w:gridCol w:w="1243"/>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3085" w:type="dxa"/>
            <w:gridSpan w:val="2"/>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招标文件要求</w:t>
            </w:r>
          </w:p>
        </w:tc>
        <w:tc>
          <w:tcPr>
            <w:tcW w:w="2825" w:type="dxa"/>
            <w:gridSpan w:val="2"/>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响应文件内容</w:t>
            </w:r>
          </w:p>
        </w:tc>
        <w:tc>
          <w:tcPr>
            <w:tcW w:w="1243" w:type="dxa"/>
            <w:vMerge w:val="restart"/>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响应情况</w:t>
            </w:r>
          </w:p>
        </w:tc>
        <w:tc>
          <w:tcPr>
            <w:tcW w:w="1907" w:type="dxa"/>
            <w:vMerge w:val="restart"/>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证明资料对应响应文件页码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 w:hRule="atLeast"/>
        </w:trPr>
        <w:tc>
          <w:tcPr>
            <w:tcW w:w="1432"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条款号</w:t>
            </w:r>
          </w:p>
        </w:tc>
        <w:tc>
          <w:tcPr>
            <w:tcW w:w="1653"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简要内容</w:t>
            </w:r>
          </w:p>
        </w:tc>
        <w:tc>
          <w:tcPr>
            <w:tcW w:w="1265"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条款号</w:t>
            </w:r>
          </w:p>
        </w:tc>
        <w:tc>
          <w:tcPr>
            <w:tcW w:w="1560" w:type="dxa"/>
            <w:vAlign w:val="center"/>
          </w:tcPr>
          <w:p>
            <w:pPr>
              <w:jc w:val="center"/>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实质响应的具体内容</w:t>
            </w:r>
          </w:p>
        </w:tc>
        <w:tc>
          <w:tcPr>
            <w:tcW w:w="1243" w:type="dxa"/>
            <w:vMerge w:val="continue"/>
            <w:vAlign w:val="center"/>
          </w:tcPr>
          <w:p>
            <w:pPr>
              <w:jc w:val="center"/>
              <w:rPr>
                <w:rFonts w:ascii="宋体" w:hAnsi="宋体"/>
                <w:color w:val="000000" w:themeColor="text1"/>
                <w:sz w:val="22"/>
                <w:szCs w:val="22"/>
                <w:highlight w:val="none"/>
                <w14:textFill>
                  <w14:solidFill>
                    <w14:schemeClr w14:val="tx1"/>
                  </w14:solidFill>
                </w14:textFill>
              </w:rPr>
            </w:pPr>
          </w:p>
        </w:tc>
        <w:tc>
          <w:tcPr>
            <w:tcW w:w="1907" w:type="dxa"/>
            <w:vMerge w:val="continue"/>
            <w:vAlign w:val="center"/>
          </w:tcPr>
          <w:p>
            <w:pPr>
              <w:ind w:right="-107" w:rightChars="-51"/>
              <w:jc w:val="cente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1432" w:type="dxa"/>
          </w:tcPr>
          <w:p>
            <w:pPr>
              <w:rPr>
                <w:rFonts w:ascii="宋体" w:hAnsi="宋体"/>
                <w:color w:val="000000" w:themeColor="text1"/>
                <w:sz w:val="22"/>
                <w:szCs w:val="22"/>
                <w:highlight w:val="none"/>
                <w14:textFill>
                  <w14:solidFill>
                    <w14:schemeClr w14:val="tx1"/>
                  </w14:solidFill>
                </w14:textFill>
              </w:rPr>
            </w:pPr>
          </w:p>
        </w:tc>
        <w:tc>
          <w:tcPr>
            <w:tcW w:w="1653" w:type="dxa"/>
          </w:tcPr>
          <w:p>
            <w:pPr>
              <w:rPr>
                <w:rFonts w:ascii="宋体" w:hAnsi="宋体"/>
                <w:color w:val="000000" w:themeColor="text1"/>
                <w:sz w:val="22"/>
                <w:szCs w:val="22"/>
                <w:highlight w:val="none"/>
                <w14:textFill>
                  <w14:solidFill>
                    <w14:schemeClr w14:val="tx1"/>
                  </w14:solidFill>
                </w14:textFill>
              </w:rPr>
            </w:pPr>
          </w:p>
        </w:tc>
        <w:tc>
          <w:tcPr>
            <w:tcW w:w="1265" w:type="dxa"/>
          </w:tcPr>
          <w:p>
            <w:pPr>
              <w:rPr>
                <w:rFonts w:ascii="宋体" w:hAnsi="宋体"/>
                <w:color w:val="000000" w:themeColor="text1"/>
                <w:sz w:val="22"/>
                <w:szCs w:val="22"/>
                <w:highlight w:val="none"/>
                <w14:textFill>
                  <w14:solidFill>
                    <w14:schemeClr w14:val="tx1"/>
                  </w14:solidFill>
                </w14:textFill>
              </w:rPr>
            </w:pPr>
          </w:p>
        </w:tc>
        <w:tc>
          <w:tcPr>
            <w:tcW w:w="1560" w:type="dxa"/>
          </w:tcPr>
          <w:p>
            <w:pPr>
              <w:rPr>
                <w:rFonts w:ascii="宋体" w:hAnsi="宋体"/>
                <w:color w:val="000000" w:themeColor="text1"/>
                <w:sz w:val="22"/>
                <w:szCs w:val="22"/>
                <w:highlight w:val="none"/>
                <w14:textFill>
                  <w14:solidFill>
                    <w14:schemeClr w14:val="tx1"/>
                  </w14:solidFill>
                </w14:textFill>
              </w:rPr>
            </w:pPr>
          </w:p>
        </w:tc>
        <w:tc>
          <w:tcPr>
            <w:tcW w:w="1243" w:type="dxa"/>
          </w:tcPr>
          <w:p>
            <w:pPr>
              <w:rPr>
                <w:rFonts w:ascii="宋体" w:hAnsi="宋体"/>
                <w:color w:val="000000" w:themeColor="text1"/>
                <w:sz w:val="22"/>
                <w:szCs w:val="22"/>
                <w:highlight w:val="none"/>
                <w14:textFill>
                  <w14:solidFill>
                    <w14:schemeClr w14:val="tx1"/>
                  </w14:solidFill>
                </w14:textFill>
              </w:rPr>
            </w:pPr>
          </w:p>
        </w:tc>
        <w:tc>
          <w:tcPr>
            <w:tcW w:w="1907" w:type="dxa"/>
          </w:tcPr>
          <w:p>
            <w:pPr>
              <w:rPr>
                <w:rFonts w:ascii="宋体" w:hAnsi="宋体"/>
                <w:color w:val="000000" w:themeColor="text1"/>
                <w:sz w:val="22"/>
                <w:szCs w:val="22"/>
                <w:highlight w:val="none"/>
                <w14:textFill>
                  <w14:solidFill>
                    <w14:schemeClr w14:val="tx1"/>
                  </w14:solidFill>
                </w14:textFill>
              </w:rPr>
            </w:pPr>
          </w:p>
        </w:tc>
      </w:tr>
    </w:tbl>
    <w:p>
      <w:pPr>
        <w:pStyle w:val="12"/>
        <w:spacing w:line="600" w:lineRule="exact"/>
        <w:ind w:firstLine="383"/>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注：1）供应商应按照采购需求书带“</w:t>
      </w:r>
      <w:r>
        <w:rPr>
          <w:rFonts w:hint="eastAsia" w:ascii="宋体" w:hAnsi="宋体" w:cs="宋体"/>
          <w:color w:val="000000" w:themeColor="text1"/>
          <w:sz w:val="22"/>
          <w:szCs w:val="22"/>
          <w:highlight w:val="none"/>
          <w14:textFill>
            <w14:solidFill>
              <w14:schemeClr w14:val="tx1"/>
            </w14:solidFill>
          </w14:textFill>
        </w:rPr>
        <w:t>▲</w:t>
      </w:r>
      <w:r>
        <w:rPr>
          <w:rFonts w:hint="eastAsia" w:ascii="宋体" w:hAnsi="宋体" w:eastAsia="宋体"/>
          <w:color w:val="000000" w:themeColor="text1"/>
          <w:sz w:val="22"/>
          <w:szCs w:val="22"/>
          <w:highlight w:val="none"/>
          <w14:textFill>
            <w14:solidFill>
              <w14:schemeClr w14:val="tx1"/>
            </w14:solidFill>
          </w14:textFill>
        </w:rPr>
        <w:t>”号条款要求内容作响应，响应情况填写“响应”或“不响应”。</w:t>
      </w: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r>
        <w:rPr>
          <w:rFonts w:hint="eastAsia" w:ascii="宋体" w:hAnsi="宋体" w:eastAsia="宋体"/>
          <w:color w:val="000000" w:themeColor="text1"/>
          <w:sz w:val="22"/>
          <w:szCs w:val="22"/>
          <w:highlight w:val="none"/>
          <w14:textFill>
            <w14:solidFill>
              <w14:schemeClr w14:val="tx1"/>
            </w14:solidFill>
          </w14:textFill>
        </w:rPr>
        <w:t xml:space="preserve">       2）用户需求或评分标准中有特别要求提供证明资料的须填写证明资料所对应的响应文件页码，否则视为不响应。</w:t>
      </w: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p>
    <w:p>
      <w:pPr>
        <w:pStyle w:val="12"/>
        <w:spacing w:line="600" w:lineRule="exact"/>
        <w:ind w:firstLine="0" w:firstLineChars="0"/>
        <w:rPr>
          <w:rFonts w:ascii="宋体" w:hAnsi="宋体" w:eastAsia="宋体"/>
          <w:color w:val="000000" w:themeColor="text1"/>
          <w:sz w:val="22"/>
          <w:szCs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（八）拟安排本项目技术人员情况表</w:t>
      </w:r>
    </w:p>
    <w:tbl>
      <w:tblPr>
        <w:tblStyle w:val="23"/>
        <w:tblW w:w="927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08"/>
        <w:gridCol w:w="960"/>
        <w:gridCol w:w="960"/>
        <w:gridCol w:w="1795"/>
        <w:gridCol w:w="1785"/>
        <w:gridCol w:w="1785"/>
        <w:gridCol w:w="10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908" w:type="dxa"/>
            <w:tcBorders>
              <w:top w:val="single" w:color="auto" w:sz="4" w:space="0"/>
              <w:left w:val="single" w:color="auto" w:sz="4" w:space="0"/>
              <w:bottom w:val="single" w:color="auto" w:sz="4" w:space="0"/>
              <w:right w:val="single" w:color="auto" w:sz="4" w:space="0"/>
            </w:tcBorders>
            <w:vAlign w:val="center"/>
          </w:tcPr>
          <w:p>
            <w:pPr>
              <w:pStyle w:val="9"/>
              <w:overflowPunct w:val="0"/>
              <w:adjustRightInd w:val="0"/>
              <w:spacing w:line="440" w:lineRule="exact"/>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序号</w:t>
            </w:r>
          </w:p>
        </w:tc>
        <w:tc>
          <w:tcPr>
            <w:tcW w:w="960" w:type="dxa"/>
            <w:tcBorders>
              <w:top w:val="single" w:color="auto" w:sz="4" w:space="0"/>
              <w:left w:val="single" w:color="auto" w:sz="4" w:space="0"/>
              <w:bottom w:val="single" w:color="auto" w:sz="4" w:space="0"/>
              <w:right w:val="single" w:color="auto" w:sz="4" w:space="0"/>
            </w:tcBorders>
            <w:vAlign w:val="center"/>
          </w:tcPr>
          <w:p>
            <w:pPr>
              <w:pStyle w:val="9"/>
              <w:overflowPunct w:val="0"/>
              <w:adjustRightInd w:val="0"/>
              <w:spacing w:line="4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姓名</w:t>
            </w:r>
          </w:p>
        </w:tc>
        <w:tc>
          <w:tcPr>
            <w:tcW w:w="960" w:type="dxa"/>
            <w:tcBorders>
              <w:top w:val="single" w:color="auto" w:sz="4" w:space="0"/>
              <w:left w:val="single" w:color="auto" w:sz="4" w:space="0"/>
              <w:bottom w:val="single" w:color="auto" w:sz="4" w:space="0"/>
              <w:right w:val="single" w:color="auto" w:sz="4" w:space="0"/>
            </w:tcBorders>
            <w:vAlign w:val="center"/>
          </w:tcPr>
          <w:p>
            <w:pPr>
              <w:pStyle w:val="9"/>
              <w:overflowPunct w:val="0"/>
              <w:adjustRightInd w:val="0"/>
              <w:spacing w:line="4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职位</w:t>
            </w:r>
          </w:p>
        </w:tc>
        <w:tc>
          <w:tcPr>
            <w:tcW w:w="1795" w:type="dxa"/>
            <w:tcBorders>
              <w:top w:val="single" w:color="auto" w:sz="4" w:space="0"/>
              <w:left w:val="single" w:color="auto" w:sz="4" w:space="0"/>
              <w:bottom w:val="single" w:color="auto" w:sz="4" w:space="0"/>
              <w:right w:val="single" w:color="auto" w:sz="4" w:space="0"/>
            </w:tcBorders>
            <w:vAlign w:val="center"/>
          </w:tcPr>
          <w:p>
            <w:pPr>
              <w:pStyle w:val="9"/>
              <w:overflowPunct w:val="0"/>
              <w:adjustRightInd w:val="0"/>
              <w:spacing w:line="4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持何种资格证件</w:t>
            </w:r>
          </w:p>
        </w:tc>
        <w:tc>
          <w:tcPr>
            <w:tcW w:w="1785" w:type="dxa"/>
            <w:tcBorders>
              <w:top w:val="single" w:color="auto" w:sz="4" w:space="0"/>
              <w:left w:val="single" w:color="auto" w:sz="4" w:space="0"/>
              <w:bottom w:val="single" w:color="auto" w:sz="4" w:space="0"/>
              <w:right w:val="single" w:color="auto" w:sz="4" w:space="0"/>
            </w:tcBorders>
            <w:vAlign w:val="center"/>
          </w:tcPr>
          <w:p>
            <w:pPr>
              <w:pStyle w:val="9"/>
              <w:overflowPunct w:val="0"/>
              <w:adjustRightInd w:val="0"/>
              <w:spacing w:line="4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发证时间及部门</w:t>
            </w:r>
          </w:p>
        </w:tc>
        <w:tc>
          <w:tcPr>
            <w:tcW w:w="1785" w:type="dxa"/>
            <w:tcBorders>
              <w:top w:val="single" w:color="auto" w:sz="4" w:space="0"/>
              <w:left w:val="single" w:color="auto" w:sz="4" w:space="0"/>
              <w:bottom w:val="single" w:color="auto" w:sz="4" w:space="0"/>
              <w:right w:val="single" w:color="auto" w:sz="4" w:space="0"/>
            </w:tcBorders>
            <w:vAlign w:val="center"/>
          </w:tcPr>
          <w:p>
            <w:pPr>
              <w:pStyle w:val="9"/>
              <w:overflowPunct w:val="0"/>
              <w:adjustRightInd w:val="0"/>
              <w:spacing w:line="4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从事本工作时间</w:t>
            </w:r>
          </w:p>
        </w:tc>
        <w:tc>
          <w:tcPr>
            <w:tcW w:w="1084" w:type="dxa"/>
            <w:tcBorders>
              <w:top w:val="single" w:color="auto" w:sz="4" w:space="0"/>
              <w:left w:val="single" w:color="auto" w:sz="4" w:space="0"/>
              <w:bottom w:val="single" w:color="auto" w:sz="4" w:space="0"/>
              <w:right w:val="single" w:color="auto" w:sz="4" w:space="0"/>
            </w:tcBorders>
            <w:vAlign w:val="center"/>
          </w:tcPr>
          <w:p>
            <w:pPr>
              <w:pStyle w:val="9"/>
              <w:overflowPunct w:val="0"/>
              <w:adjustRightInd w:val="0"/>
              <w:spacing w:line="4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1</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2</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3</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4</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5</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6</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7</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8</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9</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08"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jc w:val="center"/>
              <w:rPr>
                <w:rFonts w:ascii="宋体" w:hAnsi="宋体"/>
                <w:color w:val="000000" w:themeColor="text1"/>
                <w:kern w:val="0"/>
                <w:sz w:val="22"/>
                <w:szCs w:val="22"/>
                <w:highlight w:val="none"/>
                <w14:textFill>
                  <w14:solidFill>
                    <w14:schemeClr w14:val="tx1"/>
                  </w14:solidFill>
                </w14:textFill>
              </w:rPr>
            </w:pPr>
            <w:r>
              <w:rPr>
                <w:rFonts w:hint="eastAsia" w:ascii="宋体" w:hAnsi="宋体"/>
                <w:color w:val="000000" w:themeColor="text1"/>
                <w:kern w:val="0"/>
                <w:sz w:val="22"/>
                <w:szCs w:val="22"/>
                <w:highlight w:val="none"/>
                <w14:textFill>
                  <w14:solidFill>
                    <w14:schemeClr w14:val="tx1"/>
                  </w14:solidFill>
                </w14:textFill>
              </w:rPr>
              <w:t>10</w:t>
            </w: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960"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9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785"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c>
          <w:tcPr>
            <w:tcW w:w="1084" w:type="dxa"/>
            <w:tcBorders>
              <w:top w:val="single" w:color="auto" w:sz="4" w:space="0"/>
              <w:left w:val="single" w:color="auto" w:sz="4" w:space="0"/>
              <w:bottom w:val="single" w:color="auto" w:sz="4" w:space="0"/>
              <w:right w:val="single" w:color="auto" w:sz="4" w:space="0"/>
            </w:tcBorders>
          </w:tcPr>
          <w:p>
            <w:pPr>
              <w:pStyle w:val="9"/>
              <w:overflowPunct w:val="0"/>
              <w:adjustRightInd w:val="0"/>
              <w:spacing w:line="540" w:lineRule="exact"/>
              <w:rPr>
                <w:rFonts w:ascii="宋体" w:hAnsi="宋体"/>
                <w:color w:val="000000" w:themeColor="text1"/>
                <w:kern w:val="0"/>
                <w:sz w:val="22"/>
                <w:szCs w:val="22"/>
                <w:highlight w:val="none"/>
                <w14:textFill>
                  <w14:solidFill>
                    <w14:schemeClr w14:val="tx1"/>
                  </w14:solidFill>
                </w14:textFill>
              </w:rPr>
            </w:pPr>
          </w:p>
        </w:tc>
      </w:tr>
    </w:tbl>
    <w:p>
      <w:pPr>
        <w:pStyle w:val="9"/>
        <w:overflowPunct w:val="0"/>
        <w:spacing w:line="54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注：需提供证明资料内容详见（招标文件第二部分评标标准相对应条款）。</w:t>
      </w:r>
    </w:p>
    <w:p>
      <w:pPr>
        <w:pStyle w:val="9"/>
        <w:overflowPunct w:val="0"/>
        <w:spacing w:line="540" w:lineRule="exact"/>
        <w:rPr>
          <w:rFonts w:ascii="宋体" w:hAnsi="宋体"/>
          <w:color w:val="000000" w:themeColor="text1"/>
          <w:sz w:val="22"/>
          <w:szCs w:val="22"/>
          <w:highlight w:val="none"/>
          <w14:textFill>
            <w14:solidFill>
              <w14:schemeClr w14:val="tx1"/>
            </w14:solidFill>
          </w14:textFill>
        </w:rPr>
      </w:pPr>
    </w:p>
    <w:p>
      <w:pPr>
        <w:pStyle w:val="9"/>
        <w:overflowPunct w:val="0"/>
        <w:spacing w:line="540" w:lineRule="exact"/>
        <w:rPr>
          <w:rFonts w:ascii="宋体" w:hAnsi="宋体"/>
          <w:color w:val="000000" w:themeColor="text1"/>
          <w:sz w:val="22"/>
          <w:szCs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9"/>
        <w:overflowPunct w:val="0"/>
        <w:spacing w:line="540" w:lineRule="exact"/>
        <w:rPr>
          <w:rFonts w:ascii="宋体" w:hAnsi="宋体"/>
          <w:color w:val="000000" w:themeColor="text1"/>
          <w:sz w:val="24"/>
          <w:highlight w:val="none"/>
          <w14:textFill>
            <w14:solidFill>
              <w14:schemeClr w14:val="tx1"/>
            </w14:solidFill>
          </w14:textFill>
        </w:rPr>
      </w:pPr>
    </w:p>
    <w:p>
      <w:pPr>
        <w:spacing w:beforeLines="200" w:afterLines="100" w:line="600" w:lineRule="exact"/>
        <w:jc w:val="center"/>
        <w:rPr>
          <w:rFonts w:ascii="黑体" w:hAnsi="黑体" w:eastAsia="黑体"/>
          <w:color w:val="000000" w:themeColor="text1"/>
          <w:szCs w:val="21"/>
          <w:highlight w:val="none"/>
          <w14:textFill>
            <w14:solidFill>
              <w14:schemeClr w14:val="tx1"/>
            </w14:solidFill>
          </w14:textFill>
        </w:rPr>
      </w:pPr>
      <w:r>
        <w:rPr>
          <w:rFonts w:hint="eastAsia" w:ascii="黑体" w:hAnsi="黑体" w:eastAsia="黑体"/>
          <w:b/>
          <w:color w:val="000000" w:themeColor="text1"/>
          <w:spacing w:val="20"/>
          <w:sz w:val="28"/>
          <w:szCs w:val="28"/>
          <w:highlight w:val="none"/>
          <w14:textFill>
            <w14:solidFill>
              <w14:schemeClr w14:val="tx1"/>
            </w14:solidFill>
          </w14:textFill>
        </w:rPr>
        <w:t>（九）拟担任本项目主要负责人简历表格式</w:t>
      </w:r>
    </w:p>
    <w:tbl>
      <w:tblPr>
        <w:tblStyle w:val="23"/>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85"/>
        <w:gridCol w:w="1430"/>
        <w:gridCol w:w="341"/>
        <w:gridCol w:w="194"/>
        <w:gridCol w:w="885"/>
        <w:gridCol w:w="573"/>
        <w:gridCol w:w="13"/>
        <w:gridCol w:w="1187"/>
        <w:gridCol w:w="457"/>
        <w:gridCol w:w="680"/>
        <w:gridCol w:w="431"/>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73"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姓名</w:t>
            </w:r>
          </w:p>
        </w:tc>
        <w:tc>
          <w:tcPr>
            <w:tcW w:w="2750"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885"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性别</w:t>
            </w:r>
          </w:p>
        </w:tc>
        <w:tc>
          <w:tcPr>
            <w:tcW w:w="1773" w:type="dxa"/>
            <w:gridSpan w:val="3"/>
            <w:vAlign w:val="center"/>
          </w:tcPr>
          <w:p>
            <w:pPr>
              <w:jc w:val="center"/>
              <w:rPr>
                <w:rFonts w:ascii="宋体" w:hAnsi="宋体"/>
                <w:color w:val="000000" w:themeColor="text1"/>
                <w:sz w:val="22"/>
                <w:highlight w:val="none"/>
                <w14:textFill>
                  <w14:solidFill>
                    <w14:schemeClr w14:val="tx1"/>
                  </w14:solidFill>
                </w14:textFill>
              </w:rPr>
            </w:pPr>
          </w:p>
        </w:tc>
        <w:tc>
          <w:tcPr>
            <w:tcW w:w="1137" w:type="dxa"/>
            <w:gridSpan w:val="2"/>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年龄</w:t>
            </w:r>
          </w:p>
        </w:tc>
        <w:tc>
          <w:tcPr>
            <w:tcW w:w="1898" w:type="dxa"/>
            <w:gridSpan w:val="2"/>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73"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职务</w:t>
            </w:r>
          </w:p>
        </w:tc>
        <w:tc>
          <w:tcPr>
            <w:tcW w:w="2750"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885"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职称</w:t>
            </w:r>
          </w:p>
        </w:tc>
        <w:tc>
          <w:tcPr>
            <w:tcW w:w="1773" w:type="dxa"/>
            <w:gridSpan w:val="3"/>
            <w:vAlign w:val="center"/>
          </w:tcPr>
          <w:p>
            <w:pPr>
              <w:jc w:val="center"/>
              <w:rPr>
                <w:rFonts w:ascii="宋体" w:hAnsi="宋体"/>
                <w:color w:val="000000" w:themeColor="text1"/>
                <w:sz w:val="22"/>
                <w:highlight w:val="none"/>
                <w14:textFill>
                  <w14:solidFill>
                    <w14:schemeClr w14:val="tx1"/>
                  </w14:solidFill>
                </w14:textFill>
              </w:rPr>
            </w:pPr>
          </w:p>
        </w:tc>
        <w:tc>
          <w:tcPr>
            <w:tcW w:w="1137" w:type="dxa"/>
            <w:gridSpan w:val="2"/>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学历</w:t>
            </w:r>
          </w:p>
        </w:tc>
        <w:tc>
          <w:tcPr>
            <w:tcW w:w="1898" w:type="dxa"/>
            <w:gridSpan w:val="2"/>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988" w:type="dxa"/>
            <w:gridSpan w:val="3"/>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参加工作时间</w:t>
            </w:r>
          </w:p>
        </w:tc>
        <w:tc>
          <w:tcPr>
            <w:tcW w:w="1993"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2768" w:type="dxa"/>
            <w:gridSpan w:val="5"/>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相关经验年限</w:t>
            </w:r>
          </w:p>
        </w:tc>
        <w:tc>
          <w:tcPr>
            <w:tcW w:w="1467" w:type="dxa"/>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8" w:hRule="atLeast"/>
          <w:jc w:val="center"/>
        </w:trPr>
        <w:tc>
          <w:tcPr>
            <w:tcW w:w="2988" w:type="dxa"/>
            <w:gridSpan w:val="3"/>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资格证书名称、编号</w:t>
            </w:r>
          </w:p>
        </w:tc>
        <w:tc>
          <w:tcPr>
            <w:tcW w:w="6228" w:type="dxa"/>
            <w:gridSpan w:val="10"/>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9216" w:type="dxa"/>
            <w:gridSpan w:val="13"/>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目前在任及以往服务项目情况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采购人</w:t>
            </w: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项目名称</w:t>
            </w: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项目规模</w:t>
            </w: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所任职务</w:t>
            </w: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558"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771"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1665" w:type="dxa"/>
            <w:gridSpan w:val="4"/>
            <w:vAlign w:val="center"/>
          </w:tcPr>
          <w:p>
            <w:pPr>
              <w:jc w:val="center"/>
              <w:rPr>
                <w:rFonts w:ascii="宋体" w:hAnsi="宋体"/>
                <w:color w:val="000000" w:themeColor="text1"/>
                <w:sz w:val="22"/>
                <w:highlight w:val="none"/>
                <w14:textFill>
                  <w14:solidFill>
                    <w14:schemeClr w14:val="tx1"/>
                  </w14:solidFill>
                </w14:textFill>
              </w:rPr>
            </w:pPr>
          </w:p>
        </w:tc>
        <w:tc>
          <w:tcPr>
            <w:tcW w:w="1644" w:type="dxa"/>
            <w:gridSpan w:val="2"/>
            <w:vAlign w:val="center"/>
          </w:tcPr>
          <w:p>
            <w:pPr>
              <w:jc w:val="center"/>
              <w:rPr>
                <w:rFonts w:ascii="宋体" w:hAnsi="宋体"/>
                <w:color w:val="000000" w:themeColor="text1"/>
                <w:sz w:val="22"/>
                <w:highlight w:val="none"/>
                <w14:textFill>
                  <w14:solidFill>
                    <w14:schemeClr w14:val="tx1"/>
                  </w14:solidFill>
                </w14:textFill>
              </w:rPr>
            </w:pPr>
          </w:p>
        </w:tc>
        <w:tc>
          <w:tcPr>
            <w:tcW w:w="2578" w:type="dxa"/>
            <w:gridSpan w:val="3"/>
            <w:vAlign w:val="center"/>
          </w:tcPr>
          <w:p>
            <w:pPr>
              <w:jc w:val="center"/>
              <w:rPr>
                <w:rFonts w:ascii="宋体" w:hAnsi="宋体"/>
                <w:color w:val="000000" w:themeColor="text1"/>
                <w:sz w:val="22"/>
                <w:highlight w:val="none"/>
                <w14:textFill>
                  <w14:solidFill>
                    <w14:schemeClr w14:val="tx1"/>
                  </w14:solidFill>
                </w14:textFill>
              </w:rPr>
            </w:pPr>
          </w:p>
        </w:tc>
      </w:tr>
    </w:tbl>
    <w:p>
      <w:pPr>
        <w:pStyle w:val="9"/>
        <w:overflowPunct w:val="0"/>
        <w:spacing w:beforeLines="50" w:after="0"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注明：需提供证明资料内容详见（招标文件第二部分评标标准相对应条款）。</w:t>
      </w:r>
    </w:p>
    <w:p>
      <w:pPr>
        <w:spacing w:line="360" w:lineRule="auto"/>
        <w:rPr>
          <w:rFonts w:ascii="宋体" w:hAnsi="宋体"/>
          <w:color w:val="000000" w:themeColor="text1"/>
          <w:sz w:val="22"/>
          <w:highlight w:val="none"/>
          <w14:textFill>
            <w14:solidFill>
              <w14:schemeClr w14:val="tx1"/>
            </w14:solidFill>
          </w14:textFill>
        </w:rPr>
      </w:pPr>
    </w:p>
    <w:p>
      <w:pPr>
        <w:spacing w:line="360" w:lineRule="auto"/>
        <w:rPr>
          <w:rFonts w:ascii="宋体" w:hAnsi="宋体"/>
          <w:color w:val="000000" w:themeColor="text1"/>
          <w:sz w:val="22"/>
          <w:highlight w:val="none"/>
          <w14:textFill>
            <w14:solidFill>
              <w14:schemeClr w14:val="tx1"/>
            </w14:solidFill>
          </w14:textFill>
        </w:rPr>
      </w:pP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（十）交货事项</w:t>
      </w:r>
    </w:p>
    <w:p>
      <w:pPr>
        <w:pStyle w:val="33"/>
        <w:ind w:firstLine="382" w:firstLineChars="17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供应商应按照招标文件要求的交货事项相关内容作出全面响应。包括但不限于以下内容：</w:t>
      </w:r>
    </w:p>
    <w:p>
      <w:pPr>
        <w:pStyle w:val="33"/>
        <w:ind w:firstLine="382" w:firstLineChars="17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1.交货时间：</w:t>
      </w:r>
    </w:p>
    <w:p>
      <w:pPr>
        <w:pStyle w:val="33"/>
        <w:ind w:firstLine="382" w:firstLineChars="174"/>
        <w:rPr>
          <w:rFonts w:ascii="宋体" w:eastAsia="宋体"/>
          <w:color w:val="000000" w:themeColor="text1"/>
          <w:sz w:val="22"/>
          <w:szCs w:val="22"/>
          <w:highlight w:val="none"/>
          <w14:textFill>
            <w14:solidFill>
              <w14:schemeClr w14:val="tx1"/>
            </w14:solidFill>
          </w14:textFill>
        </w:rPr>
      </w:pPr>
    </w:p>
    <w:p>
      <w:pPr>
        <w:pStyle w:val="33"/>
        <w:ind w:firstLine="382" w:firstLineChars="17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2.交货地点：</w:t>
      </w:r>
    </w:p>
    <w:p>
      <w:pPr>
        <w:pStyle w:val="33"/>
        <w:ind w:firstLine="382" w:firstLineChars="174"/>
        <w:rPr>
          <w:rFonts w:ascii="宋体" w:eastAsia="宋体"/>
          <w:color w:val="000000" w:themeColor="text1"/>
          <w:sz w:val="22"/>
          <w:szCs w:val="22"/>
          <w:highlight w:val="none"/>
          <w14:textFill>
            <w14:solidFill>
              <w14:schemeClr w14:val="tx1"/>
            </w14:solidFill>
          </w14:textFill>
        </w:rPr>
      </w:pPr>
    </w:p>
    <w:p>
      <w:pPr>
        <w:pStyle w:val="33"/>
        <w:ind w:firstLine="382" w:firstLineChars="174"/>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3.验收：</w:t>
      </w: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（1）验收工作由采购人（或采购人指定的单位）与供应商共同进行。</w:t>
      </w: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（2）在验收时，供应商应向采购人提供货物或服务的出厂合格证书、出厂检测报告、厂家装箱清单、使用说明、操作手册、随机附件及其他相关资料。</w:t>
      </w: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（3）由采购人对货物或服务的质量、规格、数量和运行状况及其他进行检验。如发现质量、规格、数量和运行状况等任何一项与招标要求规定不符，采购人有权拒绝验收。</w:t>
      </w: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p>
    <w:p>
      <w:pPr>
        <w:spacing w:line="600" w:lineRule="exact"/>
        <w:ind w:firstLine="440" w:firstLineChars="200"/>
        <w:rPr>
          <w:rFonts w:ascii="宋体" w:hAnsi="宋体"/>
          <w:color w:val="000000" w:themeColor="text1"/>
          <w:sz w:val="22"/>
          <w:szCs w:val="22"/>
          <w:highlight w:val="none"/>
          <w14:textFill>
            <w14:solidFill>
              <w14:schemeClr w14:val="tx1"/>
            </w14:solidFill>
          </w14:textFill>
        </w:rPr>
      </w:pPr>
    </w:p>
    <w:p>
      <w:pPr>
        <w:spacing w:beforeLines="200" w:afterLines="200" w:line="600" w:lineRule="exact"/>
        <w:jc w:val="center"/>
        <w:rPr>
          <w:rFonts w:ascii="宋体" w:hAnsi="宋体"/>
          <w:color w:val="000000" w:themeColor="text1"/>
          <w:sz w:val="22"/>
          <w:szCs w:val="22"/>
          <w:highlight w:val="none"/>
          <w14:textFill>
            <w14:solidFill>
              <w14:schemeClr w14:val="tx1"/>
            </w14:solidFill>
          </w14:textFill>
        </w:rPr>
      </w:pPr>
      <w:bookmarkStart w:id="282" w:name="_Toc210188803"/>
      <w:bookmarkStart w:id="283" w:name="_Toc30342"/>
      <w:bookmarkStart w:id="284" w:name="_Toc88985379"/>
    </w:p>
    <w:p>
      <w:pPr>
        <w:spacing w:beforeLines="200" w:afterLines="200" w:line="600" w:lineRule="exact"/>
        <w:jc w:val="center"/>
        <w:rPr>
          <w:rFonts w:ascii="宋体" w:hAnsi="宋体"/>
          <w:color w:val="000000" w:themeColor="text1"/>
          <w:sz w:val="22"/>
          <w:szCs w:val="22"/>
          <w:highlight w:val="none"/>
          <w14:textFill>
            <w14:solidFill>
              <w14:schemeClr w14:val="tx1"/>
            </w14:solidFill>
          </w14:textFill>
        </w:rPr>
      </w:pPr>
    </w:p>
    <w:p>
      <w:pPr>
        <w:spacing w:beforeLines="200" w:afterLines="200" w:line="60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（十一） 残疾人福利性单位声明函（可选）</w:t>
      </w:r>
    </w:p>
    <w:p>
      <w:pPr>
        <w:jc w:val="center"/>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残疾人福利性单位声明函</w:t>
      </w:r>
    </w:p>
    <w:p>
      <w:pPr>
        <w:spacing w:line="420" w:lineRule="atLeast"/>
        <w:ind w:firstLine="440" w:firstLineChars="200"/>
        <w:rPr>
          <w:rFonts w:ascii="宋体" w:hAnsi="宋体"/>
          <w:color w:val="000000" w:themeColor="text1"/>
          <w:sz w:val="22"/>
          <w:szCs w:val="22"/>
          <w:highlight w:val="none"/>
          <w14:textFill>
            <w14:solidFill>
              <w14:schemeClr w14:val="tx1"/>
            </w14:solidFill>
          </w14:textFill>
        </w:rPr>
      </w:pPr>
    </w:p>
    <w:p>
      <w:pPr>
        <w:spacing w:line="420" w:lineRule="atLeas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20" w:lineRule="atLeas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本单位对上述声明的真实性负责。如有虚假，将依法承担相应责任。</w:t>
      </w:r>
    </w:p>
    <w:p>
      <w:pPr>
        <w:spacing w:line="480" w:lineRule="auto"/>
        <w:rPr>
          <w:rFonts w:ascii="宋体" w:hAnsi="宋体"/>
          <w:b/>
          <w:color w:val="000000" w:themeColor="text1"/>
          <w:sz w:val="24"/>
          <w:highlight w:val="none"/>
          <w14:textFill>
            <w14:solidFill>
              <w14:schemeClr w14:val="tx1"/>
            </w14:solidFill>
          </w14:textFill>
        </w:rPr>
      </w:pPr>
    </w:p>
    <w:p>
      <w:pPr>
        <w:tabs>
          <w:tab w:val="left" w:pos="465"/>
          <w:tab w:val="left" w:pos="780"/>
        </w:tabs>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注：1、非</w:t>
      </w:r>
      <w:r>
        <w:rPr>
          <w:rFonts w:hint="eastAsia"/>
          <w:color w:val="000000" w:themeColor="text1"/>
          <w:highlight w:val="none"/>
          <w14:textFill>
            <w14:solidFill>
              <w14:schemeClr w14:val="tx1"/>
            </w14:solidFill>
          </w14:textFill>
        </w:rPr>
        <w:t>残疾人福利性单位</w:t>
      </w:r>
      <w:r>
        <w:rPr>
          <w:rFonts w:hint="eastAsia" w:ascii="宋体" w:hAnsi="宋体"/>
          <w:color w:val="000000" w:themeColor="text1"/>
          <w:sz w:val="22"/>
          <w:szCs w:val="22"/>
          <w:highlight w:val="none"/>
          <w14:textFill>
            <w14:solidFill>
              <w14:schemeClr w14:val="tx1"/>
            </w14:solidFill>
          </w14:textFill>
        </w:rPr>
        <w:t>投标时</w:t>
      </w:r>
      <w:r>
        <w:rPr>
          <w:rFonts w:hint="eastAsia" w:ascii="宋体" w:hAnsi="宋体"/>
          <w:b/>
          <w:color w:val="000000" w:themeColor="text1"/>
          <w:sz w:val="22"/>
          <w:szCs w:val="22"/>
          <w:highlight w:val="none"/>
          <w14:textFill>
            <w14:solidFill>
              <w14:schemeClr w14:val="tx1"/>
            </w14:solidFill>
          </w14:textFill>
        </w:rPr>
        <w:t>不需要填写此声明函。</w:t>
      </w:r>
    </w:p>
    <w:p>
      <w:pPr>
        <w:tabs>
          <w:tab w:val="left" w:pos="465"/>
          <w:tab w:val="left" w:pos="780"/>
        </w:tabs>
        <w:spacing w:line="420" w:lineRule="atLeas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xml:space="preserve">    2、此函随同价格文件和商务技术文件一起装订。</w:t>
      </w:r>
    </w:p>
    <w:p>
      <w:pPr>
        <w:spacing w:line="480" w:lineRule="auto"/>
        <w:rPr>
          <w:rFonts w:ascii="宋体" w:hAnsi="宋体"/>
          <w:b/>
          <w:color w:val="000000" w:themeColor="text1"/>
          <w:sz w:val="24"/>
          <w:highlight w:val="none"/>
          <w14:textFill>
            <w14:solidFill>
              <w14:schemeClr w14:val="tx1"/>
            </w14:solidFill>
          </w14:textFill>
        </w:rPr>
      </w:pPr>
    </w:p>
    <w:p>
      <w:pPr>
        <w:spacing w:line="480" w:lineRule="auto"/>
        <w:rPr>
          <w:rFonts w:ascii="宋体" w:hAnsi="宋体"/>
          <w:b/>
          <w:color w:val="000000" w:themeColor="text1"/>
          <w:sz w:val="24"/>
          <w:highlight w:val="none"/>
          <w14:textFill>
            <w14:solidFill>
              <w14:schemeClr w14:val="tx1"/>
            </w14:solidFill>
          </w14:textFill>
        </w:rPr>
      </w:pPr>
    </w:p>
    <w:p>
      <w:pPr>
        <w:pStyle w:val="9"/>
        <w:spacing w:after="0" w:line="360" w:lineRule="auto"/>
        <w:ind w:firstLine="2420" w:firstLineChars="11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p>
      <w:pPr>
        <w:pStyle w:val="9"/>
        <w:spacing w:after="0" w:line="360" w:lineRule="auto"/>
        <w:ind w:firstLine="2420" w:firstLineChars="11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p>
      <w:pPr>
        <w:pStyle w:val="4"/>
        <w:rPr>
          <w:rFonts w:ascii="宋体" w:hAnsi="宋体"/>
          <w:color w:val="000000" w:themeColor="text1"/>
          <w:sz w:val="22"/>
          <w:szCs w:val="22"/>
          <w:highlight w:val="none"/>
          <w14:textFill>
            <w14:solidFill>
              <w14:schemeClr w14:val="tx1"/>
            </w14:solidFill>
          </w14:textFill>
        </w:rPr>
      </w:pPr>
    </w:p>
    <w:p>
      <w:pPr>
        <w:pStyle w:val="4"/>
        <w:rPr>
          <w:rFonts w:ascii="宋体" w:hAnsi="宋体"/>
          <w:color w:val="000000" w:themeColor="text1"/>
          <w:sz w:val="22"/>
          <w:szCs w:val="22"/>
          <w:highlight w:val="none"/>
          <w14:textFill>
            <w14:solidFill>
              <w14:schemeClr w14:val="tx1"/>
            </w14:solidFill>
          </w14:textFill>
        </w:rPr>
      </w:pPr>
    </w:p>
    <w:p>
      <w:pPr>
        <w:pStyle w:val="4"/>
        <w:rPr>
          <w:rFonts w:ascii="宋体" w:hAnsi="宋体"/>
          <w:color w:val="000000" w:themeColor="text1"/>
          <w:sz w:val="22"/>
          <w:szCs w:val="22"/>
          <w:highlight w:val="none"/>
          <w14:textFill>
            <w14:solidFill>
              <w14:schemeClr w14:val="tx1"/>
            </w14:solidFill>
          </w14:textFill>
        </w:rPr>
      </w:pPr>
    </w:p>
    <w:p>
      <w:pPr>
        <w:pStyle w:val="4"/>
        <w:jc w:val="both"/>
        <w:rPr>
          <w:rFonts w:ascii="宋体" w:hAnsi="宋体" w:eastAsia="宋体"/>
          <w:color w:val="000000" w:themeColor="text1"/>
          <w:highlight w:val="none"/>
          <w14:textFill>
            <w14:solidFill>
              <w14:schemeClr w14:val="tx1"/>
            </w14:solidFill>
          </w14:textFill>
        </w:rPr>
      </w:pPr>
    </w:p>
    <w:p>
      <w:pPr>
        <w:pStyle w:val="4"/>
        <w:jc w:val="both"/>
        <w:rPr>
          <w:rFonts w:ascii="宋体" w:hAnsi="宋体" w:eastAsia="宋体"/>
          <w:color w:val="000000" w:themeColor="text1"/>
          <w:highlight w:val="none"/>
          <w14:textFill>
            <w14:solidFill>
              <w14:schemeClr w14:val="tx1"/>
            </w14:solidFill>
          </w14:textFill>
        </w:rPr>
      </w:pPr>
    </w:p>
    <w:bookmarkEnd w:id="282"/>
    <w:bookmarkEnd w:id="283"/>
    <w:bookmarkEnd w:id="284"/>
    <w:p>
      <w:pPr>
        <w:pStyle w:val="33"/>
        <w:ind w:firstLine="0" w:firstLineChars="0"/>
        <w:rPr>
          <w:rFonts w:ascii="宋体" w:eastAsia="宋体"/>
          <w:color w:val="000000" w:themeColor="text1"/>
          <w:sz w:val="22"/>
          <w:szCs w:val="22"/>
          <w:highlight w:val="none"/>
          <w14:textFill>
            <w14:solidFill>
              <w14:schemeClr w14:val="tx1"/>
            </w14:solidFill>
          </w14:textFill>
        </w:rPr>
      </w:pPr>
    </w:p>
    <w:p>
      <w:pPr>
        <w:pStyle w:val="33"/>
        <w:ind w:firstLine="0" w:firstLineChars="0"/>
        <w:rPr>
          <w:rFonts w:ascii="宋体" w:eastAsia="宋体"/>
          <w:color w:val="000000" w:themeColor="text1"/>
          <w:sz w:val="22"/>
          <w:szCs w:val="22"/>
          <w:highlight w:val="none"/>
          <w14:textFill>
            <w14:solidFill>
              <w14:schemeClr w14:val="tx1"/>
            </w14:solidFill>
          </w14:textFill>
        </w:rPr>
      </w:pPr>
    </w:p>
    <w:p>
      <w:pPr>
        <w:pStyle w:val="4"/>
        <w:rPr>
          <w:rFonts w:ascii="宋体" w:hAnsi="宋体" w:eastAsia="宋体"/>
          <w:color w:val="000000" w:themeColor="text1"/>
          <w:highlight w:val="none"/>
          <w14:textFill>
            <w14:solidFill>
              <w14:schemeClr w14:val="tx1"/>
            </w14:solidFill>
          </w14:textFill>
        </w:rPr>
      </w:pPr>
      <w:bookmarkStart w:id="285" w:name="_Toc29280"/>
      <w:bookmarkStart w:id="286" w:name="_Toc522635178"/>
      <w:r>
        <w:rPr>
          <w:rFonts w:hint="eastAsia" w:ascii="宋体" w:hAnsi="宋体" w:eastAsia="宋体"/>
          <w:color w:val="000000" w:themeColor="text1"/>
          <w:highlight w:val="none"/>
          <w14:textFill>
            <w14:solidFill>
              <w14:schemeClr w14:val="tx1"/>
            </w14:solidFill>
          </w14:textFill>
        </w:rPr>
        <w:t>三、唱标信封</w:t>
      </w:r>
      <w:bookmarkEnd w:id="285"/>
      <w:bookmarkEnd w:id="286"/>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唱标信封内装：</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1)投标函复印件加盖公章；</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2)法定代表人证明书及法定代表人授权委托书复印件加盖公章（法人投标除外）；</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3)开标一览表（报价总表）复印件加盖公章；</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4)投标保证金汇入情况说明或政府采购投标保函加盖公章；</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5)银行汇款凭证复印件加盖公章；</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6)电子文件（CD-R光盘或U盘）；</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7)《联合投标协议》及《投标联合体授权主体方协议书》原件（非联合体投标除外）；</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8)中小企业声明函加盖公章（若为中小企业，须提供）</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9)残疾人福利性单位声明函加盖公章（若为残疾人福利性单位，须提供）</w:t>
      </w:r>
    </w:p>
    <w:p>
      <w:pPr>
        <w:pStyle w:val="33"/>
        <w:ind w:firstLine="0" w:firstLineChars="0"/>
        <w:rPr>
          <w:rFonts w:ascii="宋体" w:eastAsia="宋体"/>
          <w:color w:val="000000" w:themeColor="text1"/>
          <w:sz w:val="22"/>
          <w:szCs w:val="22"/>
          <w:highlight w:val="none"/>
          <w14:textFill>
            <w14:solidFill>
              <w14:schemeClr w14:val="tx1"/>
            </w14:solidFill>
          </w14:textFill>
        </w:rPr>
      </w:pPr>
      <w:r>
        <w:rPr>
          <w:rFonts w:hint="eastAsia" w:ascii="宋体" w:eastAsia="宋体"/>
          <w:color w:val="000000" w:themeColor="text1"/>
          <w:sz w:val="22"/>
          <w:szCs w:val="22"/>
          <w:highlight w:val="none"/>
          <w14:textFill>
            <w14:solidFill>
              <w14:schemeClr w14:val="tx1"/>
            </w14:solidFill>
          </w14:textFill>
        </w:rPr>
        <w:t>10)其他格式（如有）。</w:t>
      </w: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pStyle w:val="33"/>
        <w:ind w:firstLine="0" w:firstLineChars="0"/>
        <w:rPr>
          <w:rFonts w:ascii="宋体" w:eastAsia="宋体"/>
          <w:color w:val="000000" w:themeColor="text1"/>
          <w:sz w:val="28"/>
          <w:highlight w:val="none"/>
          <w14:textFill>
            <w14:solidFill>
              <w14:schemeClr w14:val="tx1"/>
            </w14:solidFill>
          </w14:textFill>
        </w:rPr>
      </w:pPr>
    </w:p>
    <w:p>
      <w:pPr>
        <w:widowControl/>
        <w:tabs>
          <w:tab w:val="left" w:pos="720"/>
        </w:tabs>
        <w:spacing w:line="6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1、投标保证金汇入情况说明（可根据需要选用）</w:t>
      </w:r>
    </w:p>
    <w:p>
      <w:pPr>
        <w:spacing w:beforeLines="150" w:afterLines="100"/>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致：广东中凯工程管理咨询有限公司</w:t>
      </w:r>
    </w:p>
    <w:p>
      <w:pPr>
        <w:spacing w:line="360" w:lineRule="auto"/>
        <w:ind w:firstLine="440" w:firstLineChars="20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本单位已按</w:t>
      </w:r>
      <w:r>
        <w:rPr>
          <w:rFonts w:hint="eastAsia" w:ascii="宋体" w:hAnsi="宋体"/>
          <w:color w:val="000000" w:themeColor="text1"/>
          <w:sz w:val="22"/>
          <w:highlight w:val="none"/>
          <w:u w:val="single"/>
          <w14:textFill>
            <w14:solidFill>
              <w14:schemeClr w14:val="tx1"/>
            </w14:solidFill>
          </w14:textFill>
        </w:rPr>
        <w:t xml:space="preserve">     （</w:t>
      </w:r>
      <w:r>
        <w:rPr>
          <w:rFonts w:hint="eastAsia" w:ascii="宋体" w:hAnsi="宋体"/>
          <w:b/>
          <w:i/>
          <w:color w:val="000000" w:themeColor="text1"/>
          <w:sz w:val="22"/>
          <w:highlight w:val="none"/>
          <w:u w:val="single"/>
          <w14:textFill>
            <w14:solidFill>
              <w14:schemeClr w14:val="tx1"/>
            </w14:solidFill>
          </w14:textFill>
        </w:rPr>
        <w:t>项目名称</w:t>
      </w:r>
      <w:r>
        <w:rPr>
          <w:rFonts w:hint="eastAsia" w:ascii="宋体" w:hAnsi="宋体"/>
          <w:color w:val="000000" w:themeColor="text1"/>
          <w:sz w:val="22"/>
          <w:highlight w:val="none"/>
          <w:u w:val="single"/>
          <w14:textFill>
            <w14:solidFill>
              <w14:schemeClr w14:val="tx1"/>
            </w14:solidFill>
          </w14:textFill>
        </w:rPr>
        <w:t xml:space="preserve">）     </w:t>
      </w:r>
      <w:r>
        <w:rPr>
          <w:rFonts w:hint="eastAsia" w:ascii="宋体" w:hAnsi="宋体"/>
          <w:color w:val="000000" w:themeColor="text1"/>
          <w:sz w:val="22"/>
          <w:highlight w:val="none"/>
          <w14:textFill>
            <w14:solidFill>
              <w14:schemeClr w14:val="tx1"/>
            </w14:solidFill>
          </w14:textFill>
        </w:rPr>
        <w:t>项目（项目编号：）的招标文件要求，于年月日前以（付款形式）方式汇入指定账户（账户名称：，账号：，开户银行：）。</w:t>
      </w:r>
    </w:p>
    <w:p>
      <w:pPr>
        <w:spacing w:line="360" w:lineRule="auto"/>
        <w:ind w:firstLine="440" w:firstLineChars="20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本单位投标保证金的汇款情况：（详见附件－投标保证金汇款凭证）</w:t>
      </w:r>
    </w:p>
    <w:p>
      <w:pPr>
        <w:spacing w:line="360" w:lineRule="auto"/>
        <w:ind w:firstLine="440" w:firstLineChars="20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汇出时间：年月日；</w:t>
      </w:r>
    </w:p>
    <w:p>
      <w:pPr>
        <w:spacing w:line="360" w:lineRule="auto"/>
        <w:ind w:firstLine="440" w:firstLineChars="200"/>
        <w:rPr>
          <w:rFonts w:ascii="宋体" w:hAnsi="宋体" w:cs="宋体"/>
          <w:color w:val="000000" w:themeColor="text1"/>
          <w:sz w:val="22"/>
          <w:highlight w:val="none"/>
          <w:u w:val="singl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汇</w:t>
      </w:r>
      <w:r>
        <w:rPr>
          <w:rFonts w:hint="eastAsia" w:ascii="宋体" w:hAnsi="宋体" w:cs="宋体"/>
          <w:color w:val="000000" w:themeColor="text1"/>
          <w:sz w:val="22"/>
          <w:highlight w:val="none"/>
          <w14:textFill>
            <w14:solidFill>
              <w14:schemeClr w14:val="tx1"/>
            </w14:solidFill>
          </w14:textFill>
        </w:rPr>
        <w:t>款金额：（大写）人民币元（小写：¥元），</w:t>
      </w:r>
    </w:p>
    <w:p>
      <w:pPr>
        <w:spacing w:line="360" w:lineRule="auto"/>
        <w:ind w:firstLine="440" w:firstLineChars="200"/>
        <w:rPr>
          <w:rFonts w:ascii="宋体" w:hAnsi="宋体"/>
          <w:color w:val="000000" w:themeColor="text1"/>
          <w:sz w:val="22"/>
          <w:highlight w:val="none"/>
          <w:u w:val="singl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汇款账户名称：</w:t>
      </w:r>
      <w:r>
        <w:rPr>
          <w:rFonts w:hint="eastAsia" w:ascii="宋体" w:hAnsi="宋体"/>
          <w:color w:val="000000" w:themeColor="text1"/>
          <w:sz w:val="22"/>
          <w:highlight w:val="none"/>
          <w:u w:val="single"/>
          <w14:textFill>
            <w14:solidFill>
              <w14:schemeClr w14:val="tx1"/>
            </w14:solidFill>
          </w14:textFill>
        </w:rPr>
        <w:t xml:space="preserve">         （必须是投标时使用的账户名）                        </w:t>
      </w:r>
    </w:p>
    <w:p>
      <w:pPr>
        <w:spacing w:line="360" w:lineRule="auto"/>
        <w:ind w:firstLine="440" w:firstLineChars="20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账    号：</w:t>
      </w:r>
      <w:r>
        <w:rPr>
          <w:rFonts w:hint="eastAsia" w:ascii="宋体" w:hAnsi="宋体"/>
          <w:color w:val="000000" w:themeColor="text1"/>
          <w:sz w:val="22"/>
          <w:highlight w:val="none"/>
          <w:u w:val="single"/>
          <w14:textFill>
            <w14:solidFill>
              <w14:schemeClr w14:val="tx1"/>
            </w14:solidFill>
          </w14:textFill>
        </w:rPr>
        <w:t xml:space="preserve">              （必须是投标时使用的账号）                         </w:t>
      </w:r>
    </w:p>
    <w:p>
      <w:pPr>
        <w:spacing w:line="360" w:lineRule="auto"/>
        <w:ind w:firstLine="440" w:firstLineChars="200"/>
        <w:rPr>
          <w:rFonts w:ascii="宋体" w:hAnsi="宋体"/>
          <w:color w:val="000000" w:themeColor="text1"/>
          <w:sz w:val="22"/>
          <w:highlight w:val="none"/>
          <w:u w:val="singl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开户银行：</w:t>
      </w:r>
      <w:r>
        <w:rPr>
          <w:rFonts w:hint="eastAsia" w:ascii="宋体" w:hAnsi="宋体"/>
          <w:color w:val="000000" w:themeColor="text1"/>
          <w:sz w:val="22"/>
          <w:highlight w:val="none"/>
          <w:u w:val="single"/>
          <w14:textFill>
            <w14:solidFill>
              <w14:schemeClr w14:val="tx1"/>
            </w14:solidFill>
          </w14:textFill>
        </w:rPr>
        <w:t xml:space="preserve">          省             市             银行             支行    </w:t>
      </w:r>
    </w:p>
    <w:p>
      <w:pPr>
        <w:spacing w:line="360" w:lineRule="auto"/>
        <w:ind w:firstLine="440" w:firstLineChars="20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本单位谨承诺上述资料是正确、真实的，如因上述证明与事实不符导致的一切损失，本单位保证承担赔偿等一切法律责任。</w:t>
      </w:r>
    </w:p>
    <w:p>
      <w:pPr>
        <w:spacing w:line="360" w:lineRule="auto"/>
        <w:ind w:firstLine="440" w:firstLineChars="200"/>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投标保证金退回时，请按上述资料退回。</w:t>
      </w:r>
    </w:p>
    <w:p>
      <w:pPr>
        <w:spacing w:line="360" w:lineRule="auto"/>
        <w:ind w:right="844" w:rightChars="402"/>
        <w:jc w:val="right"/>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（单位公章）</w:t>
      </w:r>
    </w:p>
    <w:p>
      <w:pPr>
        <w:spacing w:line="360" w:lineRule="auto"/>
        <w:ind w:right="628" w:rightChars="299"/>
        <w:jc w:val="right"/>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年     月    日</w:t>
      </w:r>
    </w:p>
    <w:p>
      <w:pPr>
        <w:spacing w:line="360" w:lineRule="auto"/>
        <w:rPr>
          <w:rFonts w:ascii="宋体" w:hAnsi="宋体"/>
          <w:color w:val="000000" w:themeColor="text1"/>
          <w:sz w:val="22"/>
          <w:highlight w:val="none"/>
          <w:u w:val="singl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单位名称：</w:t>
      </w:r>
    </w:p>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单位地址：</w:t>
      </w:r>
    </w:p>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联 系 人：</w:t>
      </w:r>
      <w:r>
        <w:rPr>
          <w:rFonts w:hint="eastAsia" w:ascii="宋体" w:hAnsi="宋体"/>
          <w:i/>
          <w:color w:val="000000" w:themeColor="text1"/>
          <w:sz w:val="22"/>
          <w:highlight w:val="none"/>
          <w:u w:val="single"/>
          <w14:textFill>
            <w14:solidFill>
              <w14:schemeClr w14:val="tx1"/>
            </w14:solidFill>
          </w14:textFill>
        </w:rPr>
        <w:t>（投标单位财务）</w:t>
      </w:r>
    </w:p>
    <w:p>
      <w:pPr>
        <w:spacing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单位电话：      联系人手机：</w:t>
      </w:r>
    </w:p>
    <w:tbl>
      <w:tblPr>
        <w:tblStyle w:val="23"/>
        <w:tblW w:w="9216" w:type="dxa"/>
        <w:jc w:val="center"/>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9216"/>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1905" w:hRule="atLeast"/>
          <w:jc w:val="center"/>
        </w:trPr>
        <w:tc>
          <w:tcPr>
            <w:tcW w:w="9216" w:type="dxa"/>
            <w:vAlign w:val="center"/>
          </w:tcPr>
          <w:p>
            <w:pPr>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附件一：我方投标保证金汇款凭证（复印件加盖投标人公章）</w:t>
            </w:r>
          </w:p>
        </w:tc>
      </w:tr>
    </w:tbl>
    <w:p>
      <w:pPr>
        <w:spacing w:line="360" w:lineRule="auto"/>
        <w:rPr>
          <w:rFonts w:ascii="宋体" w:hAnsi="宋体"/>
          <w:bCs/>
          <w:color w:val="000000" w:themeColor="text1"/>
          <w:sz w:val="22"/>
          <w:highlight w:val="none"/>
          <w:lang w:val="zh-CN"/>
          <w14:textFill>
            <w14:solidFill>
              <w14:schemeClr w14:val="tx1"/>
            </w14:solidFill>
          </w14:textFill>
        </w:rPr>
      </w:pPr>
      <w:r>
        <w:rPr>
          <w:rFonts w:hint="eastAsia" w:ascii="宋体" w:hAnsi="宋体"/>
          <w:bCs/>
          <w:color w:val="000000" w:themeColor="text1"/>
          <w:sz w:val="22"/>
          <w:highlight w:val="none"/>
          <w:lang w:val="zh-CN"/>
          <w14:textFill>
            <w14:solidFill>
              <w14:schemeClr w14:val="tx1"/>
            </w14:solidFill>
          </w14:textFill>
        </w:rPr>
        <w:t>注：本情况说明手写无效。</w:t>
      </w:r>
    </w:p>
    <w:p>
      <w:pPr>
        <w:widowControl/>
        <w:tabs>
          <w:tab w:val="left" w:pos="720"/>
        </w:tabs>
        <w:spacing w:line="360" w:lineRule="auto"/>
        <w:jc w:val="center"/>
        <w:rPr>
          <w:rFonts w:ascii="宋体" w:hAnsi="宋体"/>
          <w:b/>
          <w:color w:val="000000" w:themeColor="text1"/>
          <w:sz w:val="24"/>
          <w:highlight w:val="none"/>
          <w14:textFill>
            <w14:solidFill>
              <w14:schemeClr w14:val="tx1"/>
            </w14:solidFill>
          </w14:textFill>
        </w:rPr>
      </w:pPr>
    </w:p>
    <w:p>
      <w:pPr>
        <w:widowControl/>
        <w:tabs>
          <w:tab w:val="left" w:pos="720"/>
        </w:tabs>
        <w:spacing w:line="360" w:lineRule="auto"/>
        <w:jc w:val="center"/>
        <w:rPr>
          <w:rFonts w:ascii="宋体" w:hAnsi="宋体"/>
          <w:b/>
          <w:color w:val="000000" w:themeColor="text1"/>
          <w:sz w:val="24"/>
          <w:highlight w:val="none"/>
          <w14:textFill>
            <w14:solidFill>
              <w14:schemeClr w14:val="tx1"/>
            </w14:solidFill>
          </w14:textFill>
        </w:rPr>
      </w:pPr>
    </w:p>
    <w:p>
      <w:pPr>
        <w:widowControl/>
        <w:tabs>
          <w:tab w:val="left" w:pos="720"/>
        </w:tabs>
        <w:spacing w:line="360" w:lineRule="auto"/>
        <w:jc w:val="center"/>
        <w:rPr>
          <w:rFonts w:ascii="宋体" w:hAnsi="宋体"/>
          <w:b/>
          <w:color w:val="000000" w:themeColor="text1"/>
          <w:sz w:val="24"/>
          <w:highlight w:val="none"/>
          <w14:textFill>
            <w14:solidFill>
              <w14:schemeClr w14:val="tx1"/>
            </w14:solidFill>
          </w14:textFill>
        </w:rPr>
      </w:pPr>
    </w:p>
    <w:p>
      <w:pP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br w:type="page"/>
      </w:r>
    </w:p>
    <w:p>
      <w:pPr>
        <w:widowControl/>
        <w:tabs>
          <w:tab w:val="left" w:pos="720"/>
        </w:tabs>
        <w:spacing w:line="360" w:lineRule="auto"/>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2.政府采购投标保函（可根据需要选用）</w:t>
      </w:r>
    </w:p>
    <w:p>
      <w:pPr>
        <w:widowControl/>
        <w:tabs>
          <w:tab w:val="left" w:pos="720"/>
        </w:tabs>
        <w:spacing w:line="360" w:lineRule="auto"/>
        <w:jc w:val="center"/>
        <w:rPr>
          <w:rFonts w:ascii="宋体" w:hAnsi="宋体"/>
          <w:b/>
          <w:color w:val="000000" w:themeColor="text1"/>
          <w:sz w:val="24"/>
          <w:highlight w:val="none"/>
          <w14:textFill>
            <w14:solidFill>
              <w14:schemeClr w14:val="tx1"/>
            </w14:solidFill>
          </w14:textFill>
        </w:rPr>
      </w:pPr>
    </w:p>
    <w:p>
      <w:pPr>
        <w:pStyle w:val="8"/>
        <w:spacing w:line="440" w:lineRule="exact"/>
        <w:ind w:left="0" w:leftChars="0" w:right="482"/>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致：广东中凯工程管理咨询有限公司</w:t>
      </w:r>
    </w:p>
    <w:p>
      <w:pPr>
        <w:pStyle w:val="8"/>
        <w:spacing w:line="440" w:lineRule="exact"/>
        <w:ind w:left="0" w:leftChars="0" w:right="482"/>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 xml:space="preserve">     鉴于（以下简称“投标人”）拟参加采购编号为------的采购项目（以下简称“本项目”）的投标，根据本项目招标文件，投标人参加投标时应向你方交纳投标保证金，且可以政府采购投标担保函的形交纳投标保证金。应投标人的申请，我方以保证的方式向你方提供如下投标保证金担保：</w:t>
      </w:r>
    </w:p>
    <w:p>
      <w:pPr>
        <w:pStyle w:val="8"/>
        <w:spacing w:line="440" w:lineRule="exact"/>
        <w:ind w:left="0" w:leftChars="0" w:right="482"/>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 xml:space="preserve">     一、保证责任的情形及保证金额</w:t>
      </w:r>
    </w:p>
    <w:p>
      <w:pPr>
        <w:pStyle w:val="8"/>
        <w:spacing w:line="440" w:lineRule="exact"/>
        <w:ind w:left="0" w:leftChars="0" w:right="482" w:firstLine="48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（一）在投标人出现下列情形之一时，我方承担保证责任：</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1.中标后投标人无正当理由不与采购人签订《政府采购合同》；</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2.招标文件规定的投标人应当缴纳投标保证金的其他情形。</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（二）我方承担保证责任的最高金额为人民币元（大写元整），即本项目的投标保证金金额。</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二、保证的方式及保证期间</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我方保证的方式为：连带责任保证。</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我方的保证期间为：自投标截止时间起 个月止。</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三、承担保证责任的程序</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你方要求我方承担上述第一款保证责任时，应在本保函保证期间内向我方发出书面索赔通知。索赔通知应写明要求索赔的金额，支付款项应到达的账号，并附有证明投标人发生我方应承担保责任情形的事实材料。</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2.我方在收到索赔通知及相关证明材料后，在个工作日内进行审查，符合应承担保证责任情形的，我方应按照你方的要求代投标人向你方支付投标保证金。</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四、保证责任的终止</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1.保证期间届满你方未向我方书面主张保证责任的，自保证期间届满次日起，我方保证责任自动终止。</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2.我方按照本保函向你贵方履行了保证责任后，自我方向你贵方支付款项（支付款项从我方账户划出）之日起，保证责任终止。</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3.按照法律法规的规定或出现我方保证责任终止的其它情形的，我方在本保函项目的保证责任亦终止。</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五、免责条款</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1.依照法律规定或你方与投标人的另行约定，全部或者部分免除投标人投标保证金义务时，我方亦免除相应的保证责任。</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2.因你方原因致使投标人发生本保函第一条第（一）款约定情形的，我方不承担保证责任。</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3.因不可抗力造成投标人发生本保函第一条约定情形的，我方不承担保证责任。</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4.你方或其他有权机关对采购文件进行任何澄清或修改，加重我方保证责任的，我方对加重部分不承担保证责任，但该澄清或修改经我方事先书面同意的除外。</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六、争议的解决</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因本保函发生的纠纷，由你我双方协商解决，协商不成的，通过诉讼程序解决，诉讼管辖地法院为</w:t>
      </w:r>
      <w:r>
        <w:rPr>
          <w:rFonts w:hint="eastAsia"/>
          <w:color w:val="000000" w:themeColor="text1"/>
          <w:sz w:val="22"/>
          <w:szCs w:val="22"/>
          <w:highlight w:val="none"/>
          <w:u w:val="single"/>
          <w14:textFill>
            <w14:solidFill>
              <w14:schemeClr w14:val="tx1"/>
            </w14:solidFill>
          </w14:textFill>
        </w:rPr>
        <w:t xml:space="preserve">        法院</w:t>
      </w:r>
      <w:r>
        <w:rPr>
          <w:rFonts w:hint="eastAsia"/>
          <w:color w:val="000000" w:themeColor="text1"/>
          <w:sz w:val="22"/>
          <w:szCs w:val="22"/>
          <w:highlight w:val="none"/>
          <w14:textFill>
            <w14:solidFill>
              <w14:schemeClr w14:val="tx1"/>
            </w14:solidFill>
          </w14:textFill>
        </w:rPr>
        <w:t>。</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七、保函的生效</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本保函自我方加盖公章之日起生效。</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 xml:space="preserve">                            保证人： </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 xml:space="preserve">                            法定代表人：</w:t>
      </w:r>
    </w:p>
    <w:p>
      <w:pPr>
        <w:pStyle w:val="8"/>
        <w:spacing w:line="440" w:lineRule="exact"/>
        <w:ind w:left="0" w:leftChars="0" w:right="482" w:firstLine="550" w:firstLineChars="250"/>
        <w:rPr>
          <w:color w:val="000000" w:themeColor="text1"/>
          <w:sz w:val="22"/>
          <w:szCs w:val="22"/>
          <w:highlight w:val="none"/>
          <w14:textFill>
            <w14:solidFill>
              <w14:schemeClr w14:val="tx1"/>
            </w14:solidFill>
          </w14:textFill>
        </w:rPr>
      </w:pPr>
      <w:r>
        <w:rPr>
          <w:rFonts w:hint="eastAsia"/>
          <w:color w:val="000000" w:themeColor="text1"/>
          <w:sz w:val="22"/>
          <w:szCs w:val="22"/>
          <w:highlight w:val="none"/>
          <w14:textFill>
            <w14:solidFill>
              <w14:schemeClr w14:val="tx1"/>
            </w14:solidFill>
          </w14:textFill>
        </w:rPr>
        <w:t xml:space="preserve">                                       年   月   日</w:t>
      </w:r>
    </w:p>
    <w:p>
      <w:pPr>
        <w:widowControl/>
        <w:tabs>
          <w:tab w:val="left" w:pos="720"/>
        </w:tabs>
        <w:spacing w:line="360" w:lineRule="auto"/>
        <w:rPr>
          <w:rFonts w:ascii="宋体" w:hAnsi="宋体"/>
          <w:color w:val="000000" w:themeColor="text1"/>
          <w:sz w:val="22"/>
          <w:szCs w:val="22"/>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360" w:lineRule="auto"/>
        <w:rPr>
          <w:rFonts w:ascii="宋体" w:hAnsi="宋体"/>
          <w:color w:val="000000" w:themeColor="text1"/>
          <w:sz w:val="24"/>
          <w:highlight w:val="none"/>
          <w14:textFill>
            <w14:solidFill>
              <w14:schemeClr w14:val="tx1"/>
            </w14:solidFill>
          </w14:textFill>
        </w:rPr>
      </w:pPr>
    </w:p>
    <w:p>
      <w:pPr>
        <w:widowControl/>
        <w:tabs>
          <w:tab w:val="left" w:pos="720"/>
        </w:tabs>
        <w:spacing w:line="6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3.政府采购履约担保函（本履约保函在中标后使用，投标时无须提供）（如适用）</w:t>
      </w:r>
    </w:p>
    <w:p>
      <w:pPr>
        <w:rPr>
          <w:rFonts w:ascii="宋体" w:hAnsi="宋体"/>
          <w:color w:val="000000" w:themeColor="text1"/>
          <w:highlight w:val="none"/>
          <w14:textFill>
            <w14:solidFill>
              <w14:schemeClr w14:val="tx1"/>
            </w14:solidFill>
          </w14:textFill>
        </w:rPr>
      </w:pPr>
      <w:r>
        <w:rPr>
          <w:rFonts w:hint="eastAsia" w:ascii="宋体" w:hAnsi="宋体"/>
          <w:color w:val="000000" w:themeColor="text1"/>
          <w:highlight w:val="none"/>
          <w14:textFill>
            <w14:solidFill>
              <w14:schemeClr w14:val="tx1"/>
            </w14:solidFill>
          </w14:textFill>
        </w:rPr>
        <w:t>编号：</w:t>
      </w:r>
    </w:p>
    <w:p>
      <w:pPr>
        <w:spacing w:line="400" w:lineRule="exact"/>
        <w:rPr>
          <w:rFonts w:ascii="宋体" w:hAnsi="宋体"/>
          <w:color w:val="000000" w:themeColor="text1"/>
          <w:sz w:val="24"/>
          <w:highlight w:val="none"/>
          <w:u w:val="singl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（采购人）：</w:t>
      </w: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鉴于你方与（以下简称供应商）于年月日签订编号为的《政府采购合同》（以下简称主合同），且依据该合同的约定，供应商应在年月日前向你方交纳履约保证金，且可以履约担保函的形式交纳履约保证金。应供应商的申请，我方以保证的方式向你方提供如下履约保证金担保：</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一、保证责任的情形及保证金额</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（一）在供应商出现下列情形之一时，我方承担保证责任：</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．将中标项目转让给他人，或者在投标文件中未说明，且未经采购招标机构人同意，将中标项目分包给他人的；</w:t>
      </w:r>
    </w:p>
    <w:p>
      <w:pPr>
        <w:spacing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　　</w:t>
      </w:r>
      <w:r>
        <w:rPr>
          <w:rFonts w:ascii="宋体" w:hAnsi="宋体"/>
          <w:color w:val="000000" w:themeColor="text1"/>
          <w:sz w:val="22"/>
          <w:szCs w:val="22"/>
          <w:highlight w:val="none"/>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．主合同约定的应当缴纳履约保证金的情形</w:t>
      </w:r>
      <w:r>
        <w:rPr>
          <w:rFonts w:ascii="宋体" w:hAnsi="宋体"/>
          <w:color w:val="000000" w:themeColor="text1"/>
          <w:sz w:val="22"/>
          <w:szCs w:val="22"/>
          <w:highlight w:val="none"/>
          <w14:textFill>
            <w14:solidFill>
              <w14:schemeClr w14:val="tx1"/>
            </w14:solidFill>
          </w14:textFill>
        </w:rPr>
        <w:t xml:space="preserve">: </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w:t>
      </w:r>
      <w:r>
        <w:rPr>
          <w:rFonts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）未按主合同约定的质量、数量和期限供应货物</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提供服务</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完成工程的；</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w:t>
      </w:r>
      <w:r>
        <w:rPr>
          <w:rFonts w:ascii="宋体" w:hAnsi="宋体"/>
          <w:color w:val="000000" w:themeColor="text1"/>
          <w:sz w:val="22"/>
          <w:szCs w:val="22"/>
          <w:highlight w:val="none"/>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（二）我方的保证范围是主合同约定的合同价款总额的</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数额为元（大写），币种为。（即主合同履约保证金金额）</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二、保证的方式及保证期间</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我方保证的方式为：连带责任保证。</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我方保证的期间为：自本合同生效之日起至供应商按照主合同约定的供货</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完工期限届满后日内。</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如果供应商未按主合同约定向贵方供应货物</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提供服务</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完成工程的，由我方在保证金额内向你方支付上述款项。</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三、承担保证责任的程序</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．你方要求我方承担保证责任的，应在本保函保证期间内向我方发出书面索赔通知。索赔通知应写明要求索赔的金额，支付款项应到达的帐号。并附有证明供应商违约事实的证明材料。</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如果你方与供应商因货物质量问题产生争议，你方还需同时提供部门出具的质量检测报告，或经诉讼（仲裁）程序裁决后的裁决书、调解书，本保证人即按照检测结果或裁决书、调解书决定是否承担保证责任。</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．我方收到你方的书面索赔通知及相应证明材料，在工作日内进行核定后按照本保函的承诺承担保证责任。</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四、保证责任的终止</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．保证期间届满你方未向我方书面主张保证责任的，自保证期间届满次日起，我方保证责任自动终止。保证期间届满前，主合同约定的货物</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工程</w:t>
      </w:r>
      <w:r>
        <w:rPr>
          <w:rFonts w:ascii="宋体" w:hAnsi="宋体"/>
          <w:color w:val="000000" w:themeColor="text1"/>
          <w:sz w:val="22"/>
          <w:szCs w:val="22"/>
          <w:highlight w:val="none"/>
          <w14:textFill>
            <w14:solidFill>
              <w14:schemeClr w14:val="tx1"/>
            </w14:solidFill>
          </w14:textFill>
        </w:rPr>
        <w:t>\</w:t>
      </w:r>
      <w:r>
        <w:rPr>
          <w:rFonts w:hint="eastAsia" w:ascii="宋体" w:hAnsi="宋体"/>
          <w:color w:val="000000" w:themeColor="text1"/>
          <w:sz w:val="22"/>
          <w:szCs w:val="22"/>
          <w:highlight w:val="none"/>
          <w14:textFill>
            <w14:solidFill>
              <w14:schemeClr w14:val="tx1"/>
            </w14:solidFill>
          </w14:textFill>
        </w:rPr>
        <w:t>服务全部验收合格的，自验收合格日起，我方保证责任自动终止。</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．我方按照本保函向你方履行了保证责任后，自我方向你方支付款项（支付款项从我方账户划出）之日起，保证责任即终止。</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w:t>
      </w:r>
      <w:r>
        <w:rPr>
          <w:rFonts w:hint="eastAsia" w:ascii="宋体" w:hAnsi="宋体"/>
          <w:color w:val="000000" w:themeColor="text1"/>
          <w:sz w:val="22"/>
          <w:szCs w:val="22"/>
          <w:highlight w:val="none"/>
          <w14:textFill>
            <w14:solidFill>
              <w14:schemeClr w14:val="tx1"/>
            </w14:solidFill>
          </w14:textFill>
        </w:rPr>
        <w:t>．按照法律法规的规定或出现应终止我方保证责任的其它情形的，我方在本保函项下的保证责任亦终止。</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4</w:t>
      </w:r>
      <w:r>
        <w:rPr>
          <w:rFonts w:hint="eastAsia" w:ascii="宋体" w:hAnsi="宋体"/>
          <w:color w:val="000000" w:themeColor="text1"/>
          <w:sz w:val="22"/>
          <w:szCs w:val="22"/>
          <w:highlight w:val="none"/>
          <w14:textFill>
            <w14:solidFill>
              <w14:schemeClr w14:val="tx1"/>
            </w14:solidFill>
          </w14:textFill>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五、免责条款</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1</w:t>
      </w:r>
      <w:r>
        <w:rPr>
          <w:rFonts w:hint="eastAsia" w:ascii="宋体" w:hAnsi="宋体"/>
          <w:color w:val="000000" w:themeColor="text1"/>
          <w:sz w:val="22"/>
          <w:szCs w:val="22"/>
          <w:highlight w:val="none"/>
          <w14:textFill>
            <w14:solidFill>
              <w14:schemeClr w14:val="tx1"/>
            </w14:solidFill>
          </w14:textFill>
        </w:rPr>
        <w:t>．因你方违反主合同约定致使供应商不能履行义务的，我方不承担保证责任。</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2</w:t>
      </w:r>
      <w:r>
        <w:rPr>
          <w:rFonts w:hint="eastAsia" w:ascii="宋体" w:hAnsi="宋体"/>
          <w:color w:val="000000" w:themeColor="text1"/>
          <w:sz w:val="22"/>
          <w:szCs w:val="22"/>
          <w:highlight w:val="none"/>
          <w14:textFill>
            <w14:solidFill>
              <w14:schemeClr w14:val="tx1"/>
            </w14:solidFill>
          </w14:textFill>
        </w:rPr>
        <w:t>．依照法律法规的规定或你方与供应商的另行约定，全部或者部分免除供应商应缴纳的保证金义务的，我方亦免除相应的保证责任。</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ascii="宋体" w:hAnsi="宋体"/>
          <w:color w:val="000000" w:themeColor="text1"/>
          <w:sz w:val="22"/>
          <w:szCs w:val="22"/>
          <w:highlight w:val="none"/>
          <w14:textFill>
            <w14:solidFill>
              <w14:schemeClr w14:val="tx1"/>
            </w14:solidFill>
          </w14:textFill>
        </w:rPr>
        <w:t>3</w:t>
      </w:r>
      <w:r>
        <w:rPr>
          <w:rFonts w:hint="eastAsia" w:ascii="宋体" w:hAnsi="宋体"/>
          <w:color w:val="000000" w:themeColor="text1"/>
          <w:sz w:val="22"/>
          <w:szCs w:val="22"/>
          <w:highlight w:val="none"/>
          <w14:textFill>
            <w14:solidFill>
              <w14:schemeClr w14:val="tx1"/>
            </w14:solidFill>
          </w14:textFill>
        </w:rPr>
        <w:t>．因不可抗力造成供应商不能履行供货义务的，我方不承担保证责任。</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六、争议的解决</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因本保函发生的纠纷，由你我双方协商解决，协商不成的，通过诉讼程序解决，诉讼管辖地法院为法院。</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七、保函的生效</w:t>
      </w:r>
    </w:p>
    <w:p>
      <w:pPr>
        <w:spacing w:line="400" w:lineRule="exact"/>
        <w:ind w:firstLine="440" w:firstLineChars="20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本保函自我方加盖公章之日起生效。</w:t>
      </w: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ind w:firstLine="6050" w:firstLineChars="2750"/>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保证人：（公章）</w:t>
      </w: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年月日</w:t>
      </w: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spacing w:line="400" w:lineRule="exact"/>
        <w:rPr>
          <w:rFonts w:ascii="宋体" w:hAnsi="宋体"/>
          <w:color w:val="000000" w:themeColor="text1"/>
          <w:sz w:val="22"/>
          <w:szCs w:val="22"/>
          <w:highlight w:val="none"/>
          <w14:textFill>
            <w14:solidFill>
              <w14:schemeClr w14:val="tx1"/>
            </w14:solidFill>
          </w14:textFill>
        </w:rPr>
      </w:pPr>
    </w:p>
    <w:p>
      <w:pP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br w:type="page"/>
      </w:r>
    </w:p>
    <w:p>
      <w:pPr>
        <w:widowControl/>
        <w:tabs>
          <w:tab w:val="left" w:pos="720"/>
        </w:tabs>
        <w:spacing w:line="600" w:lineRule="exact"/>
        <w:jc w:val="center"/>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4.详细评审索引表</w:t>
      </w:r>
    </w:p>
    <w:p>
      <w:pPr>
        <w:spacing w:beforeLines="50" w:afterLines="50" w:line="400" w:lineRule="exact"/>
        <w:jc w:val="center"/>
        <w:rPr>
          <w:rFonts w:ascii="宋体" w:hAnsi="宋体"/>
          <w:bCs/>
          <w:color w:val="000000" w:themeColor="text1"/>
          <w:szCs w:val="36"/>
          <w:highlight w:val="none"/>
          <w14:textFill>
            <w14:solidFill>
              <w14:schemeClr w14:val="tx1"/>
            </w14:solidFill>
          </w14:textFill>
        </w:rPr>
      </w:pPr>
      <w:r>
        <w:rPr>
          <w:rFonts w:hint="eastAsia" w:ascii="宋体" w:hAnsi="宋体"/>
          <w:bCs/>
          <w:color w:val="000000" w:themeColor="text1"/>
          <w:szCs w:val="36"/>
          <w:highlight w:val="none"/>
          <w14:textFill>
            <w14:solidFill>
              <w14:schemeClr w14:val="tx1"/>
            </w14:solidFill>
          </w14:textFill>
        </w:rPr>
        <w:t>（此表可放入商务技术文件目录前）</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3402"/>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8528" w:type="dxa"/>
            <w:gridSpan w:val="4"/>
            <w:vAlign w:val="center"/>
          </w:tcPr>
          <w:p>
            <w:pPr>
              <w:spacing w:line="360" w:lineRule="auto"/>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项目名称：  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vAlign w:val="center"/>
          </w:tcPr>
          <w:p>
            <w:pPr>
              <w:spacing w:line="360" w:lineRule="auto"/>
              <w:jc w:val="center"/>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商务评审细则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评分内容</w:t>
            </w: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评分标准</w:t>
            </w: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gridSpan w:val="4"/>
            <w:vAlign w:val="center"/>
          </w:tcPr>
          <w:p>
            <w:pPr>
              <w:spacing w:line="360" w:lineRule="auto"/>
              <w:jc w:val="center"/>
              <w:rPr>
                <w:rFonts w:ascii="宋体" w:hAnsi="宋体"/>
                <w:b/>
                <w:color w:val="000000" w:themeColor="text1"/>
                <w:sz w:val="22"/>
                <w:highlight w:val="none"/>
                <w14:textFill>
                  <w14:solidFill>
                    <w14:schemeClr w14:val="tx1"/>
                  </w14:solidFill>
                </w14:textFill>
              </w:rPr>
            </w:pPr>
            <w:r>
              <w:rPr>
                <w:rFonts w:hint="eastAsia" w:ascii="宋体" w:hAnsi="宋体"/>
                <w:b/>
                <w:color w:val="000000" w:themeColor="text1"/>
                <w:sz w:val="22"/>
                <w:highlight w:val="none"/>
                <w14:textFill>
                  <w14:solidFill>
                    <w14:schemeClr w14:val="tx1"/>
                  </w14:solidFill>
                </w14:textFill>
              </w:rPr>
              <w:t>技术评审细则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评分内容</w:t>
            </w: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评分标准</w:t>
            </w: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投标文件响应页码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1559"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3402"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c>
          <w:tcPr>
            <w:tcW w:w="2466" w:type="dxa"/>
            <w:vAlign w:val="center"/>
          </w:tcPr>
          <w:p>
            <w:pPr>
              <w:spacing w:line="360" w:lineRule="auto"/>
              <w:jc w:val="center"/>
              <w:rPr>
                <w:rFonts w:ascii="宋体" w:hAnsi="宋体"/>
                <w:color w:val="000000" w:themeColor="text1"/>
                <w:sz w:val="22"/>
                <w:highlight w:val="none"/>
                <w14:textFill>
                  <w14:solidFill>
                    <w14:schemeClr w14:val="tx1"/>
                  </w14:solidFill>
                </w14:textFill>
              </w:rPr>
            </w:pPr>
          </w:p>
        </w:tc>
      </w:tr>
    </w:tbl>
    <w:p>
      <w:pPr>
        <w:spacing w:beforeLines="50" w:line="360" w:lineRule="auto"/>
        <w:rPr>
          <w:rFonts w:ascii="宋体" w:hAnsi="宋体"/>
          <w:color w:val="000000" w:themeColor="text1"/>
          <w:sz w:val="22"/>
          <w:highlight w:val="none"/>
          <w14:textFill>
            <w14:solidFill>
              <w14:schemeClr w14:val="tx1"/>
            </w14:solidFill>
          </w14:textFill>
        </w:rPr>
      </w:pPr>
      <w:r>
        <w:rPr>
          <w:rFonts w:hint="eastAsia" w:ascii="宋体" w:hAnsi="宋体"/>
          <w:color w:val="000000" w:themeColor="text1"/>
          <w:sz w:val="22"/>
          <w:highlight w:val="none"/>
          <w14:textFill>
            <w14:solidFill>
              <w14:schemeClr w14:val="tx1"/>
            </w14:solidFill>
          </w14:textFill>
        </w:rPr>
        <w:t>注明：需提供证明资料内容详见（招标文件第二部分评标标准相对应条款）。</w:t>
      </w:r>
    </w:p>
    <w:tbl>
      <w:tblPr>
        <w:tblStyle w:val="23"/>
        <w:tblW w:w="7154" w:type="dxa"/>
        <w:tblInd w:w="0" w:type="dxa"/>
        <w:tblLayout w:type="fixed"/>
        <w:tblCellMar>
          <w:top w:w="0" w:type="dxa"/>
          <w:left w:w="108" w:type="dxa"/>
          <w:bottom w:w="0" w:type="dxa"/>
          <w:right w:w="108" w:type="dxa"/>
        </w:tblCellMar>
      </w:tblPr>
      <w:tblGrid>
        <w:gridCol w:w="3147"/>
        <w:gridCol w:w="4007"/>
      </w:tblGrid>
      <w:tr>
        <w:tblPrEx>
          <w:tblCellMar>
            <w:top w:w="0" w:type="dxa"/>
            <w:left w:w="108" w:type="dxa"/>
            <w:bottom w:w="0" w:type="dxa"/>
            <w:right w:w="108" w:type="dxa"/>
          </w:tblCellMar>
        </w:tblPrEx>
        <w:trPr>
          <w:trHeight w:val="680" w:hRule="atLeast"/>
        </w:trPr>
        <w:tc>
          <w:tcPr>
            <w:tcW w:w="3147" w:type="dxa"/>
            <w:vAlign w:val="bottom"/>
          </w:tcPr>
          <w:p>
            <w:pPr>
              <w:overflowPunct w:val="0"/>
              <w:adjustRightInd w:val="0"/>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投标人名称（加盖公章）：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投标人法定代表人或受委托人（签名或盖私章）：</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p>
        </w:tc>
      </w:tr>
      <w:tr>
        <w:tblPrEx>
          <w:tblCellMar>
            <w:top w:w="0" w:type="dxa"/>
            <w:left w:w="108" w:type="dxa"/>
            <w:bottom w:w="0" w:type="dxa"/>
            <w:right w:w="108" w:type="dxa"/>
          </w:tblCellMar>
        </w:tblPrEx>
        <w:trPr>
          <w:trHeight w:val="680" w:hRule="atLeast"/>
        </w:trPr>
        <w:tc>
          <w:tcPr>
            <w:tcW w:w="3147" w:type="dxa"/>
            <w:vAlign w:val="bottom"/>
          </w:tcPr>
          <w:p>
            <w:pPr>
              <w:spacing w:line="360" w:lineRule="auto"/>
              <w:jc w:val="distribute"/>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日期：</w:t>
            </w:r>
          </w:p>
        </w:tc>
        <w:tc>
          <w:tcPr>
            <w:tcW w:w="4007" w:type="dxa"/>
            <w:vAlign w:val="bottom"/>
          </w:tcPr>
          <w:p>
            <w:pPr>
              <w:spacing w:line="360" w:lineRule="auto"/>
              <w:rPr>
                <w:rFonts w:ascii="宋体" w:hAnsi="宋体"/>
                <w:color w:val="000000" w:themeColor="text1"/>
                <w:sz w:val="22"/>
                <w:szCs w:val="22"/>
                <w:highlight w:val="none"/>
                <w14:textFill>
                  <w14:solidFill>
                    <w14:schemeClr w14:val="tx1"/>
                  </w14:solidFill>
                </w14:textFill>
              </w:rPr>
            </w:pPr>
            <w:r>
              <w:rPr>
                <w:rFonts w:hint="eastAsia" w:ascii="宋体" w:hAnsi="宋体"/>
                <w:color w:val="000000" w:themeColor="text1"/>
                <w:sz w:val="22"/>
                <w:szCs w:val="22"/>
                <w:highlight w:val="none"/>
                <w:u w:val="single"/>
                <w14:textFill>
                  <w14:solidFill>
                    <w14:schemeClr w14:val="tx1"/>
                  </w14:solidFill>
                </w14:textFill>
              </w:rPr>
              <w:t xml:space="preserve">            年        月        日</w:t>
            </w:r>
          </w:p>
        </w:tc>
      </w:tr>
    </w:tbl>
    <w:p>
      <w:pPr>
        <w:pStyle w:val="4"/>
        <w:jc w:val="both"/>
        <w:rPr>
          <w:rFonts w:ascii="宋体" w:hAnsi="宋体"/>
          <w:color w:val="000000" w:themeColor="text1"/>
          <w:sz w:val="22"/>
          <w:szCs w:val="22"/>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4"/>
        <w:rPr>
          <w:rFonts w:ascii="宋体" w:hAnsi="宋体" w:eastAsia="宋体"/>
          <w:color w:val="000000" w:themeColor="text1"/>
          <w:highlight w:val="none"/>
          <w14:textFill>
            <w14:solidFill>
              <w14:schemeClr w14:val="tx1"/>
            </w14:solidFill>
          </w14:textFill>
        </w:rPr>
      </w:pPr>
      <w:bookmarkStart w:id="287" w:name="_Toc522635179"/>
      <w:bookmarkStart w:id="288" w:name="_Toc19580"/>
      <w:bookmarkStart w:id="289" w:name="_Toc522633828"/>
      <w:bookmarkStart w:id="290" w:name="_Toc32116"/>
      <w:r>
        <w:rPr>
          <w:rFonts w:hint="eastAsia" w:ascii="宋体" w:hAnsi="宋体" w:eastAsia="宋体"/>
          <w:color w:val="000000" w:themeColor="text1"/>
          <w:highlight w:val="none"/>
          <w14:textFill>
            <w14:solidFill>
              <w14:schemeClr w14:val="tx1"/>
            </w14:solidFill>
          </w14:textFill>
        </w:rPr>
        <w:t>四、质疑函格式</w:t>
      </w:r>
      <w:bookmarkEnd w:id="287"/>
      <w:bookmarkEnd w:id="288"/>
      <w:bookmarkEnd w:id="289"/>
      <w:bookmarkEnd w:id="290"/>
    </w:p>
    <w:p>
      <w:pPr>
        <w:spacing w:line="480" w:lineRule="exact"/>
        <w:jc w:val="center"/>
        <w:rPr>
          <w:b/>
          <w:color w:val="000000" w:themeColor="text1"/>
          <w:sz w:val="28"/>
          <w:szCs w:val="28"/>
          <w:highlight w:val="none"/>
          <w14:textFill>
            <w14:solidFill>
              <w14:schemeClr w14:val="tx1"/>
            </w14:solidFill>
          </w14:textFill>
        </w:rPr>
      </w:pPr>
      <w:r>
        <w:rPr>
          <w:rFonts w:hint="eastAsia"/>
          <w:b/>
          <w:color w:val="000000" w:themeColor="text1"/>
          <w:sz w:val="28"/>
          <w:szCs w:val="28"/>
          <w:highlight w:val="none"/>
          <w14:textFill>
            <w14:solidFill>
              <w14:schemeClr w14:val="tx1"/>
            </w14:solidFill>
          </w14:textFill>
        </w:rPr>
        <w:t>质疑函</w:t>
      </w:r>
    </w:p>
    <w:p>
      <w:pPr>
        <w:rPr>
          <w:rFonts w:ascii="宋体" w:hAnsi="宋体"/>
          <w:color w:val="000000" w:themeColor="text1"/>
          <w:sz w:val="22"/>
          <w:szCs w:val="22"/>
          <w:highlight w:val="none"/>
          <w14:textFill>
            <w14:solidFill>
              <w14:schemeClr w14:val="tx1"/>
            </w14:solidFill>
          </w14:textFill>
        </w:rPr>
      </w:pPr>
    </w:p>
    <w:p>
      <w:pPr>
        <w:rPr>
          <w:color w:val="000000" w:themeColor="text1"/>
          <w:highlight w:val="none"/>
          <w14:textFill>
            <w14:solidFill>
              <w14:schemeClr w14:val="tx1"/>
            </w14:solidFill>
          </w14:textFill>
        </w:rPr>
      </w:pPr>
      <w:r>
        <w:rPr>
          <w:rFonts w:hint="eastAsia" w:ascii="宋体" w:hAnsi="宋体"/>
          <w:color w:val="000000" w:themeColor="text1"/>
          <w:sz w:val="22"/>
          <w:szCs w:val="22"/>
          <w:highlight w:val="none"/>
          <w14:textFill>
            <w14:solidFill>
              <w14:schemeClr w14:val="tx1"/>
            </w14:solidFill>
          </w14:textFill>
        </w:rPr>
        <w:t>广东中凯工程管理咨询有限公司：</w:t>
      </w:r>
    </w:p>
    <w:p>
      <w:pPr>
        <w:adjustRightInd w:val="0"/>
        <w:snapToGrid w:val="0"/>
        <w:spacing w:beforeLines="100" w:line="360" w:lineRule="auto"/>
        <w:rPr>
          <w:rFonts w:ascii="宋体" w:hAnsi="宋体" w:cs="仿宋"/>
          <w:bCs/>
          <w:color w:val="000000" w:themeColor="text1"/>
          <w:sz w:val="22"/>
          <w:szCs w:val="22"/>
          <w:highlight w:val="none"/>
          <w14:textFill>
            <w14:solidFill>
              <w14:schemeClr w14:val="tx1"/>
            </w14:solidFill>
          </w14:textFill>
        </w:rPr>
      </w:pPr>
      <w:r>
        <w:rPr>
          <w:rFonts w:hint="eastAsia" w:ascii="宋体" w:hAnsi="宋体" w:cs="仿宋"/>
          <w:bCs/>
          <w:color w:val="000000" w:themeColor="text1"/>
          <w:sz w:val="22"/>
          <w:szCs w:val="22"/>
          <w:highlight w:val="none"/>
          <w14:textFill>
            <w14:solidFill>
              <w14:schemeClr w14:val="tx1"/>
            </w14:solidFill>
          </w14:textFill>
        </w:rPr>
        <w:t>一、质疑供应商基本信息</w:t>
      </w: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质疑供应商：</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地址：邮箱：</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联系人：联系电话：</w:t>
      </w: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授权代表：</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联系电话：</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地址：邮箱：</w:t>
      </w:r>
    </w:p>
    <w:p>
      <w:pPr>
        <w:adjustRightInd w:val="0"/>
        <w:snapToGrid w:val="0"/>
        <w:spacing w:line="360" w:lineRule="auto"/>
        <w:rPr>
          <w:rFonts w:ascii="宋体" w:hAnsi="宋体" w:cs="仿宋"/>
          <w:bCs/>
          <w:color w:val="000000" w:themeColor="text1"/>
          <w:sz w:val="22"/>
          <w:szCs w:val="22"/>
          <w:highlight w:val="none"/>
          <w14:textFill>
            <w14:solidFill>
              <w14:schemeClr w14:val="tx1"/>
            </w14:solidFill>
          </w14:textFill>
        </w:rPr>
      </w:pPr>
      <w:r>
        <w:rPr>
          <w:rFonts w:hint="eastAsia" w:ascii="宋体" w:hAnsi="宋体" w:cs="仿宋"/>
          <w:bCs/>
          <w:color w:val="000000" w:themeColor="text1"/>
          <w:sz w:val="22"/>
          <w:szCs w:val="22"/>
          <w:highlight w:val="none"/>
          <w14:textFill>
            <w14:solidFill>
              <w14:schemeClr w14:val="tx1"/>
            </w14:solidFill>
          </w14:textFill>
        </w:rPr>
        <w:t>二、质疑项目基本情况</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质疑项目的名称：</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质疑项目的编号：包号：</w:t>
      </w: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采购人名称：</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采购文件获取日期：</w:t>
      </w:r>
    </w:p>
    <w:p>
      <w:pPr>
        <w:adjustRightInd w:val="0"/>
        <w:snapToGrid w:val="0"/>
        <w:spacing w:line="360" w:lineRule="auto"/>
        <w:rPr>
          <w:rFonts w:ascii="宋体" w:hAnsi="宋体" w:cs="仿宋"/>
          <w:bCs/>
          <w:color w:val="000000" w:themeColor="text1"/>
          <w:sz w:val="22"/>
          <w:szCs w:val="22"/>
          <w:highlight w:val="none"/>
          <w14:textFill>
            <w14:solidFill>
              <w14:schemeClr w14:val="tx1"/>
            </w14:solidFill>
          </w14:textFill>
        </w:rPr>
      </w:pPr>
      <w:r>
        <w:rPr>
          <w:rFonts w:hint="eastAsia" w:ascii="宋体" w:hAnsi="宋体" w:cs="仿宋"/>
          <w:bCs/>
          <w:color w:val="000000" w:themeColor="text1"/>
          <w:sz w:val="22"/>
          <w:szCs w:val="22"/>
          <w:highlight w:val="none"/>
          <w14:textFill>
            <w14:solidFill>
              <w14:schemeClr w14:val="tx1"/>
            </w14:solidFill>
          </w14:textFill>
        </w:rPr>
        <w:t>三、质疑事项具体内容</w:t>
      </w: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质疑事项1：</w:t>
      </w: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事实依据：</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法律依据：</w:t>
      </w: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质疑事项2</w:t>
      </w:r>
    </w:p>
    <w:p>
      <w:pPr>
        <w:adjustRightInd w:val="0"/>
        <w:snapToGrid w:val="0"/>
        <w:spacing w:line="360" w:lineRule="auto"/>
        <w:rPr>
          <w:rFonts w:ascii="宋体" w:hAnsi="宋体" w:cs="仿宋"/>
          <w:color w:val="000000" w:themeColor="text1"/>
          <w:sz w:val="22"/>
          <w:szCs w:val="22"/>
          <w:highlight w:val="none"/>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w:t>
      </w:r>
    </w:p>
    <w:p>
      <w:pPr>
        <w:adjustRightInd w:val="0"/>
        <w:snapToGrid w:val="0"/>
        <w:spacing w:line="360" w:lineRule="auto"/>
        <w:rPr>
          <w:rFonts w:ascii="宋体" w:hAnsi="宋体" w:cs="仿宋"/>
          <w:bCs/>
          <w:color w:val="000000" w:themeColor="text1"/>
          <w:sz w:val="22"/>
          <w:szCs w:val="22"/>
          <w:highlight w:val="none"/>
          <w14:textFill>
            <w14:solidFill>
              <w14:schemeClr w14:val="tx1"/>
            </w14:solidFill>
          </w14:textFill>
        </w:rPr>
      </w:pPr>
      <w:r>
        <w:rPr>
          <w:rFonts w:hint="eastAsia" w:ascii="宋体" w:hAnsi="宋体" w:cs="仿宋"/>
          <w:bCs/>
          <w:color w:val="000000" w:themeColor="text1"/>
          <w:sz w:val="22"/>
          <w:szCs w:val="22"/>
          <w:highlight w:val="none"/>
          <w14:textFill>
            <w14:solidFill>
              <w14:schemeClr w14:val="tx1"/>
            </w14:solidFill>
          </w14:textFill>
        </w:rPr>
        <w:t>四、与质疑事项相关的质疑请求</w:t>
      </w:r>
    </w:p>
    <w:p>
      <w:pPr>
        <w:adjustRightInd w:val="0"/>
        <w:snapToGrid w:val="0"/>
        <w:spacing w:line="360" w:lineRule="auto"/>
        <w:rPr>
          <w:rFonts w:ascii="宋体" w:hAnsi="宋体" w:cs="仿宋"/>
          <w:color w:val="000000" w:themeColor="text1"/>
          <w:sz w:val="22"/>
          <w:szCs w:val="22"/>
          <w:highlight w:val="none"/>
          <w:u w:val="dotted"/>
          <w14:textFill>
            <w14:solidFill>
              <w14:schemeClr w14:val="tx1"/>
            </w14:solidFill>
          </w14:textFill>
        </w:rPr>
      </w:pPr>
      <w:r>
        <w:rPr>
          <w:rFonts w:hint="eastAsia" w:ascii="宋体" w:hAnsi="宋体" w:cs="仿宋"/>
          <w:color w:val="000000" w:themeColor="text1"/>
          <w:sz w:val="22"/>
          <w:szCs w:val="22"/>
          <w:highlight w:val="none"/>
          <w14:textFill>
            <w14:solidFill>
              <w14:schemeClr w14:val="tx1"/>
            </w14:solidFill>
          </w14:textFill>
        </w:rPr>
        <w:t>请求：</w:t>
      </w:r>
    </w:p>
    <w:p>
      <w:pPr>
        <w:spacing w:line="360" w:lineRule="auto"/>
        <w:rPr>
          <w:rFonts w:ascii="宋体" w:hAnsi="宋体" w:cs="黑体"/>
          <w:color w:val="000000" w:themeColor="text1"/>
          <w:sz w:val="22"/>
          <w:szCs w:val="22"/>
          <w:highlight w:val="none"/>
          <w14:textFill>
            <w14:solidFill>
              <w14:schemeClr w14:val="tx1"/>
            </w14:solidFill>
          </w14:textFill>
        </w:rPr>
      </w:pPr>
    </w:p>
    <w:p>
      <w:pPr>
        <w:spacing w:line="360" w:lineRule="auto"/>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 xml:space="preserve">签字(签章)：                   公章：                      </w:t>
      </w:r>
    </w:p>
    <w:p>
      <w:pPr>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日期：</w:t>
      </w:r>
    </w:p>
    <w:p>
      <w:pPr>
        <w:rPr>
          <w:rFonts w:ascii="宋体" w:hAnsi="宋体" w:cs="黑体"/>
          <w:color w:val="000000" w:themeColor="text1"/>
          <w:sz w:val="22"/>
          <w:szCs w:val="22"/>
          <w:highlight w:val="none"/>
          <w14:textFill>
            <w14:solidFill>
              <w14:schemeClr w14:val="tx1"/>
            </w14:solidFill>
          </w14:textFill>
        </w:rPr>
      </w:pPr>
    </w:p>
    <w:p>
      <w:pPr>
        <w:rPr>
          <w:rFonts w:ascii="宋体" w:hAnsi="宋体" w:cs="黑体"/>
          <w:color w:val="000000" w:themeColor="text1"/>
          <w:sz w:val="22"/>
          <w:szCs w:val="22"/>
          <w:highlight w:val="none"/>
          <w14:textFill>
            <w14:solidFill>
              <w14:schemeClr w14:val="tx1"/>
            </w14:solidFill>
          </w14:textFill>
        </w:rPr>
      </w:pPr>
    </w:p>
    <w:p>
      <w:pPr>
        <w:rPr>
          <w:rFonts w:ascii="宋体" w:hAnsi="宋体" w:cs="黑体"/>
          <w:color w:val="000000" w:themeColor="text1"/>
          <w:sz w:val="22"/>
          <w:szCs w:val="22"/>
          <w:highlight w:val="none"/>
          <w14:textFill>
            <w14:solidFill>
              <w14:schemeClr w14:val="tx1"/>
            </w14:solidFill>
          </w14:textFill>
        </w:rPr>
      </w:pPr>
    </w:p>
    <w:p>
      <w:pPr>
        <w:jc w:val="center"/>
        <w:rPr>
          <w:rFonts w:ascii="宋体" w:hAnsi="宋体" w:cs="黑体"/>
          <w:b/>
          <w:color w:val="000000" w:themeColor="text1"/>
          <w:sz w:val="28"/>
          <w:szCs w:val="28"/>
          <w:highlight w:val="none"/>
          <w14:textFill>
            <w14:solidFill>
              <w14:schemeClr w14:val="tx1"/>
            </w14:solidFill>
          </w14:textFill>
        </w:rPr>
      </w:pPr>
      <w:r>
        <w:rPr>
          <w:rFonts w:hint="eastAsia" w:ascii="宋体" w:hAnsi="宋体" w:cs="黑体"/>
          <w:b/>
          <w:color w:val="000000" w:themeColor="text1"/>
          <w:sz w:val="28"/>
          <w:szCs w:val="28"/>
          <w:highlight w:val="none"/>
          <w14:textFill>
            <w14:solidFill>
              <w14:schemeClr w14:val="tx1"/>
            </w14:solidFill>
          </w14:textFill>
        </w:rPr>
        <w:t>证据目录清单</w:t>
      </w:r>
    </w:p>
    <w:p>
      <w:pPr>
        <w:rPr>
          <w:rFonts w:ascii="宋体" w:hAnsi="宋体" w:cs="黑体"/>
          <w:color w:val="000000" w:themeColor="text1"/>
          <w:sz w:val="22"/>
          <w:szCs w:val="22"/>
          <w:highlight w:val="none"/>
          <w14:textFill>
            <w14:solidFill>
              <w14:schemeClr w14:val="tx1"/>
            </w14:solidFill>
          </w14:textFill>
        </w:rPr>
      </w:pPr>
    </w:p>
    <w:tbl>
      <w:tblPr>
        <w:tblStyle w:val="23"/>
        <w:tblW w:w="89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2237"/>
        <w:gridCol w:w="2812"/>
        <w:gridCol w:w="2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90" w:type="dxa"/>
            <w:vAlign w:val="center"/>
          </w:tcPr>
          <w:p>
            <w:pPr>
              <w:jc w:val="center"/>
              <w:rPr>
                <w:rFonts w:ascii="宋体" w:hAnsi="宋体" w:cs="黑体"/>
                <w:b/>
                <w:color w:val="000000" w:themeColor="text1"/>
                <w:sz w:val="22"/>
                <w:szCs w:val="22"/>
                <w:highlight w:val="none"/>
                <w14:textFill>
                  <w14:solidFill>
                    <w14:schemeClr w14:val="tx1"/>
                  </w14:solidFill>
                </w14:textFill>
              </w:rPr>
            </w:pPr>
            <w:r>
              <w:rPr>
                <w:rFonts w:hint="eastAsia" w:ascii="宋体" w:hAnsi="宋体" w:cs="黑体"/>
                <w:b/>
                <w:color w:val="000000" w:themeColor="text1"/>
                <w:sz w:val="22"/>
                <w:szCs w:val="22"/>
                <w:highlight w:val="none"/>
                <w14:textFill>
                  <w14:solidFill>
                    <w14:schemeClr w14:val="tx1"/>
                  </w14:solidFill>
                </w14:textFill>
              </w:rPr>
              <w:t>序号</w:t>
            </w:r>
          </w:p>
        </w:tc>
        <w:tc>
          <w:tcPr>
            <w:tcW w:w="2237" w:type="dxa"/>
            <w:vAlign w:val="center"/>
          </w:tcPr>
          <w:p>
            <w:pPr>
              <w:jc w:val="center"/>
              <w:rPr>
                <w:rFonts w:ascii="宋体" w:hAnsi="宋体" w:cs="黑体"/>
                <w:b/>
                <w:color w:val="000000" w:themeColor="text1"/>
                <w:sz w:val="22"/>
                <w:szCs w:val="22"/>
                <w:highlight w:val="none"/>
                <w14:textFill>
                  <w14:solidFill>
                    <w14:schemeClr w14:val="tx1"/>
                  </w14:solidFill>
                </w14:textFill>
              </w:rPr>
            </w:pPr>
            <w:r>
              <w:rPr>
                <w:rFonts w:hint="eastAsia" w:ascii="宋体" w:hAnsi="宋体" w:cs="黑体"/>
                <w:b/>
                <w:color w:val="000000" w:themeColor="text1"/>
                <w:sz w:val="22"/>
                <w:szCs w:val="22"/>
                <w:highlight w:val="none"/>
                <w14:textFill>
                  <w14:solidFill>
                    <w14:schemeClr w14:val="tx1"/>
                  </w14:solidFill>
                </w14:textFill>
              </w:rPr>
              <w:t>证据名称</w:t>
            </w:r>
          </w:p>
        </w:tc>
        <w:tc>
          <w:tcPr>
            <w:tcW w:w="2812" w:type="dxa"/>
            <w:vAlign w:val="center"/>
          </w:tcPr>
          <w:p>
            <w:pPr>
              <w:jc w:val="center"/>
              <w:rPr>
                <w:rFonts w:ascii="宋体" w:hAnsi="宋体" w:cs="黑体"/>
                <w:b/>
                <w:color w:val="000000" w:themeColor="text1"/>
                <w:sz w:val="22"/>
                <w:szCs w:val="22"/>
                <w:highlight w:val="none"/>
                <w14:textFill>
                  <w14:solidFill>
                    <w14:schemeClr w14:val="tx1"/>
                  </w14:solidFill>
                </w14:textFill>
              </w:rPr>
            </w:pPr>
            <w:r>
              <w:rPr>
                <w:rFonts w:hint="eastAsia" w:ascii="宋体" w:hAnsi="宋体" w:cs="黑体"/>
                <w:b/>
                <w:color w:val="000000" w:themeColor="text1"/>
                <w:sz w:val="22"/>
                <w:szCs w:val="22"/>
                <w:highlight w:val="none"/>
                <w14:textFill>
                  <w14:solidFill>
                    <w14:schemeClr w14:val="tx1"/>
                  </w14:solidFill>
                </w14:textFill>
              </w:rPr>
              <w:t>证据来源</w:t>
            </w:r>
          </w:p>
        </w:tc>
        <w:tc>
          <w:tcPr>
            <w:tcW w:w="2705" w:type="dxa"/>
            <w:vAlign w:val="center"/>
          </w:tcPr>
          <w:p>
            <w:pPr>
              <w:jc w:val="center"/>
              <w:rPr>
                <w:rFonts w:ascii="宋体" w:hAnsi="宋体" w:cs="黑体"/>
                <w:b/>
                <w:color w:val="000000" w:themeColor="text1"/>
                <w:sz w:val="22"/>
                <w:szCs w:val="22"/>
                <w:highlight w:val="none"/>
                <w14:textFill>
                  <w14:solidFill>
                    <w14:schemeClr w14:val="tx1"/>
                  </w14:solidFill>
                </w14:textFill>
              </w:rPr>
            </w:pPr>
            <w:r>
              <w:rPr>
                <w:rFonts w:hint="eastAsia" w:ascii="宋体" w:hAnsi="宋体" w:cs="黑体"/>
                <w:b/>
                <w:color w:val="000000" w:themeColor="text1"/>
                <w:sz w:val="22"/>
                <w:szCs w:val="22"/>
                <w:highlight w:val="none"/>
                <w14:textFill>
                  <w14:solidFill>
                    <w14:schemeClr w14:val="tx1"/>
                  </w14:solidFill>
                </w14:textFill>
              </w:rPr>
              <w:t>证明对象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90" w:type="dxa"/>
            <w:vAlign w:val="center"/>
          </w:tcPr>
          <w:p>
            <w:pPr>
              <w:jc w:val="center"/>
              <w:rPr>
                <w:rFonts w:ascii="宋体" w:hAnsi="宋体" w:cs="黑体"/>
                <w:b/>
                <w:color w:val="000000" w:themeColor="text1"/>
                <w:sz w:val="22"/>
                <w:szCs w:val="22"/>
                <w:highlight w:val="none"/>
                <w14:textFill>
                  <w14:solidFill>
                    <w14:schemeClr w14:val="tx1"/>
                  </w14:solidFill>
                </w14:textFill>
              </w:rPr>
            </w:pPr>
          </w:p>
        </w:tc>
        <w:tc>
          <w:tcPr>
            <w:tcW w:w="2237"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812"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705" w:type="dxa"/>
            <w:vAlign w:val="center"/>
          </w:tcPr>
          <w:p>
            <w:pPr>
              <w:rPr>
                <w:rFonts w:ascii="宋体" w:hAnsi="宋体" w:cs="黑体"/>
                <w:b/>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190" w:type="dxa"/>
            <w:vAlign w:val="center"/>
          </w:tcPr>
          <w:p>
            <w:pPr>
              <w:jc w:val="center"/>
              <w:rPr>
                <w:rFonts w:ascii="宋体" w:hAnsi="宋体" w:cs="黑体"/>
                <w:b/>
                <w:color w:val="000000" w:themeColor="text1"/>
                <w:sz w:val="22"/>
                <w:szCs w:val="22"/>
                <w:highlight w:val="none"/>
                <w14:textFill>
                  <w14:solidFill>
                    <w14:schemeClr w14:val="tx1"/>
                  </w14:solidFill>
                </w14:textFill>
              </w:rPr>
            </w:pPr>
          </w:p>
        </w:tc>
        <w:tc>
          <w:tcPr>
            <w:tcW w:w="2237"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812"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705" w:type="dxa"/>
            <w:vAlign w:val="center"/>
          </w:tcPr>
          <w:p>
            <w:pPr>
              <w:rPr>
                <w:rFonts w:ascii="宋体" w:hAnsi="宋体" w:cs="黑体"/>
                <w:b/>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90" w:type="dxa"/>
            <w:vAlign w:val="center"/>
          </w:tcPr>
          <w:p>
            <w:pPr>
              <w:jc w:val="center"/>
              <w:rPr>
                <w:rFonts w:ascii="宋体" w:hAnsi="宋体" w:cs="黑体"/>
                <w:b/>
                <w:color w:val="000000" w:themeColor="text1"/>
                <w:sz w:val="22"/>
                <w:szCs w:val="22"/>
                <w:highlight w:val="none"/>
                <w14:textFill>
                  <w14:solidFill>
                    <w14:schemeClr w14:val="tx1"/>
                  </w14:solidFill>
                </w14:textFill>
              </w:rPr>
            </w:pPr>
          </w:p>
        </w:tc>
        <w:tc>
          <w:tcPr>
            <w:tcW w:w="2237"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812"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705" w:type="dxa"/>
            <w:vAlign w:val="center"/>
          </w:tcPr>
          <w:p>
            <w:pPr>
              <w:rPr>
                <w:rFonts w:ascii="宋体" w:hAnsi="宋体" w:cs="黑体"/>
                <w:b/>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90" w:type="dxa"/>
            <w:vAlign w:val="center"/>
          </w:tcPr>
          <w:p>
            <w:pPr>
              <w:jc w:val="center"/>
              <w:rPr>
                <w:rFonts w:ascii="宋体" w:hAnsi="宋体" w:cs="黑体"/>
                <w:b/>
                <w:color w:val="000000" w:themeColor="text1"/>
                <w:sz w:val="22"/>
                <w:szCs w:val="22"/>
                <w:highlight w:val="none"/>
                <w14:textFill>
                  <w14:solidFill>
                    <w14:schemeClr w14:val="tx1"/>
                  </w14:solidFill>
                </w14:textFill>
              </w:rPr>
            </w:pPr>
          </w:p>
        </w:tc>
        <w:tc>
          <w:tcPr>
            <w:tcW w:w="2237"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812"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705" w:type="dxa"/>
            <w:vAlign w:val="center"/>
          </w:tcPr>
          <w:p>
            <w:pPr>
              <w:rPr>
                <w:rFonts w:ascii="宋体" w:hAnsi="宋体" w:cs="黑体"/>
                <w:b/>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190" w:type="dxa"/>
            <w:vAlign w:val="center"/>
          </w:tcPr>
          <w:p>
            <w:pPr>
              <w:jc w:val="center"/>
              <w:rPr>
                <w:rFonts w:ascii="宋体" w:hAnsi="宋体" w:cs="黑体"/>
                <w:b/>
                <w:color w:val="000000" w:themeColor="text1"/>
                <w:sz w:val="22"/>
                <w:szCs w:val="22"/>
                <w:highlight w:val="none"/>
                <w14:textFill>
                  <w14:solidFill>
                    <w14:schemeClr w14:val="tx1"/>
                  </w14:solidFill>
                </w14:textFill>
              </w:rPr>
            </w:pPr>
          </w:p>
        </w:tc>
        <w:tc>
          <w:tcPr>
            <w:tcW w:w="2237"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812" w:type="dxa"/>
            <w:vAlign w:val="center"/>
          </w:tcPr>
          <w:p>
            <w:pPr>
              <w:rPr>
                <w:rFonts w:ascii="宋体" w:hAnsi="宋体" w:cs="黑体"/>
                <w:b/>
                <w:color w:val="000000" w:themeColor="text1"/>
                <w:sz w:val="22"/>
                <w:szCs w:val="22"/>
                <w:highlight w:val="none"/>
                <w14:textFill>
                  <w14:solidFill>
                    <w14:schemeClr w14:val="tx1"/>
                  </w14:solidFill>
                </w14:textFill>
              </w:rPr>
            </w:pPr>
          </w:p>
        </w:tc>
        <w:tc>
          <w:tcPr>
            <w:tcW w:w="2705" w:type="dxa"/>
            <w:vAlign w:val="center"/>
          </w:tcPr>
          <w:p>
            <w:pPr>
              <w:rPr>
                <w:rFonts w:ascii="宋体" w:hAnsi="宋体" w:cs="黑体"/>
                <w:b/>
                <w:color w:val="000000" w:themeColor="text1"/>
                <w:sz w:val="22"/>
                <w:szCs w:val="22"/>
                <w:highlight w:val="none"/>
                <w14:textFill>
                  <w14:solidFill>
                    <w14:schemeClr w14:val="tx1"/>
                  </w14:solidFill>
                </w14:textFill>
              </w:rPr>
            </w:pPr>
          </w:p>
        </w:tc>
      </w:tr>
    </w:tbl>
    <w:p>
      <w:pPr>
        <w:spacing w:line="360" w:lineRule="auto"/>
        <w:rPr>
          <w:rFonts w:ascii="宋体" w:hAnsi="宋体" w:cs="黑体"/>
          <w:b/>
          <w:color w:val="000000" w:themeColor="text1"/>
          <w:sz w:val="24"/>
          <w:highlight w:val="none"/>
          <w14:textFill>
            <w14:solidFill>
              <w14:schemeClr w14:val="tx1"/>
            </w14:solidFill>
          </w14:textFill>
        </w:rPr>
      </w:pPr>
    </w:p>
    <w:p>
      <w:pPr>
        <w:spacing w:line="360" w:lineRule="auto"/>
        <w:rPr>
          <w:rFonts w:ascii="宋体" w:hAnsi="宋体" w:cs="黑体"/>
          <w:b/>
          <w:color w:val="000000" w:themeColor="text1"/>
          <w:sz w:val="22"/>
          <w:szCs w:val="22"/>
          <w:highlight w:val="none"/>
          <w14:textFill>
            <w14:solidFill>
              <w14:schemeClr w14:val="tx1"/>
            </w14:solidFill>
          </w14:textFill>
        </w:rPr>
      </w:pPr>
    </w:p>
    <w:p>
      <w:pPr>
        <w:spacing w:line="360" w:lineRule="auto"/>
        <w:rPr>
          <w:rFonts w:ascii="宋体" w:hAnsi="宋体" w:cs="黑体"/>
          <w:b/>
          <w:color w:val="000000" w:themeColor="text1"/>
          <w:sz w:val="22"/>
          <w:szCs w:val="22"/>
          <w:highlight w:val="none"/>
          <w14:textFill>
            <w14:solidFill>
              <w14:schemeClr w14:val="tx1"/>
            </w14:solidFill>
          </w14:textFill>
        </w:rPr>
      </w:pPr>
    </w:p>
    <w:p>
      <w:pPr>
        <w:spacing w:line="360" w:lineRule="auto"/>
        <w:rPr>
          <w:rFonts w:ascii="宋体" w:hAnsi="宋体" w:cs="黑体"/>
          <w:b/>
          <w:color w:val="000000" w:themeColor="text1"/>
          <w:sz w:val="22"/>
          <w:szCs w:val="22"/>
          <w:highlight w:val="none"/>
          <w14:textFill>
            <w14:solidFill>
              <w14:schemeClr w14:val="tx1"/>
            </w14:solidFill>
          </w14:textFill>
        </w:rPr>
      </w:pPr>
      <w:r>
        <w:rPr>
          <w:rFonts w:hint="eastAsia" w:ascii="宋体" w:hAnsi="宋体" w:cs="黑体"/>
          <w:b/>
          <w:color w:val="000000" w:themeColor="text1"/>
          <w:sz w:val="22"/>
          <w:szCs w:val="22"/>
          <w:highlight w:val="none"/>
          <w14:textFill>
            <w14:solidFill>
              <w14:schemeClr w14:val="tx1"/>
            </w14:solidFill>
          </w14:textFill>
        </w:rPr>
        <w:t>质疑函制作说明：</w:t>
      </w:r>
    </w:p>
    <w:p>
      <w:pPr>
        <w:widowControl/>
        <w:spacing w:line="360" w:lineRule="auto"/>
        <w:ind w:firstLine="440" w:firstLineChars="200"/>
        <w:jc w:val="left"/>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1.供应商提出质疑时，应提交质疑函和必要的证明材料。</w:t>
      </w:r>
    </w:p>
    <w:p>
      <w:pPr>
        <w:widowControl/>
        <w:spacing w:line="360" w:lineRule="auto"/>
        <w:ind w:firstLine="440" w:firstLineChars="200"/>
        <w:jc w:val="left"/>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2.质疑供应商若委托代理人进行质疑的，质疑函应按要求列明“授权代表”的有关内容，并在附件中提交由质疑</w:t>
      </w:r>
      <w:r>
        <w:rPr>
          <w:rFonts w:hint="eastAsia" w:ascii="宋体" w:hAnsi="宋体" w:cs="宋体"/>
          <w:color w:val="000000" w:themeColor="text1"/>
          <w:sz w:val="22"/>
          <w:szCs w:val="22"/>
          <w:highlight w:val="none"/>
          <w14:textFill>
            <w14:solidFill>
              <w14:schemeClr w14:val="tx1"/>
            </w14:solidFill>
          </w14:textFill>
        </w:rPr>
        <w:t>供应商签署的授权委托书。授权委托书应载明代理人的姓名或者名称、代理事项、具体权限、期限和相关事项。</w:t>
      </w:r>
    </w:p>
    <w:p>
      <w:pPr>
        <w:widowControl/>
        <w:spacing w:line="360" w:lineRule="auto"/>
        <w:ind w:firstLine="440" w:firstLineChars="200"/>
        <w:jc w:val="left"/>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3.质疑供应商若对项目的某一分包进行质疑，质疑函中应列明具体分包号。</w:t>
      </w:r>
    </w:p>
    <w:p>
      <w:pPr>
        <w:widowControl/>
        <w:spacing w:line="360" w:lineRule="auto"/>
        <w:ind w:firstLine="440" w:firstLineChars="200"/>
        <w:jc w:val="left"/>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4.质疑函的质疑事项应具体、明确，并有必要的事实依据和法律依据。</w:t>
      </w:r>
    </w:p>
    <w:p>
      <w:pPr>
        <w:widowControl/>
        <w:spacing w:line="360" w:lineRule="auto"/>
        <w:ind w:firstLine="440" w:firstLineChars="200"/>
        <w:jc w:val="left"/>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5.质疑函的质疑请求应与质疑事项相关。</w:t>
      </w:r>
    </w:p>
    <w:p>
      <w:pPr>
        <w:widowControl/>
        <w:spacing w:line="360" w:lineRule="auto"/>
        <w:ind w:firstLine="440" w:firstLineChars="200"/>
        <w:jc w:val="left"/>
        <w:rPr>
          <w:rFonts w:ascii="宋体" w:hAnsi="宋体" w:cs="黑体"/>
          <w:color w:val="000000" w:themeColor="text1"/>
          <w:sz w:val="22"/>
          <w:szCs w:val="22"/>
          <w:highlight w:val="none"/>
          <w14:textFill>
            <w14:solidFill>
              <w14:schemeClr w14:val="tx1"/>
            </w14:solidFill>
          </w14:textFill>
        </w:rPr>
      </w:pPr>
      <w:r>
        <w:rPr>
          <w:rFonts w:hint="eastAsia" w:ascii="宋体" w:hAnsi="宋体" w:cs="黑体"/>
          <w:color w:val="000000" w:themeColor="text1"/>
          <w:sz w:val="22"/>
          <w:szCs w:val="22"/>
          <w:highlight w:val="none"/>
          <w14:textFill>
            <w14:solidFill>
              <w14:schemeClr w14:val="tx1"/>
            </w14:solidFill>
          </w14:textFill>
        </w:rPr>
        <w:t>6.质疑供应商为自然人的，质疑函应由本人签字；质疑供应商为法人或者其他组织的，质疑函应由法定代表人、主要负责人，或者其授权代表签字或者盖章，并加盖公章。</w:t>
      </w:r>
    </w:p>
    <w:p>
      <w:pPr>
        <w:spacing w:line="360" w:lineRule="auto"/>
        <w:ind w:firstLine="500" w:firstLineChars="200"/>
        <w:jc w:val="center"/>
        <w:rPr>
          <w:rFonts w:ascii="宋体" w:hAnsi="宋体"/>
          <w:color w:val="000000" w:themeColor="text1"/>
          <w:spacing w:val="20"/>
          <w:szCs w:val="44"/>
          <w:highlight w:val="none"/>
          <w14:textFill>
            <w14:solidFill>
              <w14:schemeClr w14:val="tx1"/>
            </w14:solidFill>
          </w14:textFill>
        </w:rPr>
      </w:pPr>
    </w:p>
    <w:bookmarkEnd w:id="291"/>
    <w:sectPr>
      <w:pgSz w:w="11906" w:h="16838"/>
      <w:pgMar w:top="1474" w:right="1474" w:bottom="1474" w:left="1474" w:header="850" w:footer="90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8" w:usb3="00000000" w:csb0="000001F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posOffset>2169795</wp:posOffset>
              </wp:positionH>
              <wp:positionV relativeFrom="paragraph">
                <wp:posOffset>0</wp:posOffset>
              </wp:positionV>
              <wp:extent cx="1008380" cy="147955"/>
              <wp:effectExtent l="0" t="0" r="0" b="0"/>
              <wp:wrapNone/>
              <wp:docPr id="3" name="文本框 2"/>
              <wp:cNvGraphicFramePr/>
              <a:graphic xmlns:a="http://schemas.openxmlformats.org/drawingml/2006/main">
                <a:graphicData uri="http://schemas.microsoft.com/office/word/2010/wordprocessingShape">
                  <wps:wsp>
                    <wps:cNvSpPr txBox="1"/>
                    <wps:spPr>
                      <a:xfrm>
                        <a:off x="0" y="0"/>
                        <a:ext cx="1008380" cy="147955"/>
                      </a:xfrm>
                      <a:prstGeom prst="rect">
                        <a:avLst/>
                      </a:prstGeom>
                      <a:noFill/>
                      <a:ln w="6350">
                        <a:noFill/>
                      </a:ln>
                      <a:effectLst/>
                    </wps:spPr>
                    <wps:txbx>
                      <w:txbxContent>
                        <w:p>
                          <w:pPr>
                            <w:pStyle w:val="14"/>
                          </w:pPr>
                          <w:r>
                            <w:rPr>
                              <w:rFonts w:hint="eastAsia"/>
                            </w:rPr>
                            <w:t xml:space="preserve">第 </w:t>
                          </w:r>
                          <w:r>
                            <w:fldChar w:fldCharType="begin"/>
                          </w:r>
                          <w:r>
                            <w:instrText xml:space="preserve"> PAGE  \* MERGEFORMAT </w:instrText>
                          </w:r>
                          <w:r>
                            <w:fldChar w:fldCharType="separate"/>
                          </w:r>
                          <w:r>
                            <w:t>40</w:t>
                          </w:r>
                          <w:r>
                            <w:fldChar w:fldCharType="end"/>
                          </w:r>
                          <w:r>
                            <w:rPr>
                              <w:rFonts w:hint="eastAsia"/>
                            </w:rPr>
                            <w:t xml:space="preserve"> 页 共 </w:t>
                          </w:r>
                          <w:r>
                            <w:fldChar w:fldCharType="begin"/>
                          </w:r>
                          <w:r>
                            <w:instrText xml:space="preserve"> NUMPAGES  \* MERGEFORMAT </w:instrText>
                          </w:r>
                          <w:r>
                            <w:fldChar w:fldCharType="separate"/>
                          </w:r>
                          <w:r>
                            <w:t>86</w:t>
                          </w:r>
                          <w: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left:170.85pt;margin-top:0pt;height:11.65pt;width:79.4pt;mso-position-horizontal-relative:margin;z-index:251658240;mso-width-relative:page;mso-height-relative:page;" filled="f" stroked="f" coordsize="21600,21600" o:gfxdata="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WucHW1gAAAAcB&#10;AAAPAAAAAAAAAAEAIAAAACIAAABkcnMvZG93bnJldi54bWxQSwECFAAUAAAACACHTuJAuS5H1h0C&#10;AAAWBAAADgAAAAAAAAABACAAAAAlAQAAZHJzL2Uyb0RvYy54bWxQSwUGAAAAAAYABgBZAQAAtAUA&#10;AAAA&#10;">
              <v:fill on="f" focussize="0,0"/>
              <v:stroke on="f" weight="0.5pt"/>
              <v:imagedata o:title=""/>
              <o:lock v:ext="edit" aspectratio="f"/>
              <v:textbox inset="0mm,0mm,0mm,0mm" style="mso-fit-shape-to-text:t;">
                <w:txbxContent>
                  <w:p>
                    <w:pPr>
                      <w:pStyle w:val="14"/>
                    </w:pPr>
                    <w:r>
                      <w:rPr>
                        <w:rFonts w:hint="eastAsia"/>
                      </w:rPr>
                      <w:t xml:space="preserve">第 </w:t>
                    </w:r>
                    <w:r>
                      <w:fldChar w:fldCharType="begin"/>
                    </w:r>
                    <w:r>
                      <w:instrText xml:space="preserve"> PAGE  \* MERGEFORMAT </w:instrText>
                    </w:r>
                    <w:r>
                      <w:fldChar w:fldCharType="separate"/>
                    </w:r>
                    <w:r>
                      <w:t>40</w:t>
                    </w:r>
                    <w:r>
                      <w:fldChar w:fldCharType="end"/>
                    </w:r>
                    <w:r>
                      <w:rPr>
                        <w:rFonts w:hint="eastAsia"/>
                      </w:rPr>
                      <w:t xml:space="preserve"> 页 共 </w:t>
                    </w:r>
                    <w:r>
                      <w:fldChar w:fldCharType="begin"/>
                    </w:r>
                    <w:r>
                      <w:instrText xml:space="preserve"> NUMPAGES  \* MERGEFORMAT </w:instrText>
                    </w:r>
                    <w:r>
                      <w:fldChar w:fldCharType="separate"/>
                    </w:r>
                    <w:r>
                      <w:t>86</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jc w:val="center"/>
      <w:rPr>
        <w:rFonts w:hint="eastAsia" w:eastAsia="宋体"/>
        <w:szCs w:val="18"/>
        <w:lang w:eastAsia="zh-CN"/>
      </w:rPr>
    </w:pPr>
    <w:r>
      <w:rPr>
        <w:rFonts w:hint="eastAsia" w:ascii="宋体"/>
        <w:bCs/>
        <w:szCs w:val="18"/>
        <w:lang w:eastAsia="zh-CN"/>
      </w:rPr>
      <w:t>东莞市妇幼保健院医疗设备采购项目</w:t>
    </w:r>
    <w:r>
      <w:rPr>
        <w:rFonts w:hint="eastAsia" w:ascii="宋体"/>
        <w:bCs/>
        <w:szCs w:val="18"/>
      </w:rPr>
      <w:t xml:space="preserve">              </w:t>
    </w:r>
    <w:r>
      <w:rPr>
        <w:rFonts w:hint="eastAsia" w:ascii="宋体"/>
        <w:bCs/>
        <w:szCs w:val="18"/>
        <w:lang w:val="en-US" w:eastAsia="zh-CN"/>
      </w:rPr>
      <w:t xml:space="preserve">     </w:t>
    </w:r>
    <w:r>
      <w:rPr>
        <w:rFonts w:hint="eastAsia" w:ascii="宋体"/>
        <w:bCs/>
        <w:szCs w:val="18"/>
      </w:rPr>
      <w:t xml:space="preserve">              </w:t>
    </w:r>
    <w:r>
      <w:rPr>
        <w:rFonts w:hint="eastAsia" w:ascii="宋体"/>
        <w:bCs/>
        <w:szCs w:val="18"/>
        <w:lang w:eastAsia="zh-CN"/>
      </w:rPr>
      <w:t>441900-202009-0006013001-0056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3EA1"/>
    <w:multiLevelType w:val="multilevel"/>
    <w:tmpl w:val="38223EA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325F7C"/>
    <w:multiLevelType w:val="multilevel"/>
    <w:tmpl w:val="75325F7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B77DFB"/>
    <w:multiLevelType w:val="singleLevel"/>
    <w:tmpl w:val="79B77DFB"/>
    <w:lvl w:ilvl="0" w:tentative="0">
      <w:start w:val="11"/>
      <w:numFmt w:val="decimal"/>
      <w:lvlText w:val="%1."/>
      <w:lvlJc w:val="left"/>
      <w:pPr>
        <w:tabs>
          <w:tab w:val="left" w:pos="312"/>
        </w:tabs>
      </w:pPr>
    </w:lvl>
  </w:abstractNum>
  <w:abstractNum w:abstractNumId="3">
    <w:nsid w:val="7D823685"/>
    <w:multiLevelType w:val="multilevel"/>
    <w:tmpl w:val="7D823685"/>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8"/>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A25"/>
    <w:rsid w:val="000442B8"/>
    <w:rsid w:val="000B7ED7"/>
    <w:rsid w:val="000D326A"/>
    <w:rsid w:val="00113B45"/>
    <w:rsid w:val="00122DA5"/>
    <w:rsid w:val="00123133"/>
    <w:rsid w:val="0012765E"/>
    <w:rsid w:val="0015523C"/>
    <w:rsid w:val="00157F70"/>
    <w:rsid w:val="00172A27"/>
    <w:rsid w:val="001820AD"/>
    <w:rsid w:val="00182267"/>
    <w:rsid w:val="001B44E5"/>
    <w:rsid w:val="001B6422"/>
    <w:rsid w:val="001B7139"/>
    <w:rsid w:val="001E762F"/>
    <w:rsid w:val="00245140"/>
    <w:rsid w:val="00247859"/>
    <w:rsid w:val="00254FEC"/>
    <w:rsid w:val="002A5DCF"/>
    <w:rsid w:val="002D2885"/>
    <w:rsid w:val="002E3F4C"/>
    <w:rsid w:val="00307D33"/>
    <w:rsid w:val="00325B94"/>
    <w:rsid w:val="00345EEA"/>
    <w:rsid w:val="0037604E"/>
    <w:rsid w:val="00394B6E"/>
    <w:rsid w:val="003A4A40"/>
    <w:rsid w:val="003B6473"/>
    <w:rsid w:val="003D237E"/>
    <w:rsid w:val="003F1BA5"/>
    <w:rsid w:val="004009DB"/>
    <w:rsid w:val="00416D37"/>
    <w:rsid w:val="0043208B"/>
    <w:rsid w:val="00463007"/>
    <w:rsid w:val="004A23E5"/>
    <w:rsid w:val="00505DED"/>
    <w:rsid w:val="00530BAB"/>
    <w:rsid w:val="005317CE"/>
    <w:rsid w:val="00541ED4"/>
    <w:rsid w:val="00576527"/>
    <w:rsid w:val="005D4C1A"/>
    <w:rsid w:val="0066781A"/>
    <w:rsid w:val="006943F8"/>
    <w:rsid w:val="006A29CF"/>
    <w:rsid w:val="006D3EEF"/>
    <w:rsid w:val="006F27C9"/>
    <w:rsid w:val="007335EF"/>
    <w:rsid w:val="00786740"/>
    <w:rsid w:val="007A3FE9"/>
    <w:rsid w:val="007F188E"/>
    <w:rsid w:val="007F5226"/>
    <w:rsid w:val="00826FF4"/>
    <w:rsid w:val="008418E2"/>
    <w:rsid w:val="00843DD5"/>
    <w:rsid w:val="00852D93"/>
    <w:rsid w:val="00892ABB"/>
    <w:rsid w:val="008C1F2D"/>
    <w:rsid w:val="008C5AD9"/>
    <w:rsid w:val="008D6431"/>
    <w:rsid w:val="008E7CB7"/>
    <w:rsid w:val="008F50B0"/>
    <w:rsid w:val="00923322"/>
    <w:rsid w:val="00927F8D"/>
    <w:rsid w:val="00955FDF"/>
    <w:rsid w:val="00956908"/>
    <w:rsid w:val="009628EF"/>
    <w:rsid w:val="00971254"/>
    <w:rsid w:val="00973865"/>
    <w:rsid w:val="00973E58"/>
    <w:rsid w:val="009A2977"/>
    <w:rsid w:val="009B7DEA"/>
    <w:rsid w:val="009C4D76"/>
    <w:rsid w:val="00A1405E"/>
    <w:rsid w:val="00A174E9"/>
    <w:rsid w:val="00A504DE"/>
    <w:rsid w:val="00AB1C6B"/>
    <w:rsid w:val="00AF4588"/>
    <w:rsid w:val="00B17EA0"/>
    <w:rsid w:val="00B34871"/>
    <w:rsid w:val="00B530FB"/>
    <w:rsid w:val="00B8457B"/>
    <w:rsid w:val="00B91666"/>
    <w:rsid w:val="00B9292B"/>
    <w:rsid w:val="00BB1ADC"/>
    <w:rsid w:val="00BD3A49"/>
    <w:rsid w:val="00BF14E4"/>
    <w:rsid w:val="00C22AAB"/>
    <w:rsid w:val="00C303BA"/>
    <w:rsid w:val="00C505D1"/>
    <w:rsid w:val="00C7238F"/>
    <w:rsid w:val="00C807C7"/>
    <w:rsid w:val="00C818BB"/>
    <w:rsid w:val="00C8276B"/>
    <w:rsid w:val="00C86321"/>
    <w:rsid w:val="00C94A05"/>
    <w:rsid w:val="00CC1BD1"/>
    <w:rsid w:val="00CE269E"/>
    <w:rsid w:val="00CF2530"/>
    <w:rsid w:val="00D20438"/>
    <w:rsid w:val="00D22783"/>
    <w:rsid w:val="00D7666F"/>
    <w:rsid w:val="00D92F9F"/>
    <w:rsid w:val="00DB0569"/>
    <w:rsid w:val="00DB54A2"/>
    <w:rsid w:val="00DF70A4"/>
    <w:rsid w:val="00E04695"/>
    <w:rsid w:val="00E13EAA"/>
    <w:rsid w:val="00E275AB"/>
    <w:rsid w:val="00E3687F"/>
    <w:rsid w:val="00E55948"/>
    <w:rsid w:val="00E97D97"/>
    <w:rsid w:val="00ED0733"/>
    <w:rsid w:val="00F80C12"/>
    <w:rsid w:val="00F825EE"/>
    <w:rsid w:val="00F97835"/>
    <w:rsid w:val="00FA3512"/>
    <w:rsid w:val="00FC673F"/>
    <w:rsid w:val="00FD127C"/>
    <w:rsid w:val="01464692"/>
    <w:rsid w:val="01805A86"/>
    <w:rsid w:val="02273A81"/>
    <w:rsid w:val="02CC7873"/>
    <w:rsid w:val="031910F4"/>
    <w:rsid w:val="03FF1590"/>
    <w:rsid w:val="04D952F3"/>
    <w:rsid w:val="04ED380D"/>
    <w:rsid w:val="052C7EF5"/>
    <w:rsid w:val="054B1C03"/>
    <w:rsid w:val="05601904"/>
    <w:rsid w:val="059B0B8E"/>
    <w:rsid w:val="05A47A5B"/>
    <w:rsid w:val="05E718E1"/>
    <w:rsid w:val="063B3ADB"/>
    <w:rsid w:val="06AC3163"/>
    <w:rsid w:val="06BA6C4D"/>
    <w:rsid w:val="06EB26AB"/>
    <w:rsid w:val="080C1983"/>
    <w:rsid w:val="08AF63E8"/>
    <w:rsid w:val="09015D75"/>
    <w:rsid w:val="095E246A"/>
    <w:rsid w:val="096C43B2"/>
    <w:rsid w:val="09A935E6"/>
    <w:rsid w:val="0A4F7E54"/>
    <w:rsid w:val="0A6B218B"/>
    <w:rsid w:val="0C433986"/>
    <w:rsid w:val="0C546200"/>
    <w:rsid w:val="0CF3153F"/>
    <w:rsid w:val="0E0C6FE9"/>
    <w:rsid w:val="0E1D4C56"/>
    <w:rsid w:val="0E330677"/>
    <w:rsid w:val="0F711719"/>
    <w:rsid w:val="0FCD05B6"/>
    <w:rsid w:val="10A62DBC"/>
    <w:rsid w:val="11234E7C"/>
    <w:rsid w:val="11A57EC4"/>
    <w:rsid w:val="12FD0BC4"/>
    <w:rsid w:val="135E7254"/>
    <w:rsid w:val="13891E65"/>
    <w:rsid w:val="14237C1F"/>
    <w:rsid w:val="15011025"/>
    <w:rsid w:val="16C9153A"/>
    <w:rsid w:val="173628B2"/>
    <w:rsid w:val="17A45667"/>
    <w:rsid w:val="182E3AB3"/>
    <w:rsid w:val="18B12D3E"/>
    <w:rsid w:val="19D81461"/>
    <w:rsid w:val="1BBA1994"/>
    <w:rsid w:val="1C330A1C"/>
    <w:rsid w:val="1C5E53A8"/>
    <w:rsid w:val="1E013E1F"/>
    <w:rsid w:val="1E37668A"/>
    <w:rsid w:val="1EE54180"/>
    <w:rsid w:val="1EF56189"/>
    <w:rsid w:val="1F9E3930"/>
    <w:rsid w:val="20C418FC"/>
    <w:rsid w:val="22513794"/>
    <w:rsid w:val="231A399A"/>
    <w:rsid w:val="23A201F2"/>
    <w:rsid w:val="251C1B73"/>
    <w:rsid w:val="257E504B"/>
    <w:rsid w:val="2600378B"/>
    <w:rsid w:val="260508EC"/>
    <w:rsid w:val="2707647F"/>
    <w:rsid w:val="29085C8F"/>
    <w:rsid w:val="2AD242C6"/>
    <w:rsid w:val="2AF26D3B"/>
    <w:rsid w:val="2B3B0243"/>
    <w:rsid w:val="2B4C6343"/>
    <w:rsid w:val="2BD647B6"/>
    <w:rsid w:val="2BFB08CF"/>
    <w:rsid w:val="2C013FFF"/>
    <w:rsid w:val="2E1F6A5C"/>
    <w:rsid w:val="2E6642CF"/>
    <w:rsid w:val="2F1E3A31"/>
    <w:rsid w:val="2F812F42"/>
    <w:rsid w:val="30B32322"/>
    <w:rsid w:val="30E85743"/>
    <w:rsid w:val="310C2B78"/>
    <w:rsid w:val="31330959"/>
    <w:rsid w:val="314269E0"/>
    <w:rsid w:val="32915DB0"/>
    <w:rsid w:val="33363EAE"/>
    <w:rsid w:val="333B2F3F"/>
    <w:rsid w:val="346D5EFF"/>
    <w:rsid w:val="348734FC"/>
    <w:rsid w:val="34BD05BF"/>
    <w:rsid w:val="34F02706"/>
    <w:rsid w:val="3637345D"/>
    <w:rsid w:val="36A847F5"/>
    <w:rsid w:val="36F1274E"/>
    <w:rsid w:val="37491A9C"/>
    <w:rsid w:val="374E3EA0"/>
    <w:rsid w:val="37B5171A"/>
    <w:rsid w:val="38946A41"/>
    <w:rsid w:val="38C21E8E"/>
    <w:rsid w:val="38EF2BD3"/>
    <w:rsid w:val="391D0C22"/>
    <w:rsid w:val="39432C44"/>
    <w:rsid w:val="396D1C4D"/>
    <w:rsid w:val="3A280246"/>
    <w:rsid w:val="3B8D2C56"/>
    <w:rsid w:val="3BB57BA2"/>
    <w:rsid w:val="3F0B00CF"/>
    <w:rsid w:val="401B782A"/>
    <w:rsid w:val="419A07F2"/>
    <w:rsid w:val="41EA4198"/>
    <w:rsid w:val="420E052B"/>
    <w:rsid w:val="422C59C4"/>
    <w:rsid w:val="4245374F"/>
    <w:rsid w:val="425B5096"/>
    <w:rsid w:val="42BD6E01"/>
    <w:rsid w:val="43695031"/>
    <w:rsid w:val="438E0783"/>
    <w:rsid w:val="43BA0B56"/>
    <w:rsid w:val="44460565"/>
    <w:rsid w:val="44FD216D"/>
    <w:rsid w:val="450778AE"/>
    <w:rsid w:val="45E17C6E"/>
    <w:rsid w:val="47E21797"/>
    <w:rsid w:val="4879467B"/>
    <w:rsid w:val="48AA69C8"/>
    <w:rsid w:val="4A8A2263"/>
    <w:rsid w:val="4AE53897"/>
    <w:rsid w:val="4B9D45F0"/>
    <w:rsid w:val="4C5E022D"/>
    <w:rsid w:val="4CE966F1"/>
    <w:rsid w:val="4D4166FF"/>
    <w:rsid w:val="4D4E6CD4"/>
    <w:rsid w:val="4D847415"/>
    <w:rsid w:val="4E9D6CDB"/>
    <w:rsid w:val="4F33483A"/>
    <w:rsid w:val="501B58EC"/>
    <w:rsid w:val="50634E0D"/>
    <w:rsid w:val="50BC4D15"/>
    <w:rsid w:val="5140788E"/>
    <w:rsid w:val="52FE2E53"/>
    <w:rsid w:val="539575E1"/>
    <w:rsid w:val="54EE0073"/>
    <w:rsid w:val="55057747"/>
    <w:rsid w:val="55A81F06"/>
    <w:rsid w:val="56EF36CC"/>
    <w:rsid w:val="5752079B"/>
    <w:rsid w:val="57FA1C2E"/>
    <w:rsid w:val="58143803"/>
    <w:rsid w:val="58A31F68"/>
    <w:rsid w:val="58FF3B78"/>
    <w:rsid w:val="59A42E1F"/>
    <w:rsid w:val="59D11789"/>
    <w:rsid w:val="59D96F2C"/>
    <w:rsid w:val="59DB5CD4"/>
    <w:rsid w:val="5A4A63F7"/>
    <w:rsid w:val="5B0A241D"/>
    <w:rsid w:val="5B4A0230"/>
    <w:rsid w:val="5B860097"/>
    <w:rsid w:val="5BDF2BE2"/>
    <w:rsid w:val="5BF63598"/>
    <w:rsid w:val="5C930E93"/>
    <w:rsid w:val="5D1C2002"/>
    <w:rsid w:val="5E0205A8"/>
    <w:rsid w:val="5E2D2703"/>
    <w:rsid w:val="5E6924FB"/>
    <w:rsid w:val="5FEE1AA1"/>
    <w:rsid w:val="60952C9E"/>
    <w:rsid w:val="60B071C0"/>
    <w:rsid w:val="612A0D31"/>
    <w:rsid w:val="627258C5"/>
    <w:rsid w:val="6338162B"/>
    <w:rsid w:val="63D95C99"/>
    <w:rsid w:val="64C45308"/>
    <w:rsid w:val="656A0376"/>
    <w:rsid w:val="66C7041A"/>
    <w:rsid w:val="670A62CE"/>
    <w:rsid w:val="67557BE4"/>
    <w:rsid w:val="677D2875"/>
    <w:rsid w:val="67916273"/>
    <w:rsid w:val="67D265EB"/>
    <w:rsid w:val="692B4AFE"/>
    <w:rsid w:val="693E28C0"/>
    <w:rsid w:val="6A0D1E6B"/>
    <w:rsid w:val="6A603958"/>
    <w:rsid w:val="6AA9371F"/>
    <w:rsid w:val="6C9C2562"/>
    <w:rsid w:val="6D010534"/>
    <w:rsid w:val="6D1E363A"/>
    <w:rsid w:val="6E65508D"/>
    <w:rsid w:val="6F4E4470"/>
    <w:rsid w:val="70142653"/>
    <w:rsid w:val="71B917A8"/>
    <w:rsid w:val="71DD3661"/>
    <w:rsid w:val="72231927"/>
    <w:rsid w:val="72414880"/>
    <w:rsid w:val="728850C7"/>
    <w:rsid w:val="737F49DA"/>
    <w:rsid w:val="73827069"/>
    <w:rsid w:val="739622AC"/>
    <w:rsid w:val="73A7332A"/>
    <w:rsid w:val="742D2BE0"/>
    <w:rsid w:val="74777506"/>
    <w:rsid w:val="75F74C5E"/>
    <w:rsid w:val="77090FFC"/>
    <w:rsid w:val="77620DC7"/>
    <w:rsid w:val="77B36E7F"/>
    <w:rsid w:val="783C36B8"/>
    <w:rsid w:val="786D3A24"/>
    <w:rsid w:val="78C96EBC"/>
    <w:rsid w:val="79E2043A"/>
    <w:rsid w:val="79FD3486"/>
    <w:rsid w:val="7A493B7C"/>
    <w:rsid w:val="7B311100"/>
    <w:rsid w:val="7B45508B"/>
    <w:rsid w:val="7C2C38D6"/>
    <w:rsid w:val="7C690C28"/>
    <w:rsid w:val="7C711CBB"/>
    <w:rsid w:val="7C7B4E63"/>
    <w:rsid w:val="7C956CDF"/>
    <w:rsid w:val="7C9F05A3"/>
    <w:rsid w:val="7CCE44F5"/>
    <w:rsid w:val="7CCF1DB3"/>
    <w:rsid w:val="7D8E09E1"/>
    <w:rsid w:val="7FE95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name="toc 1"/>
    <w:lsdException w:qFormat="1" w:uiPriority="0" w:name="toc 2"/>
    <w:lsdException w:qFormat="1"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iPriority="0" w:semiHidden="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kern w:val="0"/>
      <w:sz w:val="36"/>
      <w:szCs w:val="36"/>
    </w:rPr>
  </w:style>
  <w:style w:type="paragraph" w:styleId="4">
    <w:name w:val="heading 3"/>
    <w:basedOn w:val="1"/>
    <w:next w:val="1"/>
    <w:qFormat/>
    <w:uiPriority w:val="0"/>
    <w:pPr>
      <w:keepNext/>
      <w:keepLines/>
      <w:spacing w:before="260" w:after="260" w:line="600" w:lineRule="exact"/>
      <w:jc w:val="center"/>
      <w:outlineLvl w:val="2"/>
    </w:pPr>
    <w:rPr>
      <w:rFonts w:eastAsia="仿宋_GB2312"/>
      <w:b/>
      <w:sz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420"/>
    </w:pPr>
    <w:rPr>
      <w:rFonts w:ascii="Times" w:hAnsi="Times"/>
      <w:sz w:val="24"/>
      <w:szCs w:val="20"/>
    </w:rPr>
  </w:style>
  <w:style w:type="paragraph" w:styleId="6">
    <w:name w:val="Document Map"/>
    <w:basedOn w:val="1"/>
    <w:link w:val="47"/>
    <w:qFormat/>
    <w:uiPriority w:val="0"/>
    <w:rPr>
      <w:rFonts w:ascii="宋体"/>
      <w:sz w:val="18"/>
      <w:szCs w:val="18"/>
    </w:rPr>
  </w:style>
  <w:style w:type="paragraph" w:styleId="7">
    <w:name w:val="annotation text"/>
    <w:basedOn w:val="1"/>
    <w:link w:val="45"/>
    <w:qFormat/>
    <w:uiPriority w:val="0"/>
    <w:pPr>
      <w:jc w:val="left"/>
    </w:pPr>
  </w:style>
  <w:style w:type="paragraph" w:styleId="8">
    <w:name w:val="Closing"/>
    <w:basedOn w:val="1"/>
    <w:unhideWhenUsed/>
    <w:qFormat/>
    <w:uiPriority w:val="0"/>
    <w:pPr>
      <w:ind w:left="100" w:leftChars="2100"/>
    </w:pPr>
    <w:rPr>
      <w:rFonts w:ascii="宋体" w:hAnsi="宋体"/>
      <w:color w:val="000000"/>
      <w:sz w:val="24"/>
    </w:rPr>
  </w:style>
  <w:style w:type="paragraph" w:styleId="9">
    <w:name w:val="Body Text"/>
    <w:basedOn w:val="1"/>
    <w:next w:val="1"/>
    <w:qFormat/>
    <w:uiPriority w:val="0"/>
    <w:pPr>
      <w:spacing w:after="120"/>
    </w:pPr>
  </w:style>
  <w:style w:type="paragraph" w:styleId="10">
    <w:name w:val="toc 3"/>
    <w:basedOn w:val="1"/>
    <w:next w:val="1"/>
    <w:semiHidden/>
    <w:unhideWhenUsed/>
    <w:qFormat/>
    <w:uiPriority w:val="0"/>
    <w:pPr>
      <w:ind w:left="840" w:leftChars="400"/>
    </w:pPr>
  </w:style>
  <w:style w:type="paragraph" w:styleId="11">
    <w:name w:val="Plain Text"/>
    <w:basedOn w:val="1"/>
    <w:qFormat/>
    <w:uiPriority w:val="0"/>
    <w:rPr>
      <w:rFonts w:ascii="宋体" w:hAnsi="Courier New"/>
    </w:rPr>
  </w:style>
  <w:style w:type="paragraph" w:styleId="12">
    <w:name w:val="Body Text Indent 2"/>
    <w:basedOn w:val="1"/>
    <w:qFormat/>
    <w:uiPriority w:val="0"/>
    <w:pPr>
      <w:ind w:firstLine="539" w:firstLineChars="174"/>
    </w:pPr>
    <w:rPr>
      <w:rFonts w:ascii="仿宋_GB2312" w:eastAsia="仿宋_GB2312"/>
      <w:sz w:val="31"/>
    </w:rPr>
  </w:style>
  <w:style w:type="paragraph" w:styleId="13">
    <w:name w:val="Balloon Text"/>
    <w:basedOn w:val="1"/>
    <w:link w:val="44"/>
    <w:qFormat/>
    <w:uiPriority w:val="0"/>
    <w:rPr>
      <w:sz w:val="18"/>
      <w:szCs w:val="18"/>
    </w:rPr>
  </w:style>
  <w:style w:type="paragraph" w:styleId="14">
    <w:name w:val="footer"/>
    <w:basedOn w:val="1"/>
    <w:qFormat/>
    <w:uiPriority w:val="99"/>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semiHidden/>
    <w:unhideWhenUsed/>
    <w:qFormat/>
    <w:uiPriority w:val="39"/>
  </w:style>
  <w:style w:type="paragraph" w:styleId="17">
    <w:name w:val="Subtitle"/>
    <w:basedOn w:val="1"/>
    <w:next w:val="1"/>
    <w:qFormat/>
    <w:uiPriority w:val="11"/>
    <w:pPr>
      <w:spacing w:before="240" w:after="60" w:line="312" w:lineRule="auto"/>
      <w:jc w:val="center"/>
      <w:outlineLvl w:val="1"/>
    </w:pPr>
    <w:rPr>
      <w:rFonts w:asciiTheme="majorHAnsi" w:hAnsiTheme="majorHAnsi" w:cstheme="majorBidi"/>
      <w:b/>
      <w:bCs/>
      <w:kern w:val="28"/>
      <w:sz w:val="32"/>
      <w:szCs w:val="32"/>
    </w:rPr>
  </w:style>
  <w:style w:type="paragraph" w:styleId="18">
    <w:name w:val="Body Text Indent 3"/>
    <w:basedOn w:val="1"/>
    <w:qFormat/>
    <w:uiPriority w:val="0"/>
    <w:pPr>
      <w:spacing w:after="120"/>
      <w:ind w:left="420" w:leftChars="200"/>
    </w:pPr>
    <w:rPr>
      <w:sz w:val="16"/>
      <w:szCs w:val="16"/>
    </w:rPr>
  </w:style>
  <w:style w:type="paragraph" w:styleId="19">
    <w:name w:val="toc 2"/>
    <w:basedOn w:val="1"/>
    <w:next w:val="1"/>
    <w:semiHidden/>
    <w:unhideWhenUsed/>
    <w:qFormat/>
    <w:uiPriority w:val="0"/>
    <w:pPr>
      <w:ind w:left="420" w:leftChars="200"/>
    </w:pPr>
  </w:style>
  <w:style w:type="paragraph" w:styleId="20">
    <w:name w:val="Normal (Web)"/>
    <w:basedOn w:val="1"/>
    <w:qFormat/>
    <w:uiPriority w:val="0"/>
    <w:pPr>
      <w:jc w:val="left"/>
    </w:pPr>
    <w:rPr>
      <w:sz w:val="24"/>
    </w:rPr>
  </w:style>
  <w:style w:type="paragraph" w:styleId="21">
    <w:name w:val="annotation subject"/>
    <w:basedOn w:val="7"/>
    <w:next w:val="7"/>
    <w:link w:val="46"/>
    <w:qFormat/>
    <w:uiPriority w:val="0"/>
    <w:rPr>
      <w:b/>
      <w:bCs/>
    </w:rPr>
  </w:style>
  <w:style w:type="paragraph" w:styleId="22">
    <w:name w:val="Body Text First Indent"/>
    <w:basedOn w:val="9"/>
    <w:qFormat/>
    <w:uiPriority w:val="0"/>
    <w:pPr>
      <w:ind w:firstLine="420" w:firstLineChars="100"/>
    </w:p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TOC 31"/>
    <w:basedOn w:val="1"/>
    <w:next w:val="1"/>
    <w:qFormat/>
    <w:uiPriority w:val="0"/>
    <w:pPr>
      <w:ind w:left="840" w:leftChars="400"/>
    </w:pPr>
  </w:style>
  <w:style w:type="paragraph" w:customStyle="1" w:styleId="30">
    <w:name w:val="TOC 11"/>
    <w:basedOn w:val="1"/>
    <w:next w:val="1"/>
    <w:qFormat/>
    <w:uiPriority w:val="39"/>
    <w:pPr>
      <w:spacing w:before="120" w:after="120" w:line="400" w:lineRule="atLeast"/>
      <w:jc w:val="left"/>
    </w:pPr>
    <w:rPr>
      <w:b/>
      <w:bCs/>
      <w:caps/>
      <w:sz w:val="22"/>
    </w:rPr>
  </w:style>
  <w:style w:type="paragraph" w:customStyle="1" w:styleId="31">
    <w:name w:val="正文缩进6格"/>
    <w:basedOn w:val="32"/>
    <w:qFormat/>
    <w:uiPriority w:val="0"/>
    <w:pPr>
      <w:ind w:left="1758" w:leftChars="854"/>
    </w:pPr>
  </w:style>
  <w:style w:type="paragraph" w:customStyle="1" w:styleId="32">
    <w:name w:val="正文缩进4格"/>
    <w:basedOn w:val="33"/>
    <w:qFormat/>
    <w:uiPriority w:val="0"/>
    <w:pPr>
      <w:ind w:left="2" w:firstLine="538" w:firstLineChars="192"/>
    </w:pPr>
    <w:rPr>
      <w:color w:val="0000FF"/>
      <w:sz w:val="28"/>
    </w:rPr>
  </w:style>
  <w:style w:type="paragraph" w:customStyle="1" w:styleId="33">
    <w:name w:val="正文缩进2格"/>
    <w:basedOn w:val="1"/>
    <w:next w:val="1"/>
    <w:qFormat/>
    <w:uiPriority w:val="99"/>
    <w:pPr>
      <w:spacing w:line="600" w:lineRule="exact"/>
      <w:ind w:firstLine="639" w:firstLineChars="206"/>
    </w:pPr>
    <w:rPr>
      <w:rFonts w:ascii="仿宋_GB2312" w:hAnsi="宋体" w:eastAsia="仿宋_GB2312"/>
      <w:sz w:val="31"/>
    </w:rPr>
  </w:style>
  <w:style w:type="paragraph" w:customStyle="1" w:styleId="34">
    <w:name w:val="WPSOffice手动目录 1"/>
    <w:qFormat/>
    <w:uiPriority w:val="0"/>
    <w:rPr>
      <w:rFonts w:ascii="Times New Roman" w:hAnsi="Times New Roman" w:eastAsia="宋体" w:cs="Times New Roman"/>
      <w:lang w:val="en-US" w:eastAsia="zh-CN" w:bidi="ar-SA"/>
    </w:rPr>
  </w:style>
  <w:style w:type="paragraph" w:customStyle="1" w:styleId="35">
    <w:name w:val="_Style 3"/>
    <w:basedOn w:val="1"/>
    <w:qFormat/>
    <w:uiPriority w:val="0"/>
    <w:pPr>
      <w:spacing w:line="360" w:lineRule="auto"/>
      <w:ind w:firstLine="420" w:firstLineChars="200"/>
    </w:pPr>
    <w:rPr>
      <w:szCs w:val="22"/>
    </w:rPr>
  </w:style>
  <w:style w:type="paragraph" w:customStyle="1" w:styleId="36">
    <w:name w:val="彩色列表 - 强调文字颜色 11"/>
    <w:basedOn w:val="1"/>
    <w:qFormat/>
    <w:uiPriority w:val="0"/>
    <w:pPr>
      <w:spacing w:line="360" w:lineRule="auto"/>
      <w:ind w:firstLine="420" w:firstLineChars="200"/>
    </w:pPr>
    <w:rPr>
      <w:szCs w:val="22"/>
    </w:rPr>
  </w:style>
  <w:style w:type="paragraph" w:customStyle="1" w:styleId="37">
    <w:name w:val="列表段落1"/>
    <w:basedOn w:val="1"/>
    <w:qFormat/>
    <w:uiPriority w:val="0"/>
    <w:pPr>
      <w:spacing w:line="360" w:lineRule="auto"/>
      <w:ind w:firstLine="420" w:firstLineChars="200"/>
    </w:pPr>
    <w:rPr>
      <w:szCs w:val="22"/>
    </w:rPr>
  </w:style>
  <w:style w:type="paragraph" w:customStyle="1" w:styleId="38">
    <w:name w:val="标题 3.1"/>
    <w:basedOn w:val="4"/>
    <w:qFormat/>
    <w:uiPriority w:val="0"/>
    <w:pPr>
      <w:tabs>
        <w:tab w:val="left" w:pos="1440"/>
        <w:tab w:val="left" w:pos="1620"/>
      </w:tabs>
      <w:jc w:val="both"/>
    </w:pPr>
    <w:rPr>
      <w:rFonts w:ascii="宋体" w:hAnsi="宋体" w:eastAsia="宋体"/>
      <w:color w:val="FF0000"/>
    </w:rPr>
  </w:style>
  <w:style w:type="paragraph" w:customStyle="1" w:styleId="39">
    <w:name w:val="TOC 21"/>
    <w:basedOn w:val="1"/>
    <w:next w:val="1"/>
    <w:qFormat/>
    <w:uiPriority w:val="0"/>
    <w:pPr>
      <w:ind w:left="420" w:leftChars="200"/>
    </w:pPr>
  </w:style>
  <w:style w:type="paragraph" w:customStyle="1" w:styleId="4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Normal-1"/>
    <w:basedOn w:val="1"/>
    <w:qFormat/>
    <w:uiPriority w:val="0"/>
    <w:pPr>
      <w:spacing w:afterLines="50" w:line="312" w:lineRule="auto"/>
      <w:ind w:firstLine="200" w:firstLineChars="200"/>
    </w:pPr>
    <w:rPr>
      <w:rFonts w:ascii="Arial" w:hAnsi="Arial" w:cs="Arial"/>
      <w:sz w:val="24"/>
      <w:szCs w:val="22"/>
    </w:rPr>
  </w:style>
  <w:style w:type="paragraph" w:customStyle="1" w:styleId="42">
    <w:name w:val="无缩进"/>
    <w:next w:val="9"/>
    <w:qFormat/>
    <w:uiPriority w:val="0"/>
    <w:pPr>
      <w:snapToGrid w:val="0"/>
      <w:spacing w:line="600" w:lineRule="atLeast"/>
      <w:ind w:firstLine="641"/>
      <w:jc w:val="both"/>
    </w:pPr>
    <w:rPr>
      <w:rFonts w:ascii="Calibri" w:hAnsi="Calibri" w:eastAsia="仿宋_GB2312" w:cs="Times New Roman"/>
      <w:sz w:val="32"/>
      <w:lang w:val="en-US" w:eastAsia="zh-CN" w:bidi="ar-SA"/>
    </w:rPr>
  </w:style>
  <w:style w:type="paragraph" w:customStyle="1" w:styleId="43">
    <w:name w:val="_Style 2"/>
    <w:basedOn w:val="1"/>
    <w:qFormat/>
    <w:uiPriority w:val="0"/>
    <w:pPr>
      <w:spacing w:line="360" w:lineRule="auto"/>
      <w:ind w:firstLine="420" w:firstLineChars="200"/>
    </w:pPr>
    <w:rPr>
      <w:szCs w:val="22"/>
    </w:rPr>
  </w:style>
  <w:style w:type="character" w:customStyle="1" w:styleId="44">
    <w:name w:val="批注框文本 Char"/>
    <w:link w:val="13"/>
    <w:qFormat/>
    <w:uiPriority w:val="0"/>
    <w:rPr>
      <w:rFonts w:ascii="Calibri" w:hAnsi="Calibri"/>
      <w:kern w:val="2"/>
      <w:sz w:val="18"/>
      <w:szCs w:val="18"/>
    </w:rPr>
  </w:style>
  <w:style w:type="character" w:customStyle="1" w:styleId="45">
    <w:name w:val="批注文字 Char"/>
    <w:link w:val="7"/>
    <w:qFormat/>
    <w:uiPriority w:val="0"/>
    <w:rPr>
      <w:rFonts w:ascii="Calibri" w:hAnsi="Calibri"/>
      <w:kern w:val="2"/>
      <w:sz w:val="21"/>
      <w:szCs w:val="24"/>
    </w:rPr>
  </w:style>
  <w:style w:type="character" w:customStyle="1" w:styleId="46">
    <w:name w:val="批注主题 Char"/>
    <w:link w:val="21"/>
    <w:qFormat/>
    <w:uiPriority w:val="0"/>
    <w:rPr>
      <w:rFonts w:ascii="Calibri" w:hAnsi="Calibri"/>
      <w:b/>
      <w:bCs/>
      <w:kern w:val="2"/>
      <w:sz w:val="21"/>
      <w:szCs w:val="24"/>
    </w:rPr>
  </w:style>
  <w:style w:type="character" w:customStyle="1" w:styleId="47">
    <w:name w:val="文档结构图 Char"/>
    <w:basedOn w:val="25"/>
    <w:link w:val="6"/>
    <w:qFormat/>
    <w:uiPriority w:val="0"/>
    <w:rPr>
      <w:rFonts w:ascii="宋体" w:hAnsi="Calibri"/>
      <w:kern w:val="2"/>
      <w:sz w:val="18"/>
      <w:szCs w:val="18"/>
    </w:rPr>
  </w:style>
  <w:style w:type="character" w:customStyle="1" w:styleId="48">
    <w:name w:val="A4"/>
    <w:qFormat/>
    <w:uiPriority w:val="0"/>
    <w:rPr>
      <w:rFonts w:hint="eastAsia" w:ascii="新宋体" w:hAnsi="新宋体" w:eastAsia="新宋体" w:cs="新宋体"/>
      <w:color w:val="000000"/>
    </w:rPr>
  </w:style>
  <w:style w:type="paragraph" w:customStyle="1" w:styleId="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0">
    <w:name w:val="List Paragraph"/>
    <w:basedOn w:val="1"/>
    <w:link w:val="51"/>
    <w:qFormat/>
    <w:uiPriority w:val="99"/>
    <w:pPr>
      <w:ind w:firstLine="420" w:firstLineChars="200"/>
    </w:pPr>
    <w:rPr>
      <w:rFonts w:ascii="Times New Roman" w:hAnsi="Times New Roman"/>
    </w:rPr>
  </w:style>
  <w:style w:type="character" w:customStyle="1" w:styleId="51">
    <w:name w:val="列出段落 Char"/>
    <w:link w:val="50"/>
    <w:qFormat/>
    <w:uiPriority w:val="99"/>
    <w:rPr>
      <w:kern w:val="2"/>
      <w:sz w:val="21"/>
      <w:szCs w:val="24"/>
    </w:rPr>
  </w:style>
  <w:style w:type="paragraph" w:customStyle="1" w:styleId="52">
    <w:name w:val="List Paragraph1"/>
    <w:basedOn w:val="1"/>
    <w:qFormat/>
    <w:uiPriority w:val="0"/>
    <w:pPr>
      <w:ind w:firstLine="420" w:firstLineChars="200"/>
    </w:pPr>
  </w:style>
  <w:style w:type="paragraph" w:customStyle="1" w:styleId="53">
    <w:name w:val="段落"/>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54">
    <w:name w:val="msolistparagraph"/>
    <w:basedOn w:val="1"/>
    <w:qFormat/>
    <w:uiPriority w:val="0"/>
    <w:pPr>
      <w:ind w:firstLine="420" w:firstLineChars="200"/>
    </w:pPr>
    <w:rPr>
      <w:szCs w:val="21"/>
    </w:rPr>
  </w:style>
  <w:style w:type="paragraph" w:customStyle="1" w:styleId="55">
    <w:name w:val="pa-1"/>
    <w:basedOn w:val="1"/>
    <w:qFormat/>
    <w:uiPriority w:val="0"/>
    <w:pPr>
      <w:widowControl/>
      <w:spacing w:before="100" w:beforeAutospacing="1" w:after="100" w:afterAutospacing="1"/>
      <w:jc w:val="left"/>
    </w:pPr>
    <w:rPr>
      <w:rFonts w:ascii="宋体" w:hAnsi="宋体" w:cs="宋体"/>
      <w:kern w:val="0"/>
      <w:sz w:val="24"/>
    </w:rPr>
  </w:style>
  <w:style w:type="character" w:customStyle="1" w:styleId="56">
    <w:name w:val="ca-1"/>
    <w:basedOn w:val="25"/>
    <w:qFormat/>
    <w:uiPriority w:val="0"/>
  </w:style>
  <w:style w:type="character" w:customStyle="1" w:styleId="57">
    <w:name w:val="ca-2"/>
    <w:basedOn w:val="25"/>
    <w:qFormat/>
    <w:uiPriority w:val="0"/>
  </w:style>
  <w:style w:type="character" w:customStyle="1" w:styleId="58">
    <w:name w:val="ca-3"/>
    <w:basedOn w:val="25"/>
    <w:qFormat/>
    <w:uiPriority w:val="0"/>
  </w:style>
  <w:style w:type="paragraph" w:customStyle="1" w:styleId="59">
    <w:name w:val="pa-3"/>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Other|1"/>
    <w:basedOn w:val="1"/>
    <w:qFormat/>
    <w:uiPriority w:val="0"/>
    <w:pPr>
      <w:spacing w:line="326" w:lineRule="auto"/>
    </w:pPr>
    <w:rPr>
      <w:rFonts w:ascii="宋体" w:hAnsi="宋体" w:cs="宋体"/>
      <w:sz w:val="38"/>
      <w:szCs w:val="38"/>
      <w:lang w:val="zh-TW" w:eastAsia="zh-TW" w:bidi="zh-TW"/>
    </w:rPr>
  </w:style>
  <w:style w:type="paragraph" w:customStyle="1" w:styleId="61">
    <w:name w:val="列出段落1"/>
    <w:basedOn w:val="1"/>
    <w:qFormat/>
    <w:uiPriority w:val="0"/>
    <w:pPr>
      <w:ind w:firstLine="420" w:firstLineChars="200"/>
    </w:pPr>
    <w:rPr>
      <w:rFonts w:ascii="Times New Roman" w:hAnsi="Times New Roman"/>
    </w:rPr>
  </w:style>
  <w:style w:type="character" w:customStyle="1" w:styleId="62">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51223F-461B-4364-A82D-16CF8DE2320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6878</Words>
  <Characters>39205</Characters>
  <Lines>326</Lines>
  <Paragraphs>91</Paragraphs>
  <TotalTime>1</TotalTime>
  <ScaleCrop>false</ScaleCrop>
  <LinksUpToDate>false</LinksUpToDate>
  <CharactersWithSpaces>45992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2020-09-10T00:55:00Z</dcterms:created>
  <dc:creator>Administrator</dc:creator>
  <cp:lastModifiedBy>WPS_1468156216</cp:lastModifiedBy>
  <cp:lastPrinted>2020-09-07T02:40:00Z</cp:lastPrinted>
  <dcterms:modified xsi:type="dcterms:W3CDTF">2020-09-14T10:04:30Z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