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rPr>
      </w:pPr>
      <w:r>
        <w:rPr>
          <w:rFonts w:hint="eastAsia" w:eastAsia="黑体"/>
          <w:b/>
          <w:color w:val="auto"/>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7"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rPr>
      </w:pPr>
    </w:p>
    <w:p>
      <w:pPr>
        <w:rPr>
          <w:color w:val="auto"/>
        </w:rPr>
      </w:pPr>
    </w:p>
    <w:p>
      <w:pPr>
        <w:rPr>
          <w:color w:val="auto"/>
        </w:rPr>
      </w:pPr>
    </w:p>
    <w:p>
      <w:pPr>
        <w:rPr>
          <w:color w:val="auto"/>
        </w:rPr>
      </w:pPr>
    </w:p>
    <w:p>
      <w:pPr>
        <w:jc w:val="center"/>
        <w:rPr>
          <w:rFonts w:ascii="黑体" w:eastAsia="黑体"/>
          <w:b/>
          <w:color w:val="auto"/>
          <w:sz w:val="72"/>
          <w:szCs w:val="32"/>
        </w:rPr>
      </w:pPr>
      <w:r>
        <w:rPr>
          <w:rFonts w:hint="eastAsia" w:ascii="黑体" w:eastAsia="黑体"/>
          <w:b/>
          <w:color w:val="auto"/>
          <w:sz w:val="72"/>
          <w:szCs w:val="32"/>
        </w:rPr>
        <w:t>东莞市政府采购</w:t>
      </w:r>
    </w:p>
    <w:p>
      <w:pPr>
        <w:jc w:val="center"/>
        <w:rPr>
          <w:b/>
          <w:color w:val="auto"/>
          <w:sz w:val="72"/>
          <w:szCs w:val="32"/>
        </w:rPr>
      </w:pPr>
      <w:r>
        <w:rPr>
          <w:rFonts w:hint="eastAsia" w:ascii="黑体" w:eastAsia="黑体"/>
          <w:b/>
          <w:color w:val="auto"/>
          <w:sz w:val="72"/>
          <w:szCs w:val="32"/>
        </w:rPr>
        <w:t>公开招标文件</w:t>
      </w:r>
    </w:p>
    <w:p>
      <w:pPr>
        <w:jc w:val="center"/>
        <w:rPr>
          <w:color w:val="auto"/>
        </w:rPr>
      </w:pPr>
    </w:p>
    <w:p>
      <w:pPr>
        <w:jc w:val="center"/>
        <w:rPr>
          <w:color w:val="auto"/>
        </w:rPr>
      </w:pPr>
    </w:p>
    <w:p>
      <w:pPr>
        <w:rPr>
          <w:color w:val="auto"/>
        </w:rPr>
      </w:pPr>
    </w:p>
    <w:tbl>
      <w:tblPr>
        <w:tblStyle w:val="17"/>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项目名称：</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东莞市科学技术博物馆FIB场发射双束扫描电子显微镜采购项目（</w:t>
            </w:r>
            <w:r>
              <w:rPr>
                <w:rFonts w:hint="eastAsia" w:ascii="黑体" w:hAnsi="黑体" w:eastAsia="黑体" w:cs="黑体"/>
                <w:bCs/>
                <w:color w:val="auto"/>
                <w:sz w:val="32"/>
                <w:szCs w:val="24"/>
                <w:vertAlign w:val="baseline"/>
                <w:lang w:eastAsia="zh-CN"/>
              </w:rPr>
              <w:t>第二次</w:t>
            </w:r>
            <w:r>
              <w:rPr>
                <w:rFonts w:hint="eastAsia" w:ascii="黑体" w:hAnsi="黑体" w:eastAsia="黑体" w:cs="黑体"/>
                <w:bCs/>
                <w:color w:val="auto"/>
                <w:sz w:val="32"/>
                <w:szCs w:val="24"/>
                <w:vertAlign w:val="baseline"/>
              </w:rPr>
              <w:t>重新招标）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项目采购编号：</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441900-202001-0010003001-0001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采购人：</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东莞市科学技术博物馆</w:t>
            </w:r>
          </w:p>
        </w:tc>
      </w:tr>
    </w:tbl>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 w:val="52"/>
          <w:szCs w:val="44"/>
        </w:rPr>
      </w:pPr>
      <w:r>
        <w:rPr>
          <w:rFonts w:hint="eastAsia" w:ascii="黑体" w:eastAsia="黑体"/>
          <w:color w:val="auto"/>
          <w:sz w:val="52"/>
          <w:szCs w:val="44"/>
        </w:rPr>
        <w:t>三方诚信招标有限公司</w:t>
      </w:r>
    </w:p>
    <w:p>
      <w:pPr>
        <w:jc w:val="center"/>
        <w:rPr>
          <w:rFonts w:ascii="黑体" w:eastAsia="黑体"/>
          <w:color w:val="auto"/>
          <w:sz w:val="52"/>
          <w:szCs w:val="44"/>
        </w:rPr>
      </w:pPr>
      <w:r>
        <w:rPr>
          <w:rFonts w:hint="eastAsia" w:ascii="黑体" w:eastAsia="黑体"/>
          <w:color w:val="auto"/>
          <w:sz w:val="52"/>
          <w:szCs w:val="44"/>
        </w:rPr>
        <w:t>东莞分公司</w:t>
      </w:r>
    </w:p>
    <w:p>
      <w:pPr>
        <w:pStyle w:val="14"/>
        <w:rPr>
          <w:color w:val="auto"/>
          <w:sz w:val="32"/>
          <w:szCs w:val="32"/>
        </w:rPr>
        <w:sectPr>
          <w:headerReference r:id="rId3" w:type="default"/>
          <w:pgSz w:w="11906" w:h="16838"/>
          <w:pgMar w:top="1440" w:right="1800" w:bottom="1440" w:left="1800" w:header="708" w:footer="708" w:gutter="0"/>
          <w:pgNumType w:start="0"/>
          <w:cols w:space="708" w:num="1"/>
          <w:titlePg/>
          <w:docGrid w:type="lines" w:linePitch="360" w:charSpace="0"/>
        </w:sectPr>
      </w:pPr>
    </w:p>
    <w:p>
      <w:pPr>
        <w:pStyle w:val="14"/>
        <w:rPr>
          <w:color w:val="auto"/>
          <w:sz w:val="40"/>
          <w:szCs w:val="40"/>
        </w:rPr>
      </w:pPr>
      <w:r>
        <w:rPr>
          <w:rFonts w:hint="eastAsia"/>
          <w:color w:val="auto"/>
          <w:sz w:val="40"/>
          <w:szCs w:val="40"/>
        </w:rPr>
        <w:t>目录</w:t>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"1-4" \h \z \u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投标邀请书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第二部分 相关资料表格</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附表一：投标资料表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附表二：商务技术评分及价格权重表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第三部分 用户需求书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用户需求明细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第四部分 投标人须知</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一、 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1.适用范围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2.定义</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3.货物和服务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4.投标费用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5.知识产权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6.关于联合体投标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7.关于分支机构投标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二、 招标文件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8.招标文件的组成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9.招标文件的澄清或修改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三、 投标文件的编制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10.投标文件的语言及度量衡单位</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11.投标文件的组成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12.投标文件编制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13.投标报价说明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14.投标人所提供的服务或货物的证明文件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15.投标有效期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16.投标保证金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四、 投标文件的递交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17.投标文件的装订，签署，密封和标记</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18.迟交的投标文件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19.投标样品（如需提交）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20.投标截止期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21.投标文件的补充、修改与撤回</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五、 开标与评标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22.开标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23.评标委员会及评标方法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24.评审原则及评标过程的保密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25.投标文件的初审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26.商务、技术、价格评审（具体评审项目详见投标资料表）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27.优惠政策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28.纪律和保密事项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六、 授予合同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29.合同授予标准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30.发布采购结果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31.合同的签订与履行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32.履约保证金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七、询问或质疑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33.询问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八、其他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35.招标文件的解释权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第五部分 合同格式（仅供参考）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合同格式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第六部分  附件－投标文件格式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附件1.投标文件目录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 评分标准索引表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附件2.投标书格式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附件3.开标一览表格式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附件4.投标分项报价表格式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附件5.法定代表人证明书格式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附件6.法定代表人授权书格式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附件7.资格申明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附件8.营业执照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附件9.相关资质证明文件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附件10.商务条款偏离表格式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附件11.技术规格偏离表格式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附件12.重要技术参数（▲）响应表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附件13.业绩表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附件14.项目实施方案格式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附件15.实施本项目的有关人员资料表格式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附件16.投标货物说明一览表格式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附件17.在经营活动中没有重大违法记录的书面声明格式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附件18.中小企业声明函（投标人为中小企业时适用）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附件19.《残疾人福利性单位声明函》（残疾人福利性单位适用）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附件20.投标保证金汇入情况说明格式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附件21.政府采购投标担保函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附件22.政府采购履约担保函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附件23.获取招标文件登记表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24.质疑函范本</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jc w:val="both"/>
        <w:textAlignment w:val="auto"/>
        <w:rPr>
          <w:rFonts w:cs="宋体"/>
          <w:color w:val="auto"/>
          <w:szCs w:val="21"/>
        </w:rPr>
      </w:pPr>
      <w:r>
        <w:rPr>
          <w:rFonts w:hint="eastAsia" w:ascii="宋体" w:hAnsi="宋体" w:eastAsia="宋体" w:cs="宋体"/>
          <w:color w:val="auto"/>
          <w:sz w:val="21"/>
          <w:szCs w:val="21"/>
        </w:rPr>
        <w:fldChar w:fldCharType="end"/>
      </w:r>
    </w:p>
    <w:p>
      <w:pPr>
        <w:rPr>
          <w:rFonts w:ascii="宋体" w:hAnsi="宋体" w:eastAsia="宋体" w:cs="宋体"/>
          <w:color w:val="auto"/>
          <w:szCs w:val="21"/>
        </w:rPr>
      </w:pPr>
      <w:r>
        <w:rPr>
          <w:rFonts w:hint="eastAsia" w:ascii="宋体" w:hAnsi="宋体" w:eastAsia="宋体" w:cs="宋体"/>
          <w:color w:val="auto"/>
          <w:szCs w:val="21"/>
        </w:rPr>
        <w:br w:type="page"/>
      </w:r>
    </w:p>
    <w:p>
      <w:pPr>
        <w:pStyle w:val="3"/>
        <w:spacing w:before="0" w:after="0" w:line="240" w:lineRule="auto"/>
        <w:rPr>
          <w:rFonts w:asciiTheme="majorHAnsi" w:hAnsiTheme="majorHAnsi" w:eastAsiaTheme="majorEastAsia" w:cstheme="majorBidi"/>
          <w:b/>
          <w:bCs/>
          <w:color w:val="auto"/>
          <w:sz w:val="28"/>
          <w:szCs w:val="28"/>
        </w:rPr>
      </w:pPr>
      <w:r>
        <w:rPr>
          <w:rFonts w:hint="eastAsia" w:asciiTheme="majorHAnsi" w:hAnsiTheme="majorHAnsi" w:eastAsiaTheme="majorEastAsia" w:cstheme="majorBidi"/>
          <w:b/>
          <w:bCs/>
          <w:color w:val="auto"/>
          <w:sz w:val="28"/>
          <w:szCs w:val="28"/>
        </w:rPr>
        <w:t>第一部分 投标邀请</w:t>
      </w:r>
    </w:p>
    <w:p>
      <w:pPr>
        <w:pStyle w:val="4"/>
        <w:spacing w:before="0" w:after="0" w:line="360" w:lineRule="auto"/>
        <w:jc w:val="center"/>
        <w:rPr>
          <w:rFonts w:ascii="宋体" w:hAnsi="宋体" w:eastAsia="宋体" w:cs="宋体"/>
          <w:color w:val="auto"/>
        </w:rPr>
      </w:pPr>
      <w:bookmarkStart w:id="0" w:name="_Toc1420"/>
      <w:r>
        <w:rPr>
          <w:rFonts w:hint="eastAsia" w:ascii="宋体" w:hAnsi="宋体" w:eastAsia="宋体" w:cs="宋体"/>
          <w:color w:val="auto"/>
        </w:rPr>
        <w:t>投标邀请书</w:t>
      </w:r>
      <w:bookmarkEnd w:id="0"/>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三方诚信招标有限公司东莞分公司</w:t>
      </w:r>
      <w:r>
        <w:rPr>
          <w:rFonts w:ascii="宋体" w:hAnsi="宋体" w:eastAsia="宋体"/>
          <w:color w:val="auto"/>
          <w:sz w:val="21"/>
          <w:szCs w:val="21"/>
        </w:rPr>
        <w:t>（以下简称</w:t>
      </w:r>
      <w:r>
        <w:rPr>
          <w:rFonts w:hint="eastAsia" w:ascii="宋体" w:hAnsi="宋体" w:eastAsia="宋体"/>
          <w:color w:val="auto"/>
          <w:sz w:val="21"/>
          <w:szCs w:val="21"/>
        </w:rPr>
        <w:t>“采购代理机构”</w:t>
      </w:r>
      <w:r>
        <w:rPr>
          <w:rFonts w:ascii="宋体" w:hAnsi="宋体" w:eastAsia="宋体"/>
          <w:color w:val="auto"/>
          <w:sz w:val="21"/>
          <w:szCs w:val="21"/>
        </w:rPr>
        <w:t>）受</w:t>
      </w:r>
      <w:r>
        <w:rPr>
          <w:rFonts w:hint="eastAsia" w:ascii="宋体" w:hAnsi="宋体" w:eastAsia="宋体"/>
          <w:b/>
          <w:color w:val="auto"/>
          <w:sz w:val="21"/>
          <w:szCs w:val="21"/>
          <w:u w:val="single"/>
        </w:rPr>
        <w:t>东莞市科学技术博物馆</w:t>
      </w:r>
      <w:r>
        <w:rPr>
          <w:rFonts w:ascii="宋体" w:hAnsi="宋体" w:eastAsia="宋体"/>
          <w:color w:val="auto"/>
          <w:sz w:val="21"/>
          <w:szCs w:val="21"/>
        </w:rPr>
        <w:t>（以下简称</w:t>
      </w:r>
      <w:r>
        <w:rPr>
          <w:rFonts w:hint="eastAsia" w:ascii="宋体" w:hAnsi="宋体" w:eastAsia="宋体"/>
          <w:color w:val="auto"/>
          <w:sz w:val="21"/>
          <w:szCs w:val="21"/>
        </w:rPr>
        <w:t>“采购人”</w:t>
      </w:r>
      <w:r>
        <w:rPr>
          <w:rFonts w:ascii="宋体" w:hAnsi="宋体" w:eastAsia="宋体"/>
          <w:color w:val="auto"/>
          <w:sz w:val="21"/>
          <w:szCs w:val="21"/>
        </w:rPr>
        <w:t>）委托，</w:t>
      </w:r>
      <w:r>
        <w:rPr>
          <w:rFonts w:hint="eastAsia" w:ascii="宋体" w:hAnsi="宋体" w:eastAsia="宋体"/>
          <w:color w:val="auto"/>
          <w:sz w:val="21"/>
          <w:szCs w:val="21"/>
        </w:rPr>
        <w:t>现</w:t>
      </w:r>
      <w:r>
        <w:rPr>
          <w:rFonts w:ascii="宋体" w:hAnsi="宋体" w:eastAsia="宋体"/>
          <w:color w:val="auto"/>
          <w:sz w:val="21"/>
          <w:szCs w:val="21"/>
        </w:rPr>
        <w:t>就</w:t>
      </w:r>
      <w:r>
        <w:rPr>
          <w:rFonts w:hint="eastAsia" w:ascii="宋体" w:hAnsi="宋体" w:eastAsia="宋体"/>
          <w:b/>
          <w:color w:val="auto"/>
          <w:sz w:val="21"/>
          <w:szCs w:val="21"/>
          <w:u w:val="single"/>
        </w:rPr>
        <w:t>东莞市科学技术博物馆FIB场发射双束扫描电子显微镜采购项目（</w:t>
      </w:r>
      <w:r>
        <w:rPr>
          <w:rFonts w:hint="eastAsia" w:ascii="宋体" w:hAnsi="宋体" w:eastAsia="宋体"/>
          <w:b/>
          <w:color w:val="auto"/>
          <w:sz w:val="21"/>
          <w:szCs w:val="21"/>
          <w:u w:val="single"/>
          <w:lang w:eastAsia="zh-CN"/>
        </w:rPr>
        <w:t>第二次</w:t>
      </w:r>
      <w:r>
        <w:rPr>
          <w:rFonts w:hint="eastAsia" w:ascii="宋体" w:hAnsi="宋体" w:eastAsia="宋体"/>
          <w:b/>
          <w:color w:val="auto"/>
          <w:sz w:val="21"/>
          <w:szCs w:val="21"/>
          <w:u w:val="single"/>
        </w:rPr>
        <w:t>重新招标）</w:t>
      </w:r>
      <w:r>
        <w:rPr>
          <w:rFonts w:hint="eastAsia" w:ascii="宋体" w:hAnsi="宋体" w:eastAsia="宋体"/>
          <w:color w:val="auto"/>
          <w:sz w:val="21"/>
          <w:szCs w:val="21"/>
        </w:rPr>
        <w:t>（采购项目编号：</w:t>
      </w:r>
      <w:r>
        <w:rPr>
          <w:rFonts w:hint="eastAsia" w:ascii="宋体" w:hAnsi="宋体" w:eastAsia="宋体"/>
          <w:b/>
          <w:color w:val="auto"/>
          <w:sz w:val="21"/>
          <w:szCs w:val="21"/>
          <w:u w:val="single"/>
        </w:rPr>
        <w:t>441900-202001-0010003001-0001</w:t>
      </w:r>
      <w:r>
        <w:rPr>
          <w:rFonts w:hint="eastAsia" w:ascii="宋体" w:hAnsi="宋体" w:eastAsia="宋体"/>
          <w:color w:val="auto"/>
          <w:sz w:val="21"/>
          <w:szCs w:val="21"/>
        </w:rPr>
        <w:t>）</w:t>
      </w:r>
      <w:r>
        <w:rPr>
          <w:rFonts w:hint="eastAsia" w:ascii="宋体" w:hAnsi="宋体" w:eastAsia="宋体" w:cs="Times New Roman"/>
          <w:color w:val="auto"/>
          <w:sz w:val="21"/>
          <w:szCs w:val="21"/>
        </w:rPr>
        <w:t>进行国内公开招标采购</w:t>
      </w:r>
      <w:r>
        <w:rPr>
          <w:rFonts w:hint="eastAsia" w:ascii="宋体" w:hAnsi="宋体" w:eastAsia="宋体"/>
          <w:color w:val="auto"/>
          <w:sz w:val="21"/>
          <w:szCs w:val="21"/>
        </w:rPr>
        <w:t>，欢迎符合招标文件要求的国内投标人参加投标</w:t>
      </w:r>
      <w:r>
        <w:rPr>
          <w:rFonts w:ascii="宋体" w:hAnsi="宋体" w:eastAsia="宋体"/>
          <w:color w:val="auto"/>
          <w:sz w:val="21"/>
          <w:szCs w:val="21"/>
        </w:rPr>
        <w:t>。有关事项如下：</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一、招标项目的名称、用途、简要技术要求或者招标项目的性质</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1、项目内容：</w:t>
      </w:r>
      <w:r>
        <w:rPr>
          <w:rFonts w:hint="eastAsia" w:ascii="宋体" w:hAnsi="宋体" w:eastAsia="宋体"/>
          <w:b/>
          <w:color w:val="auto"/>
          <w:sz w:val="21"/>
          <w:szCs w:val="21"/>
          <w:u w:val="single"/>
        </w:rPr>
        <w:t>FIB场发射双束扫描电子显微镜</w:t>
      </w:r>
      <w:r>
        <w:rPr>
          <w:rFonts w:hint="eastAsia" w:ascii="宋体" w:hAnsi="宋体" w:eastAsia="宋体"/>
          <w:color w:val="auto"/>
          <w:sz w:val="21"/>
          <w:szCs w:val="21"/>
        </w:rPr>
        <w:t>采购一项，预算：</w:t>
      </w:r>
      <w:r>
        <w:rPr>
          <w:rFonts w:hint="eastAsia" w:ascii="宋体" w:hAnsi="宋体" w:eastAsia="宋体"/>
          <w:b/>
          <w:color w:val="auto"/>
          <w:sz w:val="21"/>
          <w:szCs w:val="21"/>
          <w:u w:val="single"/>
        </w:rPr>
        <w:t>8,600,000.00</w:t>
      </w:r>
      <w:r>
        <w:rPr>
          <w:rFonts w:hint="eastAsia" w:ascii="宋体" w:hAnsi="宋体" w:eastAsia="宋体"/>
          <w:color w:val="auto"/>
          <w:sz w:val="21"/>
          <w:szCs w:val="21"/>
        </w:rPr>
        <w:t>元</w:t>
      </w:r>
      <w:r>
        <w:rPr>
          <w:rFonts w:hint="eastAsia" w:ascii="宋体" w:hAnsi="宋体" w:eastAsia="宋体"/>
          <w:color w:val="auto"/>
          <w:sz w:val="21"/>
          <w:szCs w:val="21"/>
          <w:lang w:eastAsia="zh-CN"/>
        </w:rPr>
        <w:t>，最高限价：</w:t>
      </w:r>
      <w:r>
        <w:rPr>
          <w:rFonts w:hint="eastAsia" w:ascii="宋体" w:hAnsi="宋体" w:eastAsia="宋体"/>
          <w:b/>
          <w:color w:val="auto"/>
          <w:sz w:val="21"/>
          <w:szCs w:val="21"/>
          <w:u w:val="single"/>
          <w:lang w:val="en-US" w:eastAsia="zh-CN"/>
        </w:rPr>
        <w:t>6</w:t>
      </w:r>
      <w:r>
        <w:rPr>
          <w:rFonts w:hint="eastAsia" w:ascii="宋体" w:hAnsi="宋体" w:eastAsia="宋体"/>
          <w:b/>
          <w:color w:val="auto"/>
          <w:sz w:val="21"/>
          <w:szCs w:val="21"/>
          <w:u w:val="single"/>
        </w:rPr>
        <w:t>,</w:t>
      </w:r>
      <w:r>
        <w:rPr>
          <w:rFonts w:hint="eastAsia" w:ascii="宋体" w:hAnsi="宋体" w:eastAsia="宋体"/>
          <w:b/>
          <w:color w:val="auto"/>
          <w:sz w:val="21"/>
          <w:szCs w:val="21"/>
          <w:u w:val="single"/>
          <w:lang w:val="en-US" w:eastAsia="zh-CN"/>
        </w:rPr>
        <w:t>75</w:t>
      </w:r>
      <w:r>
        <w:rPr>
          <w:rFonts w:hint="eastAsia" w:ascii="宋体" w:hAnsi="宋体" w:eastAsia="宋体"/>
          <w:b/>
          <w:color w:val="auto"/>
          <w:sz w:val="21"/>
          <w:szCs w:val="21"/>
          <w:u w:val="single"/>
        </w:rPr>
        <w:t>0,000.00</w:t>
      </w:r>
      <w:r>
        <w:rPr>
          <w:rFonts w:hint="eastAsia" w:ascii="宋体" w:hAnsi="宋体" w:eastAsia="宋体"/>
          <w:color w:val="auto"/>
          <w:sz w:val="21"/>
          <w:szCs w:val="21"/>
        </w:rPr>
        <w:t>元。</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2、简要技术要求或招标项目的性质：详细内容请参阅招标文件第三部分《用户需求书》。</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二、投标人资格要求</w:t>
      </w:r>
    </w:p>
    <w:p>
      <w:pPr>
        <w:spacing w:after="0" w:line="360" w:lineRule="auto"/>
        <w:ind w:firstLine="411" w:firstLineChars="196"/>
        <w:rPr>
          <w:rFonts w:ascii="宋体" w:hAnsi="宋体" w:eastAsia="宋体"/>
          <w:color w:val="auto"/>
          <w:sz w:val="21"/>
          <w:szCs w:val="21"/>
        </w:rPr>
      </w:pPr>
      <w:r>
        <w:rPr>
          <w:rFonts w:hint="eastAsia" w:ascii="宋体" w:hAnsi="宋体" w:eastAsia="宋体"/>
          <w:color w:val="auto"/>
          <w:sz w:val="21"/>
          <w:szCs w:val="21"/>
        </w:rPr>
        <w:t>1、一般要求：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（1）须符合《中华人民共和国政府采购法》第二十二条规定（需提供书面承诺）；</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（2）参加采购活动前三年内，在经营活动中没有重大违法记录（须提供书面声明）；</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spacing w:after="0" w:line="360" w:lineRule="auto"/>
        <w:ind w:firstLine="411" w:firstLineChars="196"/>
        <w:rPr>
          <w:rFonts w:hint="eastAsia" w:ascii="宋体" w:hAnsi="宋体" w:eastAsia="宋体"/>
          <w:color w:val="auto"/>
          <w:sz w:val="21"/>
          <w:szCs w:val="21"/>
          <w:lang w:eastAsia="zh-CN"/>
        </w:rPr>
      </w:pPr>
      <w:r>
        <w:rPr>
          <w:rFonts w:hint="eastAsia" w:ascii="宋体" w:hAnsi="宋体" w:eastAsia="宋体"/>
          <w:color w:val="auto"/>
          <w:sz w:val="21"/>
          <w:szCs w:val="21"/>
        </w:rPr>
        <w:t>2、特殊要求：</w:t>
      </w:r>
      <w:r>
        <w:rPr>
          <w:rFonts w:hint="eastAsia" w:ascii="宋体" w:hAnsi="宋体" w:eastAsia="宋体"/>
          <w:color w:val="auto"/>
          <w:sz w:val="21"/>
          <w:szCs w:val="21"/>
          <w:lang w:eastAsia="zh-CN"/>
        </w:rPr>
        <w:t>无</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三、项目公示时间、</w:t>
      </w:r>
      <w:r>
        <w:rPr>
          <w:rFonts w:hint="eastAsia" w:ascii="宋体" w:hAnsi="宋体" w:eastAsia="宋体"/>
          <w:b/>
          <w:color w:val="auto"/>
          <w:sz w:val="21"/>
          <w:szCs w:val="21"/>
          <w:lang w:eastAsia="zh-CN"/>
        </w:rPr>
        <w:t>招标文件领购</w:t>
      </w:r>
      <w:r>
        <w:rPr>
          <w:rFonts w:hint="eastAsia" w:ascii="宋体" w:hAnsi="宋体" w:eastAsia="宋体"/>
          <w:b/>
          <w:color w:val="auto"/>
          <w:sz w:val="21"/>
          <w:szCs w:val="21"/>
        </w:rPr>
        <w:t>时间、地点、方式</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1、项目公示时间：</w:t>
      </w:r>
      <w:r>
        <w:rPr>
          <w:rFonts w:hint="eastAsia" w:ascii="宋体" w:hAnsi="宋体" w:eastAsia="宋体"/>
          <w:color w:val="auto"/>
          <w:sz w:val="21"/>
          <w:szCs w:val="21"/>
          <w:lang w:eastAsia="zh-CN"/>
        </w:rPr>
        <w:t>2020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8</w:t>
      </w:r>
      <w:r>
        <w:rPr>
          <w:rFonts w:hint="eastAsia" w:ascii="宋体" w:hAnsi="宋体" w:eastAsia="宋体"/>
          <w:color w:val="auto"/>
          <w:sz w:val="21"/>
          <w:szCs w:val="21"/>
        </w:rPr>
        <w:t>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15</w:t>
      </w:r>
      <w:r>
        <w:rPr>
          <w:rFonts w:hint="eastAsia" w:ascii="宋体" w:hAnsi="宋体" w:eastAsia="宋体"/>
          <w:color w:val="auto"/>
          <w:sz w:val="21"/>
          <w:szCs w:val="21"/>
        </w:rPr>
        <w:t>日。</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招标文件领购</w:t>
      </w:r>
      <w:r>
        <w:rPr>
          <w:rFonts w:ascii="宋体" w:hAnsi="宋体" w:eastAsia="宋体"/>
          <w:color w:val="auto"/>
          <w:sz w:val="21"/>
          <w:szCs w:val="21"/>
        </w:rPr>
        <w:t>时间：</w:t>
      </w:r>
      <w:r>
        <w:rPr>
          <w:rFonts w:hint="eastAsia" w:ascii="宋体" w:hAnsi="宋体" w:eastAsia="宋体"/>
          <w:color w:val="auto"/>
          <w:sz w:val="21"/>
          <w:szCs w:val="21"/>
          <w:lang w:eastAsia="zh-CN"/>
        </w:rPr>
        <w:t>2020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8</w:t>
      </w:r>
      <w:r>
        <w:rPr>
          <w:rFonts w:hint="eastAsia" w:ascii="宋体" w:hAnsi="宋体" w:eastAsia="宋体"/>
          <w:color w:val="auto"/>
          <w:sz w:val="21"/>
          <w:szCs w:val="21"/>
        </w:rPr>
        <w:t>日起至20</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23</w:t>
      </w:r>
      <w:r>
        <w:rPr>
          <w:rFonts w:hint="eastAsia" w:ascii="宋体" w:hAnsi="宋体" w:eastAsia="宋体"/>
          <w:color w:val="auto"/>
          <w:sz w:val="21"/>
          <w:szCs w:val="21"/>
        </w:rPr>
        <w:t>日（节假日除外），上午9：00～12：00，下午14：</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0～17：</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0（北</w:t>
      </w:r>
      <w:bookmarkStart w:id="251" w:name="_GoBack"/>
      <w:bookmarkEnd w:id="251"/>
      <w:r>
        <w:rPr>
          <w:rFonts w:hint="eastAsia" w:ascii="宋体" w:hAnsi="宋体" w:eastAsia="宋体"/>
          <w:color w:val="auto"/>
          <w:sz w:val="21"/>
          <w:szCs w:val="21"/>
        </w:rPr>
        <w:t xml:space="preserve">京时间）。 </w:t>
      </w:r>
    </w:p>
    <w:p>
      <w:pPr>
        <w:spacing w:after="0" w:line="360" w:lineRule="auto"/>
        <w:ind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注：（1）投标人可自行打印招标文件中的“附件23 获取招标文件登记表”进行填写并带到现场进行领购，并现场领取发票。（招标文件领购价：人民币0元整）</w:t>
      </w:r>
    </w:p>
    <w:p>
      <w:pPr>
        <w:spacing w:after="0" w:line="360" w:lineRule="auto"/>
        <w:ind w:firstLine="420" w:firstLineChars="200"/>
        <w:rPr>
          <w:color w:val="auto"/>
        </w:rPr>
      </w:pPr>
      <w:r>
        <w:rPr>
          <w:rFonts w:hint="eastAsia" w:ascii="宋体" w:hAnsi="宋体" w:eastAsia="宋体"/>
          <w:color w:val="auto"/>
          <w:sz w:val="21"/>
          <w:szCs w:val="21"/>
          <w:lang w:val="en-US" w:eastAsia="zh-CN"/>
        </w:rPr>
        <w:t>（2）招标文件电子版可在东莞市政府采购网（http://czj.dg.gov.cn/dggp/）或广东省政府采购网（http://www.gdgpo.gov.cn）相关招标信息公告下自行下载。</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地点：东莞市南城街道鸿福西路81号国际商会大厦706室。</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rPr>
        <w:t>联系人：</w:t>
      </w:r>
      <w:r>
        <w:rPr>
          <w:rFonts w:hint="eastAsia" w:ascii="宋体" w:hAnsi="宋体" w:eastAsia="宋体"/>
          <w:color w:val="auto"/>
          <w:sz w:val="21"/>
          <w:szCs w:val="21"/>
          <w:lang w:eastAsia="zh-CN"/>
        </w:rPr>
        <w:t>黄雯静</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联系电话：0769-21682660</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方式：现场</w:t>
      </w:r>
      <w:r>
        <w:rPr>
          <w:rFonts w:hint="eastAsia" w:ascii="宋体" w:hAnsi="宋体" w:eastAsia="宋体"/>
          <w:color w:val="auto"/>
          <w:sz w:val="21"/>
          <w:szCs w:val="21"/>
          <w:lang w:eastAsia="zh-CN"/>
        </w:rPr>
        <w:t>领购</w:t>
      </w:r>
      <w:r>
        <w:rPr>
          <w:rFonts w:hint="eastAsia" w:ascii="宋体" w:hAnsi="宋体" w:eastAsia="宋体"/>
          <w:color w:val="auto"/>
          <w:sz w:val="21"/>
          <w:szCs w:val="21"/>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投标人在</w:t>
      </w:r>
      <w:r>
        <w:rPr>
          <w:rFonts w:hint="eastAsia" w:ascii="宋体" w:hAnsi="宋体" w:eastAsia="宋体"/>
          <w:color w:val="auto"/>
          <w:sz w:val="21"/>
          <w:szCs w:val="21"/>
          <w:lang w:eastAsia="zh-CN"/>
        </w:rPr>
        <w:t>领购</w:t>
      </w:r>
      <w:r>
        <w:rPr>
          <w:rFonts w:hint="eastAsia" w:ascii="宋体" w:hAnsi="宋体" w:eastAsia="宋体"/>
          <w:color w:val="auto"/>
          <w:sz w:val="21"/>
          <w:szCs w:val="21"/>
        </w:rPr>
        <w:t>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lang w:eastAsia="zh-CN"/>
        </w:rPr>
        <w:t>，自然人参加投标须提供自然人的身份证明材料</w:t>
      </w:r>
      <w:r>
        <w:rPr>
          <w:rFonts w:hint="eastAsia" w:ascii="宋体" w:hAnsi="宋体" w:eastAsia="宋体"/>
          <w:color w:val="auto"/>
          <w:sz w:val="21"/>
          <w:szCs w:val="21"/>
        </w:rPr>
        <w:t>；</w:t>
      </w:r>
    </w:p>
    <w:p>
      <w:pPr>
        <w:spacing w:after="0" w:line="360" w:lineRule="auto"/>
        <w:ind w:firstLine="420" w:firstLineChars="200"/>
        <w:rPr>
          <w:color w:val="auto"/>
        </w:rPr>
      </w:pPr>
      <w:r>
        <w:rPr>
          <w:rFonts w:hint="eastAsia" w:ascii="宋体" w:hAnsi="宋体" w:eastAsia="宋体"/>
          <w:color w:val="auto"/>
          <w:sz w:val="21"/>
          <w:szCs w:val="21"/>
          <w:lang w:val="en-US" w:eastAsia="zh-CN"/>
        </w:rPr>
        <w:t>注：凡参与东莞市政府采购活动的供应商，应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各供应商在入库过程中遇到问题的，请及时与市公共资源交易中心联系。入库信息管理联系人：杨琳,联系电话：0769-28330677，系统技术人员联系电话：0769-28330604。</w:t>
      </w: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四、投标截止时间、开标时间及地点</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1、递交投标文件时间：20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4</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30</w:t>
      </w:r>
      <w:r>
        <w:rPr>
          <w:rFonts w:hint="eastAsia" w:ascii="宋体" w:hAnsi="宋体" w:eastAsia="宋体"/>
          <w:bCs/>
          <w:color w:val="auto"/>
          <w:sz w:val="21"/>
          <w:szCs w:val="21"/>
        </w:rPr>
        <w:t>日上午9：00～9：30。</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2、</w:t>
      </w:r>
      <w:r>
        <w:rPr>
          <w:rFonts w:ascii="宋体" w:hAnsi="宋体" w:eastAsia="宋体"/>
          <w:bCs/>
          <w:color w:val="auto"/>
          <w:sz w:val="21"/>
          <w:szCs w:val="21"/>
        </w:rPr>
        <w:t>投标截止</w:t>
      </w:r>
      <w:r>
        <w:rPr>
          <w:rFonts w:hint="eastAsia" w:ascii="宋体" w:hAnsi="宋体" w:eastAsia="宋体"/>
          <w:bCs/>
          <w:color w:val="auto"/>
          <w:sz w:val="21"/>
          <w:szCs w:val="21"/>
        </w:rPr>
        <w:t>及开标时间：20</w:t>
      </w:r>
      <w:r>
        <w:rPr>
          <w:rFonts w:hint="eastAsia" w:ascii="宋体" w:hAnsi="宋体" w:eastAsia="宋体"/>
          <w:bCs/>
          <w:color w:val="auto"/>
          <w:sz w:val="21"/>
          <w:szCs w:val="21"/>
          <w:lang w:val="en-US" w:eastAsia="zh-CN"/>
        </w:rPr>
        <w:t>20</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4</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30</w:t>
      </w:r>
      <w:r>
        <w:rPr>
          <w:rFonts w:hint="eastAsia" w:ascii="宋体" w:hAnsi="宋体" w:eastAsia="宋体"/>
          <w:bCs/>
          <w:color w:val="auto"/>
          <w:sz w:val="21"/>
          <w:szCs w:val="21"/>
        </w:rPr>
        <w:t>日上午9时30分。</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3、</w:t>
      </w:r>
      <w:r>
        <w:rPr>
          <w:rFonts w:ascii="宋体" w:hAnsi="宋体" w:eastAsia="宋体"/>
          <w:bCs/>
          <w:color w:val="auto"/>
          <w:sz w:val="21"/>
          <w:szCs w:val="21"/>
        </w:rPr>
        <w:t>开标地点：</w:t>
      </w:r>
      <w:r>
        <w:rPr>
          <w:rFonts w:hint="eastAsia" w:ascii="宋体" w:hAnsi="宋体" w:eastAsia="宋体"/>
          <w:color w:val="auto"/>
          <w:sz w:val="21"/>
          <w:szCs w:val="21"/>
        </w:rPr>
        <w:t>东莞市南城街道鸿福西路81号国际商会大厦601室</w:t>
      </w:r>
      <w:r>
        <w:rPr>
          <w:rFonts w:hint="eastAsia" w:ascii="宋体" w:hAnsi="宋体" w:eastAsia="宋体"/>
          <w:bCs/>
          <w:color w:val="auto"/>
          <w:sz w:val="21"/>
          <w:szCs w:val="21"/>
        </w:rPr>
        <w:t>。</w:t>
      </w:r>
    </w:p>
    <w:p>
      <w:pPr>
        <w:spacing w:after="0" w:line="360" w:lineRule="auto"/>
        <w:ind w:firstLine="413" w:firstLineChars="196"/>
        <w:rPr>
          <w:rFonts w:ascii="宋体" w:hAnsi="宋体" w:eastAsia="宋体"/>
          <w:bCs/>
          <w:color w:val="auto"/>
          <w:sz w:val="21"/>
          <w:szCs w:val="21"/>
        </w:rPr>
      </w:pPr>
      <w:r>
        <w:rPr>
          <w:rFonts w:hint="eastAsia" w:ascii="宋体" w:hAnsi="宋体" w:eastAsia="宋体"/>
          <w:b/>
          <w:color w:val="auto"/>
          <w:sz w:val="21"/>
          <w:szCs w:val="21"/>
        </w:rPr>
        <w:t>五、采购人及采购代理机构的名称、地址和联系方法：</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采购人联系人：常惠芬</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地址：广东省东莞市元美中路2号</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联系电话：0769-22835228</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采购代理机构名称：三方诚信招标有限公司东莞分公司</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地址：东莞市南城街道鸿福西路81号国际商会大厦706室。</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采购代理机构联系人：黄应奎</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联系电话：0769-21682660</w:t>
      </w:r>
    </w:p>
    <w:p>
      <w:pPr>
        <w:spacing w:after="0" w:line="360" w:lineRule="auto"/>
        <w:ind w:firstLine="420" w:firstLineChars="200"/>
        <w:rPr>
          <w:rFonts w:eastAsia="宋体"/>
          <w:color w:val="auto"/>
        </w:rPr>
      </w:pPr>
      <w:r>
        <w:rPr>
          <w:rFonts w:hint="eastAsia" w:ascii="宋体" w:hAnsi="宋体" w:eastAsia="宋体"/>
          <w:color w:val="auto"/>
          <w:sz w:val="21"/>
          <w:szCs w:val="21"/>
        </w:rPr>
        <w:t>E－ mail：49191135@qq.com</w:t>
      </w:r>
    </w:p>
    <w:p>
      <w:pPr>
        <w:rPr>
          <w:color w:val="auto"/>
        </w:rPr>
      </w:pPr>
    </w:p>
    <w:p>
      <w:pPr>
        <w:ind w:right="788" w:rightChars="358"/>
        <w:jc w:val="both"/>
        <w:rPr>
          <w:color w:val="auto"/>
        </w:rPr>
      </w:pPr>
    </w:p>
    <w:p>
      <w:pPr>
        <w:ind w:right="788" w:rightChars="358"/>
        <w:jc w:val="right"/>
        <w:rPr>
          <w:rFonts w:ascii="宋体" w:hAnsi="宋体" w:eastAsia="宋体" w:cs="宋体"/>
          <w:color w:val="auto"/>
          <w:sz w:val="21"/>
          <w:szCs w:val="21"/>
        </w:rPr>
      </w:pPr>
      <w:r>
        <w:rPr>
          <w:rFonts w:hint="eastAsia" w:ascii="宋体" w:hAnsi="宋体" w:eastAsia="宋体" w:cs="宋体"/>
          <w:color w:val="auto"/>
          <w:sz w:val="21"/>
          <w:szCs w:val="21"/>
        </w:rPr>
        <w:t xml:space="preserve">    三方诚信招标有限公司东莞分公司</w:t>
      </w:r>
    </w:p>
    <w:p>
      <w:pPr>
        <w:ind w:left="6481" w:leftChars="2755" w:hanging="420" w:hangingChars="200"/>
        <w:rPr>
          <w:rFonts w:ascii="宋体" w:hAnsi="宋体" w:eastAsia="宋体" w:cs="宋体"/>
          <w:color w:val="auto"/>
          <w:sz w:val="21"/>
          <w:szCs w:val="21"/>
        </w:rPr>
      </w:pPr>
      <w:r>
        <w:rPr>
          <w:rFonts w:hint="eastAsia" w:ascii="宋体" w:hAnsi="宋体" w:eastAsia="宋体" w:cs="宋体"/>
          <w:color w:val="auto"/>
          <w:sz w:val="21"/>
          <w:szCs w:val="21"/>
        </w:rPr>
        <w:t>二〇二〇年</w:t>
      </w:r>
      <w:r>
        <w:rPr>
          <w:rFonts w:hint="eastAsia" w:ascii="宋体" w:hAnsi="宋体" w:eastAsia="宋体" w:cs="宋体"/>
          <w:color w:val="auto"/>
          <w:sz w:val="21"/>
          <w:szCs w:val="21"/>
          <w:lang w:eastAsia="zh-CN"/>
        </w:rPr>
        <w:t>四</w:t>
      </w:r>
      <w:r>
        <w:rPr>
          <w:rFonts w:hint="eastAsia" w:ascii="宋体" w:hAnsi="宋体" w:eastAsia="宋体" w:cs="宋体"/>
          <w:color w:val="auto"/>
          <w:sz w:val="21"/>
          <w:szCs w:val="21"/>
        </w:rPr>
        <w:t>月</w:t>
      </w:r>
    </w:p>
    <w:p>
      <w:pPr>
        <w:ind w:left="6481" w:leftChars="2755" w:hanging="420" w:hangingChars="200"/>
        <w:rPr>
          <w:rFonts w:ascii="黑体" w:hAnsi="宋体" w:eastAsia="黑体"/>
          <w:color w:val="auto"/>
        </w:rPr>
      </w:pPr>
      <w:r>
        <w:rPr>
          <w:rFonts w:hint="eastAsia" w:ascii="宋体" w:hAnsi="宋体" w:eastAsia="宋体" w:cs="宋体"/>
          <w:color w:val="auto"/>
          <w:sz w:val="21"/>
          <w:szCs w:val="21"/>
        </w:rPr>
        <w:br w:type="page"/>
      </w:r>
    </w:p>
    <w:p>
      <w:pPr>
        <w:pStyle w:val="3"/>
        <w:spacing w:before="0" w:after="0" w:line="240" w:lineRule="auto"/>
        <w:rPr>
          <w:color w:val="auto"/>
          <w:sz w:val="28"/>
          <w:szCs w:val="28"/>
        </w:rPr>
      </w:pPr>
      <w:bookmarkStart w:id="1" w:name="_Toc14146"/>
      <w:r>
        <w:rPr>
          <w:rFonts w:hint="eastAsia"/>
          <w:color w:val="auto"/>
          <w:sz w:val="28"/>
          <w:szCs w:val="28"/>
        </w:rPr>
        <w:t>第二部分 相关资料表格</w:t>
      </w:r>
      <w:bookmarkEnd w:id="1"/>
    </w:p>
    <w:p>
      <w:pPr>
        <w:pStyle w:val="4"/>
        <w:spacing w:before="0" w:after="0" w:line="240" w:lineRule="auto"/>
        <w:jc w:val="center"/>
        <w:rPr>
          <w:rFonts w:ascii="宋体" w:hAnsi="宋体" w:eastAsia="宋体" w:cs="宋体"/>
          <w:color w:val="auto"/>
          <w:sz w:val="24"/>
          <w:szCs w:val="24"/>
        </w:rPr>
      </w:pPr>
      <w:bookmarkStart w:id="2" w:name="_Toc20683"/>
      <w:r>
        <w:rPr>
          <w:rFonts w:hint="eastAsia" w:ascii="宋体" w:hAnsi="宋体" w:eastAsia="宋体" w:cs="宋体"/>
          <w:color w:val="auto"/>
          <w:sz w:val="24"/>
          <w:szCs w:val="24"/>
        </w:rPr>
        <w:t>附表一：投标资料表</w:t>
      </w:r>
      <w:bookmarkEnd w:id="2"/>
    </w:p>
    <w:tbl>
      <w:tblPr>
        <w:tblStyle w:val="16"/>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510"/>
        <w:gridCol w:w="98"/>
        <w:gridCol w:w="1158"/>
        <w:gridCol w:w="1254"/>
        <w:gridCol w:w="2512"/>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7532"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内</w:t>
            </w:r>
            <w:r>
              <w:rPr>
                <w:rFonts w:ascii="宋体" w:hAnsi="宋体" w:eastAsia="宋体"/>
                <w:b/>
                <w:color w:val="auto"/>
                <w:sz w:val="21"/>
                <w:szCs w:val="21"/>
              </w:rPr>
              <w:t xml:space="preserve">      </w:t>
            </w:r>
            <w:r>
              <w:rPr>
                <w:rFonts w:hint="eastAsia" w:ascii="宋体" w:hAnsi="宋体" w:eastAsia="宋体"/>
                <w:b/>
                <w:color w:val="auto"/>
                <w:sz w:val="21"/>
                <w:szCs w:val="21"/>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6"/>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w:t>
            </w:r>
          </w:p>
        </w:tc>
        <w:tc>
          <w:tcPr>
            <w:tcW w:w="7532" w:type="dxa"/>
            <w:gridSpan w:val="5"/>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rPr>
                <w:rFonts w:ascii="宋体" w:hAnsi="宋体" w:eastAsia="宋体"/>
                <w:b/>
                <w:bCs/>
                <w:color w:val="auto"/>
                <w:sz w:val="21"/>
                <w:szCs w:val="21"/>
              </w:rPr>
            </w:pPr>
            <w:r>
              <w:rPr>
                <w:rFonts w:hint="eastAsia" w:ascii="宋体" w:hAnsi="宋体" w:eastAsia="宋体"/>
                <w:bCs/>
                <w:color w:val="auto"/>
                <w:sz w:val="21"/>
                <w:szCs w:val="21"/>
                <w:lang w:val="en-US" w:eastAsia="zh-CN"/>
              </w:rPr>
              <w:t>675万元</w:t>
            </w:r>
            <w:r>
              <w:rPr>
                <w:rFonts w:hint="eastAsia" w:ascii="宋体" w:hAnsi="宋体" w:eastAsia="宋体"/>
                <w:bCs/>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2</w:t>
            </w:r>
          </w:p>
        </w:tc>
        <w:tc>
          <w:tcPr>
            <w:tcW w:w="7532" w:type="dxa"/>
            <w:gridSpan w:val="5"/>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rPr>
                <w:rFonts w:ascii="宋体" w:hAnsi="宋体" w:eastAsia="宋体"/>
                <w:b/>
                <w:bCs/>
                <w:color w:val="auto"/>
                <w:sz w:val="21"/>
                <w:szCs w:val="21"/>
              </w:rPr>
            </w:pPr>
            <w:r>
              <w:rPr>
                <w:rFonts w:hint="eastAsia" w:ascii="宋体" w:hAnsi="宋体" w:eastAsia="宋体"/>
                <w:color w:val="auto"/>
                <w:sz w:val="21"/>
                <w:szCs w:val="21"/>
              </w:rPr>
              <w:t>财政性资金。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3</w:t>
            </w:r>
          </w:p>
        </w:tc>
        <w:tc>
          <w:tcPr>
            <w:tcW w:w="7532" w:type="dxa"/>
            <w:gridSpan w:val="5"/>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rPr>
                <w:rFonts w:ascii="宋体" w:hAnsi="宋体" w:eastAsia="宋体"/>
                <w:b/>
                <w:color w:val="auto"/>
                <w:sz w:val="21"/>
                <w:szCs w:val="21"/>
              </w:rPr>
            </w:pPr>
            <w:r>
              <w:rPr>
                <w:rFonts w:hint="eastAsia" w:ascii="宋体" w:hAnsi="宋体" w:eastAsia="宋体"/>
                <w:bCs/>
                <w:color w:val="auto"/>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4</w:t>
            </w:r>
          </w:p>
        </w:tc>
        <w:tc>
          <w:tcPr>
            <w:tcW w:w="7532"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2510"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东莞市政府采购网</w:t>
            </w:r>
          </w:p>
        </w:tc>
        <w:tc>
          <w:tcPr>
            <w:tcW w:w="2510"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广东省政府采购网</w:t>
            </w:r>
          </w:p>
        </w:tc>
        <w:tc>
          <w:tcPr>
            <w:tcW w:w="2512"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2510" w:type="dxa"/>
            <w:vAlign w:val="center"/>
          </w:tcPr>
          <w:p>
            <w:pPr>
              <w:spacing w:after="0"/>
              <w:jc w:val="center"/>
              <w:rPr>
                <w:rFonts w:ascii="宋体" w:hAnsi="宋体" w:eastAsia="宋体"/>
                <w:b/>
                <w:color w:val="auto"/>
                <w:sz w:val="21"/>
                <w:szCs w:val="21"/>
              </w:rPr>
            </w:pPr>
            <w:r>
              <w:rPr>
                <w:rFonts w:hint="eastAsia" w:ascii="宋体" w:hAnsi="宋体" w:eastAsia="宋体"/>
                <w:color w:val="auto"/>
                <w:sz w:val="21"/>
                <w:szCs w:val="21"/>
              </w:rPr>
              <w:t>http://czj.dg.gov.cn/dggp/</w:t>
            </w:r>
          </w:p>
        </w:tc>
        <w:tc>
          <w:tcPr>
            <w:tcW w:w="2510" w:type="dxa"/>
            <w:gridSpan w:val="3"/>
            <w:vAlign w:val="center"/>
          </w:tcPr>
          <w:p>
            <w:pPr>
              <w:spacing w:after="0"/>
              <w:jc w:val="center"/>
              <w:rPr>
                <w:rFonts w:ascii="宋体" w:hAnsi="宋体" w:eastAsia="宋体"/>
                <w:b/>
                <w:color w:val="auto"/>
                <w:sz w:val="21"/>
                <w:szCs w:val="21"/>
              </w:rPr>
            </w:pPr>
            <w:r>
              <w:rPr>
                <w:rFonts w:ascii="宋体" w:hAnsi="宋体" w:eastAsia="宋体"/>
                <w:color w:val="auto"/>
                <w:sz w:val="21"/>
                <w:szCs w:val="21"/>
              </w:rPr>
              <w:t>http://www.gdgpo.gov.cn</w:t>
            </w:r>
          </w:p>
        </w:tc>
        <w:tc>
          <w:tcPr>
            <w:tcW w:w="2512" w:type="dxa"/>
            <w:vAlign w:val="center"/>
          </w:tcPr>
          <w:p>
            <w:pPr>
              <w:spacing w:after="0"/>
              <w:jc w:val="center"/>
              <w:rPr>
                <w:rFonts w:ascii="宋体" w:hAnsi="宋体" w:eastAsia="宋体"/>
                <w:b/>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6"/>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5</w:t>
            </w:r>
          </w:p>
        </w:tc>
        <w:tc>
          <w:tcPr>
            <w:tcW w:w="7532" w:type="dxa"/>
            <w:gridSpan w:val="5"/>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rPr>
                <w:rFonts w:ascii="宋体" w:hAnsi="宋体" w:eastAsia="宋体"/>
                <w:b/>
                <w:color w:val="auto"/>
                <w:sz w:val="21"/>
                <w:szCs w:val="21"/>
              </w:rPr>
            </w:pPr>
            <w:r>
              <w:rPr>
                <w:rFonts w:hint="eastAsia" w:ascii="宋体" w:hAnsi="宋体" w:eastAsia="宋体"/>
                <w:color w:val="auto"/>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6</w:t>
            </w: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7</w:t>
            </w: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8</w:t>
            </w: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9</w:t>
            </w: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（1）投标保证金金额：人民币</w:t>
            </w:r>
            <w:r>
              <w:rPr>
                <w:rFonts w:hint="eastAsia" w:ascii="宋体" w:hAnsi="宋体" w:eastAsia="宋体"/>
                <w:b/>
                <w:color w:val="auto"/>
                <w:sz w:val="21"/>
                <w:szCs w:val="21"/>
                <w:lang w:eastAsia="zh-CN"/>
              </w:rPr>
              <w:t>拾万</w:t>
            </w:r>
            <w:r>
              <w:rPr>
                <w:rFonts w:hint="eastAsia" w:ascii="宋体" w:hAnsi="宋体" w:eastAsia="宋体"/>
                <w:color w:val="auto"/>
                <w:sz w:val="21"/>
                <w:szCs w:val="21"/>
              </w:rPr>
              <w:t>元整（￥</w:t>
            </w:r>
            <w:r>
              <w:rPr>
                <w:rFonts w:hint="eastAsia" w:ascii="宋体" w:hAnsi="宋体" w:eastAsia="宋体"/>
                <w:b/>
                <w:color w:val="auto"/>
                <w:sz w:val="21"/>
                <w:szCs w:val="21"/>
                <w:lang w:val="en-US" w:eastAsia="zh-CN"/>
              </w:rPr>
              <w:t>100,000.00</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val="zh-CN"/>
              </w:rPr>
              <w:t>投标保证金须严格按“招标文件第五章投标人须知”要求提交。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（3）保证金递交账户：</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收款人：广东三方诚信招标有限公司东莞分公司</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开户行：广发银行股份有限公司东莞南城支行</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帐  号：6232590699050008588</w:t>
            </w:r>
          </w:p>
          <w:p>
            <w:pPr>
              <w:spacing w:after="0"/>
              <w:jc w:val="both"/>
              <w:rPr>
                <w:rFonts w:ascii="宋体" w:hAnsi="宋体" w:eastAsia="宋体"/>
                <w:color w:val="auto"/>
                <w:sz w:val="21"/>
                <w:szCs w:val="21"/>
              </w:rPr>
            </w:pPr>
            <w:r>
              <w:rPr>
                <w:rFonts w:hint="eastAsia" w:ascii="宋体" w:hAnsi="宋体" w:eastAsia="宋体"/>
                <w:color w:val="auto"/>
                <w:sz w:val="21"/>
                <w:szCs w:val="21"/>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10</w:t>
            </w:r>
          </w:p>
        </w:tc>
        <w:tc>
          <w:tcPr>
            <w:tcW w:w="7532" w:type="dxa"/>
            <w:gridSpan w:val="5"/>
            <w:vAlign w:val="center"/>
          </w:tcPr>
          <w:p>
            <w:pPr>
              <w:spacing w:after="0"/>
              <w:jc w:val="both"/>
              <w:rPr>
                <w:rFonts w:ascii="宋体" w:hAnsi="宋体" w:eastAsia="宋体"/>
                <w:b/>
                <w:bCs/>
                <w:color w:val="auto"/>
                <w:sz w:val="21"/>
                <w:szCs w:val="21"/>
                <w:lang w:val="zh-CN"/>
              </w:rPr>
            </w:pPr>
            <w:r>
              <w:rPr>
                <w:rFonts w:hint="eastAsia" w:ascii="宋体" w:hAnsi="宋体" w:eastAsia="宋体"/>
                <w:b/>
                <w:bCs/>
                <w:color w:val="auto"/>
                <w:sz w:val="21"/>
                <w:szCs w:val="21"/>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1</w:t>
            </w:r>
            <w:r>
              <w:rPr>
                <w:rFonts w:hint="eastAsia" w:ascii="宋体" w:hAnsi="宋体" w:eastAsia="宋体"/>
                <w:color w:val="auto"/>
                <w:sz w:val="21"/>
                <w:szCs w:val="21"/>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2</w:t>
            </w:r>
            <w:r>
              <w:rPr>
                <w:rFonts w:hint="eastAsia" w:ascii="宋体" w:hAnsi="宋体" w:eastAsia="宋体"/>
                <w:color w:val="auto"/>
                <w:sz w:val="21"/>
                <w:szCs w:val="21"/>
                <w:lang w:val="zh-CN"/>
              </w:rPr>
              <w:t>）为方便退还未中标的投保人的保证金，投标人应制作《投标保证金汇入情况说明》随开标文件一并递交。</w:t>
            </w:r>
          </w:p>
          <w:p>
            <w:pPr>
              <w:spacing w:after="0"/>
              <w:jc w:val="both"/>
              <w:rPr>
                <w:rFonts w:eastAsia="宋体"/>
                <w:color w:val="auto"/>
              </w:rPr>
            </w:pPr>
            <w:r>
              <w:rPr>
                <w:rFonts w:hint="eastAsia" w:ascii="宋体" w:hAnsi="宋体" w:eastAsia="宋体"/>
                <w:color w:val="auto"/>
                <w:sz w:val="21"/>
                <w:szCs w:val="21"/>
                <w:lang w:val="zh-CN"/>
              </w:rPr>
              <w:t>（</w:t>
            </w:r>
            <w:r>
              <w:rPr>
                <w:rFonts w:hint="eastAsia" w:ascii="宋体" w:hAnsi="宋体" w:eastAsia="宋体"/>
                <w:color w:val="auto"/>
                <w:sz w:val="21"/>
                <w:szCs w:val="21"/>
              </w:rPr>
              <w:t>3</w:t>
            </w:r>
            <w:r>
              <w:rPr>
                <w:rFonts w:hint="eastAsia" w:ascii="宋体" w:hAnsi="宋体" w:eastAsia="宋体"/>
                <w:color w:val="auto"/>
                <w:sz w:val="21"/>
                <w:szCs w:val="21"/>
                <w:lang w:val="zh-CN"/>
              </w:rPr>
              <w:t>）投标保证金退还联系电话：</w:t>
            </w:r>
            <w:r>
              <w:rPr>
                <w:rFonts w:hint="eastAsia" w:ascii="宋体" w:hAnsi="宋体" w:eastAsia="宋体"/>
                <w:color w:val="auto"/>
                <w:sz w:val="21"/>
                <w:szCs w:val="21"/>
              </w:rPr>
              <w:t>0769-21862660-801。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11</w:t>
            </w: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12</w:t>
            </w:r>
          </w:p>
        </w:tc>
        <w:tc>
          <w:tcPr>
            <w:tcW w:w="7532" w:type="dxa"/>
            <w:gridSpan w:val="5"/>
            <w:vAlign w:val="center"/>
          </w:tcPr>
          <w:p>
            <w:pPr>
              <w:spacing w:after="0"/>
              <w:jc w:val="center"/>
              <w:rPr>
                <w:rFonts w:hint="eastAsia" w:ascii="宋体" w:hAnsi="宋体" w:eastAsia="宋体"/>
                <w:color w:val="auto"/>
                <w:sz w:val="21"/>
                <w:szCs w:val="21"/>
              </w:rPr>
            </w:pPr>
            <w:r>
              <w:rPr>
                <w:rFonts w:hint="eastAsia" w:ascii="宋体" w:hAnsi="宋体" w:eastAsia="宋体"/>
                <w:b/>
                <w:color w:val="auto"/>
                <w:sz w:val="21"/>
                <w:szCs w:val="21"/>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3"/>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信用中国</w:t>
            </w:r>
          </w:p>
        </w:tc>
        <w:tc>
          <w:tcPr>
            <w:tcW w:w="3766" w:type="dxa"/>
            <w:gridSpan w:val="2"/>
            <w:vAlign w:val="center"/>
          </w:tcPr>
          <w:p>
            <w:pPr>
              <w:spacing w:after="0"/>
              <w:jc w:val="center"/>
              <w:rPr>
                <w:rFonts w:hint="eastAsia"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3"/>
            <w:vAlign w:val="center"/>
          </w:tcPr>
          <w:p>
            <w:pPr>
              <w:spacing w:after="0"/>
              <w:jc w:val="center"/>
              <w:rPr>
                <w:rFonts w:hint="eastAsia" w:ascii="宋体" w:hAnsi="宋体" w:eastAsia="宋体"/>
                <w:color w:val="auto"/>
                <w:sz w:val="21"/>
                <w:szCs w:val="21"/>
              </w:rPr>
            </w:pPr>
            <w:r>
              <w:rPr>
                <w:rFonts w:hint="eastAsia" w:ascii="宋体" w:hAnsi="宋体" w:eastAsia="宋体"/>
                <w:color w:val="auto"/>
                <w:sz w:val="21"/>
                <w:szCs w:val="21"/>
              </w:rPr>
              <w:t>https://www.creditchina.gov.cn/</w:t>
            </w:r>
          </w:p>
        </w:tc>
        <w:tc>
          <w:tcPr>
            <w:tcW w:w="3766" w:type="dxa"/>
            <w:gridSpan w:val="2"/>
            <w:vAlign w:val="center"/>
          </w:tcPr>
          <w:p>
            <w:pPr>
              <w:spacing w:after="0"/>
              <w:jc w:val="center"/>
              <w:rPr>
                <w:rFonts w:hint="eastAsia" w:ascii="宋体" w:hAnsi="宋体" w:eastAsia="宋体"/>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13</w:t>
            </w:r>
          </w:p>
        </w:tc>
        <w:tc>
          <w:tcPr>
            <w:tcW w:w="7532" w:type="dxa"/>
            <w:gridSpan w:val="5"/>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投标文件类型</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开标文件</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投标文件正本</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投标文件副本</w:t>
            </w:r>
          </w:p>
        </w:tc>
        <w:tc>
          <w:tcPr>
            <w:tcW w:w="4924" w:type="dxa"/>
            <w:gridSpan w:val="3"/>
            <w:vAlign w:val="center"/>
          </w:tcPr>
          <w:p>
            <w:pPr>
              <w:spacing w:after="0"/>
              <w:rPr>
                <w:rFonts w:hint="eastAsia" w:ascii="宋体" w:hAnsi="宋体" w:eastAsia="宋体"/>
                <w:b/>
                <w:color w:val="auto"/>
                <w:sz w:val="21"/>
                <w:szCs w:val="21"/>
                <w:lang w:eastAsia="zh-CN"/>
              </w:rPr>
            </w:pPr>
            <w:r>
              <w:rPr>
                <w:rFonts w:hint="eastAsia" w:ascii="宋体" w:hAnsi="宋体" w:eastAsia="宋体"/>
                <w:b/>
                <w:color w:val="auto"/>
                <w:sz w:val="21"/>
                <w:szCs w:val="21"/>
              </w:rPr>
              <w:t>项目采购预算在1000 万元以内的，纸质投标文件副本≥5 份，项目采购预算在1000 万元（含 1000 万元）以上的，纸质投标文件副本≥7 份</w:t>
            </w:r>
            <w:r>
              <w:rPr>
                <w:rFonts w:hint="eastAsia" w:ascii="宋体" w:hAnsi="宋体" w:eastAsia="宋体"/>
                <w:b/>
                <w:color w:val="auto"/>
                <w:sz w:val="21"/>
                <w:szCs w:val="21"/>
                <w:lang w:eastAsia="zh-CN"/>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电子文档</w:t>
            </w:r>
          </w:p>
        </w:tc>
        <w:tc>
          <w:tcPr>
            <w:tcW w:w="4924"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6"/>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14</w:t>
            </w: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15</w:t>
            </w: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见附表一。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16</w:t>
            </w: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2%。</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b/>
                <w:bCs/>
                <w:color w:val="auto"/>
                <w:sz w:val="21"/>
                <w:szCs w:val="21"/>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lang w:eastAsia="zh-CN"/>
              </w:rPr>
              <w:t>该</w:t>
            </w:r>
            <w:r>
              <w:rPr>
                <w:rFonts w:hint="eastAsia" w:ascii="宋体" w:hAnsi="宋体" w:eastAsia="宋体"/>
                <w:color w:val="auto"/>
                <w:sz w:val="21"/>
                <w:szCs w:val="21"/>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6"/>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17</w:t>
            </w:r>
          </w:p>
        </w:tc>
        <w:tc>
          <w:tcPr>
            <w:tcW w:w="7532" w:type="dxa"/>
            <w:gridSpan w:val="5"/>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18</w:t>
            </w:r>
          </w:p>
        </w:tc>
        <w:tc>
          <w:tcPr>
            <w:tcW w:w="7532" w:type="dxa"/>
            <w:gridSpan w:val="5"/>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中标服务费根据国家计委[计价格[2002]1980号]文和国家发改委[发改价格[2011]534号]文及相关规定向中标单位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5"/>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收 款 人：三方诚信招标有限公司东莞分公司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6"/>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rPr>
            </w:pPr>
            <w:r>
              <w:rPr>
                <w:rFonts w:hint="eastAsia" w:ascii="宋体" w:hAnsi="宋体" w:eastAsia="宋体"/>
                <w:color w:val="auto"/>
                <w:sz w:val="21"/>
                <w:szCs w:val="21"/>
              </w:rPr>
              <w:t>注：本表关于要采购项目的具体资料，是对投标人须知的具体补充和修改，如有矛盾，应以本资料表为准。</w:t>
            </w:r>
          </w:p>
        </w:tc>
      </w:tr>
    </w:tbl>
    <w:p>
      <w:pPr>
        <w:jc w:val="center"/>
        <w:rPr>
          <w:color w:val="auto"/>
        </w:rPr>
      </w:pPr>
      <w:r>
        <w:rPr>
          <w:rFonts w:hint="eastAsia"/>
          <w:color w:val="auto"/>
        </w:rPr>
        <w:br w:type="page"/>
      </w:r>
    </w:p>
    <w:p>
      <w:pPr>
        <w:pStyle w:val="4"/>
        <w:spacing w:before="0" w:after="0" w:line="240" w:lineRule="auto"/>
        <w:jc w:val="center"/>
        <w:rPr>
          <w:rFonts w:ascii="宋体" w:hAnsi="宋体" w:eastAsia="宋体" w:cs="宋体"/>
          <w:color w:val="auto"/>
          <w:sz w:val="24"/>
          <w:szCs w:val="24"/>
        </w:rPr>
      </w:pPr>
      <w:bookmarkStart w:id="3" w:name="_Toc9572"/>
      <w:r>
        <w:rPr>
          <w:rFonts w:hint="eastAsia" w:ascii="宋体" w:hAnsi="宋体" w:eastAsia="宋体" w:cs="宋体"/>
          <w:color w:val="auto"/>
          <w:sz w:val="24"/>
          <w:szCs w:val="24"/>
        </w:rPr>
        <w:t>附表二：商务技术评分及价格权重表</w:t>
      </w:r>
      <w:bookmarkEnd w:id="3"/>
    </w:p>
    <w:tbl>
      <w:tblPr>
        <w:tblStyle w:val="16"/>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30"/>
        <w:gridCol w:w="773"/>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评分内容</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分值</w:t>
            </w:r>
          </w:p>
        </w:tc>
        <w:tc>
          <w:tcPr>
            <w:tcW w:w="5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4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商务评分（</w:t>
            </w:r>
            <w:r>
              <w:rPr>
                <w:rFonts w:hint="eastAsia" w:ascii="宋体" w:hAnsi="宋体" w:eastAsia="宋体" w:cs="宋体"/>
                <w:color w:val="auto"/>
                <w:kern w:val="2"/>
                <w:sz w:val="21"/>
                <w:szCs w:val="21"/>
                <w:lang w:val="en-US" w:eastAsia="zh-CN"/>
              </w:rPr>
              <w:t>9</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00"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p>
        </w:tc>
        <w:tc>
          <w:tcPr>
            <w:tcW w:w="1630" w:type="dxa"/>
            <w:tcBorders>
              <w:left w:val="single" w:color="auto" w:sz="4" w:space="0"/>
              <w:right w:val="single" w:color="auto" w:sz="4" w:space="0"/>
            </w:tcBorders>
            <w:vAlign w:val="center"/>
          </w:tcPr>
          <w:p>
            <w:pPr>
              <w:pStyle w:val="27"/>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体系认证</w:t>
            </w:r>
          </w:p>
        </w:tc>
        <w:tc>
          <w:tcPr>
            <w:tcW w:w="773" w:type="dxa"/>
            <w:tcBorders>
              <w:top w:val="single" w:color="auto" w:sz="4" w:space="0"/>
              <w:left w:val="single" w:color="auto" w:sz="4" w:space="0"/>
              <w:right w:val="single" w:color="auto" w:sz="4" w:space="0"/>
            </w:tcBorders>
            <w:vAlign w:val="center"/>
          </w:tcPr>
          <w:p>
            <w:pPr>
              <w:pStyle w:val="27"/>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color w:val="auto"/>
                <w:kern w:val="2"/>
                <w:sz w:val="21"/>
                <w:szCs w:val="21"/>
                <w:lang w:val="en-US" w:eastAsia="zh-CN"/>
              </w:rPr>
            </w:pPr>
            <w:r>
              <w:rPr>
                <w:rFonts w:hint="eastAsia" w:ascii="宋体" w:eastAsia="宋体" w:cs="宋体"/>
                <w:color w:val="auto"/>
                <w:kern w:val="2"/>
                <w:sz w:val="21"/>
                <w:szCs w:val="21"/>
                <w:lang w:val="en-US" w:eastAsia="zh-CN"/>
              </w:rPr>
              <w:t>3</w:t>
            </w:r>
          </w:p>
        </w:tc>
        <w:tc>
          <w:tcPr>
            <w:tcW w:w="5543" w:type="dxa"/>
            <w:tcBorders>
              <w:top w:val="single" w:color="auto" w:sz="4" w:space="0"/>
              <w:left w:val="single" w:color="auto" w:sz="4" w:space="0"/>
              <w:right w:val="single" w:color="auto" w:sz="4" w:space="0"/>
            </w:tcBorders>
            <w:vAlign w:val="center"/>
          </w:tcPr>
          <w:p>
            <w:pPr>
              <w:pStyle w:val="27"/>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具有由国家认监委批准设立的认证机构颁发并在有效期内的质量管理体系认证、环境管理体系认证、职业健康安全管理体系认证，每个得</w:t>
            </w:r>
            <w:r>
              <w:rPr>
                <w:rFonts w:hint="eastAsia" w:ascii="宋体" w:eastAsia="宋体" w:cs="宋体"/>
                <w:bCs/>
                <w:color w:val="auto"/>
                <w:sz w:val="21"/>
                <w:szCs w:val="21"/>
                <w:lang w:val="en-US" w:eastAsia="zh-CN"/>
              </w:rPr>
              <w:t>1</w:t>
            </w:r>
            <w:r>
              <w:rPr>
                <w:rFonts w:hint="eastAsia" w:ascii="宋体" w:hAnsi="宋体" w:eastAsia="宋体" w:cs="宋体"/>
                <w:bCs/>
                <w:color w:val="auto"/>
                <w:sz w:val="21"/>
                <w:szCs w:val="21"/>
                <w:lang w:val="zh-CN"/>
              </w:rPr>
              <w:t>分，最高得</w:t>
            </w:r>
            <w:r>
              <w:rPr>
                <w:rFonts w:hint="eastAsia" w:ascii="宋体" w:eastAsia="宋体" w:cs="宋体"/>
                <w:bCs/>
                <w:color w:val="auto"/>
                <w:sz w:val="21"/>
                <w:szCs w:val="21"/>
                <w:lang w:val="en-US" w:eastAsia="zh-CN"/>
              </w:rPr>
              <w:t>3</w:t>
            </w:r>
            <w:r>
              <w:rPr>
                <w:rFonts w:hint="eastAsia" w:ascii="宋体" w:hAnsi="宋体" w:eastAsia="宋体" w:cs="宋体"/>
                <w:bCs/>
                <w:color w:val="auto"/>
                <w:sz w:val="21"/>
                <w:szCs w:val="21"/>
                <w:lang w:val="zh-CN"/>
              </w:rPr>
              <w:t>分。</w:t>
            </w:r>
          </w:p>
          <w:p>
            <w:pPr>
              <w:pStyle w:val="27"/>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bCs/>
                <w:color w:val="auto"/>
                <w:sz w:val="21"/>
                <w:szCs w:val="21"/>
                <w:lang w:val="zh-CN"/>
              </w:rPr>
              <w:t>注：须提供有效证书复印件并加盖投标人公章，不符合以上要求的不得分。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0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w:t>
            </w:r>
          </w:p>
        </w:tc>
        <w:tc>
          <w:tcPr>
            <w:tcW w:w="163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同类项目建设经验</w:t>
            </w:r>
          </w:p>
        </w:tc>
        <w:tc>
          <w:tcPr>
            <w:tcW w:w="77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6</w:t>
            </w:r>
          </w:p>
        </w:tc>
        <w:tc>
          <w:tcPr>
            <w:tcW w:w="554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宋体" w:hAnsi="宋体" w:eastAsia="宋体" w:cs="宋体"/>
                <w:color w:val="auto"/>
                <w:kern w:val="2"/>
                <w:sz w:val="21"/>
                <w:szCs w:val="21"/>
                <w:lang w:val="zh-CN"/>
              </w:rPr>
            </w:pPr>
            <w:r>
              <w:rPr>
                <w:rFonts w:hint="eastAsia" w:ascii="宋体" w:hAnsi="宋体" w:eastAsia="宋体" w:cs="宋体"/>
                <w:color w:val="auto"/>
                <w:kern w:val="2"/>
                <w:sz w:val="21"/>
                <w:szCs w:val="21"/>
                <w:lang w:val="zh-CN"/>
              </w:rPr>
              <w:t>根据投标人提供自2016年以来的业绩情况进行评审，每具有一个</w:t>
            </w:r>
            <w:r>
              <w:rPr>
                <w:rFonts w:hint="eastAsia" w:ascii="宋体" w:hAnsi="宋体" w:eastAsia="宋体" w:cs="宋体"/>
                <w:bCs/>
                <w:color w:val="auto"/>
                <w:sz w:val="21"/>
                <w:szCs w:val="21"/>
              </w:rPr>
              <w:t>场发射双束扫描电子显微镜</w:t>
            </w:r>
            <w:r>
              <w:rPr>
                <w:rFonts w:hint="eastAsia" w:ascii="宋体" w:hAnsi="宋体" w:eastAsia="宋体" w:cs="宋体"/>
                <w:color w:val="auto"/>
                <w:kern w:val="2"/>
                <w:sz w:val="21"/>
                <w:szCs w:val="21"/>
                <w:lang w:val="zh-CN"/>
              </w:rPr>
              <w:t>项目业绩得</w:t>
            </w:r>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分，共</w:t>
            </w:r>
            <w:r>
              <w:rPr>
                <w:rFonts w:hint="eastAsia" w:ascii="宋体" w:hAnsi="宋体" w:eastAsia="宋体" w:cs="宋体"/>
                <w:color w:val="auto"/>
                <w:kern w:val="2"/>
                <w:sz w:val="21"/>
                <w:szCs w:val="21"/>
                <w:lang w:val="en-US" w:eastAsia="zh-CN"/>
              </w:rPr>
              <w:t>6</w:t>
            </w:r>
            <w:r>
              <w:rPr>
                <w:rFonts w:hint="eastAsia" w:ascii="宋体" w:hAnsi="宋体" w:eastAsia="宋体" w:cs="宋体"/>
                <w:color w:val="auto"/>
                <w:kern w:val="2"/>
                <w:sz w:val="21"/>
                <w:szCs w:val="21"/>
              </w:rPr>
              <w:t>分</w:t>
            </w:r>
            <w:r>
              <w:rPr>
                <w:rFonts w:hint="eastAsia" w:ascii="宋体" w:hAnsi="宋体" w:eastAsia="宋体" w:cs="宋体"/>
                <w:color w:val="auto"/>
                <w:kern w:val="2"/>
                <w:sz w:val="21"/>
                <w:szCs w:val="21"/>
                <w:lang w:val="zh-CN"/>
              </w:rPr>
              <w:t>。</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（以上业绩需提供合同书复印件加盖公章）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64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技术评分（</w:t>
            </w:r>
            <w:r>
              <w:rPr>
                <w:rFonts w:hint="eastAsia" w:ascii="宋体" w:hAnsi="宋体" w:eastAsia="宋体" w:cs="宋体"/>
                <w:color w:val="auto"/>
                <w:kern w:val="2"/>
                <w:sz w:val="21"/>
                <w:szCs w:val="21"/>
                <w:lang w:val="en-US" w:eastAsia="zh-CN"/>
              </w:rPr>
              <w:t>61</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70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p>
        </w:tc>
        <w:tc>
          <w:tcPr>
            <w:tcW w:w="163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技术条款</w:t>
            </w:r>
          </w:p>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响应情况</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28</w:t>
            </w:r>
          </w:p>
        </w:tc>
        <w:tc>
          <w:tcPr>
            <w:tcW w:w="5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根据投标人提供对用户需求中的带“▲”号重要技术指标条款全部响应为满足或优于的得</w:t>
            </w:r>
            <w:r>
              <w:rPr>
                <w:rFonts w:hint="eastAsia" w:ascii="宋体" w:hAnsi="宋体" w:eastAsia="宋体" w:cs="宋体"/>
                <w:color w:val="auto"/>
                <w:kern w:val="2"/>
                <w:sz w:val="21"/>
                <w:szCs w:val="21"/>
                <w:lang w:val="en-US" w:eastAsia="zh-CN"/>
              </w:rPr>
              <w:t>28</w:t>
            </w:r>
            <w:r>
              <w:rPr>
                <w:rFonts w:hint="eastAsia" w:ascii="宋体" w:hAnsi="宋体" w:eastAsia="宋体" w:cs="宋体"/>
                <w:color w:val="auto"/>
                <w:kern w:val="2"/>
                <w:sz w:val="21"/>
                <w:szCs w:val="21"/>
              </w:rPr>
              <w:t>分。其中，“▲”重要技术参数指标不满足或者不响应的每一项扣</w:t>
            </w:r>
            <w:r>
              <w:rPr>
                <w:rFonts w:hint="eastAsia" w:ascii="宋体" w:hAnsi="宋体" w:eastAsia="宋体" w:cs="宋体"/>
                <w:color w:val="auto"/>
                <w:kern w:val="2"/>
                <w:sz w:val="21"/>
                <w:szCs w:val="21"/>
                <w:lang w:val="en-US" w:eastAsia="zh-CN"/>
              </w:rPr>
              <w:t>7</w:t>
            </w:r>
            <w:r>
              <w:rPr>
                <w:rFonts w:hint="eastAsia" w:ascii="宋体" w:hAnsi="宋体" w:eastAsia="宋体" w:cs="宋体"/>
                <w:color w:val="auto"/>
                <w:kern w:val="2"/>
                <w:sz w:val="21"/>
                <w:szCs w:val="21"/>
              </w:rPr>
              <w:t>分，扣完为止，本项最低得0分，满分为</w:t>
            </w:r>
            <w:r>
              <w:rPr>
                <w:rFonts w:hint="eastAsia" w:ascii="宋体" w:hAnsi="宋体" w:eastAsia="宋体" w:cs="宋体"/>
                <w:color w:val="auto"/>
                <w:kern w:val="2"/>
                <w:sz w:val="21"/>
                <w:szCs w:val="21"/>
                <w:lang w:val="en-US" w:eastAsia="zh-CN"/>
              </w:rPr>
              <w:t>28</w:t>
            </w:r>
            <w:r>
              <w:rPr>
                <w:rFonts w:hint="eastAsia" w:ascii="宋体" w:hAnsi="宋体" w:eastAsia="宋体" w:cs="宋体"/>
                <w:color w:val="auto"/>
                <w:kern w:val="2"/>
                <w:sz w:val="21"/>
                <w:szCs w:val="21"/>
              </w:rPr>
              <w:t>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注：招标文件用户需求中明确要求提供证明资料的，以投标人提供的证明资料加盖投标人公章为准；招标文件用户需求中没有明确要求提供证明资料的，则以投标人提供所投产品彩页原件或原厂商的技术白皮书或原厂商所作的技术参数说明等详细技术资料复印件加盖投标人公章。要求提供证明文件必须提供证明文件，否则视为不响应。投标人必须按所采购物项实际参数进行响应，否则视为提供虚假材料谋取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技术性能</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10</w:t>
            </w:r>
          </w:p>
        </w:tc>
        <w:tc>
          <w:tcPr>
            <w:tcW w:w="5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根据投标方案提供的设备是否在同类产品、竞争产品中领先、技术性能是否优越，以及技术功能的先进性、可靠性等进行综合评价与比较：</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优：设备性能优异、完全满足并优于招标文件要求，得10分；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良：设备性能良好、符合招标文件要求，得7分；</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中：设备性能一般、基本符合招标文件要求，得4分。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差：</w:t>
            </w:r>
            <w:r>
              <w:rPr>
                <w:rFonts w:hint="eastAsia" w:ascii="宋体" w:hAnsi="宋体" w:eastAsia="宋体" w:cs="宋体"/>
                <w:color w:val="auto"/>
                <w:sz w:val="21"/>
                <w:szCs w:val="21"/>
              </w:rPr>
              <w:t>设备性能差、不符合招标文件要求，得1分。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质量保证和技术支持方案</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7</w:t>
            </w:r>
          </w:p>
        </w:tc>
        <w:tc>
          <w:tcPr>
            <w:tcW w:w="5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根据投标人所投产品的技术支持、质量保证和保修期年限、质保期内的人员驻点计划等情况进行评分：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优：计划完整、科学全面、可行性强，完全满足并优于招标文件要求得</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良：计划科学、可行性一般，满足招标文件要求得5分；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中：计划较为完整，可行性一般，基本满足招标文件要求得3分；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差：计划不完整、可行性差，不完全符合招标文件要求得1分；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没有提供方案的得0分。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4</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培训方案</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7</w:t>
            </w:r>
          </w:p>
        </w:tc>
        <w:tc>
          <w:tcPr>
            <w:tcW w:w="5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根据投标人的培训方案的可行性和合理性进行评审。</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优：培训方案详细具体，流程清晰，完全满足招标需求，得</w:t>
            </w:r>
            <w:r>
              <w:rPr>
                <w:rFonts w:hint="eastAsia" w:ascii="宋体" w:hAnsi="宋体" w:eastAsia="宋体" w:cs="宋体"/>
                <w:color w:val="auto"/>
                <w:kern w:val="2"/>
                <w:sz w:val="21"/>
                <w:szCs w:val="21"/>
                <w:lang w:val="en-US" w:eastAsia="zh-CN"/>
              </w:rPr>
              <w:t>7</w:t>
            </w:r>
            <w:r>
              <w:rPr>
                <w:rFonts w:hint="eastAsia" w:ascii="宋体" w:hAnsi="宋体" w:eastAsia="宋体" w:cs="宋体"/>
                <w:color w:val="auto"/>
                <w:kern w:val="2"/>
                <w:sz w:val="21"/>
                <w:szCs w:val="21"/>
              </w:rPr>
              <w:t>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良：培训方案较具体，能够满足招标需求，得5分；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中：培训方案较较具体，基本能够满足招标需求，得3分；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差：培训方案不合理，不满足招标需求，得1分。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5</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安装调试及售后服务方案</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5</w:t>
            </w:r>
          </w:p>
        </w:tc>
        <w:tc>
          <w:tcPr>
            <w:tcW w:w="5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根据安装调试方案、售后服务方案、售后服务承诺、售后点技术力量等以及对用户单位提出的维护要求响应情况，出现紧急情况时的服务措施等进行综合评分。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优：安装调试及售后服务方案科学完整，售后服务承诺优于文件要求，可操作性强，得</w:t>
            </w:r>
            <w:r>
              <w:rPr>
                <w:rFonts w:hint="eastAsia" w:ascii="宋体" w:hAnsi="宋体" w:eastAsia="宋体" w:cs="宋体"/>
                <w:color w:val="auto"/>
                <w:kern w:val="2"/>
                <w:sz w:val="21"/>
                <w:szCs w:val="21"/>
                <w:lang w:val="en-US" w:eastAsia="zh-CN"/>
              </w:rPr>
              <w:t>5</w:t>
            </w:r>
            <w:r>
              <w:rPr>
                <w:rFonts w:hint="eastAsia" w:ascii="宋体" w:hAnsi="宋体" w:eastAsia="宋体" w:cs="宋体"/>
                <w:color w:val="auto"/>
                <w:kern w:val="2"/>
                <w:sz w:val="21"/>
                <w:szCs w:val="21"/>
              </w:rPr>
              <w:t>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良：安装调试及售后服务方案完整，售后服务承诺满足文件要求，可操作性一般，得</w:t>
            </w:r>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中：安装调试及售后服务方案基本完整，售后服务承诺基本满足文件要求，可操作性一般，得2分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差：安装调试及售后服务方案不完整，售后服务承诺不能满足招标文件要求，可操作性差，得1分。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6</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验收方案</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4</w:t>
            </w:r>
          </w:p>
        </w:tc>
        <w:tc>
          <w:tcPr>
            <w:tcW w:w="5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根据投标人的验收方案（验收依据和相关的技术标准；验收的组织形式、程序、注意事项；验收环节和内容）进行综合评审：</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优：针对本项目验收方案完善、全面，作出的计划保障可操作性强，得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 xml:space="preserve">分。 </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良：针对本项目验收方案基本完善、全面，作出的计划保障可操作性一般，得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中：针对本项目验收方案不够完善、全面，作出的计划保障可操作性不强，得2分。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差：</w:t>
            </w:r>
            <w:r>
              <w:rPr>
                <w:rFonts w:hint="eastAsia" w:ascii="宋体" w:hAnsi="宋体" w:eastAsia="宋体" w:cs="宋体"/>
                <w:color w:val="auto"/>
                <w:sz w:val="21"/>
                <w:szCs w:val="21"/>
              </w:rPr>
              <w:t>针对本项目验收方案</w:t>
            </w:r>
            <w:r>
              <w:rPr>
                <w:rFonts w:hint="eastAsia" w:ascii="宋体" w:hAnsi="宋体" w:eastAsia="宋体" w:cs="宋体"/>
                <w:color w:val="auto"/>
                <w:kern w:val="2"/>
                <w:sz w:val="21"/>
                <w:szCs w:val="21"/>
              </w:rPr>
              <w:t>不完整，售后服务承诺不能满足招标文件要求，可操作性差，得1分。</w:t>
            </w:r>
          </w:p>
          <w:p>
            <w:pPr>
              <w:keepNext w:val="0"/>
              <w:keepLines w:val="0"/>
              <w:pageBreakBefore w:val="0"/>
              <w:kinsoku/>
              <w:wordWrap/>
              <w:overflowPunct/>
              <w:topLinePunct w:val="0"/>
              <w:bidi w:val="0"/>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64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07"/>
              </w:tabs>
              <w:kinsoku/>
              <w:wordWrap/>
              <w:overflowPunct/>
              <w:topLinePunct w:val="0"/>
              <w:bidi w:val="0"/>
              <w:adjustRightInd/>
              <w:snapToGrid/>
              <w:spacing w:after="0" w:line="360" w:lineRule="auto"/>
              <w:ind w:firstLine="422" w:firstLineChars="20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注：</w:t>
            </w:r>
          </w:p>
          <w:p>
            <w:pPr>
              <w:keepNext w:val="0"/>
              <w:keepLines w:val="0"/>
              <w:pageBreakBefore w:val="0"/>
              <w:widowControl w:val="0"/>
              <w:tabs>
                <w:tab w:val="left" w:pos="907"/>
              </w:tabs>
              <w:kinsoku/>
              <w:wordWrap/>
              <w:overflowPunct/>
              <w:topLinePunct w:val="0"/>
              <w:bidi w:val="0"/>
              <w:adjustRightInd/>
              <w:snapToGrid/>
              <w:spacing w:after="0" w:line="360" w:lineRule="auto"/>
              <w:ind w:firstLine="422" w:firstLineChars="20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（1）无特殊说明外，以上评审项，同一证明文件不重复计分。</w:t>
            </w:r>
          </w:p>
          <w:p>
            <w:pPr>
              <w:keepNext w:val="0"/>
              <w:keepLines w:val="0"/>
              <w:pageBreakBefore w:val="0"/>
              <w:kinsoku/>
              <w:wordWrap/>
              <w:overflowPunct/>
              <w:topLinePunct w:val="0"/>
              <w:bidi w:val="0"/>
              <w:spacing w:after="0" w:line="360" w:lineRule="auto"/>
              <w:ind w:firstLine="422" w:firstLineChars="200"/>
              <w:textAlignment w:val="auto"/>
              <w:rPr>
                <w:rFonts w:hint="eastAsia" w:ascii="宋体" w:hAnsi="宋体" w:eastAsia="宋体" w:cs="宋体"/>
                <w:color w:val="auto"/>
                <w:kern w:val="2"/>
                <w:sz w:val="21"/>
                <w:szCs w:val="21"/>
              </w:rPr>
            </w:pPr>
            <w:r>
              <w:rPr>
                <w:rFonts w:hint="eastAsia" w:ascii="宋体" w:hAnsi="宋体" w:eastAsia="宋体" w:cs="宋体"/>
                <w:b/>
                <w:color w:val="auto"/>
                <w:sz w:val="21"/>
                <w:szCs w:val="21"/>
              </w:rPr>
              <w:t>（2）投标人根据以上评分要求提供的</w:t>
            </w:r>
            <w:r>
              <w:rPr>
                <w:rFonts w:hint="eastAsia" w:ascii="宋体" w:hAnsi="宋体" w:eastAsia="宋体" w:cs="宋体"/>
                <w:b/>
                <w:color w:val="auto"/>
                <w:sz w:val="21"/>
                <w:szCs w:val="21"/>
                <w:lang w:eastAsia="zh-CN"/>
              </w:rPr>
              <w:t>投标材料</w:t>
            </w:r>
            <w:r>
              <w:rPr>
                <w:rFonts w:hint="eastAsia" w:ascii="宋体" w:hAnsi="宋体" w:eastAsia="宋体" w:cs="宋体"/>
                <w:b/>
                <w:color w:val="auto"/>
                <w:sz w:val="21"/>
                <w:szCs w:val="21"/>
              </w:rPr>
              <w:t>因模糊不清导致评标委员会无法清晰辨认进行评审的，</w:t>
            </w:r>
            <w:r>
              <w:rPr>
                <w:rFonts w:hint="eastAsia" w:ascii="宋体" w:hAnsi="宋体" w:eastAsia="宋体" w:cs="宋体"/>
                <w:b/>
                <w:color w:val="auto"/>
                <w:sz w:val="21"/>
                <w:szCs w:val="21"/>
                <w:lang w:eastAsia="zh-CN"/>
              </w:rPr>
              <w:t>视为无效材料</w:t>
            </w:r>
            <w:r>
              <w:rPr>
                <w:rFonts w:hint="eastAsia" w:ascii="宋体" w:hAnsi="宋体" w:eastAsia="宋体" w:cs="宋体"/>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4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lang w:val="zh-CN"/>
              </w:rPr>
            </w:pPr>
            <w:r>
              <w:rPr>
                <w:rFonts w:hint="eastAsia" w:ascii="宋体" w:hAnsi="宋体" w:eastAsia="宋体" w:cs="宋体"/>
                <w:color w:val="auto"/>
                <w:kern w:val="2"/>
                <w:sz w:val="21"/>
                <w:szCs w:val="21"/>
              </w:rPr>
              <w:t>价格评分（30分）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after="0" w:line="360" w:lineRule="auto"/>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9</w:t>
            </w:r>
          </w:p>
        </w:tc>
        <w:tc>
          <w:tcPr>
            <w:tcW w:w="7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07"/>
              </w:tabs>
              <w:kinsoku/>
              <w:wordWrap/>
              <w:overflowPunct/>
              <w:topLinePunct w:val="0"/>
              <w:bidi w:val="0"/>
              <w:adjustRightInd/>
              <w:snapToGrid/>
              <w:spacing w:after="0" w:line="360" w:lineRule="auto"/>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价格分计算方法：满足招标文件要求且投标价格最低的投标报价为评标基准价，其价格分为满分。其他投标人的价格分统一按照下列公式计算（按四舍五入原则精确到小数点后两位）：</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投标报价得分=(评标基准价／投标报价)×价格权值</w:t>
            </w:r>
          </w:p>
        </w:tc>
      </w:tr>
    </w:tbl>
    <w:p>
      <w:pPr>
        <w:pStyle w:val="3"/>
        <w:spacing w:before="0" w:after="0" w:line="240" w:lineRule="auto"/>
        <w:rPr>
          <w:color w:val="auto"/>
          <w:sz w:val="36"/>
          <w:szCs w:val="36"/>
        </w:rPr>
      </w:pPr>
      <w:r>
        <w:rPr>
          <w:rFonts w:hint="eastAsia"/>
          <w:color w:val="auto"/>
          <w:sz w:val="28"/>
          <w:szCs w:val="28"/>
        </w:rPr>
        <w:br w:type="page"/>
      </w:r>
      <w:bookmarkStart w:id="4" w:name="_Toc31854"/>
      <w:r>
        <w:rPr>
          <w:rFonts w:hint="eastAsia"/>
          <w:color w:val="auto"/>
          <w:sz w:val="28"/>
          <w:szCs w:val="28"/>
        </w:rPr>
        <w:t>第三部分 用户需求书</w:t>
      </w:r>
      <w:bookmarkEnd w:id="4"/>
    </w:p>
    <w:p>
      <w:pPr>
        <w:pStyle w:val="4"/>
        <w:spacing w:before="0" w:after="0" w:line="240" w:lineRule="auto"/>
        <w:jc w:val="center"/>
        <w:rPr>
          <w:rFonts w:ascii="宋体" w:hAnsi="宋体" w:eastAsia="宋体" w:cs="宋体"/>
          <w:color w:val="auto"/>
          <w:sz w:val="24"/>
          <w:szCs w:val="24"/>
        </w:rPr>
      </w:pPr>
      <w:bookmarkStart w:id="5" w:name="_Toc3968"/>
      <w:r>
        <w:rPr>
          <w:rFonts w:hint="eastAsia" w:ascii="宋体" w:hAnsi="宋体" w:eastAsia="宋体" w:cs="宋体"/>
          <w:color w:val="auto"/>
          <w:sz w:val="24"/>
          <w:szCs w:val="24"/>
        </w:rPr>
        <w:t>用户需求明细</w:t>
      </w:r>
      <w:bookmarkEnd w:id="5"/>
    </w:p>
    <w:p>
      <w:pPr>
        <w:spacing w:after="0"/>
        <w:jc w:val="both"/>
        <w:rPr>
          <w:rFonts w:ascii="宋体" w:hAnsi="宋体" w:eastAsia="宋体"/>
          <w:b/>
          <w:color w:val="auto"/>
          <w:sz w:val="24"/>
        </w:rPr>
      </w:pPr>
    </w:p>
    <w:p>
      <w:pPr>
        <w:keepNext/>
        <w:keepLines/>
        <w:spacing w:after="0" w:line="360" w:lineRule="auto"/>
        <w:outlineLvl w:val="0"/>
        <w:rPr>
          <w:rFonts w:ascii="宋体" w:hAnsi="宋体" w:eastAsia="宋体" w:cs="宋体"/>
          <w:b/>
          <w:bCs/>
          <w:color w:val="auto"/>
          <w:kern w:val="44"/>
          <w:sz w:val="28"/>
          <w:szCs w:val="28"/>
        </w:rPr>
      </w:pPr>
      <w:bookmarkStart w:id="6" w:name="_Toc533319729"/>
      <w:bookmarkStart w:id="7" w:name="_Toc14462"/>
      <w:bookmarkStart w:id="8" w:name="_Toc31278"/>
      <w:bookmarkStart w:id="9" w:name="_Toc13112"/>
      <w:bookmarkStart w:id="10" w:name="_Toc24679"/>
      <w:r>
        <w:rPr>
          <w:rFonts w:hint="eastAsia" w:ascii="宋体" w:hAnsi="宋体" w:eastAsia="宋体" w:cs="宋体"/>
          <w:b/>
          <w:bCs/>
          <w:color w:val="auto"/>
          <w:kern w:val="44"/>
          <w:sz w:val="28"/>
          <w:szCs w:val="28"/>
        </w:rPr>
        <w:t>一、概述</w:t>
      </w:r>
      <w:bookmarkEnd w:id="6"/>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本技术规格书规定了科研仪器设备</w:t>
      </w:r>
      <w:r>
        <w:rPr>
          <w:rFonts w:hint="eastAsia" w:ascii="宋体" w:hAnsi="宋体" w:eastAsia="宋体"/>
          <w:color w:val="auto"/>
          <w:sz w:val="21"/>
          <w:szCs w:val="21"/>
        </w:rPr>
        <w:t>FIB场发射双束扫描电子显微镜</w:t>
      </w:r>
      <w:r>
        <w:rPr>
          <w:rFonts w:hint="eastAsia" w:ascii="宋体" w:hAnsi="宋体" w:eastAsia="宋体" w:cs="宋体"/>
          <w:color w:val="auto"/>
          <w:sz w:val="21"/>
          <w:szCs w:val="21"/>
        </w:rPr>
        <w:t>设备的供货范围、技术指标（范围）、服务要求和质量保证条款等内容。</w:t>
      </w:r>
    </w:p>
    <w:p>
      <w:pPr>
        <w:spacing w:after="0" w:line="360" w:lineRule="auto"/>
        <w:ind w:firstLine="420" w:firstLineChars="200"/>
        <w:rPr>
          <w:rFonts w:hint="eastAsia" w:ascii="宋体" w:hAnsi="宋体" w:eastAsia="宋体" w:cs="宋体"/>
          <w:color w:val="auto"/>
          <w:sz w:val="21"/>
          <w:szCs w:val="21"/>
        </w:rPr>
      </w:pPr>
      <w:bookmarkStart w:id="11" w:name="_Toc533319730"/>
      <w:r>
        <w:rPr>
          <w:rFonts w:hint="eastAsia" w:ascii="宋体" w:hAnsi="宋体" w:eastAsia="宋体" w:cs="宋体"/>
          <w:color w:val="auto"/>
          <w:sz w:val="21"/>
          <w:szCs w:val="21"/>
        </w:rPr>
        <w:t>根据《政府采购进口产品管理办法》及《关于完善市属高校和科研院所科研仪器设备采购管理有关事项的通知》(东财〔2018〕295号)相关规定要求及采购方相关需求意见，经过组织专家论证，本项目FIB场发射双束扫描电子显微镜接受进口产品参与投标（进口产品是指通过中国海关报关验放进入中国境内且产自关境外的产品。）其余产品不接受进口产品投标，如发现含有进口产品，评审委员会有权拒绝其投标文件。</w:t>
      </w:r>
    </w:p>
    <w:bookmarkEnd w:id="11"/>
    <w:p>
      <w:pPr>
        <w:keepNext/>
        <w:keepLines/>
        <w:spacing w:after="0" w:line="360" w:lineRule="auto"/>
        <w:outlineLvl w:val="0"/>
        <w:rPr>
          <w:rFonts w:ascii="宋体" w:hAnsi="宋体" w:eastAsia="宋体" w:cs="宋体"/>
          <w:b/>
          <w:bCs/>
          <w:color w:val="auto"/>
          <w:kern w:val="44"/>
          <w:sz w:val="28"/>
          <w:szCs w:val="28"/>
        </w:rPr>
      </w:pPr>
      <w:r>
        <w:rPr>
          <w:rFonts w:hint="eastAsia" w:ascii="宋体" w:hAnsi="宋体" w:eastAsia="宋体" w:cs="宋体"/>
          <w:b/>
          <w:bCs/>
          <w:color w:val="auto"/>
          <w:kern w:val="44"/>
          <w:sz w:val="28"/>
          <w:szCs w:val="28"/>
        </w:rPr>
        <w:t>二、设备简介</w:t>
      </w:r>
    </w:p>
    <w:p>
      <w:pPr>
        <w:spacing w:after="0" w:line="360" w:lineRule="auto"/>
        <w:rPr>
          <w:rFonts w:ascii="宋体" w:hAnsi="宋体" w:eastAsia="宋体" w:cs="宋体"/>
          <w:b/>
          <w:color w:val="auto"/>
          <w:sz w:val="21"/>
          <w:szCs w:val="21"/>
          <w:shd w:val="clear" w:color="auto" w:fill="FFFFFF"/>
        </w:rPr>
      </w:pPr>
      <w:r>
        <w:rPr>
          <w:rFonts w:hint="eastAsia" w:ascii="宋体" w:hAnsi="宋体" w:eastAsia="宋体" w:cs="宋体"/>
          <w:b/>
          <w:color w:val="auto"/>
          <w:sz w:val="21"/>
          <w:szCs w:val="21"/>
          <w:shd w:val="clear" w:color="auto" w:fill="FFFFFF"/>
        </w:rPr>
        <w:t>2.1 设备全称</w:t>
      </w:r>
    </w:p>
    <w:p>
      <w:pPr>
        <w:spacing w:after="0" w:line="360" w:lineRule="auto"/>
        <w:rPr>
          <w:rFonts w:ascii="宋体" w:hAnsi="宋体" w:eastAsia="宋体" w:cs="宋体"/>
          <w:color w:val="auto"/>
          <w:sz w:val="21"/>
          <w:szCs w:val="21"/>
        </w:rPr>
      </w:pPr>
      <w:r>
        <w:rPr>
          <w:rFonts w:hint="eastAsia" w:ascii="宋体" w:hAnsi="宋体" w:eastAsia="宋体"/>
          <w:color w:val="auto"/>
          <w:sz w:val="21"/>
          <w:szCs w:val="21"/>
        </w:rPr>
        <w:t>●聚焦离子束</w:t>
      </w:r>
      <w:r>
        <w:rPr>
          <w:rFonts w:hint="eastAsia" w:ascii="宋体" w:hAnsi="宋体" w:eastAsia="宋体"/>
          <w:color w:val="auto"/>
          <w:sz w:val="21"/>
          <w:szCs w:val="21"/>
          <w:lang w:val="en-US" w:eastAsia="zh-CN"/>
        </w:rPr>
        <w:t>(</w:t>
      </w:r>
      <w:r>
        <w:rPr>
          <w:rFonts w:hint="eastAsia" w:ascii="宋体" w:hAnsi="宋体" w:eastAsia="宋体" w:cs="宋体"/>
          <w:color w:val="auto"/>
          <w:sz w:val="21"/>
          <w:szCs w:val="21"/>
          <w:lang w:val="en-US" w:eastAsia="zh-CN"/>
        </w:rPr>
        <w:t>FIB</w:t>
      </w:r>
      <w:r>
        <w:rPr>
          <w:rFonts w:hint="eastAsia" w:ascii="宋体" w:hAnsi="宋体" w:eastAsia="宋体"/>
          <w:color w:val="auto"/>
          <w:sz w:val="21"/>
          <w:szCs w:val="21"/>
          <w:lang w:val="en-US" w:eastAsia="zh-CN"/>
        </w:rPr>
        <w:t>)</w:t>
      </w:r>
      <w:r>
        <w:rPr>
          <w:rFonts w:hint="eastAsia" w:ascii="宋体" w:hAnsi="宋体" w:eastAsia="宋体"/>
          <w:color w:val="auto"/>
          <w:sz w:val="21"/>
          <w:szCs w:val="21"/>
        </w:rPr>
        <w:t>场发射</w:t>
      </w:r>
      <w:r>
        <w:rPr>
          <w:rFonts w:ascii="宋体" w:hAnsi="宋体" w:eastAsia="宋体"/>
          <w:color w:val="auto"/>
          <w:sz w:val="21"/>
          <w:szCs w:val="21"/>
        </w:rPr>
        <w:t>扫描电子显微镜</w:t>
      </w:r>
    </w:p>
    <w:p>
      <w:pPr>
        <w:spacing w:after="0" w:line="360" w:lineRule="auto"/>
        <w:rPr>
          <w:rFonts w:ascii="宋体" w:hAnsi="宋体" w:eastAsia="宋体" w:cs="宋体"/>
          <w:b/>
          <w:color w:val="auto"/>
          <w:sz w:val="21"/>
          <w:szCs w:val="21"/>
          <w:shd w:val="clear" w:color="auto" w:fill="FFFFFF"/>
        </w:rPr>
      </w:pPr>
      <w:r>
        <w:rPr>
          <w:rFonts w:hint="eastAsia" w:ascii="宋体" w:hAnsi="宋体" w:eastAsia="宋体" w:cs="宋体"/>
          <w:b/>
          <w:color w:val="auto"/>
          <w:sz w:val="21"/>
          <w:szCs w:val="21"/>
          <w:shd w:val="clear" w:color="auto" w:fill="FFFFFF"/>
        </w:rPr>
        <w:t>2.2 设备功能及要求</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rPr>
        <w:t>将场发射扫描电子显微镜镜筒的成像和分析性能与聚焦离子束的样品加工与处理能力相结合。</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·高分辨率成像，微观形貌观测、微观成份分析-EDS、磁性样品高分辨成像，高精确的EBSD分析</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·同时此电镜具有开放性的样品室可以扩展拉伸台，拉伸的同时可以做EDS和EBSD，低电压观测等</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·超薄透射样品制备</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·可三维样品加工，可作3D 形貌、3D EDS、3D EBSD重构</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对于多种材料可以进行微纳米、微米等尺度的特征点切割、加工、形貌观测、表征分析</w:t>
      </w:r>
      <w:r>
        <w:rPr>
          <w:rFonts w:hint="eastAsia" w:ascii="宋体" w:hAnsi="宋体" w:eastAsia="宋体" w:cs="宋体"/>
          <w:color w:val="auto"/>
          <w:sz w:val="21"/>
          <w:szCs w:val="21"/>
          <w:shd w:val="clear" w:color="auto" w:fill="FFFFFF"/>
        </w:rPr>
        <w:t>。</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（2）</w:t>
      </w:r>
      <w:r>
        <w:rPr>
          <w:rFonts w:hint="eastAsia" w:ascii="宋体" w:hAnsi="宋体" w:eastAsia="宋体" w:cs="宋体"/>
          <w:color w:val="auto"/>
          <w:sz w:val="21"/>
          <w:szCs w:val="21"/>
        </w:rPr>
        <w:t>供应商需要提供完整的全新的系统产品，除明确标明的工作站、打印机、冷却水机、空压机、能谱仪（EDS）、EBSD等，电子显微镜主机及必要的连接件和附件等均为原厂、原产地生产。</w:t>
      </w:r>
    </w:p>
    <w:p>
      <w:pPr>
        <w:spacing w:after="0" w:line="360" w:lineRule="auto"/>
        <w:ind w:firstLine="420" w:firstLineChars="20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（3）所提供测试系统产品必须为成熟产品，任何概念性设计产品、组件或者未经确认的产品均不予以接受。</w:t>
      </w:r>
    </w:p>
    <w:p>
      <w:pPr>
        <w:keepNext/>
        <w:keepLines/>
        <w:spacing w:after="0" w:line="360" w:lineRule="auto"/>
        <w:outlineLvl w:val="0"/>
        <w:rPr>
          <w:rFonts w:ascii="宋体" w:hAnsi="宋体" w:eastAsia="宋体" w:cs="宋体"/>
          <w:b/>
          <w:bCs/>
          <w:color w:val="auto"/>
          <w:kern w:val="44"/>
          <w:sz w:val="28"/>
          <w:szCs w:val="28"/>
        </w:rPr>
      </w:pPr>
      <w:bookmarkStart w:id="12" w:name="_Toc527644400"/>
      <w:bookmarkStart w:id="13" w:name="_Toc533319731"/>
      <w:r>
        <w:rPr>
          <w:rFonts w:hint="eastAsia" w:ascii="宋体" w:hAnsi="宋体" w:eastAsia="宋体" w:cs="宋体"/>
          <w:b/>
          <w:bCs/>
          <w:color w:val="auto"/>
          <w:kern w:val="44"/>
          <w:sz w:val="28"/>
          <w:szCs w:val="28"/>
        </w:rPr>
        <w:t>三、引用标准</w:t>
      </w:r>
      <w:bookmarkEnd w:id="12"/>
      <w:bookmarkEnd w:id="13"/>
    </w:p>
    <w:p>
      <w:pPr>
        <w:spacing w:after="0" w:line="360" w:lineRule="auto"/>
        <w:rPr>
          <w:rFonts w:ascii="宋体" w:hAnsi="宋体" w:eastAsia="宋体" w:cs="宋体"/>
          <w:color w:val="auto"/>
          <w:sz w:val="21"/>
          <w:szCs w:val="21"/>
          <w:shd w:val="clear" w:color="auto" w:fill="FFFFFF"/>
        </w:rPr>
      </w:pPr>
      <w:bookmarkStart w:id="14" w:name="_Toc533319732"/>
      <w:r>
        <w:rPr>
          <w:rFonts w:hint="eastAsia" w:ascii="宋体" w:hAnsi="宋体" w:eastAsia="宋体" w:cs="宋体"/>
          <w:color w:val="auto"/>
          <w:sz w:val="21"/>
          <w:szCs w:val="21"/>
          <w:shd w:val="clear" w:color="auto" w:fill="FFFFFF"/>
        </w:rPr>
        <w:t>ISO 9001</w:t>
      </w:r>
    </w:p>
    <w:p>
      <w:pPr>
        <w:spacing w:after="0" w:line="360" w:lineRule="auto"/>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ISO 14001</w:t>
      </w:r>
    </w:p>
    <w:p>
      <w:pPr>
        <w:keepNext/>
        <w:keepLines/>
        <w:spacing w:after="0" w:line="360" w:lineRule="auto"/>
        <w:outlineLvl w:val="0"/>
        <w:rPr>
          <w:rFonts w:ascii="宋体" w:hAnsi="宋体" w:eastAsia="宋体" w:cs="宋体"/>
          <w:b/>
          <w:bCs/>
          <w:color w:val="auto"/>
          <w:kern w:val="44"/>
          <w:sz w:val="28"/>
          <w:szCs w:val="28"/>
        </w:rPr>
      </w:pPr>
      <w:r>
        <w:rPr>
          <w:rFonts w:hint="eastAsia" w:ascii="宋体" w:hAnsi="宋体" w:eastAsia="宋体" w:cs="宋体"/>
          <w:b/>
          <w:bCs/>
          <w:color w:val="auto"/>
          <w:kern w:val="44"/>
          <w:sz w:val="28"/>
          <w:szCs w:val="28"/>
        </w:rPr>
        <w:t>四、购置数量</w:t>
      </w:r>
      <w:bookmarkEnd w:id="14"/>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1套。</w:t>
      </w:r>
    </w:p>
    <w:p>
      <w:pPr>
        <w:keepNext/>
        <w:keepLines/>
        <w:spacing w:after="0" w:line="360" w:lineRule="auto"/>
        <w:outlineLvl w:val="0"/>
        <w:rPr>
          <w:rFonts w:ascii="宋体" w:hAnsi="宋体" w:eastAsia="宋体" w:cs="宋体"/>
          <w:b/>
          <w:bCs/>
          <w:color w:val="auto"/>
          <w:kern w:val="44"/>
          <w:sz w:val="28"/>
          <w:szCs w:val="28"/>
        </w:rPr>
      </w:pPr>
      <w:bookmarkStart w:id="15" w:name="_Toc533319733"/>
      <w:r>
        <w:rPr>
          <w:rFonts w:hint="eastAsia" w:ascii="宋体" w:hAnsi="宋体" w:eastAsia="宋体" w:cs="宋体"/>
          <w:b/>
          <w:bCs/>
          <w:color w:val="auto"/>
          <w:kern w:val="44"/>
          <w:sz w:val="28"/>
          <w:szCs w:val="28"/>
        </w:rPr>
        <w:t>五、技术指标要求</w:t>
      </w:r>
      <w:bookmarkEnd w:id="15"/>
    </w:p>
    <w:p>
      <w:pPr>
        <w:pStyle w:val="44"/>
        <w:spacing w:line="360" w:lineRule="auto"/>
        <w:jc w:val="both"/>
        <w:rPr>
          <w:rFonts w:ascii="宋体" w:hAnsi="宋体" w:cs="宋体"/>
          <w:color w:val="auto"/>
          <w:kern w:val="2"/>
          <w:sz w:val="21"/>
          <w:szCs w:val="21"/>
          <w:shd w:val="clear" w:color="auto" w:fill="FFFFFF"/>
        </w:rPr>
      </w:pPr>
      <w:bookmarkStart w:id="16" w:name="_Toc533319734"/>
      <w:bookmarkStart w:id="17" w:name="_Toc527644403"/>
      <w:bookmarkStart w:id="18" w:name="OLE_LINK87"/>
      <w:bookmarkStart w:id="19" w:name="OLE_LINK88"/>
      <w:bookmarkStart w:id="20" w:name="OLE_LINK78"/>
      <w:r>
        <w:rPr>
          <w:rFonts w:hint="eastAsia" w:ascii="宋体" w:hAnsi="宋体" w:cs="宋体"/>
          <w:color w:val="auto"/>
          <w:kern w:val="2"/>
          <w:sz w:val="21"/>
          <w:szCs w:val="21"/>
          <w:shd w:val="clear" w:color="auto" w:fill="FFFFFF"/>
        </w:rPr>
        <w:t>5.1 束流系统</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   ★双束：离子束+电子束</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 离子源</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5.2.1 离子源：液态Ga离子源；</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5.2.2 离子源寿命：不低于1000小时或不低于3000uA/h；</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★5.2.3 离子束分辨率：不低于2.5nm (单边统计法) ；</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                或不低于3.0nm (多边统计法)</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5.2.4 离子束加速电压范围：500V - 30 kV；</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★5.2.5 离子束流范围：</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 最低束流强度 不大于 1pA；</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 最大束流强度 不小于 100nA；</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5.2.6 有飞行时间校正；</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5.2.7 具备束流测量装置；</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▲5.2.8 具备实时观察离子束加工的监控功能。</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5.3 电子光学系统要求</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★5.3.1 电子枪：肖特基热场发射电子枪，质保期为三年或以上；</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★5.3.2 分辨率：不低于0.9nm (加速电压15kV时)；</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5.3.3 加速电压范围： 0.0</w:t>
      </w:r>
      <w:r>
        <w:rPr>
          <w:rFonts w:ascii="宋体" w:hAnsi="宋体" w:cs="宋体"/>
          <w:color w:val="auto"/>
          <w:kern w:val="2"/>
          <w:sz w:val="21"/>
          <w:szCs w:val="21"/>
          <w:shd w:val="clear" w:color="auto" w:fill="FFFFFF"/>
        </w:rPr>
        <w:t>5</w:t>
      </w:r>
      <w:r>
        <w:rPr>
          <w:rFonts w:hint="eastAsia" w:ascii="宋体" w:hAnsi="宋体" w:cs="宋体"/>
          <w:color w:val="auto"/>
          <w:kern w:val="2"/>
          <w:sz w:val="21"/>
          <w:szCs w:val="21"/>
          <w:shd w:val="clear" w:color="auto" w:fill="FFFFFF"/>
        </w:rPr>
        <w:t>-30.0kV 连续可调；</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5.3.4 最大电子束电流：不小于20nA；</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5.3.5 物镜光阑：全自动光阑系统。</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★5.4 探测器</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5.4.1</w:t>
      </w:r>
      <w:r>
        <w:rPr>
          <w:rFonts w:ascii="宋体" w:hAnsi="宋体" w:cs="宋体"/>
          <w:color w:val="auto"/>
          <w:kern w:val="2"/>
          <w:sz w:val="21"/>
          <w:szCs w:val="21"/>
          <w:shd w:val="clear" w:color="auto" w:fill="FFFFFF"/>
        </w:rPr>
        <w:t xml:space="preserve"> </w:t>
      </w:r>
      <w:r>
        <w:rPr>
          <w:rFonts w:hint="eastAsia" w:ascii="宋体" w:hAnsi="宋体" w:cs="宋体"/>
          <w:color w:val="auto"/>
          <w:kern w:val="2"/>
          <w:sz w:val="21"/>
          <w:szCs w:val="21"/>
          <w:shd w:val="clear" w:color="auto" w:fill="FFFFFF"/>
        </w:rPr>
        <w:t>样品室二次电子探测器；</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5.4.2</w:t>
      </w:r>
      <w:r>
        <w:rPr>
          <w:rFonts w:ascii="宋体" w:hAnsi="宋体" w:cs="宋体"/>
          <w:color w:val="auto"/>
          <w:kern w:val="2"/>
          <w:sz w:val="21"/>
          <w:szCs w:val="21"/>
          <w:shd w:val="clear" w:color="auto" w:fill="FFFFFF"/>
        </w:rPr>
        <w:t xml:space="preserve"> </w:t>
      </w:r>
      <w:r>
        <w:rPr>
          <w:rFonts w:hint="eastAsia" w:ascii="宋体" w:hAnsi="宋体" w:cs="宋体"/>
          <w:color w:val="auto"/>
          <w:kern w:val="2"/>
          <w:sz w:val="21"/>
          <w:szCs w:val="21"/>
          <w:shd w:val="clear" w:color="auto" w:fill="FFFFFF"/>
        </w:rPr>
        <w:t>高性能样品室二次电子/离子探测器；</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5.4.3</w:t>
      </w:r>
      <w:r>
        <w:rPr>
          <w:rFonts w:ascii="宋体" w:hAnsi="宋体" w:cs="宋体"/>
          <w:color w:val="auto"/>
          <w:kern w:val="2"/>
          <w:sz w:val="21"/>
          <w:szCs w:val="21"/>
          <w:shd w:val="clear" w:color="auto" w:fill="FFFFFF"/>
        </w:rPr>
        <w:t xml:space="preserve"> </w:t>
      </w:r>
      <w:r>
        <w:rPr>
          <w:rFonts w:hint="eastAsia" w:ascii="宋体" w:hAnsi="宋体" w:cs="宋体"/>
          <w:color w:val="auto"/>
          <w:kern w:val="2"/>
          <w:sz w:val="21"/>
          <w:szCs w:val="21"/>
          <w:shd w:val="clear" w:color="auto" w:fill="FFFFFF"/>
        </w:rPr>
        <w:t>透镜内SE/BSE探测器(同时具有二次电子和背散射电子模式)；</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5.4.4</w:t>
      </w:r>
      <w:r>
        <w:rPr>
          <w:rFonts w:ascii="宋体" w:hAnsi="宋体" w:cs="宋体"/>
          <w:color w:val="auto"/>
          <w:kern w:val="2"/>
          <w:sz w:val="21"/>
          <w:szCs w:val="21"/>
          <w:shd w:val="clear" w:color="auto" w:fill="FFFFFF"/>
        </w:rPr>
        <w:t xml:space="preserve"> </w:t>
      </w:r>
      <w:r>
        <w:rPr>
          <w:rFonts w:hint="eastAsia" w:ascii="宋体" w:hAnsi="宋体" w:cs="宋体"/>
          <w:color w:val="auto"/>
          <w:kern w:val="2"/>
          <w:sz w:val="21"/>
          <w:szCs w:val="21"/>
          <w:shd w:val="clear" w:color="auto" w:fill="FFFFFF"/>
        </w:rPr>
        <w:t>镜筒内SE/BSE探测器(同时具有二次电子和背散射电子模式)；</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5.4.5</w:t>
      </w:r>
      <w:bookmarkStart w:id="21" w:name="OLE_LINK1"/>
      <w:r>
        <w:rPr>
          <w:rFonts w:ascii="宋体" w:hAnsi="宋体" w:cs="宋体"/>
          <w:color w:val="auto"/>
          <w:kern w:val="2"/>
          <w:sz w:val="21"/>
          <w:szCs w:val="21"/>
          <w:shd w:val="clear" w:color="auto" w:fill="FFFFFF"/>
        </w:rPr>
        <w:t xml:space="preserve"> </w:t>
      </w:r>
      <w:r>
        <w:rPr>
          <w:rFonts w:hint="eastAsia" w:ascii="宋体" w:hAnsi="宋体" w:cs="宋体"/>
          <w:color w:val="auto"/>
          <w:kern w:val="2"/>
          <w:sz w:val="21"/>
          <w:szCs w:val="21"/>
          <w:shd w:val="clear" w:color="auto" w:fill="FFFFFF"/>
        </w:rPr>
        <w:t>可伸缩性背散射电子探测器；</w:t>
      </w:r>
    </w:p>
    <w:bookmarkEnd w:id="21"/>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5.4.6</w:t>
      </w:r>
      <w:r>
        <w:rPr>
          <w:rFonts w:ascii="宋体" w:hAnsi="宋体" w:cs="宋体"/>
          <w:color w:val="auto"/>
          <w:kern w:val="2"/>
          <w:sz w:val="21"/>
          <w:szCs w:val="21"/>
          <w:shd w:val="clear" w:color="auto" w:fill="FFFFFF"/>
        </w:rPr>
        <w:t xml:space="preserve"> </w:t>
      </w:r>
      <w:r>
        <w:rPr>
          <w:rFonts w:hint="eastAsia" w:ascii="宋体" w:hAnsi="宋体" w:cs="宋体"/>
          <w:color w:val="auto"/>
          <w:kern w:val="2"/>
          <w:sz w:val="21"/>
          <w:szCs w:val="21"/>
          <w:shd w:val="clear" w:color="auto" w:fill="FFFFFF"/>
        </w:rPr>
        <w:t>可伸缩性STEM探测器。</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5.5 样品台</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5.5.1 五轴或五轴以上的马达驱动样品台；</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5.5.2 X和Y方向移动范围</w:t>
      </w:r>
      <w:r>
        <w:rPr>
          <w:rFonts w:hint="eastAsia" w:ascii="宋体" w:hAnsi="宋体" w:cs="宋体"/>
          <w:color w:val="auto"/>
          <w:kern w:val="2"/>
          <w:sz w:val="21"/>
          <w:szCs w:val="21"/>
          <w:shd w:val="clear" w:color="auto" w:fill="FFFFFF"/>
        </w:rPr>
        <w:sym w:font="Symbol" w:char="F0B3"/>
      </w:r>
      <w:r>
        <w:rPr>
          <w:rFonts w:hint="eastAsia" w:ascii="宋体" w:hAnsi="宋体" w:cs="宋体"/>
          <w:color w:val="auto"/>
          <w:kern w:val="2"/>
          <w:sz w:val="21"/>
          <w:szCs w:val="21"/>
          <w:shd w:val="clear" w:color="auto" w:fill="FFFFFF"/>
        </w:rPr>
        <w:t>100mm; 回复精度不小于</w:t>
      </w:r>
      <w:r>
        <w:rPr>
          <w:rFonts w:ascii="宋体" w:hAnsi="宋体" w:cs="宋体"/>
          <w:color w:val="auto"/>
          <w:kern w:val="2"/>
          <w:sz w:val="21"/>
          <w:szCs w:val="21"/>
          <w:shd w:val="clear" w:color="auto" w:fill="FFFFFF"/>
        </w:rPr>
        <w:t>3</w:t>
      </w:r>
      <w:r>
        <w:rPr>
          <w:rFonts w:hint="eastAsia" w:ascii="宋体" w:hAnsi="宋体" w:cs="宋体"/>
          <w:color w:val="auto"/>
          <w:kern w:val="2"/>
          <w:sz w:val="21"/>
          <w:szCs w:val="21"/>
          <w:shd w:val="clear" w:color="auto" w:fill="FFFFFF"/>
        </w:rPr>
        <w:t>.0µm；</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5.5.3 Z方向移动范围</w:t>
      </w:r>
      <w:r>
        <w:rPr>
          <w:rFonts w:hint="eastAsia" w:ascii="宋体" w:hAnsi="宋体" w:cs="宋体"/>
          <w:color w:val="auto"/>
          <w:kern w:val="2"/>
          <w:sz w:val="21"/>
          <w:szCs w:val="21"/>
          <w:shd w:val="clear" w:color="auto" w:fill="FFFFFF"/>
        </w:rPr>
        <w:sym w:font="Symbol" w:char="F0B3"/>
      </w:r>
      <w:r>
        <w:rPr>
          <w:rFonts w:hint="eastAsia" w:ascii="宋体" w:hAnsi="宋体" w:cs="宋体"/>
          <w:color w:val="auto"/>
          <w:kern w:val="2"/>
          <w:sz w:val="21"/>
          <w:szCs w:val="21"/>
          <w:shd w:val="clear" w:color="auto" w:fill="FFFFFF"/>
        </w:rPr>
        <w:t>50mm;</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5.5.4 倾转范围不小于 -4</w:t>
      </w:r>
      <w:r>
        <w:rPr>
          <w:rFonts w:hint="eastAsia" w:ascii="宋体" w:hAnsi="宋体" w:cs="宋体"/>
          <w:color w:val="auto"/>
          <w:kern w:val="2"/>
          <w:sz w:val="21"/>
          <w:szCs w:val="21"/>
          <w:shd w:val="clear" w:color="auto" w:fill="FFFFFF"/>
        </w:rPr>
        <w:sym w:font="Symbol" w:char="F0B0"/>
      </w:r>
      <w:r>
        <w:rPr>
          <w:rFonts w:hint="eastAsia" w:ascii="宋体" w:hAnsi="宋体" w:cs="宋体"/>
          <w:color w:val="auto"/>
          <w:kern w:val="2"/>
          <w:sz w:val="21"/>
          <w:szCs w:val="21"/>
          <w:shd w:val="clear" w:color="auto" w:fill="FFFFFF"/>
        </w:rPr>
        <w:t xml:space="preserve"> ~ 70</w:t>
      </w:r>
      <w:r>
        <w:rPr>
          <w:rFonts w:hint="eastAsia" w:ascii="宋体" w:hAnsi="宋体" w:cs="宋体"/>
          <w:color w:val="auto"/>
          <w:kern w:val="2"/>
          <w:sz w:val="21"/>
          <w:szCs w:val="21"/>
          <w:shd w:val="clear" w:color="auto" w:fill="FFFFFF"/>
        </w:rPr>
        <w:sym w:font="Symbol" w:char="F0B0"/>
      </w:r>
      <w:r>
        <w:rPr>
          <w:rFonts w:hint="eastAsia" w:ascii="宋体" w:hAnsi="宋体" w:cs="宋体"/>
          <w:color w:val="auto"/>
          <w:kern w:val="2"/>
          <w:sz w:val="21"/>
          <w:szCs w:val="21"/>
          <w:shd w:val="clear" w:color="auto" w:fill="FFFFFF"/>
        </w:rPr>
        <w:t>；</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5.5.5 旋转角度R=360</w:t>
      </w:r>
      <w:r>
        <w:rPr>
          <w:rFonts w:hint="eastAsia" w:ascii="宋体" w:hAnsi="宋体" w:cs="宋体"/>
          <w:color w:val="auto"/>
          <w:kern w:val="2"/>
          <w:sz w:val="21"/>
          <w:szCs w:val="21"/>
          <w:shd w:val="clear" w:color="auto" w:fill="FFFFFF"/>
        </w:rPr>
        <w:sym w:font="Symbol" w:char="F0B0"/>
      </w:r>
      <w:r>
        <w:rPr>
          <w:rFonts w:hint="eastAsia" w:ascii="宋体" w:hAnsi="宋体" w:cs="宋体"/>
          <w:color w:val="auto"/>
          <w:kern w:val="2"/>
          <w:sz w:val="21"/>
          <w:szCs w:val="21"/>
          <w:shd w:val="clear" w:color="auto" w:fill="FFFFFF"/>
        </w:rPr>
        <w:t>；</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5.5.6 可放样品高度：样品台到束交叉点不小于50mm；</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w:t>
      </w:r>
      <w:r>
        <w:rPr>
          <w:rFonts w:ascii="宋体" w:hAnsi="宋体" w:cs="宋体"/>
          <w:color w:val="auto"/>
          <w:kern w:val="2"/>
          <w:sz w:val="21"/>
          <w:szCs w:val="21"/>
          <w:shd w:val="clear" w:color="auto" w:fill="FFFFFF"/>
        </w:rPr>
        <w:t xml:space="preserve">5.7 </w:t>
      </w:r>
      <w:r>
        <w:rPr>
          <w:rFonts w:hint="eastAsia" w:ascii="宋体" w:hAnsi="宋体" w:cs="Segoe UI Symbol"/>
          <w:color w:val="auto"/>
          <w:kern w:val="2"/>
          <w:sz w:val="21"/>
          <w:szCs w:val="21"/>
          <w:shd w:val="clear" w:color="auto" w:fill="FFFFFF"/>
        </w:rPr>
        <w:t>样品台承重不小于</w:t>
      </w:r>
      <w:r>
        <w:rPr>
          <w:rFonts w:ascii="宋体" w:hAnsi="宋体" w:cs="Segoe UI Symbol"/>
          <w:color w:val="auto"/>
          <w:kern w:val="2"/>
          <w:sz w:val="21"/>
          <w:szCs w:val="21"/>
          <w:shd w:val="clear" w:color="auto" w:fill="FFFFFF"/>
        </w:rPr>
        <w:t>5</w:t>
      </w:r>
      <w:r>
        <w:rPr>
          <w:rFonts w:hint="eastAsia" w:ascii="宋体" w:hAnsi="宋体" w:cs="Segoe UI Symbol"/>
          <w:color w:val="auto"/>
          <w:kern w:val="2"/>
          <w:sz w:val="21"/>
          <w:szCs w:val="21"/>
          <w:shd w:val="clear" w:color="auto" w:fill="FFFFFF"/>
        </w:rPr>
        <w:t>kg，能承受原位拉伸台</w:t>
      </w:r>
      <w:r>
        <w:rPr>
          <w:rFonts w:hint="eastAsia" w:cs="宋体" w:asciiTheme="minorEastAsia" w:hAnsiTheme="minorEastAsia" w:eastAsiaTheme="minorEastAsia"/>
          <w:color w:val="auto"/>
          <w:kern w:val="2"/>
          <w:sz w:val="21"/>
          <w:szCs w:val="21"/>
          <w:shd w:val="clear" w:color="auto" w:fill="FFFFFF"/>
        </w:rPr>
        <w:t>。</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5.6 样品室</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5.6.1 样品室内部尺寸横向宽度不小于360mm；</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★5.6.2 样品室内配置至少1个红外CCD 相机；</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★5.6.3 样品室导航系统：具有光学摄像头或者</w:t>
      </w:r>
      <w:r>
        <w:rPr>
          <w:rFonts w:ascii="宋体" w:hAnsi="宋体" w:cs="宋体"/>
          <w:color w:val="auto"/>
          <w:kern w:val="2"/>
          <w:sz w:val="21"/>
          <w:szCs w:val="21"/>
          <w:shd w:val="clear" w:color="auto" w:fill="FFFFFF"/>
        </w:rPr>
        <w:t>电镜图像</w:t>
      </w:r>
      <w:r>
        <w:rPr>
          <w:rFonts w:hint="eastAsia" w:ascii="宋体" w:hAnsi="宋体" w:cs="宋体"/>
          <w:color w:val="auto"/>
          <w:kern w:val="2"/>
          <w:sz w:val="21"/>
          <w:szCs w:val="21"/>
          <w:shd w:val="clear" w:color="auto" w:fill="FFFFFF"/>
        </w:rPr>
        <w:t>导航系统；</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★5.6.4 配置样品仓等离子清洗器；</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5.7 真空系统</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5.7.1 完全无油真空系统，配备机械泵、分子泵、离子泵；</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5.7.1 样品室真空度：在高真空下优于2.6 </w:t>
      </w:r>
      <w:r>
        <w:rPr>
          <w:rFonts w:hint="eastAsia" w:ascii="宋体" w:hAnsi="宋体" w:cs="宋体"/>
          <w:color w:val="auto"/>
          <w:kern w:val="2"/>
          <w:sz w:val="21"/>
          <w:szCs w:val="21"/>
          <w:shd w:val="clear" w:color="auto" w:fill="FFFFFF"/>
        </w:rPr>
        <w:sym w:font="Symbol" w:char="F0B4"/>
      </w:r>
      <w:r>
        <w:rPr>
          <w:rFonts w:hint="eastAsia" w:ascii="宋体" w:hAnsi="宋体" w:cs="宋体"/>
          <w:color w:val="auto"/>
          <w:kern w:val="2"/>
          <w:sz w:val="21"/>
          <w:szCs w:val="21"/>
          <w:shd w:val="clear" w:color="auto" w:fill="FFFFFF"/>
        </w:rPr>
        <w:t xml:space="preserve"> 10</w:t>
      </w:r>
      <w:r>
        <w:rPr>
          <w:rFonts w:hint="eastAsia" w:ascii="宋体" w:hAnsi="宋体" w:cs="宋体"/>
          <w:color w:val="auto"/>
          <w:kern w:val="2"/>
          <w:sz w:val="21"/>
          <w:szCs w:val="21"/>
          <w:shd w:val="clear" w:color="auto" w:fill="FFFFFF"/>
          <w:vertAlign w:val="superscript"/>
        </w:rPr>
        <w:t>-6</w:t>
      </w:r>
      <w:r>
        <w:rPr>
          <w:rFonts w:hint="eastAsia" w:ascii="宋体" w:hAnsi="宋体" w:cs="宋体"/>
          <w:color w:val="auto"/>
          <w:kern w:val="2"/>
          <w:sz w:val="21"/>
          <w:szCs w:val="21"/>
          <w:shd w:val="clear" w:color="auto" w:fill="FFFFFF"/>
        </w:rPr>
        <w:t xml:space="preserve"> mbar。</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5.8 气体注入系统</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★5.8.1 具有Pt等沉积系统，可在离子束、电子束诱导下进行Pt、C等的沉积；</w:t>
      </w:r>
      <w:r>
        <w:rPr>
          <w:rFonts w:ascii="宋体" w:hAnsi="宋体" w:cs="宋体"/>
          <w:color w:val="auto"/>
          <w:kern w:val="2"/>
          <w:sz w:val="21"/>
          <w:szCs w:val="21"/>
          <w:shd w:val="clear" w:color="auto" w:fill="FFFFFF"/>
        </w:rPr>
        <w:t xml:space="preserve"> </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5.8.2 每种气体配套独立的气体注入器，防止气体交叉污染。</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★5.9 纳米机械手：</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（1）</w:t>
      </w:r>
      <w:r>
        <w:rPr>
          <w:rFonts w:hint="eastAsia" w:ascii="宋体" w:hAnsi="宋体" w:cs="宋体"/>
          <w:color w:val="auto"/>
          <w:sz w:val="21"/>
          <w:szCs w:val="21"/>
          <w:shd w:val="clear" w:color="auto" w:fill="FFFFFF"/>
        </w:rPr>
        <w:t>可边操作边观察</w:t>
      </w:r>
      <w:r>
        <w:rPr>
          <w:rFonts w:hint="eastAsia" w:ascii="宋体" w:hAnsi="宋体" w:cs="宋体"/>
          <w:color w:val="auto"/>
          <w:kern w:val="2"/>
          <w:sz w:val="21"/>
          <w:szCs w:val="21"/>
          <w:shd w:val="clear" w:color="auto" w:fill="FFFFFF"/>
        </w:rPr>
        <w:t>；</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（2）XYZR 全自动，最小步长</w:t>
      </w:r>
      <w:r>
        <w:rPr>
          <w:rFonts w:hint="eastAsia" w:ascii="宋体" w:hAnsi="宋体" w:cs="宋体"/>
          <w:color w:val="auto"/>
          <w:kern w:val="2"/>
          <w:sz w:val="21"/>
          <w:szCs w:val="21"/>
          <w:shd w:val="clear" w:color="auto" w:fill="FFFFFF"/>
        </w:rPr>
        <w:sym w:font="Symbol" w:char="F0A3"/>
      </w:r>
      <w:r>
        <w:rPr>
          <w:rFonts w:hint="eastAsia" w:ascii="宋体" w:hAnsi="宋体" w:cs="宋体"/>
          <w:color w:val="auto"/>
          <w:kern w:val="2"/>
          <w:sz w:val="21"/>
          <w:szCs w:val="21"/>
          <w:shd w:val="clear" w:color="auto" w:fill="FFFFFF"/>
        </w:rPr>
        <w:t>100nm， 旋转角度</w:t>
      </w:r>
      <w:r>
        <w:rPr>
          <w:rFonts w:hint="eastAsia" w:ascii="宋体" w:hAnsi="宋体" w:cs="宋体"/>
          <w:color w:val="auto"/>
          <w:kern w:val="2"/>
          <w:sz w:val="21"/>
          <w:szCs w:val="21"/>
          <w:shd w:val="clear" w:color="auto" w:fill="FFFFFF"/>
        </w:rPr>
        <w:sym w:font="Symbol" w:char="F0A3"/>
      </w:r>
      <w:r>
        <w:rPr>
          <w:rFonts w:hint="eastAsia" w:ascii="宋体" w:hAnsi="宋体" w:cs="宋体"/>
          <w:color w:val="auto"/>
          <w:kern w:val="2"/>
          <w:sz w:val="21"/>
          <w:szCs w:val="21"/>
          <w:shd w:val="clear" w:color="auto" w:fill="FFFFFF"/>
        </w:rPr>
        <w:t>0.2</w:t>
      </w:r>
      <w:r>
        <w:rPr>
          <w:rFonts w:hint="eastAsia" w:ascii="宋体" w:hAnsi="宋体" w:cs="宋体"/>
          <w:color w:val="auto"/>
          <w:kern w:val="2"/>
          <w:sz w:val="21"/>
          <w:szCs w:val="21"/>
          <w:shd w:val="clear" w:color="auto" w:fill="FFFFFF"/>
        </w:rPr>
        <w:sym w:font="Symbol" w:char="F0B0"/>
      </w:r>
      <w:r>
        <w:rPr>
          <w:rFonts w:hint="eastAsia" w:ascii="宋体" w:hAnsi="宋体" w:cs="宋体"/>
          <w:color w:val="auto"/>
          <w:kern w:val="2"/>
          <w:sz w:val="21"/>
          <w:szCs w:val="21"/>
          <w:shd w:val="clear" w:color="auto" w:fill="FFFFFF"/>
        </w:rPr>
        <w:t>， 漂移</w:t>
      </w:r>
      <w:r>
        <w:rPr>
          <w:rFonts w:hint="eastAsia" w:ascii="宋体" w:hAnsi="宋体" w:cs="宋体"/>
          <w:color w:val="auto"/>
          <w:kern w:val="2"/>
          <w:sz w:val="21"/>
          <w:szCs w:val="21"/>
          <w:shd w:val="clear" w:color="auto" w:fill="FFFFFF"/>
        </w:rPr>
        <w:sym w:font="Symbol" w:char="F03C"/>
      </w:r>
      <w:r>
        <w:rPr>
          <w:rFonts w:hint="eastAsia" w:ascii="宋体" w:hAnsi="宋体" w:cs="宋体"/>
          <w:color w:val="auto"/>
          <w:kern w:val="2"/>
          <w:sz w:val="21"/>
          <w:szCs w:val="21"/>
          <w:shd w:val="clear" w:color="auto" w:fill="FFFFFF"/>
        </w:rPr>
        <w:t xml:space="preserve"> 50nm/min, 全方向重复精度</w:t>
      </w:r>
      <w:r>
        <w:rPr>
          <w:rFonts w:hint="eastAsia" w:ascii="宋体" w:hAnsi="宋体" w:cs="宋体"/>
          <w:color w:val="auto"/>
          <w:kern w:val="2"/>
          <w:sz w:val="21"/>
          <w:szCs w:val="21"/>
          <w:shd w:val="clear" w:color="auto" w:fill="FFFFFF"/>
        </w:rPr>
        <w:sym w:font="Symbol" w:char="F03C"/>
      </w:r>
      <w:r>
        <w:rPr>
          <w:rFonts w:hint="eastAsia" w:ascii="宋体" w:hAnsi="宋体" w:cs="宋体"/>
          <w:color w:val="auto"/>
          <w:kern w:val="2"/>
          <w:sz w:val="21"/>
          <w:szCs w:val="21"/>
          <w:shd w:val="clear" w:color="auto" w:fill="FFFFFF"/>
        </w:rPr>
        <w:t xml:space="preserve"> </w:t>
      </w:r>
      <w:r>
        <w:rPr>
          <w:rFonts w:hint="eastAsia" w:ascii="宋体" w:hAnsi="宋体" w:cs="宋体"/>
          <w:color w:val="auto"/>
          <w:kern w:val="2"/>
          <w:sz w:val="21"/>
          <w:szCs w:val="21"/>
          <w:shd w:val="clear" w:color="auto" w:fill="FFFFFF"/>
        </w:rPr>
        <w:sym w:font="Symbol" w:char="F0B1"/>
      </w:r>
      <w:r>
        <w:rPr>
          <w:rFonts w:hint="eastAsia" w:ascii="宋体" w:hAnsi="宋体" w:cs="宋体"/>
          <w:color w:val="auto"/>
          <w:kern w:val="2"/>
          <w:sz w:val="21"/>
          <w:szCs w:val="21"/>
          <w:shd w:val="clear" w:color="auto" w:fill="FFFFFF"/>
        </w:rPr>
        <w:t xml:space="preserve"> 150nm。</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5.10 能谱仪（EDS）要求</w:t>
      </w:r>
    </w:p>
    <w:p>
      <w:pPr>
        <w:pStyle w:val="44"/>
        <w:spacing w:line="360" w:lineRule="auto"/>
        <w:jc w:val="both"/>
        <w:rPr>
          <w:rFonts w:ascii="宋体" w:hAnsi="宋体" w:cs="宋体"/>
          <w:color w:val="auto"/>
          <w:kern w:val="2"/>
          <w:sz w:val="21"/>
          <w:szCs w:val="21"/>
          <w:shd w:val="clear" w:color="auto" w:fill="FFFFFF"/>
        </w:rPr>
      </w:pPr>
      <w:bookmarkStart w:id="22" w:name="OLE_LINK6"/>
      <w:bookmarkStart w:id="23" w:name="OLE_LINK5"/>
      <w:r>
        <w:rPr>
          <w:rFonts w:hint="eastAsia" w:ascii="宋体" w:hAnsi="宋体" w:cs="宋体"/>
          <w:color w:val="auto"/>
          <w:kern w:val="2"/>
          <w:sz w:val="21"/>
          <w:szCs w:val="21"/>
          <w:shd w:val="clear" w:color="auto" w:fill="FFFFFF"/>
        </w:rPr>
        <w:t>★</w:t>
      </w:r>
      <w:bookmarkEnd w:id="22"/>
      <w:bookmarkEnd w:id="23"/>
      <w:r>
        <w:rPr>
          <w:rFonts w:hint="eastAsia" w:ascii="宋体" w:hAnsi="宋体" w:cs="宋体"/>
          <w:color w:val="auto"/>
          <w:kern w:val="2"/>
          <w:sz w:val="21"/>
          <w:szCs w:val="21"/>
          <w:shd w:val="clear" w:color="auto" w:fill="FFFFFF"/>
        </w:rPr>
        <w:t>5.10.1 探测器：探测器晶体面积≥150mm</w:t>
      </w:r>
      <w:r>
        <w:rPr>
          <w:rFonts w:hint="eastAsia" w:ascii="宋体" w:hAnsi="宋体" w:cs="宋体"/>
          <w:color w:val="auto"/>
          <w:kern w:val="2"/>
          <w:sz w:val="21"/>
          <w:szCs w:val="21"/>
          <w:shd w:val="clear" w:color="auto" w:fill="FFFFFF"/>
          <w:vertAlign w:val="superscript"/>
        </w:rPr>
        <w:t>2</w:t>
      </w:r>
      <w:r>
        <w:rPr>
          <w:rFonts w:hint="eastAsia" w:ascii="宋体" w:hAnsi="宋体" w:cs="宋体"/>
          <w:color w:val="auto"/>
          <w:kern w:val="2"/>
          <w:sz w:val="21"/>
          <w:szCs w:val="21"/>
          <w:shd w:val="clear" w:color="auto" w:fill="FFFFFF"/>
        </w:rPr>
        <w:t>；</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5.10.2 能量分辨率：Mn Ka保证优于127eV（计数率130,000cps）；</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5.10.3 元素分析范围: Be4～Cf98；</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5.10.4 控制单元：具备电镜观测时同时进行元素分析（Live）的功能，移动样品时，元素谱图与面分布图实时刷新显示，无需在电镜和能谱软件间切换。样品一旦停止移动，自动开启面分布图静态采集模式，得到更高清晰度的面分布图。</w:t>
      </w:r>
    </w:p>
    <w:p>
      <w:pPr>
        <w:pStyle w:val="44"/>
        <w:spacing w:line="360" w:lineRule="auto"/>
        <w:jc w:val="both"/>
        <w:rPr>
          <w:rFonts w:ascii="宋体" w:hAnsi="宋体" w:cs="宋体"/>
          <w:color w:val="auto"/>
          <w:kern w:val="2"/>
          <w:sz w:val="21"/>
          <w:szCs w:val="21"/>
          <w:shd w:val="clear" w:color="auto" w:fill="FFFFFF"/>
        </w:rPr>
      </w:pPr>
      <w:bookmarkStart w:id="24" w:name="_Hlk27580724"/>
      <w:r>
        <w:rPr>
          <w:rFonts w:hint="eastAsia" w:ascii="宋体" w:hAnsi="宋体" w:cs="宋体"/>
          <w:color w:val="auto"/>
          <w:kern w:val="2"/>
          <w:sz w:val="21"/>
          <w:szCs w:val="21"/>
        </w:rPr>
        <w:t>▲</w:t>
      </w:r>
      <w:bookmarkEnd w:id="24"/>
      <w:r>
        <w:rPr>
          <w:rFonts w:hint="eastAsia" w:ascii="宋体" w:hAnsi="宋体" w:cs="宋体"/>
          <w:color w:val="auto"/>
          <w:kern w:val="2"/>
          <w:sz w:val="21"/>
          <w:szCs w:val="21"/>
          <w:shd w:val="clear" w:color="auto" w:fill="FFFFFF"/>
        </w:rPr>
        <w:t>5.10.5 拥有完备的高低电压定量数据库，如20kV和5kV；</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5.10.6 能谱仪处理器与计算机采用分立式设计，电子图像分辨率不低于8192×8192，全谱面分布图分辨率不低于4096×4096；</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5.10.7 谱定性分析:可自动标识谱峰, 无禁止自动标定的元素，可进行谱重构，对重叠峰进行手动峰剥离；</w:t>
      </w:r>
    </w:p>
    <w:p>
      <w:pPr>
        <w:pStyle w:val="44"/>
        <w:spacing w:line="360" w:lineRule="auto"/>
        <w:jc w:val="both"/>
        <w:rPr>
          <w:rFonts w:ascii="宋体" w:hAnsi="宋体" w:cs="宋体"/>
          <w:color w:val="auto"/>
          <w:kern w:val="2"/>
          <w:sz w:val="21"/>
          <w:szCs w:val="21"/>
          <w:shd w:val="clear" w:color="auto" w:fill="FFFFFF"/>
        </w:rPr>
      </w:pPr>
      <w:bookmarkStart w:id="25" w:name="_Hlk29555744"/>
      <w:r>
        <w:rPr>
          <w:rFonts w:hint="eastAsia" w:ascii="宋体" w:hAnsi="宋体" w:cs="宋体"/>
          <w:color w:val="auto"/>
          <w:kern w:val="2"/>
          <w:sz w:val="21"/>
          <w:szCs w:val="21"/>
          <w:shd w:val="clear" w:color="auto" w:fill="FFFFFF"/>
        </w:rPr>
        <w:t>★</w:t>
      </w:r>
      <w:bookmarkEnd w:id="25"/>
      <w:r>
        <w:rPr>
          <w:rFonts w:hint="eastAsia" w:ascii="宋体" w:hAnsi="宋体" w:cs="宋体"/>
          <w:color w:val="auto"/>
          <w:kern w:val="2"/>
          <w:sz w:val="21"/>
          <w:szCs w:val="21"/>
          <w:shd w:val="clear" w:color="auto" w:fill="FFFFFF"/>
        </w:rPr>
        <w:t>5.10.8 定量分析：包括点扫描，线扫描和面扫描定量分析；</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★5.10.9 </w:t>
      </w:r>
      <w:bookmarkStart w:id="26" w:name="_Hlk29555814"/>
      <w:r>
        <w:rPr>
          <w:rFonts w:hint="eastAsia" w:ascii="宋体" w:hAnsi="宋体" w:cs="宋体"/>
          <w:color w:val="auto"/>
          <w:kern w:val="2"/>
          <w:sz w:val="21"/>
          <w:szCs w:val="21"/>
          <w:shd w:val="clear" w:color="auto" w:fill="FFFFFF"/>
        </w:rPr>
        <w:t>该设备为FIB-SEM电镜附属设备，与EBSD形成一体化系统，用于材料的微区成分分析，并可作3D EDS/EBSD工作</w:t>
      </w:r>
      <w:bookmarkEnd w:id="26"/>
      <w:r>
        <w:rPr>
          <w:rFonts w:hint="eastAsia" w:ascii="宋体" w:hAnsi="宋体" w:cs="宋体"/>
          <w:color w:val="auto"/>
          <w:kern w:val="2"/>
          <w:sz w:val="21"/>
          <w:szCs w:val="21"/>
          <w:shd w:val="clear" w:color="auto" w:fill="FFFFFF"/>
        </w:rPr>
        <w:t>。</w:t>
      </w:r>
    </w:p>
    <w:p>
      <w:pPr>
        <w:pStyle w:val="44"/>
        <w:spacing w:line="360" w:lineRule="auto"/>
        <w:jc w:val="both"/>
        <w:rPr>
          <w:rFonts w:ascii="宋体" w:hAnsi="宋体" w:cs="宋体"/>
          <w:color w:val="auto"/>
          <w:kern w:val="2"/>
          <w:sz w:val="21"/>
          <w:szCs w:val="21"/>
          <w:shd w:val="clear" w:color="auto" w:fill="FFFFFF"/>
        </w:rPr>
      </w:pPr>
      <w:bookmarkStart w:id="27" w:name="_Hlk27580789"/>
      <w:r>
        <w:rPr>
          <w:rFonts w:hint="eastAsia" w:ascii="宋体" w:hAnsi="宋体" w:cs="宋体"/>
          <w:color w:val="auto"/>
          <w:kern w:val="2"/>
          <w:sz w:val="21"/>
          <w:szCs w:val="21"/>
        </w:rPr>
        <w:t>▲</w:t>
      </w:r>
      <w:r>
        <w:rPr>
          <w:rFonts w:hint="eastAsia" w:ascii="宋体" w:hAnsi="宋体" w:cs="宋体"/>
          <w:color w:val="auto"/>
          <w:kern w:val="2"/>
          <w:sz w:val="21"/>
          <w:szCs w:val="21"/>
          <w:shd w:val="clear" w:color="auto" w:fill="FFFFFF"/>
        </w:rPr>
        <w:t xml:space="preserve">5.10.10 </w:t>
      </w:r>
      <w:r>
        <w:rPr>
          <w:rFonts w:hint="eastAsia"/>
          <w:color w:val="auto"/>
          <w:sz w:val="21"/>
          <w:szCs w:val="21"/>
        </w:rPr>
        <w:t>具有适合热台使用的热红外信号过滤功能。</w:t>
      </w:r>
      <w:bookmarkEnd w:id="27"/>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5.11  EBSD的要求</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★5.11.1 EBSD探测器采用CMOS图像传感器技术；</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★5.11.2 EBSD</w:t>
      </w:r>
      <w:bookmarkStart w:id="28" w:name="_Hlk27580849"/>
      <w:r>
        <w:rPr>
          <w:rFonts w:hint="eastAsia" w:ascii="宋体" w:hAnsi="宋体" w:cs="宋体"/>
          <w:color w:val="auto"/>
          <w:kern w:val="2"/>
          <w:sz w:val="21"/>
          <w:szCs w:val="21"/>
          <w:shd w:val="clear" w:color="auto" w:fill="FFFFFF"/>
        </w:rPr>
        <w:t>最高像素分辨率不小于1244×1024，在此分辨率条件下，最大采集速度≥240点/秒</w:t>
      </w:r>
      <w:bookmarkEnd w:id="28"/>
      <w:r>
        <w:rPr>
          <w:rFonts w:hint="eastAsia" w:ascii="宋体" w:hAnsi="宋体" w:cs="宋体"/>
          <w:color w:val="auto"/>
          <w:kern w:val="2"/>
          <w:sz w:val="21"/>
          <w:szCs w:val="21"/>
          <w:shd w:val="clear" w:color="auto" w:fill="FFFFFF"/>
        </w:rPr>
        <w:t>；</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★5.11.3 EBSD最高在线采集速度≥3000点/秒，在最高速度时花样分辨率≥156x128像素；</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5.11.4 同时采集EDS和EBSD数据时互不影响；</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5.11.5 </w:t>
      </w:r>
      <w:bookmarkStart w:id="29" w:name="_Hlk27580908"/>
      <w:r>
        <w:rPr>
          <w:rFonts w:hint="eastAsia"/>
          <w:color w:val="auto"/>
          <w:sz w:val="21"/>
          <w:szCs w:val="21"/>
        </w:rPr>
        <w:t>电子图像分辨率：≥8192×8192，EBSD面分布图分辨率：≥4096×4096，</w:t>
      </w:r>
      <w:r>
        <w:rPr>
          <w:rFonts w:hint="eastAsia" w:ascii="宋体" w:hAnsi="宋体" w:cs="宋体"/>
          <w:color w:val="auto"/>
          <w:kern w:val="2"/>
          <w:sz w:val="21"/>
          <w:szCs w:val="21"/>
          <w:shd w:val="clear" w:color="auto" w:fill="FFFFFF"/>
        </w:rPr>
        <w:t>角度分辨率可达0.05度；</w:t>
      </w:r>
      <w:bookmarkEnd w:id="29"/>
    </w:p>
    <w:p>
      <w:pPr>
        <w:pStyle w:val="44"/>
        <w:spacing w:line="360" w:lineRule="auto"/>
        <w:jc w:val="both"/>
        <w:rPr>
          <w:rFonts w:ascii="宋体" w:hAnsi="宋体" w:cs="宋体"/>
          <w:color w:val="auto"/>
          <w:kern w:val="2"/>
          <w:sz w:val="21"/>
          <w:szCs w:val="21"/>
          <w:shd w:val="clear" w:color="auto" w:fill="FFFFFF"/>
        </w:rPr>
      </w:pPr>
      <w:bookmarkStart w:id="30" w:name="_Hlk27580985"/>
      <w:r>
        <w:rPr>
          <w:rFonts w:hint="eastAsia" w:ascii="宋体" w:hAnsi="宋体" w:cs="宋体"/>
          <w:color w:val="auto"/>
          <w:kern w:val="2"/>
          <w:sz w:val="21"/>
          <w:szCs w:val="21"/>
          <w:shd w:val="clear" w:color="auto" w:fill="FFFFFF"/>
        </w:rPr>
        <w:t xml:space="preserve">5.11.6 </w:t>
      </w:r>
      <w:r>
        <w:rPr>
          <w:rFonts w:hint="eastAsia"/>
          <w:color w:val="auto"/>
          <w:sz w:val="21"/>
          <w:szCs w:val="21"/>
        </w:rPr>
        <w:t>可通过控制盒或软件控制探测器移动，在不同工作距离无需重新校准，软件可以自动校准并直接标定探测器，并具有探测器防碰撞功能；</w:t>
      </w:r>
    </w:p>
    <w:p>
      <w:pPr>
        <w:widowControl w:val="0"/>
        <w:tabs>
          <w:tab w:val="left" w:pos="420"/>
          <w:tab w:val="left" w:pos="525"/>
        </w:tabs>
        <w:snapToGrid/>
        <w:spacing w:after="0" w:line="360" w:lineRule="auto"/>
        <w:jc w:val="both"/>
        <w:rPr>
          <w:rFonts w:ascii="宋体" w:hAnsi="宋体" w:eastAsia="宋体"/>
          <w:color w:val="auto"/>
          <w:sz w:val="21"/>
          <w:szCs w:val="21"/>
        </w:rPr>
      </w:pPr>
      <w:r>
        <w:rPr>
          <w:rFonts w:hint="eastAsia" w:ascii="宋体" w:hAnsi="宋体" w:cs="宋体"/>
          <w:color w:val="auto"/>
          <w:kern w:val="2"/>
          <w:sz w:val="21"/>
          <w:szCs w:val="21"/>
          <w:shd w:val="clear" w:color="auto" w:fill="FFFFFF"/>
        </w:rPr>
        <w:t>★</w:t>
      </w:r>
      <w:r>
        <w:rPr>
          <w:rFonts w:hint="eastAsia" w:ascii="宋体" w:hAnsi="宋体" w:eastAsia="宋体"/>
          <w:color w:val="auto"/>
          <w:sz w:val="21"/>
          <w:szCs w:val="21"/>
        </w:rPr>
        <w:t>5.11.7 配置彩色前置背散射探头不少于5块，能够获得彩色前置背散射取向衬度照片用于清晰表征取向差异；</w:t>
      </w:r>
    </w:p>
    <w:p>
      <w:pPr>
        <w:widowControl w:val="0"/>
        <w:tabs>
          <w:tab w:val="left" w:pos="420"/>
          <w:tab w:val="left" w:pos="525"/>
        </w:tabs>
        <w:snapToGrid/>
        <w:spacing w:after="0" w:line="360" w:lineRule="auto"/>
        <w:jc w:val="both"/>
        <w:rPr>
          <w:rFonts w:ascii="宋体" w:hAnsi="宋体" w:eastAsia="宋体"/>
          <w:color w:val="auto"/>
          <w:sz w:val="21"/>
          <w:szCs w:val="21"/>
        </w:rPr>
      </w:pPr>
      <w:r>
        <w:rPr>
          <w:rFonts w:hint="eastAsia" w:ascii="宋体" w:hAnsi="宋体" w:cs="宋体"/>
          <w:color w:val="auto"/>
          <w:kern w:val="2"/>
          <w:sz w:val="21"/>
          <w:szCs w:val="21"/>
          <w:shd w:val="clear" w:color="auto" w:fill="FFFFFF"/>
        </w:rPr>
        <w:t>★5.11.8</w:t>
      </w:r>
      <w:r>
        <w:rPr>
          <w:rFonts w:hint="eastAsia" w:ascii="宋体" w:hAnsi="宋体" w:eastAsia="宋体" w:cs="宋体"/>
          <w:color w:val="auto"/>
          <w:kern w:val="2"/>
          <w:sz w:val="21"/>
          <w:szCs w:val="21"/>
          <w:shd w:val="clear" w:color="auto" w:fill="FFFFFF"/>
        </w:rPr>
        <w:t>该设备为FIB-SEM电镜附属设备，与ESD形成一体化系统，用于材料的微区成分</w:t>
      </w:r>
      <w:bookmarkStart w:id="31" w:name="_Hlk29556366"/>
      <w:r>
        <w:rPr>
          <w:rFonts w:hint="eastAsia" w:ascii="宋体" w:hAnsi="宋体" w:eastAsia="宋体" w:cs="宋体"/>
          <w:color w:val="auto"/>
          <w:kern w:val="2"/>
          <w:sz w:val="21"/>
          <w:szCs w:val="21"/>
          <w:shd w:val="clear" w:color="auto" w:fill="FFFFFF"/>
        </w:rPr>
        <w:t>和取向</w:t>
      </w:r>
      <w:bookmarkEnd w:id="31"/>
      <w:r>
        <w:rPr>
          <w:rFonts w:hint="eastAsia" w:ascii="宋体" w:hAnsi="宋体" w:eastAsia="宋体" w:cs="宋体"/>
          <w:color w:val="auto"/>
          <w:kern w:val="2"/>
          <w:sz w:val="21"/>
          <w:szCs w:val="21"/>
          <w:shd w:val="clear" w:color="auto" w:fill="FFFFFF"/>
        </w:rPr>
        <w:t>分析，并可作3D EDS/EBSD工作；</w:t>
      </w:r>
    </w:p>
    <w:p>
      <w:pPr>
        <w:pStyle w:val="44"/>
        <w:spacing w:line="360" w:lineRule="auto"/>
        <w:jc w:val="both"/>
        <w:rPr>
          <w:color w:val="auto"/>
          <w:sz w:val="21"/>
          <w:szCs w:val="21"/>
        </w:rPr>
      </w:pPr>
      <w:r>
        <w:rPr>
          <w:rFonts w:hint="eastAsia" w:ascii="宋体" w:hAnsi="宋体" w:cs="宋体"/>
          <w:color w:val="auto"/>
          <w:kern w:val="2"/>
          <w:sz w:val="21"/>
          <w:szCs w:val="21"/>
          <w:shd w:val="clear" w:color="auto" w:fill="FFFFFF"/>
        </w:rPr>
        <w:t>★5.11.9</w:t>
      </w:r>
      <w:r>
        <w:rPr>
          <w:rFonts w:hint="eastAsia" w:asciiTheme="minorEastAsia" w:hAnsiTheme="minorEastAsia" w:eastAsiaTheme="minorEastAsia"/>
          <w:color w:val="auto"/>
          <w:sz w:val="21"/>
          <w:szCs w:val="21"/>
        </w:rPr>
        <w:t xml:space="preserve"> </w:t>
      </w:r>
      <w:r>
        <w:rPr>
          <w:rFonts w:hint="eastAsia"/>
          <w:color w:val="auto"/>
          <w:sz w:val="21"/>
          <w:szCs w:val="21"/>
        </w:rPr>
        <w:t xml:space="preserve"> 具有适合热台使用的热红外信号过滤功能，</w:t>
      </w:r>
      <w:r>
        <w:rPr>
          <w:rFonts w:hint="eastAsia" w:ascii="宋体" w:hAnsi="宋体"/>
          <w:color w:val="auto"/>
          <w:sz w:val="21"/>
          <w:szCs w:val="21"/>
        </w:rPr>
        <w:t>可在</w:t>
      </w:r>
      <w:r>
        <w:rPr>
          <w:color w:val="auto"/>
          <w:sz w:val="21"/>
          <w:szCs w:val="21"/>
        </w:rPr>
        <w:t xml:space="preserve">Kammrath -Weiss </w:t>
      </w:r>
      <w:r>
        <w:rPr>
          <w:rFonts w:hint="eastAsia" w:ascii="宋体" w:hAnsi="宋体"/>
          <w:color w:val="auto"/>
          <w:sz w:val="21"/>
          <w:szCs w:val="21"/>
        </w:rPr>
        <w:t>公司的原位高温拉伸</w:t>
      </w:r>
      <w:r>
        <w:rPr>
          <w:rFonts w:hint="eastAsia"/>
          <w:color w:val="auto"/>
          <w:sz w:val="21"/>
          <w:szCs w:val="21"/>
        </w:rPr>
        <w:t>实验的同时进行EBSD分析。</w:t>
      </w:r>
    </w:p>
    <w:p>
      <w:pPr>
        <w:widowControl w:val="0"/>
        <w:tabs>
          <w:tab w:val="left" w:pos="420"/>
          <w:tab w:val="left" w:pos="525"/>
        </w:tabs>
        <w:snapToGrid/>
        <w:spacing w:after="0" w:line="360" w:lineRule="auto"/>
        <w:jc w:val="both"/>
        <w:rPr>
          <w:rFonts w:asciiTheme="minorEastAsia" w:hAnsiTheme="minorEastAsia" w:eastAsiaTheme="minorEastAsia"/>
          <w:color w:val="auto"/>
          <w:sz w:val="21"/>
          <w:szCs w:val="21"/>
        </w:rPr>
      </w:pPr>
      <w:r>
        <w:rPr>
          <w:rFonts w:hint="eastAsia" w:ascii="宋体" w:hAnsi="宋体" w:eastAsia="宋体" w:cs="宋体"/>
          <w:color w:val="auto"/>
          <w:kern w:val="2"/>
          <w:sz w:val="21"/>
          <w:szCs w:val="21"/>
        </w:rPr>
        <w:t>▲</w:t>
      </w:r>
      <w:r>
        <w:rPr>
          <w:rFonts w:hint="eastAsia" w:asciiTheme="minorEastAsia" w:hAnsiTheme="minorEastAsia" w:eastAsiaTheme="minorEastAsia"/>
          <w:color w:val="auto"/>
          <w:sz w:val="21"/>
          <w:szCs w:val="21"/>
        </w:rPr>
        <w:t xml:space="preserve">5.11.10 </w:t>
      </w:r>
      <w:r>
        <w:rPr>
          <w:rFonts w:hint="eastAsia" w:ascii="宋体" w:hAnsi="宋体" w:eastAsia="宋体"/>
          <w:color w:val="auto"/>
          <w:sz w:val="21"/>
          <w:szCs w:val="21"/>
        </w:rPr>
        <w:t>软件配置</w:t>
      </w:r>
      <w:r>
        <w:rPr>
          <w:rFonts w:hint="eastAsia" w:asciiTheme="minorEastAsia" w:hAnsiTheme="minorEastAsia" w:eastAsiaTheme="minorEastAsia"/>
          <w:color w:val="auto"/>
          <w:sz w:val="21"/>
          <w:szCs w:val="21"/>
        </w:rPr>
        <w:t>：</w:t>
      </w:r>
    </w:p>
    <w:p>
      <w:pPr>
        <w:widowControl w:val="0"/>
        <w:tabs>
          <w:tab w:val="left" w:pos="420"/>
          <w:tab w:val="left" w:pos="525"/>
        </w:tabs>
        <w:snapToGrid/>
        <w:spacing w:after="0" w:line="360" w:lineRule="auto"/>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5.11.10.1 </w:t>
      </w:r>
      <w:r>
        <w:rPr>
          <w:rFonts w:hint="eastAsia" w:ascii="宋体" w:hAnsi="宋体" w:eastAsia="宋体"/>
          <w:color w:val="auto"/>
          <w:sz w:val="21"/>
          <w:szCs w:val="21"/>
        </w:rPr>
        <w:t>采用多任务设计，可以同时并行数个任务，并支持分屏显示及远程控制；操作软件完全与能谱仪软件一体化，可进行EBSD晶体取向分布分析；可根据能谱数据对EBSD花样进行预过滤，实现对未知相的相鉴定，实现能谱EBSD同时联机分析且不降速；</w:t>
      </w:r>
    </w:p>
    <w:p>
      <w:pPr>
        <w:widowControl w:val="0"/>
        <w:tabs>
          <w:tab w:val="left" w:pos="420"/>
          <w:tab w:val="left" w:pos="525"/>
        </w:tabs>
        <w:snapToGrid/>
        <w:spacing w:after="0" w:line="360" w:lineRule="auto"/>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5.11.10.2 </w:t>
      </w:r>
      <w:r>
        <w:rPr>
          <w:rFonts w:hint="eastAsia" w:ascii="宋体" w:hAnsi="宋体" w:eastAsia="宋体"/>
          <w:color w:val="auto"/>
          <w:sz w:val="21"/>
          <w:szCs w:val="21"/>
        </w:rPr>
        <w:t>动态自动背景扣除技术，探测器参数自动优化；切换样品、更换分析位置、以及EBSD探测器伸缩、倾转后均无需重新扣除背景或重新优化；</w:t>
      </w:r>
    </w:p>
    <w:p>
      <w:pPr>
        <w:widowControl w:val="0"/>
        <w:tabs>
          <w:tab w:val="left" w:pos="420"/>
          <w:tab w:val="left" w:pos="525"/>
        </w:tabs>
        <w:snapToGrid/>
        <w:spacing w:after="0" w:line="360" w:lineRule="auto"/>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5.11.10.3 </w:t>
      </w:r>
      <w:r>
        <w:rPr>
          <w:rFonts w:hint="eastAsia" w:ascii="宋体" w:hAnsi="宋体" w:eastAsia="宋体"/>
          <w:color w:val="auto"/>
          <w:sz w:val="21"/>
          <w:szCs w:val="21"/>
        </w:rPr>
        <w:t>能对所有对称性晶体材料的EBSP花样进行自动化的标定，且各相的反射面可以独立选择，并可以进行带宽修正，也可以对衍射带边缘及中间进行标定；</w:t>
      </w:r>
    </w:p>
    <w:p>
      <w:pPr>
        <w:widowControl w:val="0"/>
        <w:tabs>
          <w:tab w:val="left" w:pos="420"/>
          <w:tab w:val="left" w:pos="525"/>
        </w:tabs>
        <w:snapToGrid/>
        <w:spacing w:after="0" w:line="360" w:lineRule="auto"/>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5.11.10.4 </w:t>
      </w:r>
      <w:r>
        <w:rPr>
          <w:rFonts w:hint="eastAsia" w:ascii="宋体" w:hAnsi="宋体" w:eastAsia="宋体"/>
          <w:color w:val="auto"/>
          <w:sz w:val="21"/>
          <w:szCs w:val="21"/>
        </w:rPr>
        <w:t>配置完备的数据库，包括标准数据库、ICSD海量晶体学数据库、NIST数据库；</w:t>
      </w:r>
    </w:p>
    <w:p>
      <w:pPr>
        <w:pStyle w:val="44"/>
        <w:spacing w:line="360" w:lineRule="auto"/>
        <w:jc w:val="both"/>
        <w:rPr>
          <w:rFonts w:cs="宋体" w:asciiTheme="minorEastAsia" w:hAnsiTheme="minorEastAsia" w:eastAsiaTheme="minorEastAsia"/>
          <w:color w:val="auto"/>
          <w:kern w:val="2"/>
          <w:sz w:val="21"/>
          <w:szCs w:val="21"/>
          <w:shd w:val="clear" w:color="auto" w:fill="FFFFFF"/>
        </w:rPr>
      </w:pPr>
      <w:r>
        <w:rPr>
          <w:rFonts w:hint="eastAsia" w:asciiTheme="minorEastAsia" w:hAnsiTheme="minorEastAsia" w:eastAsiaTheme="minorEastAsia"/>
          <w:color w:val="auto"/>
          <w:sz w:val="21"/>
          <w:szCs w:val="21"/>
        </w:rPr>
        <w:t xml:space="preserve">5.11.10.5 </w:t>
      </w:r>
      <w:r>
        <w:rPr>
          <w:rFonts w:hint="eastAsia" w:ascii="宋体" w:hAnsi="宋体"/>
          <w:color w:val="auto"/>
          <w:sz w:val="21"/>
          <w:szCs w:val="21"/>
        </w:rPr>
        <w:t>软件包还包括：面分布图软件包；极图软件包；晶体反射文件生成软件包；相鉴定分析软件包；可自动剥离形变和再结晶区；针对TKD分析的专用标定模式；专用的高精度标定模式，实现更高角度分辨率的标定； Salsa ODF软件；另具备功能：自动漂移矫正软件、真实相分析软件、在线去除由于伪对称性导致的误标功能</w:t>
      </w:r>
      <w:r>
        <w:rPr>
          <w:rFonts w:hint="eastAsia" w:asciiTheme="minorEastAsia" w:hAnsiTheme="minorEastAsia" w:eastAsiaTheme="minorEastAsia"/>
          <w:color w:val="auto"/>
          <w:sz w:val="21"/>
          <w:szCs w:val="21"/>
        </w:rPr>
        <w:t>。</w:t>
      </w:r>
    </w:p>
    <w:p>
      <w:pPr>
        <w:pStyle w:val="44"/>
        <w:spacing w:line="360" w:lineRule="auto"/>
        <w:jc w:val="both"/>
        <w:rPr>
          <w:rFonts w:ascii="宋体" w:hAnsi="宋体" w:cs="宋体"/>
          <w:color w:val="auto"/>
          <w:kern w:val="2"/>
          <w:sz w:val="21"/>
          <w:szCs w:val="21"/>
          <w:shd w:val="clear" w:color="auto" w:fill="FFFFFF"/>
        </w:rPr>
      </w:pPr>
      <w:r>
        <w:rPr>
          <w:rFonts w:hint="eastAsia" w:asciiTheme="minorEastAsia" w:hAnsiTheme="minorEastAsia" w:eastAsiaTheme="minorEastAsia"/>
          <w:color w:val="auto"/>
          <w:sz w:val="21"/>
          <w:szCs w:val="21"/>
        </w:rPr>
        <w:t>5.11.10.6</w:t>
      </w:r>
      <w:r>
        <w:rPr>
          <w:rFonts w:hint="eastAsia" w:ascii="宋体" w:hAnsi="宋体" w:cs="宋体"/>
          <w:color w:val="auto"/>
          <w:kern w:val="2"/>
          <w:sz w:val="21"/>
          <w:szCs w:val="21"/>
          <w:shd w:val="clear" w:color="auto" w:fill="FFFFFF"/>
        </w:rPr>
        <w:t xml:space="preserve"> 与FIB的自动切割功能兼容，可把FIB的自动切割</w:t>
      </w:r>
      <w:r>
        <w:rPr>
          <w:rFonts w:hint="eastAsia" w:asciiTheme="minorEastAsia" w:hAnsiTheme="minorEastAsia" w:eastAsiaTheme="minorEastAsia"/>
          <w:color w:val="auto"/>
          <w:sz w:val="21"/>
          <w:szCs w:val="21"/>
        </w:rPr>
        <w:t>、</w:t>
      </w:r>
      <w:r>
        <w:rPr>
          <w:rFonts w:hint="eastAsia" w:ascii="宋体" w:hAnsi="宋体"/>
          <w:color w:val="auto"/>
          <w:sz w:val="21"/>
          <w:szCs w:val="21"/>
        </w:rPr>
        <w:t>EDS、EBSD 数据采集一体化</w:t>
      </w:r>
      <w:r>
        <w:rPr>
          <w:rFonts w:hint="eastAsia" w:asciiTheme="minorEastAsia" w:hAnsiTheme="minorEastAsia" w:eastAsiaTheme="minorEastAsia"/>
          <w:color w:val="auto"/>
          <w:sz w:val="21"/>
          <w:szCs w:val="21"/>
        </w:rPr>
        <w:t>。</w:t>
      </w:r>
      <w:bookmarkEnd w:id="30"/>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5.12 控制系统</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5.12.1 配置不低于64位通用操作系统的图形用户界面，操控功能可由键盘，鼠标，操控面板等完成；</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5.12.2 图像显示：不低于24寸显示器两台， 分辨率不低于2560</w:t>
      </w:r>
      <w:r>
        <w:rPr>
          <w:rFonts w:hint="eastAsia" w:ascii="宋体" w:hAnsi="宋体" w:cs="宋体"/>
          <w:color w:val="auto"/>
          <w:kern w:val="2"/>
          <w:sz w:val="21"/>
          <w:szCs w:val="21"/>
          <w:shd w:val="clear" w:color="auto" w:fill="FFFFFF"/>
        </w:rPr>
        <w:sym w:font="Symbol" w:char="F0B4"/>
      </w:r>
      <w:r>
        <w:rPr>
          <w:rFonts w:hint="eastAsia" w:ascii="宋体" w:hAnsi="宋体" w:cs="宋体"/>
          <w:color w:val="auto"/>
          <w:kern w:val="2"/>
          <w:sz w:val="21"/>
          <w:szCs w:val="21"/>
          <w:shd w:val="clear" w:color="auto" w:fill="FFFFFF"/>
        </w:rPr>
        <w:t>1440；</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5.12.3 图像处理器：最高像素不低于6144</w:t>
      </w:r>
      <w:r>
        <w:rPr>
          <w:rFonts w:hint="eastAsia" w:ascii="宋体" w:hAnsi="宋体" w:cs="宋体"/>
          <w:color w:val="auto"/>
          <w:kern w:val="2"/>
          <w:sz w:val="21"/>
          <w:szCs w:val="21"/>
          <w:shd w:val="clear" w:color="auto" w:fill="FFFFFF"/>
        </w:rPr>
        <w:sym w:font="Symbol" w:char="F0B4"/>
      </w:r>
      <w:r>
        <w:rPr>
          <w:rFonts w:hint="eastAsia" w:ascii="宋体" w:hAnsi="宋体" w:cs="宋体"/>
          <w:color w:val="auto"/>
          <w:kern w:val="2"/>
          <w:sz w:val="21"/>
          <w:szCs w:val="21"/>
          <w:shd w:val="clear" w:color="auto" w:fill="FFFFFF"/>
        </w:rPr>
        <w:t>4096，文件格式至少覆盖TIFF（8、16 或 24位），BMP，JPEG， 漂移补偿帧积分功能DCFI；</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5.12.4 计算机配置：采用品牌计算机工作站，配置不低于Intel Core i7 8700 六核 3.20 GHz、16GB内存、120G固态硬盘、HDD 2TB硬盘、nVIDIV GTX1060 3GB 操作系统及应用软件；</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★5.12.5 配备操纵杆(Joystick)和多功能控制面板。</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5.13 软件功能</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 xml:space="preserve"> 除了标配的功能外，应有以下功能：</w:t>
      </w:r>
    </w:p>
    <w:p>
      <w:pPr>
        <w:pStyle w:val="44"/>
        <w:spacing w:line="360" w:lineRule="auto"/>
        <w:ind w:left="284" w:leftChars="129"/>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★5.13.1 配置三维重构软件模块，可设置FIB切割体积、步进等参数，自动切割并采集多张图片用于样品的三维重构；</w:t>
      </w:r>
    </w:p>
    <w:p>
      <w:pPr>
        <w:pStyle w:val="44"/>
        <w:spacing w:line="360" w:lineRule="auto"/>
        <w:ind w:left="284" w:leftChars="129"/>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★5.13.2 自动制备透射样品的功能；</w:t>
      </w:r>
    </w:p>
    <w:p>
      <w:pPr>
        <w:pStyle w:val="44"/>
        <w:spacing w:line="360" w:lineRule="auto"/>
        <w:ind w:left="284" w:leftChars="129"/>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★5.13.3 蒙太奇导航功能(automatic acquisition of large images)。</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★5.14 辅助配套设备</w:t>
      </w:r>
    </w:p>
    <w:p>
      <w:pPr>
        <w:pStyle w:val="44"/>
        <w:spacing w:line="360" w:lineRule="auto"/>
        <w:ind w:left="444" w:leftChars="202"/>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5.14.1 配备空压机、真空泵和冷却循环水系统，分别用于冷却SEM境筒及其它部件冷却；</w:t>
      </w:r>
    </w:p>
    <w:p>
      <w:pPr>
        <w:pStyle w:val="44"/>
        <w:spacing w:line="360" w:lineRule="auto"/>
        <w:ind w:left="444" w:leftChars="202"/>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5.14.2 配备UPS一套，停电后支持主机工作1小时以上（允许非原厂品牌）。</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 附件及耗材备件</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5.15.1 除样品载物台外, 应配置TEM样品制备所需的各种台(如 Load Base, Row Holder for TEM Grids 等)；</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5.15.2 配备日常维护工具箱一套 包括镊子2个；</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w:t>
      </w:r>
      <w:r>
        <w:rPr>
          <w:rFonts w:ascii="宋体" w:hAnsi="宋体" w:cs="宋体"/>
          <w:color w:val="auto"/>
          <w:kern w:val="2"/>
          <w:sz w:val="21"/>
          <w:szCs w:val="21"/>
          <w:shd w:val="clear" w:color="auto" w:fill="FFFFFF"/>
        </w:rPr>
        <w:t>3</w:t>
      </w:r>
      <w:r>
        <w:rPr>
          <w:rFonts w:hint="eastAsia" w:ascii="宋体" w:hAnsi="宋体" w:cs="宋体"/>
          <w:color w:val="auto"/>
          <w:kern w:val="2"/>
          <w:sz w:val="21"/>
          <w:szCs w:val="21"/>
          <w:shd w:val="clear" w:color="auto" w:fill="FFFFFF"/>
        </w:rPr>
        <w:t xml:space="preserve"> EDS 和 EBSD离线分析软件各一套；</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w:t>
      </w:r>
      <w:r>
        <w:rPr>
          <w:rFonts w:ascii="宋体" w:hAnsi="宋体" w:cs="宋体"/>
          <w:color w:val="auto"/>
          <w:kern w:val="2"/>
          <w:sz w:val="21"/>
          <w:szCs w:val="21"/>
          <w:shd w:val="clear" w:color="auto" w:fill="FFFFFF"/>
        </w:rPr>
        <w:t>4</w:t>
      </w:r>
      <w:r>
        <w:rPr>
          <w:rFonts w:hint="eastAsia" w:ascii="宋体" w:hAnsi="宋体" w:cs="宋体"/>
          <w:color w:val="auto"/>
          <w:kern w:val="2"/>
          <w:sz w:val="21"/>
          <w:szCs w:val="21"/>
          <w:shd w:val="clear" w:color="auto" w:fill="FFFFFF"/>
        </w:rPr>
        <w:t xml:space="preserve"> EDS、EBSD及放大率校准标样；</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w:t>
      </w:r>
      <w:r>
        <w:rPr>
          <w:rFonts w:ascii="宋体" w:hAnsi="宋体" w:cs="宋体"/>
          <w:color w:val="auto"/>
          <w:kern w:val="2"/>
          <w:sz w:val="21"/>
          <w:szCs w:val="21"/>
          <w:shd w:val="clear" w:color="auto" w:fill="FFFFFF"/>
        </w:rPr>
        <w:t>5</w:t>
      </w:r>
      <w:r>
        <w:rPr>
          <w:rFonts w:hint="eastAsia" w:ascii="宋体" w:hAnsi="宋体" w:cs="宋体"/>
          <w:color w:val="auto"/>
          <w:kern w:val="2"/>
          <w:sz w:val="21"/>
          <w:szCs w:val="21"/>
          <w:shd w:val="clear" w:color="auto" w:fill="FFFFFF"/>
        </w:rPr>
        <w:t xml:space="preserve"> 样品储存干燥箱（允许非原厂品牌）；</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w:t>
      </w:r>
      <w:r>
        <w:rPr>
          <w:rFonts w:ascii="宋体" w:hAnsi="宋体" w:cs="宋体"/>
          <w:color w:val="auto"/>
          <w:kern w:val="2"/>
          <w:sz w:val="21"/>
          <w:szCs w:val="21"/>
          <w:shd w:val="clear" w:color="auto" w:fill="FFFFFF"/>
        </w:rPr>
        <w:t>6</w:t>
      </w:r>
      <w:r>
        <w:rPr>
          <w:rFonts w:hint="eastAsia" w:ascii="宋体" w:hAnsi="宋体" w:cs="宋体"/>
          <w:color w:val="auto"/>
          <w:kern w:val="2"/>
          <w:sz w:val="21"/>
          <w:szCs w:val="21"/>
          <w:shd w:val="clear" w:color="auto" w:fill="FFFFFF"/>
        </w:rPr>
        <w:t xml:space="preserve"> 潘宁规与皮拉宁规各1套；</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w:t>
      </w:r>
      <w:r>
        <w:rPr>
          <w:rFonts w:ascii="宋体" w:hAnsi="宋体" w:cs="宋体"/>
          <w:color w:val="auto"/>
          <w:kern w:val="2"/>
          <w:sz w:val="21"/>
          <w:szCs w:val="21"/>
          <w:shd w:val="clear" w:color="auto" w:fill="FFFFFF"/>
        </w:rPr>
        <w:t>7</w:t>
      </w:r>
      <w:r>
        <w:rPr>
          <w:rFonts w:hint="eastAsia" w:ascii="宋体" w:hAnsi="宋体" w:cs="宋体"/>
          <w:color w:val="auto"/>
          <w:kern w:val="2"/>
          <w:sz w:val="21"/>
          <w:szCs w:val="21"/>
          <w:shd w:val="clear" w:color="auto" w:fill="FFFFFF"/>
        </w:rPr>
        <w:t xml:space="preserve"> 备用真空脂1份；</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w:t>
      </w:r>
      <w:r>
        <w:rPr>
          <w:rFonts w:ascii="宋体" w:hAnsi="宋体" w:cs="宋体"/>
          <w:color w:val="auto"/>
          <w:kern w:val="2"/>
          <w:sz w:val="21"/>
          <w:szCs w:val="21"/>
          <w:shd w:val="clear" w:color="auto" w:fill="FFFFFF"/>
        </w:rPr>
        <w:t>8</w:t>
      </w:r>
      <w:r>
        <w:rPr>
          <w:rFonts w:hint="eastAsia" w:ascii="宋体" w:hAnsi="宋体" w:cs="宋体"/>
          <w:color w:val="auto"/>
          <w:kern w:val="2"/>
          <w:sz w:val="21"/>
          <w:szCs w:val="21"/>
          <w:shd w:val="clear" w:color="auto" w:fill="FFFFFF"/>
        </w:rPr>
        <w:t xml:space="preserve"> 双面碳导电胶带(8mm W × 20m L) 5卷，银导电胶2盒, 标准小样品座100个；</w:t>
      </w:r>
    </w:p>
    <w:p>
      <w:pPr>
        <w:pStyle w:val="44"/>
        <w:spacing w:line="360" w:lineRule="auto"/>
        <w:jc w:val="both"/>
        <w:rPr>
          <w:rFonts w:ascii="宋体" w:hAnsi="宋体" w:cs="宋体"/>
          <w:color w:val="auto"/>
          <w:kern w:val="2"/>
          <w:sz w:val="21"/>
          <w:szCs w:val="21"/>
          <w:shd w:val="clear" w:color="auto" w:fill="FFFFFF"/>
        </w:rPr>
      </w:pPr>
      <w:r>
        <w:rPr>
          <w:rFonts w:hint="eastAsia" w:ascii="宋体" w:hAnsi="宋体" w:cs="宋体"/>
          <w:color w:val="auto"/>
          <w:kern w:val="2"/>
          <w:sz w:val="21"/>
          <w:szCs w:val="21"/>
          <w:shd w:val="clear" w:color="auto" w:fill="FFFFFF"/>
        </w:rPr>
        <w:t>5.15.</w:t>
      </w:r>
      <w:r>
        <w:rPr>
          <w:rFonts w:ascii="宋体" w:hAnsi="宋体" w:cs="宋体"/>
          <w:color w:val="auto"/>
          <w:kern w:val="2"/>
          <w:sz w:val="21"/>
          <w:szCs w:val="21"/>
          <w:shd w:val="clear" w:color="auto" w:fill="FFFFFF"/>
        </w:rPr>
        <w:t>9</w:t>
      </w:r>
      <w:r>
        <w:rPr>
          <w:rFonts w:hint="eastAsia" w:ascii="宋体" w:hAnsi="宋体" w:cs="宋体"/>
          <w:color w:val="auto"/>
          <w:kern w:val="2"/>
          <w:sz w:val="21"/>
          <w:szCs w:val="21"/>
          <w:shd w:val="clear" w:color="auto" w:fill="FFFFFF"/>
        </w:rPr>
        <w:t xml:space="preserve"> 氮气瓶、减压阀、气瓶柜各一个。</w:t>
      </w:r>
    </w:p>
    <w:p>
      <w:pPr>
        <w:keepNext/>
        <w:keepLines/>
        <w:spacing w:after="0" w:line="360" w:lineRule="auto"/>
        <w:outlineLvl w:val="0"/>
        <w:rPr>
          <w:rFonts w:ascii="宋体" w:hAnsi="宋体" w:eastAsia="宋体" w:cs="宋体"/>
          <w:b/>
          <w:bCs/>
          <w:color w:val="auto"/>
          <w:kern w:val="44"/>
          <w:sz w:val="28"/>
          <w:szCs w:val="28"/>
        </w:rPr>
      </w:pPr>
      <w:r>
        <w:rPr>
          <w:rFonts w:hint="eastAsia" w:ascii="宋体" w:hAnsi="宋体" w:eastAsia="宋体" w:cs="宋体"/>
          <w:b/>
          <w:bCs/>
          <w:color w:val="auto"/>
          <w:kern w:val="44"/>
          <w:sz w:val="28"/>
          <w:szCs w:val="28"/>
        </w:rPr>
        <w:t>六、文件资料</w:t>
      </w:r>
      <w:bookmarkEnd w:id="16"/>
      <w:bookmarkEnd w:id="17"/>
    </w:p>
    <w:bookmarkEnd w:id="18"/>
    <w:bookmarkEnd w:id="19"/>
    <w:bookmarkEnd w:id="20"/>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供应商应提供如下文件资料：</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（1）出厂检验文件</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（2）设备操作说明书</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（3）设备维修说明书</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（4）其他证明文件（包括但不限于）：</w:t>
      </w:r>
    </w:p>
    <w:p>
      <w:pPr>
        <w:spacing w:after="0" w:line="360" w:lineRule="auto"/>
        <w:ind w:left="560"/>
        <w:rPr>
          <w:rFonts w:ascii="宋体" w:hAnsi="宋体" w:eastAsia="宋体" w:cs="宋体"/>
          <w:color w:val="auto"/>
          <w:sz w:val="21"/>
          <w:szCs w:val="21"/>
        </w:rPr>
      </w:pPr>
      <w:r>
        <w:rPr>
          <w:rFonts w:hint="eastAsia" w:ascii="宋体" w:hAnsi="宋体" w:eastAsia="宋体" w:cs="宋体"/>
          <w:color w:val="auto"/>
          <w:sz w:val="21"/>
          <w:szCs w:val="21"/>
        </w:rPr>
        <w:t>原产地证明文件；</w:t>
      </w:r>
    </w:p>
    <w:p>
      <w:pPr>
        <w:spacing w:after="0" w:line="360" w:lineRule="auto"/>
        <w:ind w:left="560"/>
        <w:rPr>
          <w:rFonts w:ascii="宋体" w:hAnsi="宋体" w:eastAsia="宋体" w:cs="宋体"/>
          <w:color w:val="auto"/>
          <w:sz w:val="21"/>
          <w:szCs w:val="21"/>
        </w:rPr>
      </w:pPr>
      <w:r>
        <w:rPr>
          <w:rFonts w:hint="eastAsia" w:ascii="宋体" w:hAnsi="宋体" w:eastAsia="宋体" w:cs="宋体"/>
          <w:color w:val="auto"/>
          <w:sz w:val="21"/>
          <w:szCs w:val="21"/>
        </w:rPr>
        <w:t>重要技术（或方法）证明文件。</w:t>
      </w:r>
    </w:p>
    <w:p>
      <w:pPr>
        <w:keepNext/>
        <w:keepLines/>
        <w:spacing w:after="0" w:line="360" w:lineRule="auto"/>
        <w:outlineLvl w:val="0"/>
        <w:rPr>
          <w:rFonts w:ascii="宋体" w:hAnsi="宋体" w:eastAsia="宋体" w:cs="宋体"/>
          <w:b/>
          <w:bCs/>
          <w:color w:val="auto"/>
          <w:kern w:val="44"/>
          <w:sz w:val="28"/>
          <w:szCs w:val="28"/>
        </w:rPr>
      </w:pPr>
      <w:bookmarkStart w:id="32" w:name="_Toc533319735"/>
      <w:r>
        <w:rPr>
          <w:rFonts w:hint="eastAsia" w:ascii="宋体" w:hAnsi="宋体" w:eastAsia="宋体" w:cs="宋体"/>
          <w:b/>
          <w:bCs/>
          <w:color w:val="auto"/>
          <w:kern w:val="44"/>
          <w:sz w:val="28"/>
          <w:szCs w:val="28"/>
        </w:rPr>
        <w:t>七、质量保证要求</w:t>
      </w:r>
      <w:bookmarkEnd w:id="32"/>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（1）供应商及其供应链中的所有参与者应遵守ISO9001-2008质量体系的要求。</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（2）所有产品应达到本技术规格书中的各项技术指标。</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★（3）质</w:t>
      </w:r>
      <w:r>
        <w:rPr>
          <w:rFonts w:ascii="宋体" w:hAnsi="宋体" w:eastAsia="宋体" w:cs="宋体"/>
          <w:color w:val="auto"/>
          <w:sz w:val="21"/>
          <w:szCs w:val="21"/>
        </w:rPr>
        <w:t>保期和缺陷责任期：</w:t>
      </w:r>
      <w:r>
        <w:rPr>
          <w:rFonts w:hint="eastAsia" w:ascii="宋体" w:hAnsi="宋体" w:eastAsia="宋体" w:cs="宋体"/>
          <w:color w:val="auto"/>
          <w:sz w:val="21"/>
          <w:szCs w:val="21"/>
        </w:rPr>
        <w:t>质保期为验收合格之日起</w:t>
      </w:r>
      <w:r>
        <w:rPr>
          <w:rFonts w:ascii="宋体" w:hAnsi="宋体" w:eastAsia="宋体" w:cs="宋体"/>
          <w:color w:val="auto"/>
          <w:sz w:val="21"/>
          <w:szCs w:val="21"/>
        </w:rPr>
        <w:t>5</w:t>
      </w:r>
      <w:r>
        <w:rPr>
          <w:rFonts w:hint="eastAsia" w:ascii="宋体" w:hAnsi="宋体" w:eastAsia="宋体" w:cs="宋体"/>
          <w:color w:val="auto"/>
          <w:sz w:val="21"/>
          <w:szCs w:val="21"/>
        </w:rPr>
        <w:t>年，第一年包括人工和材料、备件，第二年至第五年免费人工服务。质保期内由原厂技术工程师每年全面检查三次，包括系统检测与维护。如发现潜在问题，应负责排除（在使用人要求的时限内）。缺隙责任期自设备安装调试完工并验收合格之日起一年。（4）系统软件在硬件满足的情况下终身免费升级。</w:t>
      </w:r>
    </w:p>
    <w:p>
      <w:pPr>
        <w:keepNext/>
        <w:keepLines/>
        <w:spacing w:after="0" w:line="360" w:lineRule="auto"/>
        <w:outlineLvl w:val="0"/>
        <w:rPr>
          <w:rFonts w:ascii="宋体" w:hAnsi="宋体" w:eastAsia="宋体" w:cs="宋体"/>
          <w:b/>
          <w:bCs/>
          <w:color w:val="auto"/>
          <w:kern w:val="44"/>
          <w:sz w:val="28"/>
          <w:szCs w:val="28"/>
        </w:rPr>
      </w:pPr>
      <w:bookmarkStart w:id="33" w:name="_Toc533319736"/>
      <w:r>
        <w:rPr>
          <w:rFonts w:hint="eastAsia" w:ascii="宋体" w:hAnsi="宋体" w:eastAsia="宋体" w:cs="宋体"/>
          <w:b/>
          <w:bCs/>
          <w:color w:val="auto"/>
          <w:kern w:val="44"/>
          <w:sz w:val="28"/>
          <w:szCs w:val="28"/>
        </w:rPr>
        <w:t>八、包装运输要求</w:t>
      </w:r>
      <w:bookmarkEnd w:id="33"/>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（1）设备发货前，供应商必须对设备的质量、规格、性能等方面的技术数据进行综合检验，需随设备提供检验合格证明书和原产地制造证明书。</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供应商对所供所有设备的包装、运输和装卸负责任，所有部件应经妥善包装或装箱，在运输过程中采取防护措施，以免散失、损坏或被盗。如果在此过程引起设备的外观和内部的损坏等质量问题，全部由供应商负责。</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（3）采用符合该类设备运输包装的方式进行运输和包装，整体产品或分别运输的部件都要适合运输和装载的要求。所有包装必须是制造商原厂包装。</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包装和运输应按国内供货和出口包装的有关规定进行，包装箱上都有明显的包装储运图示标志。在包装箱外标明订货号、发货号。包装箱应能确保各部件在运输过程中不致遭到损坏、丢失、变形、受潮和腐蚀。</w:t>
      </w:r>
    </w:p>
    <w:p>
      <w:pPr>
        <w:spacing w:after="0" w:line="360" w:lineRule="auto"/>
        <w:ind w:firstLine="420" w:firstLineChars="200"/>
        <w:rPr>
          <w:rFonts w:ascii="宋体" w:hAnsi="宋体" w:eastAsia="宋体" w:cs="宋体"/>
          <w:color w:val="auto"/>
          <w:sz w:val="21"/>
          <w:szCs w:val="21"/>
        </w:rPr>
      </w:pPr>
      <w:r>
        <w:rPr>
          <w:rFonts w:hint="eastAsia" w:ascii="宋体" w:hAnsi="宋体" w:cs="宋体"/>
          <w:color w:val="auto"/>
          <w:kern w:val="2"/>
          <w:sz w:val="21"/>
          <w:szCs w:val="21"/>
          <w:shd w:val="clear" w:color="auto" w:fill="FFFFFF"/>
        </w:rPr>
        <w:t>★</w:t>
      </w:r>
      <w:r>
        <w:rPr>
          <w:rFonts w:hint="eastAsia" w:ascii="宋体" w:hAnsi="宋体" w:eastAsia="宋体" w:cs="宋体"/>
          <w:color w:val="auto"/>
          <w:sz w:val="21"/>
          <w:szCs w:val="21"/>
        </w:rPr>
        <w:t>（5）供应商负责将设备交货到现场过程中的全部运输，包括装卸车、设备现场的搬运；设备在现场的保管由供应商负责，直至项目安装、验收完毕。设备至采购方指定的使用现场的包装、保险及发运等环节和费用均由供应商负责。</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（6）装箱资料至少应包括：装箱清单、检验报告、产品合格证等。</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（7）交货地点：中国广东省东莞市松山湖高新区。</w:t>
      </w:r>
    </w:p>
    <w:p>
      <w:pPr>
        <w:keepNext/>
        <w:keepLines/>
        <w:spacing w:after="0" w:line="360" w:lineRule="auto"/>
        <w:outlineLvl w:val="0"/>
        <w:rPr>
          <w:rFonts w:ascii="宋体" w:hAnsi="宋体" w:eastAsia="宋体" w:cs="宋体"/>
          <w:b/>
          <w:bCs/>
          <w:color w:val="auto"/>
          <w:kern w:val="44"/>
          <w:sz w:val="28"/>
          <w:szCs w:val="28"/>
        </w:rPr>
      </w:pPr>
      <w:bookmarkStart w:id="34" w:name="_Toc533319737"/>
      <w:r>
        <w:rPr>
          <w:rFonts w:hint="eastAsia" w:ascii="宋体" w:hAnsi="宋体" w:eastAsia="宋体" w:cs="宋体"/>
          <w:b/>
          <w:bCs/>
          <w:color w:val="auto"/>
          <w:kern w:val="44"/>
          <w:sz w:val="28"/>
          <w:szCs w:val="28"/>
        </w:rPr>
        <w:t>九、安装、调试与验收</w:t>
      </w:r>
      <w:bookmarkEnd w:id="34"/>
    </w:p>
    <w:p>
      <w:pPr>
        <w:spacing w:after="0" w:line="360" w:lineRule="auto"/>
        <w:rPr>
          <w:rFonts w:ascii="宋体" w:hAnsi="宋体" w:eastAsia="宋体" w:cs="宋体"/>
          <w:b/>
          <w:color w:val="auto"/>
          <w:sz w:val="21"/>
          <w:szCs w:val="21"/>
        </w:rPr>
      </w:pPr>
      <w:r>
        <w:rPr>
          <w:rFonts w:hint="eastAsia" w:ascii="宋体" w:hAnsi="宋体" w:eastAsia="宋体" w:cs="宋体"/>
          <w:b/>
          <w:color w:val="auto"/>
          <w:sz w:val="21"/>
          <w:szCs w:val="21"/>
        </w:rPr>
        <w:t>9.1安装调试</w:t>
      </w:r>
    </w:p>
    <w:p>
      <w:pPr>
        <w:spacing w:after="0" w:line="360" w:lineRule="auto"/>
        <w:ind w:firstLine="420" w:firstLineChars="200"/>
        <w:rPr>
          <w:rFonts w:ascii="宋体" w:hAnsi="宋体" w:eastAsia="宋体" w:cs="宋体"/>
          <w:color w:val="auto"/>
          <w:sz w:val="21"/>
          <w:szCs w:val="21"/>
          <w:shd w:val="clear" w:color="auto" w:fill="FFFFFF"/>
        </w:rPr>
      </w:pPr>
      <w:bookmarkStart w:id="35" w:name="_Hlk27047515"/>
      <w:r>
        <w:rPr>
          <w:rFonts w:hint="eastAsia" w:ascii="宋体" w:hAnsi="宋体" w:eastAsia="宋体" w:cs="宋体"/>
          <w:color w:val="auto"/>
          <w:sz w:val="21"/>
          <w:szCs w:val="21"/>
          <w:shd w:val="clear" w:color="auto" w:fill="FFFFFF"/>
        </w:rPr>
        <w:t>★</w:t>
      </w:r>
      <w:bookmarkEnd w:id="35"/>
      <w:r>
        <w:rPr>
          <w:rFonts w:hint="eastAsia" w:ascii="宋体" w:hAnsi="宋体" w:eastAsia="宋体" w:cs="宋体"/>
          <w:color w:val="auto"/>
          <w:sz w:val="21"/>
          <w:szCs w:val="21"/>
          <w:shd w:val="clear" w:color="auto" w:fill="FFFFFF"/>
        </w:rPr>
        <w:t>（1）原厂负责提出安装基础条件并负责安装调试。并自验收合格之日起三年内，</w:t>
      </w:r>
      <w:r>
        <w:rPr>
          <w:rFonts w:hint="eastAsia" w:ascii="宋体" w:hAnsi="宋体" w:eastAsia="宋体"/>
          <w:color w:val="auto"/>
          <w:sz w:val="21"/>
          <w:szCs w:val="21"/>
          <w:shd w:val="clear" w:color="auto" w:fill="FFFFFF"/>
        </w:rPr>
        <w:t>由原厂技术工程师负责在松山湖范围内免费搬迁一次</w:t>
      </w:r>
      <w:r>
        <w:rPr>
          <w:rFonts w:hint="eastAsia" w:ascii="宋体" w:hAnsi="宋体" w:eastAsia="宋体" w:cs="宋体"/>
          <w:color w:val="auto"/>
          <w:sz w:val="21"/>
          <w:szCs w:val="21"/>
          <w:shd w:val="clear" w:color="auto" w:fill="FFFFFF"/>
        </w:rPr>
        <w:t xml:space="preserve">，且完成安装调试并达到用户满意的工作状态。 </w:t>
      </w:r>
    </w:p>
    <w:p>
      <w:pPr>
        <w:spacing w:after="0" w:line="360" w:lineRule="auto"/>
        <w:ind w:firstLine="420" w:firstLineChars="20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在接到用户通知一周内，供应商应安排有经验的工程技术人员到用户现场安装、调试，按验收指标逐项测试至到达到验收要求。其中，卖方提供所有仪器的连接件和连接件电缆及各种必需的附件/软件，达到进行安装调试时不需要买方提供任何零配件的情况下完成安装调试。</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rPr>
        <w:t>（3）供应商必须依照招标文件的要求和投标文件的承诺，将设备、系统安装并调试至正常运行的最佳状态。</w:t>
      </w:r>
    </w:p>
    <w:p>
      <w:pPr>
        <w:pStyle w:val="8"/>
        <w:spacing w:line="360" w:lineRule="auto"/>
        <w:jc w:val="left"/>
        <w:rPr>
          <w:rFonts w:hAnsi="宋体" w:cs="宋体"/>
          <w:b w:val="0"/>
          <w:color w:val="auto"/>
          <w:szCs w:val="21"/>
        </w:rPr>
      </w:pPr>
      <w:r>
        <w:rPr>
          <w:rFonts w:hint="eastAsia" w:hAnsi="宋体" w:cs="宋体"/>
          <w:b w:val="0"/>
          <w:color w:val="auto"/>
          <w:szCs w:val="21"/>
        </w:rPr>
        <w:t>9.2验收要求</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shd w:val="clear" w:color="auto" w:fill="FFFFFF"/>
        </w:rPr>
        <w:t>★</w:t>
      </w:r>
      <w:r>
        <w:rPr>
          <w:rFonts w:hint="eastAsia" w:hAnsi="宋体" w:cs="宋体"/>
          <w:b w:val="0"/>
          <w:bCs/>
          <w:color w:val="auto"/>
          <w:szCs w:val="21"/>
        </w:rPr>
        <w:t>（1）验收标准：调试和验收应根据相关国际标准、设备供货合同以及供应商的投标响应文件、采购方的招标文件（含本技术规格书）、进口</w:t>
      </w:r>
      <w:r>
        <w:rPr>
          <w:rFonts w:hAnsi="宋体" w:cs="宋体"/>
          <w:b w:val="0"/>
          <w:bCs/>
          <w:color w:val="auto"/>
          <w:szCs w:val="21"/>
        </w:rPr>
        <w:t>报关单、原</w:t>
      </w:r>
      <w:r>
        <w:rPr>
          <w:rFonts w:hint="eastAsia" w:hAnsi="宋体" w:cs="宋体"/>
          <w:b w:val="0"/>
          <w:bCs/>
          <w:color w:val="auto"/>
          <w:szCs w:val="21"/>
        </w:rPr>
        <w:t>产</w:t>
      </w:r>
      <w:r>
        <w:rPr>
          <w:rFonts w:hAnsi="宋体" w:cs="宋体"/>
          <w:b w:val="0"/>
          <w:bCs/>
          <w:color w:val="auto"/>
          <w:szCs w:val="21"/>
        </w:rPr>
        <w:t>地证书、</w:t>
      </w:r>
      <w:r>
        <w:rPr>
          <w:rFonts w:hint="eastAsia" w:hAnsi="宋体" w:cs="宋体"/>
          <w:b w:val="0"/>
          <w:bCs/>
          <w:color w:val="auto"/>
          <w:szCs w:val="21"/>
        </w:rPr>
        <w:t>原</w:t>
      </w:r>
      <w:r>
        <w:rPr>
          <w:rFonts w:hAnsi="宋体" w:cs="宋体"/>
          <w:b w:val="0"/>
          <w:bCs/>
          <w:color w:val="auto"/>
          <w:szCs w:val="21"/>
        </w:rPr>
        <w:t>厂</w:t>
      </w:r>
      <w:r>
        <w:rPr>
          <w:rFonts w:ascii="PingFang SC" w:hAnsi="PingFang SC" w:eastAsia="微软雅黑" w:cs="Arial"/>
          <w:color w:val="auto"/>
          <w:szCs w:val="21"/>
        </w:rPr>
        <w:t>invoice</w:t>
      </w:r>
      <w:r>
        <w:rPr>
          <w:rFonts w:hint="eastAsia" w:hAnsi="宋体" w:cs="宋体"/>
          <w:b w:val="0"/>
          <w:bCs/>
          <w:color w:val="auto"/>
          <w:szCs w:val="21"/>
        </w:rPr>
        <w:t>。</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shd w:val="clear" w:color="auto" w:fill="FFFFFF"/>
        </w:rPr>
        <w:t>★</w:t>
      </w:r>
      <w:r>
        <w:rPr>
          <w:rFonts w:hint="eastAsia" w:hAnsi="宋体" w:cs="宋体"/>
          <w:b w:val="0"/>
          <w:bCs/>
          <w:color w:val="auto"/>
          <w:szCs w:val="21"/>
        </w:rPr>
        <w:t>（2）验收程序：实现系统成套联调并达到技术要求，包括试运行</w:t>
      </w:r>
      <w:r>
        <w:rPr>
          <w:rFonts w:hint="eastAsia" w:hAnsi="宋体" w:cs="宋体"/>
          <w:b w:val="0"/>
          <w:bCs/>
          <w:color w:val="auto"/>
          <w:szCs w:val="21"/>
          <w:shd w:val="clear" w:color="auto" w:fill="FFFFFF"/>
        </w:rPr>
        <w:t>、</w:t>
      </w:r>
      <w:r>
        <w:rPr>
          <w:rFonts w:hint="eastAsia" w:hAnsi="宋体" w:cs="宋体"/>
          <w:b w:val="0"/>
          <w:bCs/>
          <w:color w:val="auto"/>
          <w:szCs w:val="21"/>
        </w:rPr>
        <w:t>样品加工</w:t>
      </w:r>
      <w:r>
        <w:rPr>
          <w:rFonts w:hint="eastAsia" w:hAnsi="宋体" w:cs="宋体"/>
          <w:b w:val="0"/>
          <w:bCs/>
          <w:color w:val="auto"/>
          <w:szCs w:val="21"/>
          <w:shd w:val="clear" w:color="auto" w:fill="FFFFFF"/>
        </w:rPr>
        <w:t>、</w:t>
      </w:r>
      <w:r>
        <w:rPr>
          <w:rFonts w:hint="eastAsia" w:hAnsi="宋体" w:cs="宋体"/>
          <w:b w:val="0"/>
          <w:bCs/>
          <w:color w:val="auto"/>
          <w:szCs w:val="21"/>
        </w:rPr>
        <w:t>演示，验收合格后双方签字生效。</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rPr>
        <w:t>（3）货物包装、外观、数量等符合要求并提供出口商提供的装箱单。</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rPr>
        <w:t>（4）设备为原制造商制造的全新产品，整机无污染，无侵权行为、表面无划损、无任何缺陷隐患，在中国境内可依常规安全合法使用。</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rPr>
        <w:t>（5）设备为原制造商未启封全新包装，提供出厂合格证，序列号、包装箱号与出厂批号一致，并可追索查阅。所有随设备的附件必须齐全。</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rPr>
        <w:t>（6）供应商应将关键主机设备的用户手册、保修手册、有关单证资料及配备件、随机工具等交付给采购方。</w:t>
      </w:r>
    </w:p>
    <w:p>
      <w:pPr>
        <w:pStyle w:val="8"/>
        <w:spacing w:line="360" w:lineRule="auto"/>
        <w:ind w:firstLine="420" w:firstLineChars="200"/>
        <w:jc w:val="left"/>
        <w:rPr>
          <w:rFonts w:hAnsi="宋体" w:cs="宋体"/>
          <w:b w:val="0"/>
          <w:bCs/>
          <w:color w:val="auto"/>
          <w:szCs w:val="21"/>
        </w:rPr>
      </w:pPr>
      <w:r>
        <w:rPr>
          <w:rFonts w:hint="eastAsia" w:hAnsi="宋体" w:cs="宋体"/>
          <w:b w:val="0"/>
          <w:bCs/>
          <w:color w:val="auto"/>
          <w:szCs w:val="21"/>
        </w:rPr>
        <w:t>（7）采购方组成验收小组按国家有关规定、规范进行验收，必要时邀请相关的专业人员或机构参与验收。</w:t>
      </w:r>
    </w:p>
    <w:p>
      <w:pPr>
        <w:keepNext/>
        <w:keepLines/>
        <w:spacing w:after="0" w:line="360" w:lineRule="auto"/>
        <w:outlineLvl w:val="0"/>
        <w:rPr>
          <w:rFonts w:ascii="宋体" w:hAnsi="宋体" w:eastAsia="宋体" w:cs="宋体"/>
          <w:b/>
          <w:bCs/>
          <w:color w:val="auto"/>
          <w:kern w:val="44"/>
          <w:sz w:val="28"/>
          <w:szCs w:val="28"/>
        </w:rPr>
      </w:pPr>
      <w:bookmarkStart w:id="36" w:name="_Toc533319738"/>
      <w:r>
        <w:rPr>
          <w:rFonts w:hint="eastAsia" w:ascii="宋体" w:hAnsi="宋体" w:eastAsia="宋体" w:cs="宋体"/>
          <w:b/>
          <w:bCs/>
          <w:color w:val="auto"/>
          <w:kern w:val="44"/>
          <w:sz w:val="28"/>
          <w:szCs w:val="28"/>
        </w:rPr>
        <w:t>十、进度要求</w:t>
      </w:r>
      <w:bookmarkEnd w:id="36"/>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合同签订后6个月完成设备安装调试。</w:t>
      </w:r>
    </w:p>
    <w:p>
      <w:pPr>
        <w:keepNext/>
        <w:keepLines/>
        <w:spacing w:after="0" w:line="360" w:lineRule="auto"/>
        <w:outlineLvl w:val="0"/>
        <w:rPr>
          <w:rFonts w:ascii="宋体" w:hAnsi="宋体" w:eastAsia="宋体" w:cs="宋体"/>
          <w:b/>
          <w:bCs/>
          <w:color w:val="auto"/>
          <w:kern w:val="44"/>
          <w:sz w:val="21"/>
          <w:szCs w:val="21"/>
        </w:rPr>
      </w:pPr>
      <w:bookmarkStart w:id="37" w:name="_Toc533319739"/>
      <w:bookmarkStart w:id="38" w:name="_Toc527644405"/>
      <w:r>
        <w:rPr>
          <w:rFonts w:hint="eastAsia" w:ascii="宋体" w:hAnsi="宋体" w:eastAsia="宋体" w:cs="宋体"/>
          <w:b/>
          <w:bCs/>
          <w:color w:val="auto"/>
          <w:kern w:val="44"/>
          <w:sz w:val="21"/>
          <w:szCs w:val="21"/>
        </w:rPr>
        <w:t>十一、培训与服务要求</w:t>
      </w:r>
      <w:bookmarkEnd w:id="37"/>
      <w:bookmarkEnd w:id="38"/>
    </w:p>
    <w:p>
      <w:pPr>
        <w:spacing w:after="0" w:line="360" w:lineRule="auto"/>
        <w:rPr>
          <w:rFonts w:ascii="宋体" w:hAnsi="宋体" w:eastAsia="宋体" w:cs="宋体"/>
          <w:b/>
          <w:color w:val="auto"/>
          <w:sz w:val="21"/>
          <w:szCs w:val="21"/>
        </w:rPr>
      </w:pPr>
      <w:r>
        <w:rPr>
          <w:rFonts w:hint="eastAsia" w:ascii="宋体" w:hAnsi="宋体" w:eastAsia="宋体" w:cs="宋体"/>
          <w:b/>
          <w:color w:val="auto"/>
          <w:sz w:val="21"/>
          <w:szCs w:val="21"/>
        </w:rPr>
        <w:t>11.1培训要求</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仪器安装调试合格后，供应商（或原制造厂商）工程师在使用现场对使用方人员进行操作及日常维护培训，直到使用方人员能独立操作。</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培训内容应包含但不限于如下内容：</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（1）初级培训：安装调试完毕后，将对用户人员进行现场培训。现场培训时间一般为1-2天，根据用户接受能力，可以适当延长1天。培训内容包括：</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·设备的原理、结构及功能简单介绍；</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·设备的操作</w:t>
      </w:r>
      <w:r>
        <w:rPr>
          <w:rFonts w:ascii="宋体" w:hAnsi="宋体" w:eastAsia="宋体"/>
          <w:color w:val="auto"/>
          <w:sz w:val="21"/>
          <w:szCs w:val="21"/>
        </w:rPr>
        <w:t>、</w:t>
      </w:r>
      <w:r>
        <w:rPr>
          <w:rFonts w:hint="eastAsia" w:ascii="宋体" w:hAnsi="宋体" w:eastAsia="宋体" w:cs="宋体"/>
          <w:color w:val="auto"/>
          <w:sz w:val="21"/>
          <w:szCs w:val="21"/>
        </w:rPr>
        <w:t>系统硬件、软件的操作运用；</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·设备的日常维护和故障排除；</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·样品初步分析与图像获取；</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·FIB基本功能使用、3D 工作及透射样品制备；</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·样品实测。</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2）应用培训：用户使用1到2个月左右，如有需求，可以安排应用专家到用户现场进行免费高级培训。培训主要是帮助用户解决实际使用中的问题。此后，根据用户与公司共同协商确定相应的培训计划和次数，公司应用专家针对用户情况进行定期寻访，帮助用户对产品操作及样品实测进行指导。</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（3）高级培训：时间一般为2-3天， 在用户使用设备3到6个月后，将指派高级应用专家就用户在使用电镜过程中发现的问题及产生的疑问，对用户电镜操作人员进行电镜应用方面的高级培训，主要为用户提供电镜应用过程中遇到的一些疑难样品进行观察条件的经验传授和新条件的摸索。</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0" w:line="360" w:lineRule="auto"/>
        <w:rPr>
          <w:rFonts w:ascii="宋体" w:hAnsi="宋体" w:eastAsia="宋体" w:cs="宋体"/>
          <w:b/>
          <w:color w:val="auto"/>
          <w:sz w:val="21"/>
          <w:szCs w:val="21"/>
        </w:rPr>
      </w:pPr>
      <w:r>
        <w:rPr>
          <w:rFonts w:hint="eastAsia" w:ascii="宋体" w:hAnsi="宋体" w:eastAsia="宋体" w:cs="宋体"/>
          <w:b/>
          <w:color w:val="auto"/>
          <w:sz w:val="21"/>
          <w:szCs w:val="21"/>
        </w:rPr>
        <w:t>11.2维护维修服务要求</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（1）故障响应时间 &lt; 一个工作日，原</w:t>
      </w:r>
      <w:r>
        <w:rPr>
          <w:rFonts w:ascii="宋体" w:hAnsi="宋体" w:eastAsia="宋体" w:cs="宋体"/>
          <w:color w:val="auto"/>
          <w:sz w:val="21"/>
          <w:szCs w:val="21"/>
        </w:rPr>
        <w:t>厂</w:t>
      </w:r>
      <w:r>
        <w:rPr>
          <w:rFonts w:hint="eastAsia" w:ascii="宋体" w:hAnsi="宋体" w:eastAsia="宋体" w:cs="宋体"/>
          <w:color w:val="auto"/>
          <w:sz w:val="21"/>
          <w:szCs w:val="21"/>
        </w:rPr>
        <w:t>工程师到达现场时间 &lt; 3个工作日。自通知当日起。</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（2）维护维修工程师必须了解设备的设计，熟悉其结构，有相同或相近项目的工作经验，能够正确地进行指导，</w:t>
      </w:r>
      <w:r>
        <w:rPr>
          <w:rFonts w:ascii="宋体" w:hAnsi="宋体" w:eastAsia="宋体" w:cs="宋体"/>
          <w:color w:val="auto"/>
          <w:sz w:val="21"/>
          <w:szCs w:val="21"/>
        </w:rPr>
        <w:t>延期</w:t>
      </w:r>
      <w:r>
        <w:rPr>
          <w:rFonts w:hint="eastAsia" w:ascii="宋体" w:hAnsi="宋体" w:eastAsia="宋体" w:cs="宋体"/>
          <w:color w:val="auto"/>
          <w:sz w:val="21"/>
          <w:szCs w:val="21"/>
        </w:rPr>
        <w:t>响</w:t>
      </w:r>
      <w:r>
        <w:rPr>
          <w:rFonts w:ascii="宋体" w:hAnsi="宋体" w:eastAsia="宋体" w:cs="宋体"/>
          <w:color w:val="auto"/>
          <w:sz w:val="21"/>
          <w:szCs w:val="21"/>
        </w:rPr>
        <w:t>应将会扣除质保金</w:t>
      </w:r>
      <w:r>
        <w:rPr>
          <w:rFonts w:hint="eastAsia" w:ascii="宋体" w:hAnsi="宋体" w:eastAsia="宋体" w:cs="宋体"/>
          <w:color w:val="auto"/>
          <w:sz w:val="21"/>
          <w:szCs w:val="21"/>
        </w:rPr>
        <w:t>。</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（3）在质保期内，供应商应提供免费的现场服务。</w:t>
      </w:r>
    </w:p>
    <w:p>
      <w:pPr>
        <w:keepNext/>
        <w:keepLines/>
        <w:spacing w:after="0" w:line="360" w:lineRule="auto"/>
        <w:outlineLvl w:val="0"/>
        <w:rPr>
          <w:rFonts w:ascii="宋体" w:hAnsi="宋体" w:eastAsia="宋体" w:cs="宋体"/>
          <w:b/>
          <w:bCs/>
          <w:color w:val="auto"/>
          <w:kern w:val="44"/>
          <w:sz w:val="28"/>
          <w:szCs w:val="28"/>
        </w:rPr>
      </w:pPr>
      <w:r>
        <w:rPr>
          <w:rFonts w:hint="eastAsia" w:ascii="宋体" w:hAnsi="宋体" w:eastAsia="宋体" w:cs="宋体"/>
          <w:b/>
          <w:bCs/>
          <w:color w:val="auto"/>
          <w:kern w:val="44"/>
          <w:sz w:val="28"/>
          <w:szCs w:val="28"/>
        </w:rPr>
        <w:t>十 二、付款方式</w:t>
      </w:r>
    </w:p>
    <w:p>
      <w:pPr>
        <w:widowControl w:val="0"/>
        <w:adjustRightInd/>
        <w:snapToGrid/>
        <w:spacing w:after="0" w:line="360" w:lineRule="auto"/>
        <w:ind w:firstLine="317" w:firstLineChars="151"/>
        <w:jc w:val="both"/>
        <w:rPr>
          <w:rFonts w:ascii="宋体" w:hAnsi="宋体" w:eastAsia="宋体" w:cs="宋体"/>
          <w:color w:val="auto"/>
          <w:kern w:val="2"/>
          <w:sz w:val="21"/>
          <w:szCs w:val="21"/>
        </w:rPr>
      </w:pPr>
      <w:r>
        <w:rPr>
          <w:rFonts w:hint="eastAsia" w:ascii="宋体" w:hAnsi="宋体" w:eastAsia="宋体" w:cs="宋体"/>
          <w:color w:val="auto"/>
          <w:kern w:val="2"/>
          <w:sz w:val="21"/>
          <w:szCs w:val="21"/>
        </w:rPr>
        <w:t>合同签订后20个工作日内支付40%货款，仪器设备交付经使用方验收合格后支付50%货款，余下10%作为质保金，责任期满后1</w:t>
      </w:r>
      <w:r>
        <w:rPr>
          <w:rFonts w:ascii="宋体" w:hAnsi="宋体" w:eastAsia="宋体" w:cs="宋体"/>
          <w:color w:val="auto"/>
          <w:kern w:val="2"/>
          <w:sz w:val="21"/>
          <w:szCs w:val="21"/>
        </w:rPr>
        <w:t>0</w:t>
      </w:r>
      <w:r>
        <w:rPr>
          <w:rFonts w:hint="eastAsia" w:ascii="宋体" w:hAnsi="宋体" w:eastAsia="宋体" w:cs="宋体"/>
          <w:color w:val="auto"/>
          <w:kern w:val="2"/>
          <w:sz w:val="21"/>
          <w:szCs w:val="21"/>
        </w:rPr>
        <w:t>个工作日内支付</w:t>
      </w:r>
      <w:r>
        <w:rPr>
          <w:rFonts w:hint="eastAsia" w:ascii="宋体" w:hAnsi="宋体" w:eastAsia="宋体" w:cs="Times New Roman"/>
          <w:color w:val="auto"/>
          <w:sz w:val="21"/>
          <w:szCs w:val="21"/>
        </w:rPr>
        <w:t>。</w:t>
      </w:r>
    </w:p>
    <w:p>
      <w:pPr>
        <w:keepNext/>
        <w:keepLines/>
        <w:spacing w:after="0" w:line="360" w:lineRule="auto"/>
        <w:outlineLvl w:val="0"/>
        <w:rPr>
          <w:rFonts w:ascii="宋体" w:hAnsi="宋体" w:eastAsia="宋体" w:cs="宋体"/>
          <w:b/>
          <w:bCs/>
          <w:color w:val="auto"/>
          <w:kern w:val="44"/>
          <w:sz w:val="28"/>
          <w:szCs w:val="28"/>
        </w:rPr>
      </w:pPr>
      <w:r>
        <w:rPr>
          <w:rFonts w:hint="eastAsia" w:ascii="宋体" w:hAnsi="宋体" w:eastAsia="宋体" w:cs="宋体"/>
          <w:b/>
          <w:bCs/>
          <w:color w:val="auto"/>
          <w:kern w:val="44"/>
          <w:sz w:val="28"/>
          <w:szCs w:val="28"/>
        </w:rPr>
        <w:t>十三、其它</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★1、若中标人为设备代理商（经销商），中标人须在本项目结果公示之日起五个工作日内提供提供设备生产厂家的代理（经销）授权书原件。</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2、投标单位应保证提供的货物在不需要增配未列出配件（特别指出的除外）的前提下货物功能、技术标准能够达到招标文件的要求，而无须再增配未列出的配件；如供应商所提供的产品需要增配配件才能达到要求的，所增配的配件须由供应商免费提供。</w:t>
      </w: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3、所有产品材料及货物标准必须符合国家标准及相关规定。</w:t>
      </w:r>
    </w:p>
    <w:p>
      <w:pPr>
        <w:spacing w:after="0" w:line="360" w:lineRule="auto"/>
        <w:ind w:firstLine="422" w:firstLineChars="200"/>
        <w:rPr>
          <w:rFonts w:ascii="宋体" w:hAnsi="宋体" w:eastAsia="宋体" w:cs="Times New Roman"/>
          <w:b/>
          <w:bCs/>
          <w:color w:val="auto"/>
          <w:sz w:val="21"/>
          <w:szCs w:val="21"/>
        </w:rPr>
      </w:pPr>
    </w:p>
    <w:p>
      <w:pPr>
        <w:spacing w:after="0" w:line="360" w:lineRule="auto"/>
        <w:ind w:firstLine="422" w:firstLineChars="200"/>
        <w:rPr>
          <w:rFonts w:ascii="宋体" w:hAnsi="宋体" w:eastAsia="宋体" w:cs="Times New Roman"/>
          <w:b/>
          <w:bCs/>
          <w:color w:val="auto"/>
          <w:sz w:val="21"/>
          <w:szCs w:val="21"/>
        </w:rPr>
      </w:pPr>
      <w:r>
        <w:rPr>
          <w:rFonts w:hint="eastAsia" w:ascii="宋体" w:hAnsi="宋体" w:eastAsia="宋体" w:cs="Times New Roman"/>
          <w:b/>
          <w:bCs/>
          <w:color w:val="auto"/>
          <w:sz w:val="21"/>
          <w:szCs w:val="21"/>
        </w:rPr>
        <w:t>注：不满足招标文件中 “★”条款的投标文件将作无效投标处理。</w:t>
      </w:r>
      <w:bookmarkEnd w:id="7"/>
      <w:bookmarkEnd w:id="8"/>
      <w:bookmarkEnd w:id="9"/>
      <w:bookmarkEnd w:id="10"/>
    </w:p>
    <w:p>
      <w:pPr>
        <w:pStyle w:val="3"/>
        <w:spacing w:before="0" w:after="0" w:line="240" w:lineRule="auto"/>
        <w:rPr>
          <w:color w:val="auto"/>
          <w:sz w:val="24"/>
          <w:szCs w:val="24"/>
        </w:rPr>
      </w:pPr>
      <w:r>
        <w:rPr>
          <w:rFonts w:hint="eastAsia"/>
          <w:color w:val="auto"/>
          <w:sz w:val="24"/>
          <w:szCs w:val="24"/>
        </w:rPr>
        <w:br w:type="page"/>
      </w:r>
      <w:bookmarkStart w:id="39" w:name="_Toc2479"/>
      <w:r>
        <w:rPr>
          <w:rFonts w:hint="eastAsia"/>
          <w:color w:val="auto"/>
          <w:sz w:val="28"/>
          <w:szCs w:val="28"/>
        </w:rPr>
        <w:t>第四部分 投标人须知</w:t>
      </w:r>
      <w:bookmarkEnd w:id="39"/>
    </w:p>
    <w:p>
      <w:pPr>
        <w:pStyle w:val="4"/>
        <w:numPr>
          <w:ilvl w:val="0"/>
          <w:numId w:val="1"/>
        </w:numPr>
        <w:spacing w:before="0" w:after="0" w:line="480" w:lineRule="auto"/>
        <w:jc w:val="center"/>
        <w:rPr>
          <w:rFonts w:ascii="宋体" w:hAnsi="宋体" w:eastAsia="宋体"/>
          <w:color w:val="auto"/>
        </w:rPr>
      </w:pPr>
      <w:bookmarkStart w:id="40" w:name="_Toc19746"/>
      <w:r>
        <w:rPr>
          <w:rFonts w:hint="eastAsia" w:ascii="宋体" w:hAnsi="宋体" w:eastAsia="宋体"/>
          <w:color w:val="auto"/>
        </w:rPr>
        <w:t>说明</w:t>
      </w:r>
      <w:bookmarkEnd w:id="40"/>
    </w:p>
    <w:p>
      <w:pPr>
        <w:pStyle w:val="5"/>
        <w:widowControl w:val="0"/>
        <w:overflowPunct w:val="0"/>
        <w:spacing w:before="0" w:after="0" w:line="240" w:lineRule="auto"/>
        <w:rPr>
          <w:rFonts w:ascii="宋体" w:hAnsi="宋体" w:eastAsia="宋体"/>
          <w:color w:val="auto"/>
          <w:sz w:val="21"/>
          <w:szCs w:val="21"/>
        </w:rPr>
      </w:pPr>
      <w:bookmarkStart w:id="41" w:name="_Toc18488"/>
      <w:r>
        <w:rPr>
          <w:rFonts w:hint="eastAsia" w:ascii="宋体" w:hAnsi="宋体" w:eastAsia="宋体"/>
          <w:color w:val="auto"/>
          <w:sz w:val="21"/>
          <w:szCs w:val="21"/>
        </w:rPr>
        <w:t>1.适用范围</w:t>
      </w:r>
      <w:bookmarkEnd w:id="41"/>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招标范围：见本文件《用户需求书》</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42" w:name="_Toc13400"/>
      <w:r>
        <w:rPr>
          <w:rFonts w:hint="eastAsia" w:ascii="宋体" w:hAnsi="宋体" w:eastAsia="宋体"/>
          <w:color w:val="auto"/>
          <w:sz w:val="21"/>
          <w:szCs w:val="21"/>
        </w:rPr>
        <w:t>2.</w:t>
      </w:r>
      <w:bookmarkStart w:id="43" w:name="_Toc298847174"/>
      <w:bookmarkStart w:id="44" w:name="_Toc1530"/>
      <w:bookmarkStart w:id="45" w:name="_Toc303084246"/>
      <w:bookmarkStart w:id="46" w:name="_Toc382049092"/>
      <w:r>
        <w:rPr>
          <w:rFonts w:hint="eastAsia" w:ascii="宋体" w:hAnsi="宋体" w:eastAsia="宋体"/>
          <w:color w:val="auto"/>
          <w:sz w:val="21"/>
          <w:szCs w:val="21"/>
        </w:rPr>
        <w:t>定义</w:t>
      </w:r>
      <w:bookmarkEnd w:id="42"/>
      <w:bookmarkEnd w:id="43"/>
      <w:bookmarkEnd w:id="44"/>
      <w:bookmarkEnd w:id="45"/>
      <w:bookmarkEnd w:id="46"/>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w:t>
      </w:r>
      <w:r>
        <w:rPr>
          <w:rFonts w:ascii="宋体" w:hAnsi="宋体" w:eastAsia="宋体"/>
          <w:color w:val="auto"/>
          <w:sz w:val="21"/>
          <w:szCs w:val="21"/>
        </w:rPr>
        <w:t>是指依法进行政府采购的国家机关、事业单位</w:t>
      </w:r>
      <w:r>
        <w:rPr>
          <w:rFonts w:hint="eastAsia" w:ascii="宋体" w:hAnsi="宋体" w:eastAsia="宋体"/>
          <w:color w:val="auto"/>
          <w:sz w:val="21"/>
          <w:szCs w:val="21"/>
        </w:rPr>
        <w:t>等</w:t>
      </w:r>
      <w:r>
        <w:rPr>
          <w:rFonts w:ascii="宋体" w:hAnsi="宋体" w:eastAsia="宋体"/>
          <w:color w:val="auto"/>
          <w:sz w:val="21"/>
          <w:szCs w:val="21"/>
        </w:rPr>
        <w:t>团体组织</w:t>
      </w:r>
      <w:r>
        <w:rPr>
          <w:rFonts w:hint="eastAsia" w:ascii="宋体" w:hAnsi="宋体" w:eastAsia="宋体"/>
          <w:color w:val="auto"/>
          <w:sz w:val="21"/>
          <w:szCs w:val="21"/>
        </w:rPr>
        <w:t>。</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投标人：响应招标并且符合招标文件规定资格条件和参加投标竞争的法人、其他组织或者自然人。</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法人：法人是依法在国内进行注册并具有民事权利能力和民事行为能力，依法独立享有民事权利和承担民事义务的组织。</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中标人：指经评标委员会评审推荐、采购人确认的获得本项目中标资格的投标人。</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采购代理机构：三方诚信招标有限公司东莞分公司。</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评标委员会：评标委员会是依据《中华人民共和国政府采购法》及其实施条例、《政府采购货物和服务招标投标管理办法》等组建的专门负责本次招标其评标工作的临时性机构。</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合同：指由本次招标所产生的合同或合约文件。</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公章：</w:t>
      </w:r>
      <w:r>
        <w:rPr>
          <w:rFonts w:ascii="宋体" w:hAnsi="宋体" w:eastAsia="宋体"/>
          <w:color w:val="auto"/>
          <w:sz w:val="21"/>
          <w:szCs w:val="21"/>
        </w:rPr>
        <w:t>公章是</w:t>
      </w:r>
      <w:r>
        <w:rPr>
          <w:rFonts w:ascii="宋体" w:hAnsi="宋体" w:eastAsia="宋体"/>
          <w:iCs/>
          <w:color w:val="auto"/>
          <w:sz w:val="21"/>
          <w:szCs w:val="21"/>
        </w:rPr>
        <w:t>指</w:t>
      </w:r>
      <w:r>
        <w:rPr>
          <w:rFonts w:hint="eastAsia" w:ascii="宋体" w:hAnsi="宋体" w:eastAsia="宋体"/>
          <w:iCs/>
          <w:color w:val="auto"/>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rPr>
        <w:t>）</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时间</w:t>
      </w:r>
      <w:r>
        <w:rPr>
          <w:rFonts w:hint="eastAsia" w:ascii="宋体" w:hAnsi="宋体" w:eastAsia="宋体"/>
          <w:iCs/>
          <w:color w:val="auto"/>
          <w:sz w:val="21"/>
          <w:szCs w:val="21"/>
        </w:rPr>
        <w:t>：本文件规定按日计算期间的，开始当天不计入，从次日开始计算。期限的最后一日是国家法定节假日的，顺延到节假日后的次日为期限的最后一日。</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47" w:name="_Toc3780"/>
      <w:r>
        <w:rPr>
          <w:rFonts w:hint="eastAsia" w:ascii="宋体" w:hAnsi="宋体" w:eastAsia="宋体"/>
          <w:color w:val="auto"/>
          <w:sz w:val="21"/>
          <w:szCs w:val="21"/>
        </w:rPr>
        <w:t>3.货物和服务</w:t>
      </w:r>
      <w:bookmarkEnd w:id="4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货物</w:t>
      </w:r>
      <w:r>
        <w:rPr>
          <w:rFonts w:ascii="宋体" w:hAnsi="宋体" w:eastAsia="宋体"/>
          <w:color w:val="auto"/>
          <w:sz w:val="21"/>
          <w:szCs w:val="21"/>
        </w:rPr>
        <w:t>是指各种形态和种类的物品，包括原材料、燃料、设备、产品等</w:t>
      </w:r>
      <w:r>
        <w:rPr>
          <w:rFonts w:hint="eastAsia" w:ascii="宋体" w:hAnsi="宋体" w:eastAsia="宋体"/>
          <w:color w:val="auto"/>
          <w:sz w:val="21"/>
          <w:szCs w:val="21"/>
        </w:rPr>
        <w:t>。</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服务是指</w:t>
      </w:r>
      <w:r>
        <w:rPr>
          <w:rFonts w:ascii="宋体" w:hAnsi="宋体" w:eastAsia="宋体"/>
          <w:color w:val="auto"/>
          <w:sz w:val="21"/>
          <w:szCs w:val="21"/>
        </w:rPr>
        <w:t>除货物和工程以外的其他政府采购对象</w:t>
      </w:r>
      <w:r>
        <w:rPr>
          <w:rFonts w:hint="eastAsia" w:ascii="宋体" w:hAnsi="宋体" w:eastAsia="宋体"/>
          <w:color w:val="auto"/>
          <w:sz w:val="21"/>
          <w:szCs w:val="21"/>
        </w:rPr>
        <w:t>。</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48" w:name="_Toc15945"/>
      <w:r>
        <w:rPr>
          <w:rFonts w:hint="eastAsia" w:ascii="宋体" w:hAnsi="宋体" w:eastAsia="宋体"/>
          <w:color w:val="auto"/>
          <w:sz w:val="21"/>
          <w:szCs w:val="21"/>
        </w:rPr>
        <w:t>4.投标费用</w:t>
      </w:r>
      <w:bookmarkEnd w:id="48"/>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49" w:name="_Toc25040"/>
      <w:r>
        <w:rPr>
          <w:rFonts w:hint="eastAsia" w:ascii="宋体" w:hAnsi="宋体" w:eastAsia="宋体"/>
          <w:color w:val="auto"/>
          <w:sz w:val="21"/>
          <w:szCs w:val="21"/>
        </w:rPr>
        <w:t>5.知识产权</w:t>
      </w:r>
      <w:bookmarkEnd w:id="49"/>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采购人享有本项目实施过程中产生的知识成果及知识产权。</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投标人如欲在项目实施过程中采用自有知识成果，需在投标文件中声明，并提供相关知识产权证明文件。使用该知识成果后，投标人需提供开发接口和开发手册等技术文档。</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rPr>
        <w:t>采购货物为计算机办公设备时，投标人提供的产品必须是预装正版操作系统软件的计算机产品。</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投标人提供的服务、货物经认定存在侵权行为的，其投标无效，并上报相关监管部门。</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50" w:name="_Toc21930"/>
      <w:r>
        <w:rPr>
          <w:rFonts w:hint="eastAsia" w:ascii="宋体" w:hAnsi="宋体" w:eastAsia="宋体"/>
          <w:color w:val="auto"/>
          <w:sz w:val="21"/>
          <w:szCs w:val="21"/>
        </w:rPr>
        <w:t>6.关于联合体投标</w:t>
      </w:r>
      <w:bookmarkEnd w:id="50"/>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对接受联合体投标的项目：两个以上的自然人、法人或者其他组织可以组成一个联合体，以一个投标人的身份共同参加政府采购。</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以联合体形式参与项目的</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在领购</w:t>
      </w:r>
      <w:r>
        <w:rPr>
          <w:rFonts w:hint="eastAsia" w:ascii="宋体" w:hAnsi="宋体" w:eastAsia="宋体"/>
          <w:color w:val="auto"/>
          <w:sz w:val="21"/>
          <w:szCs w:val="21"/>
          <w:lang w:val="en-US" w:eastAsia="zh-CN"/>
        </w:rPr>
        <w:t>招标</w:t>
      </w:r>
      <w:r>
        <w:rPr>
          <w:rFonts w:hint="eastAsia" w:ascii="宋体" w:hAnsi="宋体" w:eastAsia="宋体"/>
          <w:color w:val="auto"/>
          <w:sz w:val="21"/>
          <w:szCs w:val="21"/>
        </w:rPr>
        <w:t>文件时，应提供所有联合体组成成员的营业执照复印件，并加盖各联合体组成成员的公章。</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联合体各方均应当符合《政府采购法》第二十二条规定的条件。</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采购人根据采购项目的特殊要求规定投标人特定条件的，联合体各方中至少应当有一方符合采购人规定的特定条件。</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联合体各方之间应当签订共同投标协议并</w:t>
      </w:r>
      <w:r>
        <w:rPr>
          <w:rFonts w:ascii="宋体" w:hAnsi="宋体" w:eastAsia="宋体"/>
          <w:color w:val="auto"/>
          <w:sz w:val="21"/>
          <w:szCs w:val="21"/>
        </w:rPr>
        <w:t>在投标文件内提交</w:t>
      </w:r>
      <w:r>
        <w:rPr>
          <w:rFonts w:hint="eastAsia" w:ascii="宋体" w:hAnsi="宋体" w:eastAsia="宋体"/>
          <w:color w:val="auto"/>
          <w:sz w:val="21"/>
          <w:szCs w:val="21"/>
        </w:rPr>
        <w:t>，明确约定联合体各方承担的工作和相应的责任。联合体各方签订共同投标协议后，不得再以自己名义单独在同一项目中投标，也不得组成新的联合体参加同一项目投标。</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供应商为联合体的，可以由联合体中的任意一方交纳保证金，其交纳的保证金对联合体各方均具有约束力。</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联合体中有同类资质的投标人按照联合体分工承担相同工作的，应当按照资质等级较低的供应商确定资质等级。</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为小型、微型企业的，各方均应提供《中小企业声明函》；中小企业声明函作为联合体一方参与政府采购活动，且《共同投标协议书》中约定，小型、微型企业的协议合同金额占到联合体协议合同总金额30%以上的，应附中小微企业的《中小企业声明函》。</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除联合体协议明确授权盖章单位外，联合体投标时投标文件中所有要求盖章的地方均须加盖联合体所有组成成员的公章，否则该处盖章无效。</w:t>
      </w:r>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51" w:name="_Toc16571"/>
      <w:r>
        <w:rPr>
          <w:rFonts w:hint="eastAsia" w:ascii="宋体" w:hAnsi="宋体" w:eastAsia="宋体"/>
          <w:color w:val="auto"/>
          <w:sz w:val="21"/>
          <w:szCs w:val="21"/>
        </w:rPr>
        <w:t>7.关于分支机构投标</w:t>
      </w:r>
      <w:bookmarkEnd w:id="51"/>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bookmarkStart w:id="52" w:name="EB389f116341dd4693875bc7987e7327f3"/>
    </w:p>
    <w:p>
      <w:pPr>
        <w:keepNext w:val="0"/>
        <w:keepLines w:val="0"/>
        <w:pageBreakBefore w:val="0"/>
        <w:widowControl w:val="0"/>
        <w:numPr>
          <w:ilvl w:val="1"/>
          <w:numId w:val="2"/>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ascii="宋体" w:hAnsi="宋体" w:eastAsia="宋体"/>
          <w:color w:val="auto"/>
          <w:sz w:val="21"/>
          <w:szCs w:val="21"/>
        </w:rPr>
        <w:t>对可接受</w:t>
      </w:r>
      <w:r>
        <w:rPr>
          <w:rFonts w:hint="eastAsia" w:ascii="宋体" w:hAnsi="宋体" w:eastAsia="宋体"/>
          <w:color w:val="auto"/>
          <w:sz w:val="21"/>
          <w:szCs w:val="21"/>
        </w:rPr>
        <w:t>分支机构</w:t>
      </w:r>
      <w:r>
        <w:rPr>
          <w:rFonts w:ascii="宋体" w:hAnsi="宋体" w:eastAsia="宋体"/>
          <w:color w:val="auto"/>
          <w:sz w:val="21"/>
          <w:szCs w:val="21"/>
        </w:rPr>
        <w:t>投标的项目，</w:t>
      </w:r>
      <w:r>
        <w:rPr>
          <w:rFonts w:hint="eastAsia" w:ascii="宋体" w:hAnsi="宋体" w:eastAsia="宋体"/>
          <w:color w:val="auto"/>
          <w:sz w:val="21"/>
          <w:szCs w:val="21"/>
        </w:rPr>
        <w:t>分支机构</w:t>
      </w:r>
      <w:r>
        <w:rPr>
          <w:rFonts w:ascii="宋体" w:hAnsi="宋体" w:eastAsia="宋体"/>
          <w:color w:val="auto"/>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52"/>
    </w:p>
    <w:p>
      <w:pPr>
        <w:rPr>
          <w:color w:val="auto"/>
        </w:rPr>
      </w:pPr>
    </w:p>
    <w:p>
      <w:pPr>
        <w:pStyle w:val="4"/>
        <w:numPr>
          <w:ilvl w:val="0"/>
          <w:numId w:val="1"/>
        </w:numPr>
        <w:spacing w:before="0" w:after="0" w:line="480" w:lineRule="auto"/>
        <w:jc w:val="center"/>
        <w:rPr>
          <w:rFonts w:ascii="宋体" w:hAnsi="宋体" w:eastAsia="宋体"/>
          <w:color w:val="auto"/>
        </w:rPr>
      </w:pPr>
      <w:bookmarkStart w:id="53" w:name="_Toc17879"/>
      <w:r>
        <w:rPr>
          <w:rFonts w:hint="eastAsia" w:ascii="宋体" w:hAnsi="宋体" w:eastAsia="宋体"/>
          <w:color w:val="auto"/>
        </w:rPr>
        <w:t>招标文件</w:t>
      </w:r>
      <w:bookmarkEnd w:id="53"/>
    </w:p>
    <w:p>
      <w:pPr>
        <w:pStyle w:val="5"/>
        <w:widowControl w:val="0"/>
        <w:overflowPunct w:val="0"/>
        <w:spacing w:before="0" w:after="0" w:line="240" w:lineRule="auto"/>
        <w:rPr>
          <w:rFonts w:ascii="宋体" w:hAnsi="宋体" w:eastAsia="宋体"/>
          <w:color w:val="auto"/>
          <w:sz w:val="21"/>
          <w:szCs w:val="21"/>
        </w:rPr>
      </w:pPr>
      <w:bookmarkStart w:id="54" w:name="_Toc21771"/>
      <w:r>
        <w:rPr>
          <w:rFonts w:hint="eastAsia" w:ascii="宋体" w:hAnsi="宋体" w:eastAsia="宋体"/>
          <w:color w:val="auto"/>
          <w:sz w:val="21"/>
          <w:szCs w:val="21"/>
        </w:rPr>
        <w:t>8.招标文件的组成</w:t>
      </w:r>
      <w:bookmarkEnd w:id="54"/>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（1）投标邀请书；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（2）投标资料表；</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（3）用户需求书；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（4）投标人须知；</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（5）合同文本</w:t>
      </w:r>
      <w:r>
        <w:rPr>
          <w:rFonts w:hint="eastAsia" w:ascii="宋体" w:hAnsi="宋体" w:eastAsia="宋体"/>
          <w:color w:val="auto"/>
          <w:sz w:val="21"/>
          <w:szCs w:val="21"/>
          <w:lang w:eastAsia="zh-CN"/>
        </w:rPr>
        <w:t>参考格式</w:t>
      </w:r>
      <w:r>
        <w:rPr>
          <w:rFonts w:hint="eastAsia" w:ascii="宋体" w:hAnsi="宋体" w:eastAsia="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（6）投标文件</w:t>
      </w:r>
      <w:r>
        <w:rPr>
          <w:rFonts w:hint="eastAsia" w:ascii="宋体" w:hAnsi="宋体" w:eastAsia="宋体"/>
          <w:color w:val="auto"/>
          <w:sz w:val="21"/>
          <w:szCs w:val="21"/>
          <w:lang w:eastAsia="zh-CN"/>
        </w:rPr>
        <w:t>参考</w:t>
      </w:r>
      <w:r>
        <w:rPr>
          <w:rFonts w:hint="eastAsia" w:ascii="宋体" w:hAnsi="宋体" w:eastAsia="宋体"/>
          <w:color w:val="auto"/>
          <w:sz w:val="21"/>
          <w:szCs w:val="21"/>
        </w:rPr>
        <w:t>格式；</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（7）在招标过程中由采购代理机构发出的澄清更正文件等。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color w:val="auto"/>
        </w:rPr>
      </w:pPr>
    </w:p>
    <w:p>
      <w:pPr>
        <w:pStyle w:val="5"/>
        <w:widowControl w:val="0"/>
        <w:overflowPunct w:val="0"/>
        <w:spacing w:before="0" w:after="0" w:line="240" w:lineRule="auto"/>
        <w:rPr>
          <w:rFonts w:ascii="宋体" w:hAnsi="宋体" w:eastAsia="宋体"/>
          <w:color w:val="auto"/>
          <w:sz w:val="21"/>
          <w:szCs w:val="21"/>
        </w:rPr>
      </w:pPr>
      <w:bookmarkStart w:id="55" w:name="_Toc14217"/>
      <w:r>
        <w:rPr>
          <w:rFonts w:hint="eastAsia" w:ascii="宋体" w:hAnsi="宋体" w:eastAsia="宋体"/>
          <w:color w:val="auto"/>
          <w:sz w:val="21"/>
          <w:szCs w:val="21"/>
        </w:rPr>
        <w:t>9.招标文件的澄清或修改</w:t>
      </w:r>
      <w:bookmarkEnd w:id="55"/>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2"/>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rPr>
        <w:t>具有约束作用</w:t>
      </w:r>
      <w:r>
        <w:rPr>
          <w:rFonts w:hint="eastAsia" w:ascii="宋体" w:hAnsi="宋体" w:eastAsia="宋体"/>
          <w:color w:val="auto"/>
          <w:sz w:val="21"/>
          <w:szCs w:val="21"/>
        </w:rPr>
        <w:t>。</w:t>
      </w:r>
      <w:r>
        <w:rPr>
          <w:rFonts w:ascii="宋体" w:hAnsi="宋体" w:eastAsia="宋体"/>
          <w:color w:val="auto"/>
          <w:sz w:val="21"/>
          <w:szCs w:val="21"/>
        </w:rPr>
        <w:t>当招标文件、招标文件的澄清</w:t>
      </w:r>
      <w:r>
        <w:rPr>
          <w:rFonts w:hint="eastAsia" w:ascii="宋体" w:hAnsi="宋体" w:eastAsia="宋体"/>
          <w:color w:val="auto"/>
          <w:sz w:val="21"/>
          <w:szCs w:val="21"/>
        </w:rPr>
        <w:t>或</w:t>
      </w:r>
      <w:r>
        <w:rPr>
          <w:rFonts w:ascii="宋体" w:hAnsi="宋体" w:eastAsia="宋体"/>
          <w:color w:val="auto"/>
          <w:sz w:val="21"/>
          <w:szCs w:val="21"/>
        </w:rPr>
        <w:t>修改等在同一内容的表述上不一致时，以最后发出的书面文件</w:t>
      </w:r>
      <w:r>
        <w:rPr>
          <w:rFonts w:hint="eastAsia" w:ascii="宋体" w:hAnsi="宋体" w:eastAsia="宋体"/>
          <w:color w:val="auto"/>
          <w:sz w:val="21"/>
          <w:szCs w:val="21"/>
        </w:rPr>
        <w:t>及公告</w:t>
      </w:r>
      <w:r>
        <w:rPr>
          <w:rFonts w:ascii="宋体" w:hAnsi="宋体" w:eastAsia="宋体"/>
          <w:color w:val="auto"/>
          <w:sz w:val="21"/>
          <w:szCs w:val="21"/>
        </w:rPr>
        <w:t>为准。</w:t>
      </w:r>
    </w:p>
    <w:p>
      <w:pPr>
        <w:keepNext w:val="0"/>
        <w:keepLines w:val="0"/>
        <w:pageBreakBefore w:val="0"/>
        <w:widowControl w:val="0"/>
        <w:numPr>
          <w:ilvl w:val="1"/>
          <w:numId w:val="2"/>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b/>
          <w:bCs/>
          <w:color w:val="auto"/>
          <w:sz w:val="21"/>
          <w:szCs w:val="21"/>
        </w:rPr>
      </w:pPr>
      <w:r>
        <w:rPr>
          <w:rFonts w:hint="eastAsia" w:ascii="宋体" w:hAnsi="宋体" w:eastAsia="宋体"/>
          <w:b/>
          <w:bCs/>
          <w:color w:val="auto"/>
          <w:sz w:val="21"/>
          <w:szCs w:val="21"/>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rPr>
      </w:pPr>
    </w:p>
    <w:p>
      <w:pPr>
        <w:pStyle w:val="4"/>
        <w:numPr>
          <w:ilvl w:val="0"/>
          <w:numId w:val="1"/>
        </w:numPr>
        <w:spacing w:before="0" w:after="0" w:line="480" w:lineRule="auto"/>
        <w:jc w:val="center"/>
        <w:rPr>
          <w:rFonts w:ascii="宋体" w:hAnsi="宋体" w:eastAsia="宋体"/>
          <w:color w:val="auto"/>
        </w:rPr>
      </w:pPr>
      <w:bookmarkStart w:id="56" w:name="_Toc23726"/>
      <w:r>
        <w:rPr>
          <w:rFonts w:hint="eastAsia" w:ascii="宋体" w:hAnsi="宋体" w:eastAsia="宋体"/>
          <w:color w:val="auto"/>
        </w:rPr>
        <w:t>投标文件的编制</w:t>
      </w:r>
      <w:bookmarkEnd w:id="56"/>
    </w:p>
    <w:p>
      <w:pPr>
        <w:pStyle w:val="5"/>
        <w:widowControl w:val="0"/>
        <w:overflowPunct w:val="0"/>
        <w:spacing w:before="0" w:after="0" w:line="240" w:lineRule="auto"/>
        <w:rPr>
          <w:rFonts w:ascii="宋体" w:hAnsi="宋体" w:eastAsia="宋体"/>
          <w:color w:val="auto"/>
          <w:sz w:val="21"/>
          <w:szCs w:val="21"/>
        </w:rPr>
      </w:pPr>
      <w:bookmarkStart w:id="57" w:name="_Toc20623"/>
      <w:r>
        <w:rPr>
          <w:rFonts w:hint="eastAsia" w:ascii="宋体" w:hAnsi="宋体" w:eastAsia="宋体"/>
          <w:color w:val="auto"/>
          <w:sz w:val="21"/>
          <w:szCs w:val="21"/>
        </w:rPr>
        <w:t>10.投标文件的语言及度量衡单位</w:t>
      </w:r>
      <w:bookmarkEnd w:id="5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除非招标文件在技术规格中另有规定，投标人在投标文件中及其与采购代理机构和采购人所有往来文件中的所有</w:t>
      </w:r>
      <w:r>
        <w:rPr>
          <w:rFonts w:ascii="宋体" w:hAnsi="宋体" w:eastAsia="宋体"/>
          <w:color w:val="auto"/>
          <w:sz w:val="21"/>
          <w:szCs w:val="21"/>
        </w:rPr>
        <w:t>计量单位</w:t>
      </w:r>
      <w:r>
        <w:rPr>
          <w:rFonts w:hint="eastAsia" w:ascii="宋体" w:hAnsi="宋体" w:eastAsia="宋体"/>
          <w:color w:val="auto"/>
          <w:sz w:val="21"/>
          <w:szCs w:val="21"/>
        </w:rPr>
        <w:t>均应采用中华人民共和国法定计量单位</w:t>
      </w:r>
      <w:r>
        <w:rPr>
          <w:rFonts w:ascii="宋体" w:hAnsi="宋体" w:eastAsia="宋体"/>
          <w:color w:val="auto"/>
          <w:sz w:val="21"/>
          <w:szCs w:val="21"/>
        </w:rPr>
        <w:t>。</w:t>
      </w:r>
    </w:p>
    <w:p>
      <w:pPr>
        <w:widowControl w:val="0"/>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58" w:name="_Toc28866"/>
      <w:bookmarkStart w:id="59" w:name="_Toc307934854"/>
      <w:bookmarkStart w:id="60" w:name="_Toc303084256"/>
      <w:bookmarkStart w:id="61" w:name="_Toc12145"/>
      <w:bookmarkStart w:id="62" w:name="_Toc382049103"/>
      <w:r>
        <w:rPr>
          <w:rFonts w:hint="eastAsia" w:ascii="宋体" w:hAnsi="宋体" w:eastAsia="宋体"/>
          <w:color w:val="auto"/>
          <w:sz w:val="21"/>
          <w:szCs w:val="21"/>
        </w:rPr>
        <w:t>11.</w:t>
      </w:r>
      <w:r>
        <w:rPr>
          <w:rFonts w:ascii="宋体" w:hAnsi="宋体" w:eastAsia="宋体"/>
          <w:color w:val="auto"/>
          <w:sz w:val="21"/>
          <w:szCs w:val="21"/>
        </w:rPr>
        <w:t>投标文件的组成</w:t>
      </w:r>
      <w:bookmarkEnd w:id="58"/>
      <w:bookmarkEnd w:id="59"/>
      <w:bookmarkEnd w:id="60"/>
      <w:bookmarkEnd w:id="61"/>
      <w:bookmarkEnd w:id="62"/>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包括但不限于招标文件附件格式中要求提供的表格。</w:t>
      </w:r>
    </w:p>
    <w:p>
      <w:pPr>
        <w:widowControl w:val="0"/>
        <w:numPr>
          <w:ilvl w:val="1"/>
          <w:numId w:val="2"/>
        </w:numPr>
        <w:adjustRightInd/>
        <w:snapToGrid/>
        <w:spacing w:after="0" w:line="360" w:lineRule="exact"/>
        <w:jc w:val="both"/>
        <w:rPr>
          <w:color w:val="auto"/>
        </w:rPr>
      </w:pPr>
      <w:r>
        <w:rPr>
          <w:rFonts w:hint="eastAsia" w:ascii="宋体" w:hAnsi="宋体" w:eastAsia="宋体"/>
          <w:color w:val="auto"/>
          <w:sz w:val="21"/>
          <w:szCs w:val="21"/>
        </w:rPr>
        <w:t>上述文件须按顺序装订成册，并编制投标文件目录。除上述文件资料外投标人还须按投标人须知的要求制作“开标文件”。“开标文件”作为投标文件的一部分，但须单独密封。</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63" w:name="_Toc30189"/>
      <w:r>
        <w:rPr>
          <w:rFonts w:hint="eastAsia" w:ascii="宋体" w:hAnsi="宋体" w:eastAsia="宋体"/>
          <w:color w:val="auto"/>
          <w:sz w:val="21"/>
          <w:szCs w:val="21"/>
        </w:rPr>
        <w:t>12.投标文件编制</w:t>
      </w:r>
      <w:bookmarkEnd w:id="63"/>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bookmarkStart w:id="64" w:name="_Toc303084258"/>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投标人应按招标文件的规定以及附件要求的内容和格式完整地填写</w:t>
      </w:r>
      <w:r>
        <w:rPr>
          <w:rFonts w:ascii="宋体" w:hAnsi="宋体" w:eastAsia="宋体"/>
          <w:color w:val="auto"/>
          <w:sz w:val="21"/>
          <w:szCs w:val="21"/>
        </w:rPr>
        <w:t>（表格可以按同样格式扩展）</w:t>
      </w:r>
      <w:r>
        <w:rPr>
          <w:rFonts w:hint="eastAsia" w:ascii="宋体" w:hAnsi="宋体" w:eastAsia="宋体"/>
          <w:color w:val="auto"/>
          <w:sz w:val="21"/>
          <w:szCs w:val="21"/>
        </w:rPr>
        <w:t>和提供资料，投标人必须对投标文件所提供的全部材料的真实性承担法律责任，并无条件接受采购人或采购代理机构及政府采购监督管理部门等对其中任何资料进行核实的要求。</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因投标文件编制存在歧义对投标人产生负面影响的，投标人自行承担后果。</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投标单位名称与投标人公章不一致，若投标单位名称已进行变更，应在投标文件中提供相应的证明材料并加盖公章，否则投标文件无效。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投标文件密封、标记及内容与本项目采购信息不符，导致无法分辨所投项目为本项目的，投标文件无效。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投标人须客观撰写投标人简介（格式自理，并提供相关证明）以及所投的产品或服务说明。</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投标文件若出现以下内容，经评标委员会认定有可能间接影响评审秩序，</w:t>
      </w:r>
      <w:r>
        <w:rPr>
          <w:rFonts w:hint="eastAsia" w:ascii="宋体" w:hAnsi="宋体" w:eastAsia="宋体"/>
          <w:color w:val="auto"/>
          <w:sz w:val="21"/>
          <w:szCs w:val="21"/>
          <w:lang w:eastAsia="zh-CN"/>
        </w:rPr>
        <w:t>其投标无效：</w:t>
      </w:r>
    </w:p>
    <w:p>
      <w:pPr>
        <w:pStyle w:val="24"/>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投标文件内出现无官方证明文件的行业地域排名或</w:t>
      </w:r>
      <w:r>
        <w:rPr>
          <w:rFonts w:ascii="宋体" w:hAnsi="宋体" w:eastAsia="宋体"/>
          <w:color w:val="auto"/>
          <w:sz w:val="21"/>
          <w:szCs w:val="21"/>
        </w:rPr>
        <w:t>使用“国家级”、“最高级”、“最佳”等用语</w:t>
      </w:r>
      <w:r>
        <w:rPr>
          <w:rFonts w:hint="eastAsia" w:ascii="宋体" w:hAnsi="宋体" w:eastAsia="宋体"/>
          <w:color w:val="auto"/>
          <w:sz w:val="21"/>
          <w:szCs w:val="21"/>
        </w:rPr>
        <w:t>字眼的。</w:t>
      </w:r>
    </w:p>
    <w:p>
      <w:pPr>
        <w:pStyle w:val="24"/>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投标文件内出现恶意诋毁、</w:t>
      </w:r>
      <w:r>
        <w:rPr>
          <w:rFonts w:ascii="宋体" w:hAnsi="宋体" w:eastAsia="宋体"/>
          <w:color w:val="auto"/>
          <w:sz w:val="21"/>
          <w:szCs w:val="21"/>
        </w:rPr>
        <w:t>贬低其他生产经营者的商品或者服务</w:t>
      </w:r>
      <w:r>
        <w:rPr>
          <w:rFonts w:hint="eastAsia" w:ascii="宋体" w:hAnsi="宋体" w:eastAsia="宋体"/>
          <w:color w:val="auto"/>
          <w:sz w:val="21"/>
          <w:szCs w:val="21"/>
        </w:rPr>
        <w:t>的内容。</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有下列情形之一的，视为投标人串通投标，其投标无效：</w:t>
      </w:r>
    </w:p>
    <w:bookmarkEnd w:id="64"/>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（一）不同投标人的投标文件由同一单位或者个人编制；</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（二）不同投标人委托同一单位或者个人办理投标事宜；</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（三）不同投标人的投标文件载明的项目管理成员或者联系人员为同一人；</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（四）不同投标人的投标文件异常一致或者投标报价呈规律性差异；</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（五）不同投标人的投标文件相互混装；</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（六）不同投标人的投标保证金从同一单位或者个人的账户转出。</w:t>
      </w:r>
    </w:p>
    <w:p>
      <w:pPr>
        <w:widowControl w:val="0"/>
        <w:adjustRightInd/>
        <w:snapToGrid/>
        <w:spacing w:after="0" w:line="360" w:lineRule="exact"/>
        <w:jc w:val="both"/>
        <w:rPr>
          <w:rFonts w:hint="eastAsia"/>
          <w:color w:val="auto"/>
        </w:rPr>
      </w:pPr>
    </w:p>
    <w:p>
      <w:pPr>
        <w:pStyle w:val="5"/>
        <w:widowControl w:val="0"/>
        <w:overflowPunct w:val="0"/>
        <w:spacing w:before="0" w:after="0" w:line="240" w:lineRule="auto"/>
        <w:rPr>
          <w:rFonts w:ascii="宋体" w:hAnsi="宋体" w:eastAsia="宋体"/>
          <w:color w:val="auto"/>
          <w:sz w:val="21"/>
          <w:szCs w:val="21"/>
        </w:rPr>
      </w:pPr>
      <w:bookmarkStart w:id="65" w:name="_Toc259"/>
      <w:r>
        <w:rPr>
          <w:rFonts w:hint="eastAsia" w:ascii="宋体" w:hAnsi="宋体" w:eastAsia="宋体"/>
          <w:color w:val="auto"/>
          <w:sz w:val="21"/>
          <w:szCs w:val="21"/>
        </w:rPr>
        <w:t>13.投标报价说明</w:t>
      </w:r>
      <w:bookmarkEnd w:id="65"/>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本次招标，投标人应按用户需求中的要求进行投标报价，少报无效。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投标人所提供的货物或服务均以人民币（或相关费率）报价。</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投标报价应包含完成本次招标所有服务内容的费用，包含各种税务费及合同实施过程中的全部费用和售后服务费等。</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中标后开出的所有发票必须与中标人的名称一致。</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66" w:name="_Toc27724"/>
      <w:r>
        <w:rPr>
          <w:rFonts w:hint="eastAsia" w:ascii="宋体" w:hAnsi="宋体" w:eastAsia="宋体"/>
          <w:color w:val="auto"/>
          <w:sz w:val="21"/>
          <w:szCs w:val="21"/>
        </w:rPr>
        <w:t>14.投标人所提供的服务或货物的证明文件</w:t>
      </w:r>
      <w:bookmarkEnd w:id="66"/>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bookmarkStart w:id="67" w:name="_Hlt107925668"/>
      <w:bookmarkEnd w:id="67"/>
      <w:bookmarkStart w:id="68" w:name="_Hlt107925638"/>
      <w:bookmarkEnd w:id="68"/>
      <w:r>
        <w:rPr>
          <w:rFonts w:hint="eastAsia" w:ascii="宋体" w:hAnsi="宋体" w:eastAsia="宋体"/>
          <w:color w:val="auto"/>
          <w:sz w:val="21"/>
          <w:szCs w:val="21"/>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4"/>
        <w:widowControl w:val="0"/>
        <w:adjustRightInd/>
        <w:snapToGrid/>
        <w:spacing w:after="0" w:line="360" w:lineRule="exact"/>
        <w:ind w:left="425" w:firstLine="0" w:firstLineChars="0"/>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69" w:name="_Toc19520"/>
      <w:r>
        <w:rPr>
          <w:rFonts w:hint="eastAsia" w:ascii="宋体" w:hAnsi="宋体" w:eastAsia="宋体"/>
          <w:color w:val="auto"/>
          <w:sz w:val="21"/>
          <w:szCs w:val="21"/>
        </w:rPr>
        <w:t>15.★投标有效期</w:t>
      </w:r>
      <w:bookmarkEnd w:id="69"/>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投标文件应根据投标人须知的规定在投标截止日后的90天内保持有效。</w:t>
      </w:r>
    </w:p>
    <w:p>
      <w:pPr>
        <w:widowControl w:val="0"/>
        <w:adjustRightInd/>
        <w:snapToGrid/>
        <w:spacing w:after="0" w:line="360" w:lineRule="exact"/>
        <w:ind w:left="567"/>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70" w:name="_Toc12456"/>
      <w:r>
        <w:rPr>
          <w:rFonts w:hint="eastAsia" w:ascii="宋体" w:hAnsi="宋体" w:eastAsia="宋体"/>
          <w:color w:val="auto"/>
          <w:sz w:val="21"/>
          <w:szCs w:val="21"/>
        </w:rPr>
        <w:t>16.★投标保证金</w:t>
      </w:r>
      <w:bookmarkEnd w:id="70"/>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bookmarkStart w:id="71" w:name="_Ref179619405"/>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投标人应按投标资料表中规定数额及法律规定的时间按相应包号保证金金额要求一次性提交投标保证金，以多次汇入达到招标文件要求金额的投标保证金无效。</w:t>
      </w:r>
      <w:bookmarkEnd w:id="71"/>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投标保证金金额与招标文件要求金额保持一致（详见投标资料表）。</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投标保证金有效期与投标有效期保持一致。</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投标人应一次性缴交招标文件规定数额的投标保证金，投标人与交款人名称必须一致，非投标人缴纳的投标保证金无效。</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采用银行转账、电汇方式提交的,付至采购代理机构指定账户上。 (详见投标人资料表)</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采用《政府采购投标担保函》提交的，应符合下列规定：</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①投标担保函有效期应与投标有效期一致；</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②投标担保金额应与本项目的投标保证金一致；</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保证金不接受现金方式（包括以存现方式）提交，未按要求提交投标保证金的将导致废标。</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未中标的投标人的保证金在采购结果公示发出后5个工作日内退还，中标投标人的保证金在采购合同签订后5个工作日内退还。</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为方便退还未中标的投保人的保证金，投标人应制作《投标保证金汇入情况说明》随开标文件一并递交。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有下列情形之一的，投标保证金将不予退还：</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（2）投标人在响应文件中提供虚假材料的；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（5）招标文件规定的其他情形。</w:t>
      </w:r>
      <w:r>
        <w:rPr>
          <w:rFonts w:ascii="宋体" w:hAnsi="宋体" w:eastAsia="宋体"/>
          <w:color w:val="auto"/>
          <w:sz w:val="21"/>
          <w:szCs w:val="21"/>
        </w:rPr>
        <w:t xml:space="preserve"> </w:t>
      </w:r>
    </w:p>
    <w:p>
      <w:pPr>
        <w:rPr>
          <w:color w:val="auto"/>
        </w:rPr>
      </w:pPr>
    </w:p>
    <w:p>
      <w:pPr>
        <w:pStyle w:val="4"/>
        <w:numPr>
          <w:ilvl w:val="0"/>
          <w:numId w:val="1"/>
        </w:numPr>
        <w:spacing w:before="0" w:after="0" w:line="480" w:lineRule="auto"/>
        <w:jc w:val="center"/>
        <w:rPr>
          <w:rFonts w:ascii="宋体" w:hAnsi="宋体" w:eastAsia="宋体"/>
          <w:color w:val="auto"/>
        </w:rPr>
      </w:pPr>
      <w:bookmarkStart w:id="72" w:name="_Toc31124"/>
      <w:r>
        <w:rPr>
          <w:rFonts w:hint="eastAsia" w:ascii="宋体" w:hAnsi="宋体" w:eastAsia="宋体"/>
          <w:color w:val="auto"/>
        </w:rPr>
        <w:t>投标文件的递交</w:t>
      </w:r>
      <w:bookmarkEnd w:id="72"/>
    </w:p>
    <w:p>
      <w:pPr>
        <w:pStyle w:val="5"/>
        <w:widowControl w:val="0"/>
        <w:overflowPunct w:val="0"/>
        <w:spacing w:before="0" w:after="0" w:line="240" w:lineRule="auto"/>
        <w:rPr>
          <w:rFonts w:ascii="宋体" w:hAnsi="宋体" w:eastAsia="宋体"/>
          <w:color w:val="auto"/>
          <w:sz w:val="21"/>
          <w:szCs w:val="21"/>
        </w:rPr>
      </w:pPr>
      <w:bookmarkStart w:id="73" w:name="_Toc29590"/>
      <w:bookmarkStart w:id="74" w:name="_Toc382049111"/>
      <w:bookmarkStart w:id="75" w:name="_Toc24997"/>
      <w:bookmarkStart w:id="76" w:name="_Toc303084264"/>
      <w:r>
        <w:rPr>
          <w:rFonts w:hint="eastAsia" w:ascii="宋体" w:hAnsi="宋体" w:eastAsia="宋体"/>
          <w:color w:val="auto"/>
          <w:sz w:val="21"/>
          <w:szCs w:val="21"/>
        </w:rPr>
        <w:t>17.</w:t>
      </w:r>
      <w:r>
        <w:rPr>
          <w:rFonts w:ascii="宋体" w:hAnsi="宋体" w:eastAsia="宋体"/>
          <w:color w:val="auto"/>
          <w:sz w:val="21"/>
          <w:szCs w:val="21"/>
        </w:rPr>
        <w:t>投标文件的</w:t>
      </w:r>
      <w:r>
        <w:rPr>
          <w:rFonts w:hint="eastAsia" w:ascii="宋体" w:hAnsi="宋体" w:eastAsia="宋体"/>
          <w:color w:val="auto"/>
          <w:sz w:val="21"/>
          <w:szCs w:val="21"/>
        </w:rPr>
        <w:t>装订，签署，</w:t>
      </w:r>
      <w:r>
        <w:rPr>
          <w:rFonts w:ascii="宋体" w:hAnsi="宋体" w:eastAsia="宋体"/>
          <w:color w:val="auto"/>
          <w:sz w:val="21"/>
          <w:szCs w:val="21"/>
        </w:rPr>
        <w:t>密封和标记</w:t>
      </w:r>
      <w:bookmarkEnd w:id="73"/>
      <w:bookmarkEnd w:id="74"/>
      <w:bookmarkEnd w:id="75"/>
      <w:bookmarkEnd w:id="76"/>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为方便评标委员会对投标文件进行评审</w:t>
      </w:r>
      <w:r>
        <w:rPr>
          <w:rFonts w:ascii="宋体" w:hAnsi="宋体" w:eastAsia="宋体"/>
          <w:color w:val="auto"/>
          <w:sz w:val="21"/>
          <w:szCs w:val="21"/>
        </w:rPr>
        <w:t>，</w:t>
      </w:r>
      <w:r>
        <w:rPr>
          <w:rFonts w:hint="eastAsia" w:ascii="宋体" w:hAnsi="宋体" w:eastAsia="宋体"/>
          <w:color w:val="auto"/>
          <w:sz w:val="21"/>
          <w:szCs w:val="21"/>
          <w:lang w:eastAsia="zh-CN"/>
        </w:rPr>
        <w:t>建议投标人对投标文件进行装订，</w:t>
      </w:r>
      <w:r>
        <w:rPr>
          <w:rFonts w:ascii="宋体" w:hAnsi="宋体" w:eastAsia="宋体"/>
          <w:color w:val="auto"/>
          <w:sz w:val="21"/>
          <w:szCs w:val="21"/>
        </w:rPr>
        <w:t>对未经装订的投标文件可能发生的文件缺</w:t>
      </w:r>
      <w:r>
        <w:rPr>
          <w:rFonts w:hint="eastAsia" w:ascii="宋体" w:hAnsi="宋体" w:eastAsia="宋体"/>
          <w:color w:val="auto"/>
          <w:sz w:val="21"/>
          <w:szCs w:val="21"/>
        </w:rPr>
        <w:t>损</w:t>
      </w:r>
      <w:r>
        <w:rPr>
          <w:rFonts w:ascii="宋体" w:hAnsi="宋体" w:eastAsia="宋体"/>
          <w:color w:val="auto"/>
          <w:sz w:val="21"/>
          <w:szCs w:val="21"/>
        </w:rPr>
        <w:t>，由此产生的后果由投标人承担。</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投标文件</w:t>
      </w:r>
      <w:r>
        <w:rPr>
          <w:rFonts w:hint="eastAsia" w:ascii="宋体" w:hAnsi="宋体" w:eastAsia="宋体"/>
          <w:color w:val="auto"/>
          <w:sz w:val="21"/>
          <w:szCs w:val="21"/>
        </w:rPr>
        <w:t>正本均须用不褪色墨水书写或打印。投标文件的副本可采用投标文件的正本复印件，每套</w:t>
      </w:r>
      <w:r>
        <w:rPr>
          <w:rFonts w:ascii="宋体" w:hAnsi="宋体" w:eastAsia="宋体"/>
          <w:color w:val="auto"/>
          <w:sz w:val="21"/>
          <w:szCs w:val="21"/>
        </w:rPr>
        <w:t>投标文件</w:t>
      </w:r>
      <w:r>
        <w:rPr>
          <w:rFonts w:hint="eastAsia" w:ascii="宋体" w:hAnsi="宋体" w:eastAsia="宋体"/>
          <w:color w:val="auto"/>
          <w:sz w:val="21"/>
          <w:szCs w:val="21"/>
        </w:rPr>
        <w:t>应当标</w:t>
      </w:r>
      <w:r>
        <w:rPr>
          <w:rFonts w:ascii="宋体" w:hAnsi="宋体" w:eastAsia="宋体"/>
          <w:color w:val="auto"/>
          <w:sz w:val="21"/>
          <w:szCs w:val="21"/>
        </w:rPr>
        <w:t>明“正本”</w:t>
      </w:r>
      <w:r>
        <w:rPr>
          <w:rFonts w:hint="eastAsia" w:ascii="宋体" w:hAnsi="宋体" w:eastAsia="宋体"/>
          <w:color w:val="auto"/>
          <w:sz w:val="21"/>
          <w:szCs w:val="21"/>
        </w:rPr>
        <w:t>、</w:t>
      </w:r>
      <w:r>
        <w:rPr>
          <w:rFonts w:ascii="宋体" w:hAnsi="宋体" w:eastAsia="宋体"/>
          <w:color w:val="auto"/>
          <w:sz w:val="21"/>
          <w:szCs w:val="21"/>
        </w:rPr>
        <w:t>“副本”</w:t>
      </w:r>
      <w:r>
        <w:rPr>
          <w:rFonts w:hint="eastAsia" w:ascii="宋体" w:hAnsi="宋体" w:eastAsia="宋体"/>
          <w:color w:val="auto"/>
          <w:sz w:val="21"/>
          <w:szCs w:val="21"/>
        </w:rPr>
        <w:t>的字样</w:t>
      </w:r>
      <w:r>
        <w:rPr>
          <w:rFonts w:ascii="宋体" w:hAnsi="宋体" w:eastAsia="宋体"/>
          <w:color w:val="auto"/>
          <w:sz w:val="21"/>
          <w:szCs w:val="21"/>
        </w:rPr>
        <w:t>。</w:t>
      </w:r>
      <w:r>
        <w:rPr>
          <w:rFonts w:hint="eastAsia" w:ascii="宋体" w:hAnsi="宋体" w:eastAsia="宋体"/>
          <w:color w:val="auto"/>
          <w:sz w:val="21"/>
          <w:szCs w:val="21"/>
        </w:rPr>
        <w:t>投标文件的【正本】及所有【副本】的封面及骑缝均须加盖投标人公章（文件每页盖章等同于盖骑缝章）。若</w:t>
      </w:r>
      <w:r>
        <w:rPr>
          <w:rFonts w:ascii="宋体" w:hAnsi="宋体" w:eastAsia="宋体"/>
          <w:color w:val="auto"/>
          <w:sz w:val="21"/>
          <w:szCs w:val="21"/>
        </w:rPr>
        <w:t>正本</w:t>
      </w:r>
      <w:r>
        <w:rPr>
          <w:rFonts w:hint="eastAsia" w:ascii="宋体" w:hAnsi="宋体" w:eastAsia="宋体"/>
          <w:color w:val="auto"/>
          <w:sz w:val="21"/>
          <w:szCs w:val="21"/>
        </w:rPr>
        <w:t>与</w:t>
      </w:r>
      <w:r>
        <w:rPr>
          <w:rFonts w:ascii="宋体" w:hAnsi="宋体" w:eastAsia="宋体"/>
          <w:color w:val="auto"/>
          <w:sz w:val="21"/>
          <w:szCs w:val="21"/>
        </w:rPr>
        <w:t>副本</w:t>
      </w:r>
      <w:r>
        <w:rPr>
          <w:rFonts w:hint="eastAsia" w:ascii="宋体" w:hAnsi="宋体" w:eastAsia="宋体"/>
          <w:color w:val="auto"/>
          <w:sz w:val="21"/>
          <w:szCs w:val="21"/>
        </w:rPr>
        <w:t>不符，以</w:t>
      </w:r>
      <w:r>
        <w:rPr>
          <w:rFonts w:ascii="宋体" w:hAnsi="宋体" w:eastAsia="宋体"/>
          <w:color w:val="auto"/>
          <w:sz w:val="21"/>
          <w:szCs w:val="21"/>
        </w:rPr>
        <w:t>正本为准。</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联合体投标文件的【正本】及【副本】的封面及骑缝均须加盖所有联合体组成成员的公章。（文件每页盖章等同于盖骑缝章）</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建议</w:t>
      </w:r>
      <w:r>
        <w:rPr>
          <w:rFonts w:hint="eastAsia" w:ascii="宋体" w:hAnsi="宋体" w:eastAsia="宋体"/>
          <w:color w:val="auto"/>
          <w:sz w:val="21"/>
          <w:szCs w:val="21"/>
        </w:rPr>
        <w:t>投标人将投标文件正本和所有的副本分开密封装在单独的信封中，且在信封上标明“正本”“副本”字样。然后再将所有信封封装在一个外层信封中。电子文件与正本密封包装，随正本提交。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电子文件内容包括：由投标人自行制作的与正本文件一致的所有文件。电子文件</w:t>
      </w:r>
      <w:r>
        <w:rPr>
          <w:rFonts w:hint="eastAsia" w:ascii="宋体" w:hAnsi="宋体" w:eastAsia="宋体"/>
          <w:color w:val="auto"/>
          <w:sz w:val="21"/>
          <w:szCs w:val="21"/>
        </w:rPr>
        <w:t>由</w:t>
      </w:r>
      <w:r>
        <w:rPr>
          <w:rFonts w:ascii="宋体" w:hAnsi="宋体" w:eastAsia="宋体"/>
          <w:color w:val="auto"/>
          <w:sz w:val="21"/>
          <w:szCs w:val="21"/>
        </w:rPr>
        <w:t>光盘</w:t>
      </w:r>
      <w:r>
        <w:rPr>
          <w:rFonts w:hint="eastAsia" w:ascii="宋体" w:hAnsi="宋体" w:eastAsia="宋体"/>
          <w:color w:val="auto"/>
          <w:sz w:val="21"/>
          <w:szCs w:val="21"/>
        </w:rPr>
        <w:t>或U盘</w:t>
      </w:r>
      <w:r>
        <w:rPr>
          <w:rFonts w:ascii="宋体" w:hAnsi="宋体" w:eastAsia="宋体"/>
          <w:color w:val="auto"/>
          <w:sz w:val="21"/>
          <w:szCs w:val="21"/>
        </w:rPr>
        <w:t>储存</w:t>
      </w:r>
      <w:r>
        <w:rPr>
          <w:rFonts w:hint="eastAsia" w:ascii="宋体" w:hAnsi="宋体" w:eastAsia="宋体"/>
          <w:color w:val="auto"/>
          <w:sz w:val="21"/>
          <w:szCs w:val="21"/>
        </w:rPr>
        <w:t>，并注明投标人名称及项目名称、采购项目编号，随投标文件一同密封提交。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除投标人对错误处修改外，全套投标文件应无涂改或行间插字和增删。如有修改，修改处</w:t>
      </w:r>
      <w:r>
        <w:rPr>
          <w:rFonts w:hint="eastAsia" w:ascii="宋体" w:hAnsi="宋体" w:eastAsia="宋体"/>
          <w:color w:val="auto"/>
          <w:sz w:val="21"/>
          <w:szCs w:val="21"/>
        </w:rPr>
        <w:t>须由法定代表人或其正式授权代表在旁边签字及盖章</w:t>
      </w:r>
      <w:r>
        <w:rPr>
          <w:rFonts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 xml:space="preserve">所有的信封均应注明： </w:t>
      </w:r>
    </w:p>
    <w:p>
      <w:pPr>
        <w:widowControl w:val="0"/>
        <w:numPr>
          <w:ilvl w:val="0"/>
          <w:numId w:val="3"/>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收件人：三方诚信招标有限公司东莞分公司</w:t>
      </w:r>
    </w:p>
    <w:p>
      <w:pPr>
        <w:widowControl w:val="0"/>
        <w:numPr>
          <w:ilvl w:val="0"/>
          <w:numId w:val="3"/>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投标单位名称：</w:t>
      </w:r>
    </w:p>
    <w:p>
      <w:pPr>
        <w:widowControl w:val="0"/>
        <w:numPr>
          <w:ilvl w:val="0"/>
          <w:numId w:val="3"/>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项目名称：</w:t>
      </w:r>
    </w:p>
    <w:p>
      <w:pPr>
        <w:widowControl w:val="0"/>
        <w:numPr>
          <w:ilvl w:val="0"/>
          <w:numId w:val="3"/>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采购项目编号：</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采购代理机构将拒绝接收出现以下情况的投标文件：</w:t>
      </w:r>
    </w:p>
    <w:p>
      <w:pPr>
        <w:widowControl w:val="0"/>
        <w:numPr>
          <w:ilvl w:val="0"/>
          <w:numId w:val="4"/>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采用透明包装进行密封或未进行密封的投标文件；</w:t>
      </w:r>
    </w:p>
    <w:p>
      <w:pPr>
        <w:widowControl w:val="0"/>
        <w:numPr>
          <w:ilvl w:val="0"/>
          <w:numId w:val="4"/>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密封破损导致投标文件内容直接或间接泄露的投标文件；</w:t>
      </w:r>
    </w:p>
    <w:p>
      <w:pPr>
        <w:widowControl w:val="0"/>
        <w:numPr>
          <w:ilvl w:val="0"/>
          <w:numId w:val="4"/>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密封信封上项目编号错误的投标文件；</w:t>
      </w:r>
    </w:p>
    <w:p>
      <w:pPr>
        <w:widowControl w:val="0"/>
        <w:numPr>
          <w:ilvl w:val="0"/>
          <w:numId w:val="4"/>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项目名称出现严重歧义或未标注所投项目信息导致无法分辨所投项目为本项目的投标文件；</w:t>
      </w:r>
    </w:p>
    <w:p>
      <w:pPr>
        <w:widowControl w:val="0"/>
        <w:numPr>
          <w:ilvl w:val="0"/>
          <w:numId w:val="4"/>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采用传真、电传的投标文件；</w:t>
      </w:r>
    </w:p>
    <w:p>
      <w:pPr>
        <w:widowControl w:val="0"/>
        <w:numPr>
          <w:ilvl w:val="0"/>
          <w:numId w:val="4"/>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招标文件规定的其他情形。</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采购代理机构对所有投标文件的误投或提前启封概不负责。</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投标人同时参加几个包投标时必须按招标文件要求按包号分别制作投标文件，分别密封递交。</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递交的投标文件中所提供的通讯方式应保持联络畅通，因联系不上而导致的所有后果由投标人自行承担。</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7" w:name="_Toc8628"/>
      <w:r>
        <w:rPr>
          <w:rFonts w:hint="eastAsia" w:ascii="宋体" w:hAnsi="宋体" w:eastAsia="宋体"/>
          <w:color w:val="auto"/>
          <w:sz w:val="21"/>
          <w:szCs w:val="21"/>
        </w:rPr>
        <w:t>18.迟交的投标文件</w:t>
      </w:r>
      <w:bookmarkEnd w:id="7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投标人在投标截止时间之后提交的投标文件，采购代理机构将拒绝接收</w:t>
      </w:r>
      <w:r>
        <w:rPr>
          <w:rFonts w:ascii="宋体" w:hAnsi="宋体" w:eastAsia="宋体"/>
          <w:color w:val="auto"/>
          <w:sz w:val="21"/>
          <w:szCs w:val="21"/>
        </w:rPr>
        <w:t>。</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有违反其他法律规定情形的，采购代理机构将拒绝接收。</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8" w:name="_Toc13212"/>
      <w:r>
        <w:rPr>
          <w:rFonts w:hint="eastAsia" w:ascii="宋体" w:hAnsi="宋体" w:eastAsia="宋体"/>
          <w:color w:val="auto"/>
          <w:sz w:val="21"/>
          <w:szCs w:val="21"/>
        </w:rPr>
        <w:t>19.投标样品（如需提交）</w:t>
      </w:r>
      <w:bookmarkEnd w:id="78"/>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如有必要，采购代理机构可以要求投标人提供本服务项目涉及的部分设备或产品样品，投标人在投标时应提交《样品清单》。</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为方便评标，投标人在提供样品时，应在所提供的样品表面显著位置标注投标人的名称、包号、样品名称、招标文件规定的服务或货物编号。</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79" w:name="_Toc382049112"/>
      <w:bookmarkStart w:id="80" w:name="_Toc303084265"/>
      <w:bookmarkStart w:id="81" w:name="_Toc9777"/>
      <w:bookmarkStart w:id="82" w:name="_Toc5900"/>
      <w:r>
        <w:rPr>
          <w:rFonts w:hint="eastAsia" w:ascii="宋体" w:hAnsi="宋体" w:eastAsia="宋体"/>
          <w:color w:val="auto"/>
          <w:sz w:val="21"/>
          <w:szCs w:val="21"/>
        </w:rPr>
        <w:t>20.投标截止期</w:t>
      </w:r>
      <w:bookmarkEnd w:id="79"/>
      <w:bookmarkEnd w:id="80"/>
      <w:bookmarkEnd w:id="81"/>
      <w:bookmarkEnd w:id="82"/>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投标人应在招标文件规定的截止日期和时间内，将投标文件送达到指定地点。</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w:t>
      </w:r>
      <w:r>
        <w:rPr>
          <w:rFonts w:ascii="宋体" w:hAnsi="宋体" w:eastAsia="宋体"/>
          <w:color w:val="auto"/>
          <w:sz w:val="21"/>
          <w:szCs w:val="21"/>
        </w:rPr>
        <w:t>可按本须知规定以</w:t>
      </w:r>
      <w:r>
        <w:rPr>
          <w:rFonts w:hint="eastAsia" w:ascii="宋体" w:hAnsi="宋体" w:eastAsia="宋体"/>
          <w:color w:val="auto"/>
          <w:sz w:val="21"/>
          <w:szCs w:val="21"/>
        </w:rPr>
        <w:t>澄清或</w:t>
      </w:r>
      <w:r>
        <w:rPr>
          <w:rFonts w:ascii="宋体" w:hAnsi="宋体" w:eastAsia="宋体"/>
          <w:color w:val="auto"/>
          <w:sz w:val="21"/>
          <w:szCs w:val="21"/>
        </w:rPr>
        <w:t>修改通知的方式，酌情延长</w:t>
      </w:r>
      <w:r>
        <w:rPr>
          <w:rFonts w:hint="eastAsia" w:ascii="宋体" w:hAnsi="宋体" w:eastAsia="宋体"/>
          <w:color w:val="auto"/>
          <w:sz w:val="21"/>
          <w:szCs w:val="21"/>
        </w:rPr>
        <w:t>递</w:t>
      </w:r>
      <w:r>
        <w:rPr>
          <w:rFonts w:ascii="宋体" w:hAnsi="宋体" w:eastAsia="宋体"/>
          <w:color w:val="auto"/>
          <w:sz w:val="21"/>
          <w:szCs w:val="21"/>
        </w:rPr>
        <w:t>交投标文件的截止时间。在此情况下，投标人的所有权利和义务以及投标人受制约的截止时间，均以延长后新的投标截止时间为准。</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83" w:name="_Toc6003"/>
      <w:r>
        <w:rPr>
          <w:rFonts w:hint="eastAsia" w:ascii="宋体" w:hAnsi="宋体" w:eastAsia="宋体"/>
          <w:color w:val="auto"/>
          <w:sz w:val="21"/>
          <w:szCs w:val="21"/>
        </w:rPr>
        <w:t>21.投标文件的补充、修改与撤回</w:t>
      </w:r>
      <w:bookmarkEnd w:id="83"/>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投标文件一经递交不予退还。</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在提交投标文件截止时间至投标有效期满之前，投标人不得撤回其投标，否则其投标保证金将不予退还。</w:t>
      </w:r>
    </w:p>
    <w:p>
      <w:pPr>
        <w:pStyle w:val="2"/>
        <w:rPr>
          <w:color w:val="auto"/>
        </w:rPr>
      </w:pPr>
    </w:p>
    <w:p>
      <w:pPr>
        <w:pStyle w:val="4"/>
        <w:numPr>
          <w:ilvl w:val="0"/>
          <w:numId w:val="1"/>
        </w:numPr>
        <w:spacing w:before="0" w:after="0" w:line="480" w:lineRule="auto"/>
        <w:jc w:val="center"/>
        <w:rPr>
          <w:rFonts w:ascii="宋体" w:hAnsi="宋体" w:eastAsia="宋体"/>
          <w:color w:val="auto"/>
        </w:rPr>
      </w:pPr>
      <w:bookmarkStart w:id="84" w:name="_Toc29574"/>
      <w:r>
        <w:rPr>
          <w:rFonts w:hint="eastAsia" w:ascii="宋体" w:hAnsi="宋体" w:eastAsia="宋体"/>
          <w:color w:val="auto"/>
        </w:rPr>
        <w:t>开标与评标</w:t>
      </w:r>
      <w:bookmarkEnd w:id="84"/>
    </w:p>
    <w:p>
      <w:pPr>
        <w:pStyle w:val="5"/>
        <w:widowControl w:val="0"/>
        <w:overflowPunct w:val="0"/>
        <w:spacing w:before="0" w:after="0" w:line="240" w:lineRule="auto"/>
        <w:rPr>
          <w:rFonts w:ascii="宋体" w:hAnsi="宋体" w:eastAsia="宋体"/>
          <w:color w:val="auto"/>
          <w:sz w:val="21"/>
          <w:szCs w:val="21"/>
        </w:rPr>
      </w:pPr>
      <w:bookmarkStart w:id="85" w:name="_Toc28458"/>
      <w:r>
        <w:rPr>
          <w:rFonts w:hint="eastAsia" w:ascii="宋体" w:hAnsi="宋体" w:eastAsia="宋体"/>
          <w:color w:val="auto"/>
          <w:sz w:val="21"/>
          <w:szCs w:val="21"/>
        </w:rPr>
        <w:t>22.开标</w:t>
      </w:r>
      <w:bookmarkEnd w:id="85"/>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采购代理机构按</w:t>
      </w:r>
      <w:r>
        <w:rPr>
          <w:rFonts w:ascii="宋体" w:hAnsi="宋体" w:eastAsia="宋体"/>
          <w:color w:val="auto"/>
          <w:sz w:val="21"/>
          <w:szCs w:val="21"/>
        </w:rPr>
        <w:t>本</w:t>
      </w:r>
      <w:r>
        <w:rPr>
          <w:rFonts w:hint="eastAsia" w:ascii="宋体" w:hAnsi="宋体" w:eastAsia="宋体"/>
          <w:color w:val="auto"/>
          <w:sz w:val="21"/>
          <w:szCs w:val="21"/>
        </w:rPr>
        <w:t>招标文件</w:t>
      </w:r>
      <w:r>
        <w:rPr>
          <w:rFonts w:ascii="宋体" w:hAnsi="宋体" w:eastAsia="宋体"/>
          <w:color w:val="auto"/>
          <w:sz w:val="21"/>
          <w:szCs w:val="21"/>
        </w:rPr>
        <w:t>所规定的时间和地点公开开标，并邀请所有投标人</w:t>
      </w:r>
      <w:r>
        <w:rPr>
          <w:rFonts w:hint="eastAsia" w:ascii="宋体" w:hAnsi="宋体" w:eastAsia="宋体"/>
          <w:color w:val="auto"/>
          <w:sz w:val="21"/>
          <w:szCs w:val="21"/>
        </w:rPr>
        <w:t>代表</w:t>
      </w:r>
      <w:r>
        <w:rPr>
          <w:rFonts w:ascii="宋体" w:hAnsi="宋体" w:eastAsia="宋体"/>
          <w:color w:val="auto"/>
          <w:sz w:val="21"/>
          <w:szCs w:val="21"/>
        </w:rPr>
        <w:t>参加。</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开标程序：</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w:t>
      </w:r>
      <w:r>
        <w:rPr>
          <w:rFonts w:hint="eastAsia" w:ascii="宋体" w:hAnsi="宋体" w:eastAsia="宋体"/>
          <w:color w:val="auto"/>
          <w:sz w:val="21"/>
          <w:szCs w:val="21"/>
        </w:rPr>
        <w:t>会</w:t>
      </w:r>
      <w:r>
        <w:rPr>
          <w:rFonts w:ascii="宋体" w:hAnsi="宋体" w:eastAsia="宋体"/>
          <w:color w:val="auto"/>
          <w:sz w:val="21"/>
          <w:szCs w:val="21"/>
        </w:rPr>
        <w:t>由</w:t>
      </w:r>
      <w:r>
        <w:rPr>
          <w:rFonts w:hint="eastAsia" w:ascii="宋体" w:hAnsi="宋体" w:eastAsia="宋体"/>
          <w:color w:val="auto"/>
          <w:sz w:val="21"/>
          <w:szCs w:val="21"/>
        </w:rPr>
        <w:t>采购代理机构</w:t>
      </w:r>
      <w:r>
        <w:rPr>
          <w:rFonts w:ascii="宋体" w:hAnsi="宋体" w:eastAsia="宋体"/>
          <w:color w:val="auto"/>
          <w:sz w:val="21"/>
          <w:szCs w:val="21"/>
        </w:rPr>
        <w:t>主持</w:t>
      </w:r>
      <w:r>
        <w:rPr>
          <w:rFonts w:hint="eastAsia" w:ascii="宋体" w:hAnsi="宋体" w:eastAsia="宋体"/>
          <w:color w:val="auto"/>
          <w:sz w:val="21"/>
          <w:szCs w:val="21"/>
        </w:rPr>
        <w:t>，投标人的法定代表人或其授权代表携带有效身份证明准时参加开标会并签名报到。</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投标人未参加开标的，视同认可开标结果。</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合格投标人不足3家的，不得开标；</w:t>
      </w:r>
    </w:p>
    <w:p>
      <w:pPr>
        <w:widowControl w:val="0"/>
        <w:numPr>
          <w:ilvl w:val="1"/>
          <w:numId w:val="2"/>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rPr>
      </w:pPr>
    </w:p>
    <w:p>
      <w:pPr>
        <w:pStyle w:val="5"/>
        <w:widowControl w:val="0"/>
        <w:overflowPunct w:val="0"/>
        <w:spacing w:before="0" w:after="0" w:line="240" w:lineRule="auto"/>
        <w:rPr>
          <w:rFonts w:ascii="宋体" w:hAnsi="宋体" w:eastAsia="宋体"/>
          <w:color w:val="auto"/>
          <w:sz w:val="21"/>
          <w:szCs w:val="21"/>
        </w:rPr>
      </w:pPr>
      <w:bookmarkStart w:id="86" w:name="_Toc5524"/>
      <w:r>
        <w:rPr>
          <w:rFonts w:hint="eastAsia" w:ascii="宋体" w:hAnsi="宋体" w:eastAsia="宋体"/>
          <w:color w:val="auto"/>
          <w:sz w:val="21"/>
          <w:szCs w:val="21"/>
        </w:rPr>
        <w:t>23.评标委员会及评标方法</w:t>
      </w:r>
      <w:bookmarkEnd w:id="86"/>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评标委员会根据招标项目的特点进行组建，并负责评标工作。</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评审方法：本次招标的评审方法采用综合评分法。</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定标原则：在最大限度</w:t>
      </w:r>
      <w:r>
        <w:rPr>
          <w:rFonts w:ascii="宋体" w:hAnsi="宋体" w:eastAsia="宋体"/>
          <w:color w:val="auto"/>
          <w:sz w:val="21"/>
          <w:szCs w:val="21"/>
        </w:rPr>
        <w:t>满足招标文件</w:t>
      </w:r>
      <w:r>
        <w:rPr>
          <w:rFonts w:hint="eastAsia" w:ascii="宋体" w:hAnsi="宋体" w:eastAsia="宋体"/>
          <w:color w:val="auto"/>
          <w:sz w:val="21"/>
          <w:szCs w:val="21"/>
        </w:rPr>
        <w:t>实质性要求前提下，按照招标文件规定的各项评价因素进行量化打分，以评标总得分最高的投标人作为中标候选人或中标人。</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2"/>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87" w:name="_Toc15231"/>
      <w:r>
        <w:rPr>
          <w:rFonts w:hint="eastAsia" w:ascii="宋体" w:hAnsi="宋体" w:eastAsia="宋体"/>
          <w:color w:val="auto"/>
          <w:sz w:val="21"/>
          <w:szCs w:val="21"/>
        </w:rPr>
        <w:t>24.评审原则及评标过程的保密</w:t>
      </w:r>
      <w:bookmarkEnd w:id="87"/>
    </w:p>
    <w:p>
      <w:pPr>
        <w:pStyle w:val="24"/>
        <w:widowControl w:val="0"/>
        <w:numPr>
          <w:ilvl w:val="0"/>
          <w:numId w:val="2"/>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评审的基本原则：评标委员会将依据《中华人民共和国政府采购法》及国家和地方政府有关法规的规定，遵循“</w:t>
      </w:r>
      <w:r>
        <w:rPr>
          <w:rFonts w:hint="eastAsia" w:ascii="宋体" w:hAnsi="宋体" w:eastAsia="宋体"/>
          <w:color w:val="auto"/>
          <w:sz w:val="21"/>
          <w:szCs w:val="21"/>
          <w:lang w:eastAsia="zh-CN"/>
        </w:rPr>
        <w:t>客观、公正、审慎</w:t>
      </w:r>
      <w:r>
        <w:rPr>
          <w:rFonts w:hint="eastAsia" w:ascii="宋体" w:hAnsi="宋体" w:eastAsia="宋体"/>
          <w:color w:val="auto"/>
          <w:sz w:val="21"/>
          <w:szCs w:val="21"/>
        </w:rPr>
        <w:t>”的原则进行评审工作。</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从公开开标到签订合同，凡与审查、澄清、评审和投标有关的资料以及定标意见相关的事项，均不得向投标人及与评标无关的其他人透露。</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任何单位和个人不得非法干预、影响评标的过程和结果。</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88" w:name="_Toc3762"/>
      <w:r>
        <w:rPr>
          <w:rFonts w:hint="eastAsia" w:ascii="宋体" w:hAnsi="宋体" w:eastAsia="宋体"/>
          <w:color w:val="auto"/>
          <w:sz w:val="21"/>
          <w:szCs w:val="21"/>
        </w:rPr>
        <w:t>25.投标文件的初审</w:t>
      </w:r>
      <w:bookmarkEnd w:id="88"/>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color w:val="auto"/>
          <w:sz w:val="21"/>
          <w:szCs w:val="21"/>
        </w:rPr>
        <w:t>开标结束后，采购人或者采购代理机构将依法对投标人的资格进行审查。资格审查时，投标人存在不符合资格性检查所要求事项情况的，投标无效。未通过资格审查的投标人不进入</w:t>
      </w:r>
      <w:r>
        <w:rPr>
          <w:rFonts w:hint="eastAsia" w:ascii="宋体" w:hAnsi="宋体" w:eastAsia="宋体"/>
          <w:color w:val="auto"/>
          <w:sz w:val="21"/>
          <w:szCs w:val="21"/>
          <w:lang w:eastAsia="zh-CN"/>
        </w:rPr>
        <w:t>符合性审查</w:t>
      </w:r>
      <w:r>
        <w:rPr>
          <w:rFonts w:hint="eastAsia" w:ascii="宋体" w:hAnsi="宋体" w:eastAsia="宋体"/>
          <w:color w:val="auto"/>
          <w:sz w:val="21"/>
          <w:szCs w:val="21"/>
        </w:rPr>
        <w:t>的评审</w:t>
      </w:r>
      <w:r>
        <w:rPr>
          <w:rFonts w:hint="eastAsia" w:ascii="宋体" w:hAnsi="宋体" w:eastAsia="宋体"/>
          <w:color w:val="auto"/>
          <w:sz w:val="21"/>
          <w:szCs w:val="21"/>
          <w:lang w:eastAsia="zh-CN"/>
        </w:rPr>
        <w:t>，</w:t>
      </w:r>
      <w:r>
        <w:rPr>
          <w:rFonts w:hint="eastAsia" w:ascii="宋体" w:hAnsi="宋体" w:eastAsia="宋体"/>
          <w:b/>
          <w:color w:val="auto"/>
          <w:sz w:val="21"/>
          <w:szCs w:val="21"/>
        </w:rPr>
        <w:t>资格性检查</w:t>
      </w:r>
      <w:r>
        <w:rPr>
          <w:rFonts w:hint="eastAsia" w:ascii="宋体" w:hAnsi="宋体" w:eastAsia="宋体"/>
          <w:b/>
          <w:color w:val="auto"/>
          <w:sz w:val="21"/>
          <w:szCs w:val="21"/>
          <w:lang w:eastAsia="zh-CN"/>
        </w:rPr>
        <w:t>中发现下列情形之一的，其投标作废标处理：</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1) 资格瑕疵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包括但不限于：①资格证明文件未提供或不符合招标文件要求的；</w:t>
      </w:r>
      <w:r>
        <w:rPr>
          <w:rFonts w:ascii="宋体" w:hAnsi="宋体" w:eastAsia="宋体"/>
          <w:color w:val="auto"/>
          <w:sz w:val="21"/>
          <w:szCs w:val="21"/>
        </w:rPr>
        <w:t xml:space="preserve"> </w:t>
      </w:r>
      <w:r>
        <w:rPr>
          <w:rFonts w:hint="eastAsia" w:ascii="宋体" w:hAnsi="宋体" w:eastAsia="宋体"/>
          <w:color w:val="auto"/>
          <w:sz w:val="21"/>
          <w:szCs w:val="21"/>
        </w:rPr>
        <w:t>②资格证明文件有效期过期的；③《营业执照》复印件（加盖公章）或《事业单位法人证书》复印件（加盖公章）或其他主体证书复印件（加盖公章）未提供或有效期过期的</w:t>
      </w:r>
      <w:r>
        <w:rPr>
          <w:rFonts w:hint="eastAsia" w:ascii="宋体" w:hAnsi="宋体" w:eastAsia="宋体"/>
          <w:color w:val="auto"/>
          <w:sz w:val="21"/>
          <w:szCs w:val="21"/>
          <w:lang w:eastAsia="zh-CN"/>
        </w:rPr>
        <w:t>；④提供的资质材料模糊不清导致无法辨认的。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包括但不限于：①投标人未按招标文件要求提交投标保证金；②提交方式、提交时间、提交金额不符合招标文件要求；③投标保证金有效期不符合招标文件要求。</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评标委员会将对符合资格的投标人的投标文件进行符合性审查，以确定其是否满足招标文件的实质性要求。投标人不得通过修正或撤消不合要求的偏离或保留从而使其投标成为实质上响应的投标。</w:t>
      </w:r>
      <w:r>
        <w:rPr>
          <w:rFonts w:hint="eastAsia" w:ascii="宋体" w:hAnsi="宋体" w:eastAsia="宋体"/>
          <w:color w:val="auto"/>
          <w:sz w:val="21"/>
          <w:szCs w:val="21"/>
          <w:lang w:eastAsia="zh-CN"/>
        </w:rPr>
        <w:t>符合性审查过程</w:t>
      </w:r>
      <w:r>
        <w:rPr>
          <w:rFonts w:hint="eastAsia" w:ascii="宋体" w:hAnsi="宋体" w:eastAsia="宋体"/>
          <w:color w:val="auto"/>
          <w:sz w:val="21"/>
          <w:szCs w:val="21"/>
        </w:rPr>
        <w:t>中，</w:t>
      </w:r>
      <w:r>
        <w:rPr>
          <w:rFonts w:hint="eastAsia" w:ascii="宋体" w:hAnsi="宋体" w:eastAsia="宋体"/>
          <w:b/>
          <w:color w:val="auto"/>
          <w:sz w:val="21"/>
          <w:szCs w:val="21"/>
        </w:rPr>
        <w:t>发现下列情况之一的，其投标将作废标处理</w:t>
      </w:r>
      <w:r>
        <w:rPr>
          <w:rFonts w:hint="eastAsia" w:ascii="宋体" w:hAnsi="宋体" w:eastAsia="宋体"/>
          <w:color w:val="auto"/>
          <w:sz w:val="21"/>
          <w:szCs w:val="21"/>
        </w:rPr>
        <w:t>：</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b/>
          <w:color w:val="auto"/>
          <w:sz w:val="21"/>
          <w:szCs w:val="21"/>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包括但不限于：①投标文件的数量、制作不符合要求</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投标文件内容与采购内容不符的</w:t>
      </w: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投标文件项目采购项目编号错误，投标文件项目名称错误导致无法</w:t>
      </w:r>
      <w:r>
        <w:rPr>
          <w:rFonts w:hint="eastAsia" w:ascii="宋体" w:hAnsi="宋体" w:eastAsia="宋体"/>
          <w:color w:val="auto"/>
          <w:sz w:val="21"/>
          <w:szCs w:val="21"/>
          <w:lang w:val="en-US" w:eastAsia="zh-CN"/>
        </w:rPr>
        <w:t>分辨</w:t>
      </w:r>
      <w:r>
        <w:rPr>
          <w:rFonts w:hint="eastAsia" w:ascii="宋体" w:hAnsi="宋体" w:eastAsia="宋体"/>
          <w:color w:val="auto"/>
          <w:sz w:val="21"/>
          <w:szCs w:val="21"/>
        </w:rPr>
        <w:t>所投项目为本项目</w:t>
      </w: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投标文件数量少于招标文件要求的</w:t>
      </w:r>
      <w:r>
        <w:rPr>
          <w:rFonts w:hint="eastAsia" w:ascii="宋体" w:hAnsi="宋体" w:eastAsia="宋体"/>
          <w:color w:val="auto"/>
          <w:sz w:val="21"/>
          <w:szCs w:val="21"/>
          <w:lang w:eastAsia="zh-CN"/>
        </w:rPr>
        <w:t>）</w:t>
      </w:r>
      <w:r>
        <w:rPr>
          <w:rFonts w:hint="eastAsia" w:ascii="宋体" w:hAnsi="宋体" w:eastAsia="宋体"/>
          <w:color w:val="auto"/>
          <w:sz w:val="21"/>
          <w:szCs w:val="21"/>
        </w:rPr>
        <w:t>；②投标文件中要求签字的内容无法定代表人或其授权代表签字，或签字人无法定代表人有效授权的；③签字盖章不符合招标文件要求的；④投标文件内容有严重缺漏项的；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投标文件的关键内容字迹模糊、无法辨认的；</w:t>
      </w:r>
      <w:r>
        <w:rPr>
          <w:rFonts w:hint="eastAsia" w:ascii="宋体" w:hAnsi="宋体" w:eastAsia="宋体"/>
          <w:color w:val="auto"/>
          <w:sz w:val="21"/>
          <w:szCs w:val="21"/>
          <w:lang w:eastAsia="zh-CN"/>
        </w:rPr>
        <w:t>⑥</w:t>
      </w:r>
      <w:r>
        <w:rPr>
          <w:rFonts w:hint="eastAsia" w:ascii="宋体" w:hAnsi="宋体" w:eastAsia="宋体"/>
          <w:color w:val="auto"/>
          <w:sz w:val="21"/>
          <w:szCs w:val="21"/>
        </w:rPr>
        <w:t>投标有效期不符合文件要求的。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w:t>
      </w:r>
      <w:r>
        <w:rPr>
          <w:rFonts w:hint="eastAsia" w:ascii="宋体" w:hAnsi="宋体" w:eastAsia="宋体"/>
          <w:color w:val="auto"/>
          <w:sz w:val="21"/>
          <w:szCs w:val="21"/>
          <w:lang w:eastAsia="zh-CN"/>
        </w:rPr>
        <w:t>投标方案不唯一</w:t>
      </w:r>
      <w:r>
        <w:rPr>
          <w:rFonts w:hint="eastAsia" w:ascii="宋体" w:hAnsi="宋体" w:eastAsia="宋体"/>
          <w:color w:val="auto"/>
          <w:sz w:val="21"/>
          <w:szCs w:val="21"/>
        </w:rPr>
        <w:t>；⑦明显不符合技术规格、技术标准要求的；⑧其他未实质性响应招标文件技术要求的。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投标文件附有采购人不能接受的条件的；</w:t>
      </w:r>
      <w:r>
        <w:rPr>
          <w:rFonts w:hint="eastAsia" w:ascii="宋体" w:hAnsi="宋体" w:eastAsia="宋体"/>
          <w:color w:val="auto"/>
          <w:sz w:val="21"/>
          <w:szCs w:val="21"/>
          <w:lang w:eastAsia="zh-CN"/>
        </w:rPr>
        <w:t>⑥</w:t>
      </w:r>
      <w:r>
        <w:rPr>
          <w:rFonts w:hint="eastAsia" w:ascii="宋体" w:hAnsi="宋体" w:eastAsia="宋体"/>
          <w:color w:val="auto"/>
          <w:sz w:val="21"/>
          <w:szCs w:val="21"/>
        </w:rPr>
        <w:t>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4）投标报价瑕疵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①投标报价超过本招标文件明确的项目预算或文件明确的最高限价；②</w:t>
      </w:r>
      <w:r>
        <w:rPr>
          <w:rFonts w:hint="eastAsia" w:ascii="宋体" w:hAnsi="宋体" w:eastAsia="宋体"/>
          <w:color w:val="auto"/>
          <w:sz w:val="21"/>
          <w:szCs w:val="21"/>
          <w:lang w:eastAsia="zh-CN"/>
        </w:rPr>
        <w:t>未按招标文件要求进行报价的</w:t>
      </w:r>
      <w:r>
        <w:rPr>
          <w:rFonts w:hint="eastAsia" w:ascii="宋体" w:hAnsi="宋体" w:eastAsia="宋体"/>
          <w:color w:val="auto"/>
          <w:sz w:val="21"/>
          <w:szCs w:val="21"/>
        </w:rPr>
        <w:t>；③</w:t>
      </w:r>
      <w:r>
        <w:rPr>
          <w:rFonts w:hint="eastAsia" w:ascii="宋体" w:hAnsi="宋体" w:eastAsia="宋体"/>
          <w:color w:val="auto"/>
          <w:sz w:val="21"/>
          <w:szCs w:val="21"/>
          <w:lang w:eastAsia="zh-CN"/>
        </w:rPr>
        <w:t>报价内容或报价格式不符合招标文件要求的；④投标报价有严重缺漏项的。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5）违规行为</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包括但不限于：①以他人的名义投标、串通投标、以行贿手段谋取中标或者以其他弄虚作假方式投标的；②扰乱开标、评标秩序，干扰招标工作正常进行的。</w:t>
      </w:r>
      <w:r>
        <w:rPr>
          <w:rFonts w:hint="eastAsia" w:ascii="宋体" w:hAnsi="宋体" w:eastAsia="宋体"/>
          <w:color w:val="auto"/>
          <w:sz w:val="21"/>
          <w:szCs w:val="21"/>
          <w:lang w:eastAsia="zh-CN"/>
        </w:rPr>
        <w:t>③存在经评标委员会认定的其他违规违法行为。</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6)法律法规及招标文件中规定的其它情形。</w:t>
      </w:r>
    </w:p>
    <w:p>
      <w:pPr>
        <w:widowControl w:val="0"/>
        <w:tabs>
          <w:tab w:val="left" w:pos="907"/>
        </w:tabs>
        <w:adjustRightInd/>
        <w:snapToGrid/>
        <w:spacing w:after="0" w:line="360" w:lineRule="exact"/>
        <w:ind w:left="567"/>
        <w:jc w:val="both"/>
        <w:rPr>
          <w:rFonts w:hint="eastAsia" w:ascii="宋体" w:hAnsi="宋体" w:eastAsia="宋体"/>
          <w:color w:val="auto"/>
          <w:sz w:val="21"/>
          <w:szCs w:val="21"/>
        </w:rPr>
      </w:pPr>
      <w:r>
        <w:rPr>
          <w:rFonts w:hint="eastAsia" w:ascii="宋体" w:hAnsi="宋体" w:eastAsia="宋体"/>
          <w:color w:val="auto"/>
          <w:sz w:val="21"/>
          <w:szCs w:val="21"/>
        </w:rPr>
        <w:t>根据项目情况，评标委员会有权决定招标文件中“可能导致废标”或“可能导致其投标被拒绝”等具体条款是否实施“废标”或“投标被拒绝”，但对同一条款的裁决应适用于每个投标人。</w:t>
      </w:r>
    </w:p>
    <w:p>
      <w:pPr>
        <w:widowControl w:val="0"/>
        <w:numPr>
          <w:ilvl w:val="1"/>
          <w:numId w:val="2"/>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对于投标文件中不构成实质性偏差的不正规、不一致或不规则，评标委员会可以接受，但这种接受不能损害或影响任何投标人的相对排序。</w:t>
      </w:r>
    </w:p>
    <w:p>
      <w:pPr>
        <w:widowControl w:val="0"/>
        <w:numPr>
          <w:ilvl w:val="1"/>
          <w:numId w:val="2"/>
        </w:numPr>
        <w:adjustRightInd/>
        <w:snapToGrid/>
        <w:spacing w:after="0" w:line="360" w:lineRule="exact"/>
        <w:jc w:val="both"/>
        <w:rPr>
          <w:color w:val="auto"/>
        </w:rPr>
      </w:pPr>
      <w:r>
        <w:rPr>
          <w:rFonts w:hint="eastAsia" w:ascii="宋体" w:hAnsi="宋体" w:eastAsia="宋体"/>
          <w:color w:val="auto"/>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89" w:name="_Toc21742"/>
      <w:r>
        <w:rPr>
          <w:rFonts w:hint="eastAsia" w:ascii="宋体" w:hAnsi="宋体" w:eastAsia="宋体"/>
          <w:color w:val="auto"/>
          <w:sz w:val="21"/>
          <w:szCs w:val="21"/>
        </w:rPr>
        <w:t>26.商务、技术、价格评审（具体评审项目详见投标资料表）</w:t>
      </w:r>
      <w:bookmarkEnd w:id="89"/>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对通过符合性检查的投标人进行商务技术综合评议，针对投标文件对招标文件的响应情况对各个投标人进行商务和技术评分</w:t>
      </w:r>
      <w:r>
        <w:rPr>
          <w:rFonts w:hint="eastAsia" w:ascii="宋体" w:hAnsi="宋体" w:eastAsia="宋体"/>
          <w:color w:val="auto"/>
          <w:sz w:val="21"/>
          <w:szCs w:val="21"/>
        </w:rPr>
        <w:t xml:space="preserve">。 </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投标文件报价出现前后不一致的，评标委员会按照下列规定修正：</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投标文件中开标一览表（报价表）内容与投标文件中相应内容不一致的，以开标一览表（报价表）为准；</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大写金额和小写金额不一致的，以大写金额为准；</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单价金额小数点或者百分比有明显错位的，以开标一览表的总价为准，并修改单价；</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总价金额与按单价汇总金额不一致的，以单价金额计算结果为准。</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同时出现两种以上不一致的，按照前款规定的顺序修正。修正后的报价按照经投标人确认后产生约束力，投标人不确认的，其投标无效。</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使用综合评分法的采购项目，</w:t>
      </w: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olor w:val="auto"/>
          <w:sz w:val="21"/>
          <w:szCs w:val="21"/>
          <w:lang w:eastAsia="zh-CN"/>
        </w:rPr>
        <w:t>。</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w:t>
      </w:r>
      <w:r>
        <w:rPr>
          <w:rFonts w:hint="eastAsia" w:ascii="宋体" w:hAnsi="宋体" w:eastAsia="宋体"/>
          <w:color w:val="auto"/>
          <w:sz w:val="21"/>
          <w:szCs w:val="21"/>
          <w:lang w:eastAsia="zh-CN"/>
        </w:rPr>
        <w:t>且</w:t>
      </w:r>
      <w:r>
        <w:rPr>
          <w:rFonts w:hint="eastAsia" w:ascii="宋体" w:hAnsi="宋体" w:eastAsia="宋体"/>
          <w:color w:val="auto"/>
          <w:sz w:val="21"/>
          <w:szCs w:val="21"/>
        </w:rPr>
        <w:t>评审得分相同的，按照评审因素的</w:t>
      </w:r>
      <w:r>
        <w:rPr>
          <w:rFonts w:hint="eastAsia" w:ascii="宋体" w:hAnsi="宋体" w:eastAsia="宋体"/>
          <w:color w:val="auto"/>
          <w:sz w:val="21"/>
          <w:szCs w:val="21"/>
          <w:lang w:eastAsia="zh-CN"/>
        </w:rPr>
        <w:t>技术</w:t>
      </w:r>
      <w:r>
        <w:rPr>
          <w:rFonts w:hint="eastAsia" w:ascii="宋体" w:hAnsi="宋体" w:eastAsia="宋体"/>
          <w:color w:val="auto"/>
          <w:sz w:val="21"/>
          <w:szCs w:val="21"/>
        </w:rPr>
        <w:t>评审得分最高的投标人为排名第一的中标候选人，其他同品牌投标人不作为中标候选人。</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90" w:name="_Toc22192"/>
      <w:r>
        <w:rPr>
          <w:rFonts w:hint="eastAsia" w:ascii="宋体" w:hAnsi="宋体" w:eastAsia="宋体"/>
          <w:color w:val="auto"/>
          <w:sz w:val="21"/>
          <w:szCs w:val="21"/>
        </w:rPr>
        <w:t>27.优惠政策</w:t>
      </w:r>
      <w:bookmarkEnd w:id="90"/>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投标人为小型或微型企业且投标产品含小型或微型企业产品时，其对应产品价格的扣除详见投标资料表。</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投标人同时为小型、微型企业、监狱企业、残疾人福利性单位任两种或以上情况的，评审中只享受一次价格扣除，不重复进行价格扣除。</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（5）提供本单位制造的货物、承担的工程或者服务（以下简称产品），或者提供其他残疾人福利性单位制造的货物（不包括使用非残疾人福利性单位注册商标的货物）。</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根据《关于调整优化节能产品、环境标志产品政府采购执行机制的通知》（财库〔</w:t>
      </w:r>
      <w:r>
        <w:rPr>
          <w:rFonts w:hint="eastAsia" w:ascii="宋体" w:hAnsi="宋体" w:eastAsia="宋体"/>
          <w:color w:val="auto"/>
          <w:sz w:val="21"/>
          <w:szCs w:val="21"/>
          <w:lang w:eastAsia="zh-CN"/>
        </w:rPr>
        <w:t>2020</w:t>
      </w:r>
      <w:r>
        <w:rPr>
          <w:rFonts w:hint="eastAsia" w:ascii="宋体" w:hAnsi="宋体" w:eastAsia="宋体"/>
          <w:color w:val="auto"/>
          <w:sz w:val="21"/>
          <w:szCs w:val="21"/>
        </w:rPr>
        <w:t>〕9号）及《转发财政部 发展改革委 生态环境部 市场监管总局关于调整优化节能产品 环境标志产品政府采购执行机制的通知》（粤财采购函〔</w:t>
      </w:r>
      <w:r>
        <w:rPr>
          <w:rFonts w:hint="eastAsia" w:ascii="宋体" w:hAnsi="宋体" w:eastAsia="宋体"/>
          <w:color w:val="auto"/>
          <w:sz w:val="21"/>
          <w:szCs w:val="21"/>
          <w:lang w:eastAsia="zh-CN"/>
        </w:rPr>
        <w:t>2020</w:t>
      </w:r>
      <w:r>
        <w:rPr>
          <w:rFonts w:hint="eastAsia" w:ascii="宋体" w:hAnsi="宋体" w:eastAsia="宋体"/>
          <w:color w:val="auto"/>
          <w:sz w:val="21"/>
          <w:szCs w:val="21"/>
        </w:rPr>
        <w:t>〕1号）的规定，对提供节能产品或环境标志产品的投标单位的价格给予一定比例扣除（扣除比例详见投标资料表）。</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提供节能产品或环境标志产品的投标人其产品应符合以下规定：</w:t>
      </w:r>
    </w:p>
    <w:p>
      <w:pPr>
        <w:widowControl w:val="0"/>
        <w:numPr>
          <w:ilvl w:val="0"/>
          <w:numId w:val="5"/>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5"/>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投标人所投节能产品或环境标志产品其认证证书的认证机构应属于《市场监管总局关于发布参与实施政府采购节能产品、环境标志产品认证机构名录的公告（</w:t>
      </w:r>
      <w:r>
        <w:rPr>
          <w:rFonts w:hint="eastAsia" w:ascii="宋体" w:hAnsi="宋体" w:eastAsia="宋体"/>
          <w:color w:val="auto"/>
          <w:sz w:val="21"/>
          <w:szCs w:val="21"/>
          <w:lang w:eastAsia="zh-CN"/>
        </w:rPr>
        <w:t>2020</w:t>
      </w:r>
      <w:r>
        <w:rPr>
          <w:rFonts w:hint="eastAsia" w:ascii="宋体" w:hAnsi="宋体" w:eastAsia="宋体"/>
          <w:color w:val="auto"/>
          <w:sz w:val="21"/>
          <w:szCs w:val="21"/>
        </w:rPr>
        <w:t>年第16号）》公告中所公示的认证机构，若投标人所提供的产品认证证书其认证机构不属于以上公示中的机构，则视为无效认证，不给予价格扣除优惠。</w:t>
      </w:r>
    </w:p>
    <w:p>
      <w:pPr>
        <w:widowControl w:val="0"/>
        <w:numPr>
          <w:ilvl w:val="0"/>
          <w:numId w:val="5"/>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91" w:name="_Toc316375620"/>
      <w:bookmarkStart w:id="92" w:name="_Toc22591"/>
      <w:bookmarkStart w:id="93" w:name="_Toc382049120"/>
      <w:bookmarkStart w:id="94" w:name="_Toc20328"/>
      <w:r>
        <w:rPr>
          <w:rFonts w:hint="eastAsia" w:ascii="宋体" w:hAnsi="宋体" w:eastAsia="宋体"/>
          <w:color w:val="auto"/>
          <w:sz w:val="21"/>
          <w:szCs w:val="21"/>
        </w:rPr>
        <w:t>28.纪律和</w:t>
      </w:r>
      <w:r>
        <w:rPr>
          <w:rFonts w:ascii="宋体" w:hAnsi="宋体" w:eastAsia="宋体"/>
          <w:color w:val="auto"/>
          <w:sz w:val="21"/>
          <w:szCs w:val="21"/>
        </w:rPr>
        <w:t>保密</w:t>
      </w:r>
      <w:bookmarkEnd w:id="91"/>
      <w:r>
        <w:rPr>
          <w:rFonts w:hint="eastAsia" w:ascii="宋体" w:hAnsi="宋体" w:eastAsia="宋体"/>
          <w:color w:val="auto"/>
          <w:sz w:val="21"/>
          <w:szCs w:val="21"/>
        </w:rPr>
        <w:t>事项</w:t>
      </w:r>
      <w:bookmarkEnd w:id="92"/>
      <w:bookmarkEnd w:id="93"/>
      <w:bookmarkEnd w:id="94"/>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投标人不得串通作弊，以不正当的手段妨碍、排挤其他投标人，扰乱招标市场，破坏公平竞争原则。否则将按相关法律规定严肃处理。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获得本招标文件的投标人，应对文件进行保密，不得用作本次投标以外的任何用途。开标后，投标人应归还招标文件中要求保密的文件和资料。</w:t>
      </w:r>
    </w:p>
    <w:p>
      <w:pPr>
        <w:rPr>
          <w:color w:val="auto"/>
        </w:rPr>
      </w:pPr>
    </w:p>
    <w:p>
      <w:pPr>
        <w:pStyle w:val="4"/>
        <w:numPr>
          <w:ilvl w:val="0"/>
          <w:numId w:val="1"/>
        </w:numPr>
        <w:spacing w:before="0" w:after="0" w:line="480" w:lineRule="auto"/>
        <w:jc w:val="center"/>
        <w:rPr>
          <w:rFonts w:ascii="宋体" w:hAnsi="宋体" w:eastAsia="宋体"/>
          <w:color w:val="auto"/>
        </w:rPr>
      </w:pPr>
      <w:bookmarkStart w:id="95" w:name="_Toc29310"/>
      <w:r>
        <w:rPr>
          <w:rFonts w:hint="eastAsia" w:ascii="宋体" w:hAnsi="宋体" w:eastAsia="宋体"/>
          <w:color w:val="auto"/>
        </w:rPr>
        <w:t>授予合同</w:t>
      </w:r>
      <w:bookmarkEnd w:id="95"/>
    </w:p>
    <w:p>
      <w:pPr>
        <w:pStyle w:val="5"/>
        <w:widowControl w:val="0"/>
        <w:overflowPunct w:val="0"/>
        <w:spacing w:before="0" w:after="0" w:line="240" w:lineRule="auto"/>
        <w:rPr>
          <w:rFonts w:ascii="宋体" w:hAnsi="宋体" w:eastAsia="宋体"/>
          <w:color w:val="auto"/>
          <w:sz w:val="21"/>
          <w:szCs w:val="21"/>
        </w:rPr>
      </w:pPr>
      <w:bookmarkStart w:id="96" w:name="_Toc508284011"/>
      <w:bookmarkStart w:id="97" w:name="_Toc27817"/>
      <w:r>
        <w:rPr>
          <w:rFonts w:hint="eastAsia" w:ascii="宋体" w:hAnsi="宋体" w:eastAsia="宋体"/>
          <w:color w:val="auto"/>
          <w:sz w:val="21"/>
          <w:szCs w:val="21"/>
        </w:rPr>
        <w:t>29.</w:t>
      </w:r>
      <w:r>
        <w:rPr>
          <w:rFonts w:ascii="宋体" w:hAnsi="宋体" w:eastAsia="宋体"/>
          <w:color w:val="auto"/>
          <w:sz w:val="21"/>
          <w:szCs w:val="21"/>
        </w:rPr>
        <w:t>合同授予标准</w:t>
      </w:r>
      <w:bookmarkEnd w:id="96"/>
      <w:bookmarkEnd w:id="97"/>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根据评标委员会的评审结果，采购人按照评审报告推荐的中标候选人中按顺序依法确定中标人</w:t>
      </w:r>
      <w:r>
        <w:rPr>
          <w:rFonts w:ascii="宋体" w:hAnsi="宋体" w:eastAsia="宋体"/>
          <w:color w:val="auto"/>
          <w:sz w:val="21"/>
          <w:szCs w:val="21"/>
        </w:rPr>
        <w:t>。</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98" w:name="_Toc29283"/>
      <w:bookmarkStart w:id="99" w:name="_Toc508284013"/>
      <w:r>
        <w:rPr>
          <w:rFonts w:hint="eastAsia" w:ascii="宋体" w:hAnsi="宋体" w:eastAsia="宋体"/>
          <w:color w:val="auto"/>
          <w:sz w:val="21"/>
          <w:szCs w:val="21"/>
        </w:rPr>
        <w:t>30.发布采购结果</w:t>
      </w:r>
      <w:bookmarkEnd w:id="98"/>
      <w:bookmarkEnd w:id="99"/>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评标委员会提出评标书面报告和推荐中标意见报采购人确认后，采购代理机构将在指定的信息发布媒体上发布公告。</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中标公告期限为1个工作日。</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结果公示发布后，中标单位应及时领取中标通知书。</w:t>
      </w:r>
      <w:r>
        <w:rPr>
          <w:rFonts w:hint="eastAsia" w:ascii="宋体" w:hAnsi="宋体" w:eastAsia="宋体"/>
          <w:color w:val="auto"/>
          <w:sz w:val="21"/>
          <w:szCs w:val="21"/>
        </w:rPr>
        <w:t>《中标通知书》是合同的一个组成部分，《中标通知书》对采购人和中标人均具有同等法律效力。</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中标人无正当理由不得放弃中标</w:t>
      </w:r>
      <w:r>
        <w:rPr>
          <w:rFonts w:hint="eastAsia" w:ascii="宋体" w:hAnsi="宋体" w:eastAsia="宋体"/>
          <w:color w:val="auto"/>
          <w:sz w:val="21"/>
          <w:szCs w:val="21"/>
          <w:lang w:eastAsia="zh-CN"/>
        </w:rPr>
        <w:t>，因中标人放弃中标而对采购人造成的损失由放弃中标的中标人承担。</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中标人为残疾人福利性单位的，采购人或者其委托的采购代理机构应当随中标、成交结果同时公告其《残疾人福利性单位声明函》，接受社会监督。</w:t>
      </w:r>
    </w:p>
    <w:p>
      <w:pPr>
        <w:widowControl w:val="0"/>
        <w:numPr>
          <w:ilvl w:val="1"/>
          <w:numId w:val="2"/>
        </w:numPr>
        <w:tabs>
          <w:tab w:val="left" w:pos="907"/>
        </w:tabs>
        <w:adjustRightInd/>
        <w:snapToGrid/>
        <w:spacing w:after="0" w:line="360" w:lineRule="exact"/>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原件核查</w:t>
      </w:r>
    </w:p>
    <w:p>
      <w:pPr>
        <w:widowControl w:val="0"/>
        <w:numPr>
          <w:ilvl w:val="2"/>
          <w:numId w:val="2"/>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采购结果发布后，中标单位应在五个工作日内递交相关资质原件到采购代理机构办公地址或采购人指定地址进行核查。</w:t>
      </w:r>
    </w:p>
    <w:p>
      <w:pPr>
        <w:widowControl w:val="0"/>
        <w:numPr>
          <w:ilvl w:val="2"/>
          <w:numId w:val="2"/>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中标单位有下列情形之一的，取消中标资格：</w:t>
      </w:r>
    </w:p>
    <w:p>
      <w:pPr>
        <w:widowControl w:val="0"/>
        <w:numPr>
          <w:ilvl w:val="0"/>
          <w:numId w:val="6"/>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6"/>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6"/>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在规定时间内递交的原件数量、内容与采购人、采购代理机构要求不一致的；</w:t>
      </w:r>
    </w:p>
    <w:p>
      <w:pPr>
        <w:widowControl w:val="0"/>
        <w:numPr>
          <w:ilvl w:val="0"/>
          <w:numId w:val="6"/>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val="en-US" w:eastAsia="zh-CN"/>
        </w:rPr>
        <w:t>因原件续期、更改等原因不能按时递交原件且未能在规定时间内提供相应部门开具的变更、续期等证明的；</w:t>
      </w:r>
    </w:p>
    <w:p>
      <w:pPr>
        <w:widowControl w:val="0"/>
        <w:numPr>
          <w:ilvl w:val="0"/>
          <w:numId w:val="6"/>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2"/>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采购代理机构及采购人有权根据评标委员会的建议或要求，对递交了投标文件的未中标投标人进行原件核查。投标人应在采购代理机构或采购人发出纸质通知五个工作日内将原件递交到采购代理机构办公地址或采购人指定地址进行核查。</w:t>
      </w:r>
    </w:p>
    <w:p>
      <w:pPr>
        <w:widowControl w:val="0"/>
        <w:numPr>
          <w:ilvl w:val="2"/>
          <w:numId w:val="2"/>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投标人有下列情形之一的，投标文件作无效处理，其投标无效：</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在规定时间内递交的原件数量、内容不符合采购人、采购代理机构要求的；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因原件续期、更改等原因不能按时递交原件且未能在规定时间内提供相应部门开具的变更、续期等证明的；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2"/>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若投标人出现虚假应标情况，投标文件作无效处理，其投标、中标无效。并根据相关法律上报相关监管部门。</w:t>
      </w:r>
    </w:p>
    <w:p>
      <w:pPr>
        <w:widowControl w:val="0"/>
        <w:numPr>
          <w:ilvl w:val="2"/>
          <w:numId w:val="2"/>
        </w:numPr>
        <w:tabs>
          <w:tab w:val="left" w:pos="567"/>
          <w:tab w:val="left" w:pos="907"/>
          <w:tab w:val="clear" w:pos="794"/>
        </w:tabs>
        <w:adjustRightInd/>
        <w:snapToGrid/>
        <w:spacing w:after="0" w:line="360" w:lineRule="exact"/>
        <w:ind w:left="794" w:leftChars="0" w:hanging="794" w:firstLineChars="0"/>
        <w:jc w:val="both"/>
        <w:rPr>
          <w:rFonts w:hint="eastAsia"/>
          <w:b w:val="0"/>
          <w:bCs w:val="0"/>
          <w:color w:val="auto"/>
          <w:lang w:eastAsia="zh-CN"/>
        </w:rPr>
      </w:pPr>
      <w:r>
        <w:rPr>
          <w:rFonts w:hint="eastAsia" w:ascii="宋体" w:hAnsi="宋体" w:eastAsia="宋体"/>
          <w:b w:val="0"/>
          <w:bCs w:val="0"/>
          <w:color w:val="auto"/>
          <w:sz w:val="21"/>
          <w:szCs w:val="21"/>
          <w:lang w:eastAsia="zh-CN"/>
        </w:rPr>
        <w:t>属于建办市函[2016]462号通知内的证件可不提供原件，仅提供带二维码原件的复印件即可。</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00" w:name="_Toc22451"/>
      <w:r>
        <w:rPr>
          <w:rFonts w:hint="eastAsia" w:ascii="宋体" w:hAnsi="宋体" w:eastAsia="宋体"/>
          <w:color w:val="auto"/>
          <w:sz w:val="21"/>
          <w:szCs w:val="21"/>
        </w:rPr>
        <w:t>31.合同的签订与履行</w:t>
      </w:r>
      <w:bookmarkEnd w:id="100"/>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采购人应当自采购结果公示发出之日起30日内，按照招标文件和中标人投标文件的规定，与中标人签订书面合同。所签订的合同不得对招标文件确定的事项和中标人投标文件作实质性修改。</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采购人与中标人应当根据合同的约定依法履行合同义务。</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政府采购合同的履行、违约责任和解决争议的方法等适用《中华人民共和国合同法》。</w:t>
      </w:r>
    </w:p>
    <w:p>
      <w:pPr>
        <w:widowControl w:val="0"/>
        <w:numPr>
          <w:ilvl w:val="1"/>
          <w:numId w:val="2"/>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b/>
          <w:color w:val="auto"/>
          <w:sz w:val="21"/>
          <w:szCs w:val="21"/>
        </w:rPr>
        <w:t>合同签订之日起2个工作日内，中标人应将所签订的合同副本（加盖公章）交至三方诚信招标有限公司东莞分公司归档。</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rPr>
        <w:t>中标投标人在评审结束当天至合同履行结束，若因不可抗力的因素（如国家出台新法律法规等）造</w:t>
      </w:r>
      <w:r>
        <w:rPr>
          <w:rFonts w:hint="eastAsia" w:ascii="宋体" w:hAnsi="宋体" w:eastAsia="宋体"/>
          <w:color w:val="auto"/>
          <w:sz w:val="21"/>
          <w:szCs w:val="21"/>
          <w:lang w:eastAsia="zh-CN"/>
        </w:rPr>
        <w:t>成投标人资质的变动，投标人应以纸质版形式通知采购人。若资质变动导致中标投标人不再具备履行合同资质要求，采购人有权中止合同。</w:t>
      </w:r>
    </w:p>
    <w:p>
      <w:pPr>
        <w:widowControl w:val="0"/>
        <w:numPr>
          <w:ilvl w:val="1"/>
          <w:numId w:val="2"/>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中标人拒绝与采购人签订合同的，采购人可以按照评审报告推荐的中标候选人名单排序，确定下一候选人为中标人，也可以重新开展政府采购活动。</w:t>
      </w:r>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01" w:name="_Toc29009"/>
      <w:bookmarkStart w:id="102" w:name="_Toc382049124"/>
      <w:bookmarkStart w:id="103" w:name="_Toc303084277"/>
      <w:bookmarkStart w:id="104" w:name="_Toc2744"/>
      <w:r>
        <w:rPr>
          <w:rFonts w:hint="eastAsia" w:ascii="宋体" w:hAnsi="宋体" w:eastAsia="宋体"/>
          <w:color w:val="auto"/>
          <w:sz w:val="21"/>
          <w:szCs w:val="21"/>
        </w:rPr>
        <w:t>32.</w:t>
      </w:r>
      <w:r>
        <w:rPr>
          <w:rFonts w:ascii="宋体" w:hAnsi="宋体" w:eastAsia="宋体"/>
          <w:color w:val="auto"/>
          <w:sz w:val="21"/>
          <w:szCs w:val="21"/>
        </w:rPr>
        <w:t>履约</w:t>
      </w:r>
      <w:r>
        <w:rPr>
          <w:rFonts w:hint="eastAsia" w:ascii="宋体" w:hAnsi="宋体" w:eastAsia="宋体"/>
          <w:color w:val="auto"/>
          <w:sz w:val="21"/>
          <w:szCs w:val="21"/>
        </w:rPr>
        <w:t>保证金</w:t>
      </w:r>
      <w:bookmarkEnd w:id="101"/>
      <w:bookmarkEnd w:id="102"/>
      <w:bookmarkEnd w:id="103"/>
      <w:bookmarkEnd w:id="104"/>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采用保证金（银行转帐、电汇）方式：中标人必须保证资金在签订合同前到帐。履约保证金账户采购人另行通知，到期后无息退还。</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履约保函方式：履约担保。是指由担保机构为供应商交纳履约保证金向采购人或采购代理机构提供的保证担保。供应商未按政府采购合同履行约定义务的，由担保机构按照担保函约定履行支付履约保证金的责任。（投标担保格式详见附件《政府采购投标担保函》）</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退还手续。</w:t>
      </w:r>
    </w:p>
    <w:p>
      <w:pPr>
        <w:rPr>
          <w:color w:val="auto"/>
        </w:rPr>
      </w:pPr>
    </w:p>
    <w:p>
      <w:pPr>
        <w:pStyle w:val="4"/>
        <w:numPr>
          <w:ilvl w:val="0"/>
          <w:numId w:val="1"/>
        </w:numPr>
        <w:spacing w:before="0" w:after="0" w:line="480" w:lineRule="auto"/>
        <w:jc w:val="center"/>
        <w:rPr>
          <w:rFonts w:ascii="宋体" w:hAnsi="宋体" w:eastAsia="宋体"/>
          <w:color w:val="auto"/>
        </w:rPr>
      </w:pPr>
      <w:bookmarkStart w:id="105" w:name="_Toc13694"/>
      <w:r>
        <w:rPr>
          <w:rFonts w:hint="eastAsia" w:ascii="宋体" w:hAnsi="宋体" w:eastAsia="宋体"/>
          <w:color w:val="auto"/>
        </w:rPr>
        <w:t>询问或质疑</w:t>
      </w:r>
      <w:bookmarkEnd w:id="105"/>
    </w:p>
    <w:p>
      <w:pPr>
        <w:pStyle w:val="5"/>
        <w:widowControl w:val="0"/>
        <w:overflowPunct w:val="0"/>
        <w:spacing w:before="0" w:after="0" w:line="240" w:lineRule="auto"/>
        <w:rPr>
          <w:rFonts w:ascii="宋体" w:hAnsi="宋体" w:eastAsia="宋体"/>
          <w:color w:val="auto"/>
          <w:sz w:val="21"/>
          <w:szCs w:val="21"/>
        </w:rPr>
      </w:pPr>
      <w:bookmarkStart w:id="106" w:name="_Toc25498"/>
      <w:r>
        <w:rPr>
          <w:rFonts w:hint="eastAsia" w:ascii="宋体" w:hAnsi="宋体" w:eastAsia="宋体"/>
          <w:color w:val="auto"/>
          <w:sz w:val="21"/>
          <w:szCs w:val="21"/>
        </w:rPr>
        <w:t>33.询问</w:t>
      </w:r>
      <w:bookmarkEnd w:id="106"/>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投标人对政府采购活动事项（招标文件、采购过程和采购结果）有疑问的，可以按规定向采购代理机构提出询问。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5"/>
        <w:widowControl w:val="0"/>
        <w:overflowPunct w:val="0"/>
        <w:spacing w:before="0" w:after="0" w:line="240" w:lineRule="auto"/>
        <w:rPr>
          <w:rFonts w:ascii="宋体" w:hAnsi="宋体" w:eastAsia="宋体"/>
          <w:color w:val="auto"/>
          <w:sz w:val="21"/>
          <w:szCs w:val="21"/>
        </w:rPr>
      </w:pPr>
      <w:bookmarkStart w:id="107" w:name="_Toc8234"/>
      <w:r>
        <w:rPr>
          <w:rFonts w:hint="eastAsia" w:ascii="宋体" w:hAnsi="宋体" w:eastAsia="宋体"/>
          <w:color w:val="auto"/>
          <w:sz w:val="21"/>
          <w:szCs w:val="21"/>
        </w:rPr>
        <w:t>34.质疑</w:t>
      </w:r>
      <w:bookmarkEnd w:id="107"/>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提出质疑的投标人应当是参与所质疑项目采购活动的供应商或是在规定的时间内已依法获取其可质疑的招标文件的潜在供应商。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投标人在法定质疑期内须一次性提出针对同一采购程序环节的质疑，对同一采购程序环节的二次质疑采购代理机构不予受理。</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w:t>
      </w:r>
      <w:r>
        <w:rPr>
          <w:rFonts w:hint="eastAsia" w:ascii="宋体" w:hAnsi="宋体" w:eastAsia="宋体"/>
          <w:color w:val="auto"/>
          <w:sz w:val="21"/>
          <w:szCs w:val="21"/>
          <w:lang w:eastAsia="zh-CN"/>
        </w:rPr>
        <w:t>（递交地点、联系人详见投标邀请书）</w:t>
      </w:r>
      <w:r>
        <w:rPr>
          <w:rFonts w:hint="eastAsia" w:ascii="宋体" w:hAnsi="宋体" w:eastAsia="宋体"/>
          <w:color w:val="auto"/>
          <w:sz w:val="21"/>
          <w:szCs w:val="21"/>
        </w:rPr>
        <w:t>。投标人以电话、传真或电邮形式提交的质疑属于无效质疑。</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授权委托书应当载明代理人的姓名或者名称、代理事项、具体权限、期限和相关事项。</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投标人提出质疑应当提交质疑函和必要的证明材料（须注明法律依据），因缺少相关证明材料或证明材料存在不真实而导致的后果由投标人自行承担。</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不涉及对投标人利益造成损害的相关内容，不能作为质疑内容提交。</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投诉人在全国范围12个月内三次以上投诉查无实据的，由财政部门列入不良行为记录名单。</w:t>
      </w:r>
    </w:p>
    <w:p>
      <w:pPr>
        <w:widowControl w:val="0"/>
        <w:numPr>
          <w:ilvl w:val="1"/>
          <w:numId w:val="2"/>
        </w:numPr>
        <w:tabs>
          <w:tab w:val="left" w:pos="907"/>
        </w:tabs>
        <w:adjustRightInd/>
        <w:snapToGrid/>
        <w:spacing w:after="0" w:line="360" w:lineRule="exact"/>
        <w:jc w:val="both"/>
        <w:rPr>
          <w:rFonts w:ascii="宋体" w:hAnsi="宋体" w:eastAsia="宋体"/>
          <w:b/>
          <w:bCs/>
          <w:color w:val="auto"/>
          <w:sz w:val="21"/>
          <w:szCs w:val="21"/>
        </w:rPr>
      </w:pPr>
      <w:r>
        <w:rPr>
          <w:rFonts w:hint="eastAsia" w:ascii="宋体" w:hAnsi="宋体" w:eastAsia="宋体"/>
          <w:b/>
          <w:bCs/>
          <w:color w:val="auto"/>
          <w:sz w:val="21"/>
          <w:szCs w:val="21"/>
        </w:rPr>
        <w:t>投诉人有下列行为之一的，属于虚假、恶意投诉，由财政部门列入不良行为记录名单，禁止其1至3年内参加</w:t>
      </w:r>
      <w:r>
        <w:rPr>
          <w:rFonts w:hint="eastAsia" w:ascii="宋体" w:hAnsi="宋体" w:eastAsia="宋体"/>
          <w:b/>
          <w:bCs/>
          <w:color w:val="auto"/>
          <w:sz w:val="21"/>
          <w:szCs w:val="21"/>
          <w:lang w:eastAsia="zh-CN"/>
        </w:rPr>
        <w:t>全国范围内的</w:t>
      </w:r>
      <w:r>
        <w:rPr>
          <w:rFonts w:hint="eastAsia" w:ascii="宋体" w:hAnsi="宋体" w:eastAsia="宋体"/>
          <w:b/>
          <w:bCs/>
          <w:color w:val="auto"/>
          <w:sz w:val="21"/>
          <w:szCs w:val="21"/>
        </w:rPr>
        <w:t>政府采购活动：</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（一）捏造事实;</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（二）提供虚假材料;</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（三）以非法手段取得证明材料。证据来源的合法性存在明显疑问，投诉人无法证明其取得方式合法的，视为以非法手段取得证明材料。</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以联合体形式参加政府采购活动的，其质疑应当由组成联合体的所有投标人共同提出。</w:t>
      </w:r>
    </w:p>
    <w:p>
      <w:pPr>
        <w:rPr>
          <w:color w:val="auto"/>
        </w:rPr>
      </w:pPr>
    </w:p>
    <w:p>
      <w:pPr>
        <w:pStyle w:val="4"/>
        <w:numPr>
          <w:ilvl w:val="0"/>
          <w:numId w:val="1"/>
        </w:numPr>
        <w:spacing w:before="0" w:after="0" w:line="480" w:lineRule="auto"/>
        <w:jc w:val="center"/>
        <w:rPr>
          <w:rFonts w:ascii="宋体" w:hAnsi="宋体" w:eastAsia="宋体"/>
          <w:color w:val="auto"/>
        </w:rPr>
      </w:pPr>
      <w:bookmarkStart w:id="108" w:name="_Toc24383"/>
      <w:r>
        <w:rPr>
          <w:rFonts w:hint="eastAsia" w:ascii="宋体" w:hAnsi="宋体" w:eastAsia="宋体"/>
          <w:color w:val="auto"/>
        </w:rPr>
        <w:t>其他</w:t>
      </w:r>
      <w:bookmarkEnd w:id="108"/>
    </w:p>
    <w:p>
      <w:pPr>
        <w:pStyle w:val="5"/>
        <w:widowControl w:val="0"/>
        <w:overflowPunct w:val="0"/>
        <w:spacing w:before="0" w:after="0" w:line="240" w:lineRule="auto"/>
        <w:rPr>
          <w:rFonts w:ascii="宋体" w:hAnsi="宋体" w:eastAsia="宋体"/>
          <w:color w:val="auto"/>
          <w:sz w:val="21"/>
          <w:szCs w:val="21"/>
        </w:rPr>
      </w:pPr>
      <w:bookmarkStart w:id="109" w:name="_Toc10082"/>
      <w:r>
        <w:rPr>
          <w:rFonts w:hint="eastAsia" w:ascii="宋体" w:hAnsi="宋体" w:eastAsia="宋体"/>
          <w:color w:val="auto"/>
          <w:sz w:val="21"/>
          <w:szCs w:val="21"/>
        </w:rPr>
        <w:t>35.招标文件的解释权</w:t>
      </w:r>
      <w:bookmarkEnd w:id="109"/>
    </w:p>
    <w:p>
      <w:pPr>
        <w:pStyle w:val="24"/>
        <w:widowControl w:val="0"/>
        <w:numPr>
          <w:ilvl w:val="0"/>
          <w:numId w:val="2"/>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招标文件版本号：三方诚信</w:t>
      </w:r>
      <w:r>
        <w:rPr>
          <w:rFonts w:hint="eastAsia" w:ascii="宋体" w:hAnsi="宋体" w:eastAsia="宋体"/>
          <w:color w:val="auto"/>
          <w:sz w:val="21"/>
          <w:szCs w:val="21"/>
          <w:lang w:eastAsia="zh-CN"/>
        </w:rPr>
        <w:t>2020</w:t>
      </w:r>
      <w:r>
        <w:rPr>
          <w:rFonts w:hint="eastAsia" w:ascii="宋体" w:hAnsi="宋体" w:eastAsia="宋体"/>
          <w:color w:val="auto"/>
          <w:sz w:val="21"/>
          <w:szCs w:val="21"/>
          <w:lang w:val="en-US" w:eastAsia="zh-CN"/>
        </w:rPr>
        <w:t>0319</w:t>
      </w:r>
      <w:r>
        <w:rPr>
          <w:rFonts w:hint="eastAsia" w:ascii="宋体" w:hAnsi="宋体" w:eastAsia="宋体"/>
          <w:color w:val="auto"/>
          <w:sz w:val="21"/>
          <w:szCs w:val="21"/>
        </w:rPr>
        <w:t>。</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本招标文件是根据国家有关法律、法规以及政府采购管理有关规定和参照国际惯例编制，解释权属本采购代理机构。</w:t>
      </w:r>
    </w:p>
    <w:p>
      <w:pPr>
        <w:widowControl w:val="0"/>
        <w:numPr>
          <w:ilvl w:val="1"/>
          <w:numId w:val="2"/>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br w:type="page"/>
      </w:r>
    </w:p>
    <w:p>
      <w:pPr>
        <w:pStyle w:val="3"/>
        <w:spacing w:before="0" w:after="0" w:line="240" w:lineRule="auto"/>
        <w:rPr>
          <w:color w:val="auto"/>
          <w:sz w:val="28"/>
          <w:szCs w:val="28"/>
        </w:rPr>
      </w:pPr>
      <w:bookmarkStart w:id="110" w:name="_Toc21448"/>
      <w:r>
        <w:rPr>
          <w:rFonts w:hint="eastAsia"/>
          <w:color w:val="auto"/>
          <w:sz w:val="28"/>
          <w:szCs w:val="28"/>
        </w:rPr>
        <w:t>第五部分 合同格式（仅供参考）</w:t>
      </w:r>
      <w:bookmarkEnd w:id="110"/>
      <w:bookmarkStart w:id="111" w:name="_Toc13430"/>
      <w:bookmarkStart w:id="112" w:name="_Toc1534"/>
      <w:bookmarkStart w:id="113" w:name="_Toc21155"/>
    </w:p>
    <w:p>
      <w:pPr>
        <w:pStyle w:val="4"/>
        <w:spacing w:before="0" w:after="0" w:line="240" w:lineRule="auto"/>
        <w:jc w:val="center"/>
        <w:rPr>
          <w:rFonts w:ascii="宋体" w:hAnsi="宋体" w:eastAsia="宋体" w:cs="宋体"/>
          <w:color w:val="auto"/>
        </w:rPr>
      </w:pPr>
      <w:bookmarkStart w:id="114" w:name="_Toc16730"/>
      <w:r>
        <w:rPr>
          <w:rFonts w:hint="eastAsia" w:ascii="宋体" w:hAnsi="宋体" w:eastAsia="宋体" w:cs="宋体"/>
          <w:color w:val="auto"/>
        </w:rPr>
        <w:t>合同格式</w:t>
      </w:r>
      <w:bookmarkEnd w:id="111"/>
      <w:bookmarkEnd w:id="112"/>
      <w:bookmarkEnd w:id="113"/>
      <w:bookmarkEnd w:id="114"/>
    </w:p>
    <w:p>
      <w:pPr>
        <w:spacing w:line="420" w:lineRule="atLeast"/>
        <w:ind w:right="560"/>
        <w:rPr>
          <w:rFonts w:ascii="宋体" w:hAnsi="宋体" w:eastAsia="宋体"/>
          <w:color w:val="auto"/>
          <w:sz w:val="21"/>
          <w:szCs w:val="21"/>
        </w:rPr>
      </w:pPr>
      <w:r>
        <w:rPr>
          <w:rFonts w:hint="eastAsia" w:ascii="宋体" w:hAnsi="宋体" w:eastAsia="宋体"/>
          <w:color w:val="auto"/>
          <w:sz w:val="21"/>
          <w:szCs w:val="21"/>
        </w:rPr>
        <w:t>合同编号：</w:t>
      </w:r>
    </w:p>
    <w:p>
      <w:pPr>
        <w:spacing w:line="420" w:lineRule="atLeast"/>
        <w:rPr>
          <w:rFonts w:ascii="宋体" w:hAnsi="宋体" w:eastAsia="宋体"/>
          <w:color w:val="auto"/>
          <w:sz w:val="21"/>
          <w:szCs w:val="21"/>
        </w:rPr>
      </w:pPr>
      <w:r>
        <w:rPr>
          <w:rFonts w:hint="eastAsia" w:ascii="宋体" w:hAnsi="宋体" w:eastAsia="宋体"/>
          <w:color w:val="auto"/>
          <w:sz w:val="21"/>
          <w:szCs w:val="21"/>
        </w:rPr>
        <w:t>甲方：</w:t>
      </w:r>
    </w:p>
    <w:p>
      <w:pPr>
        <w:spacing w:line="420" w:lineRule="atLeast"/>
        <w:rPr>
          <w:rFonts w:ascii="宋体" w:hAnsi="宋体" w:eastAsia="宋体"/>
          <w:color w:val="auto"/>
          <w:sz w:val="21"/>
          <w:szCs w:val="21"/>
        </w:rPr>
      </w:pPr>
      <w:r>
        <w:rPr>
          <w:rFonts w:hint="eastAsia" w:ascii="宋体" w:hAnsi="宋体" w:eastAsia="宋体"/>
          <w:color w:val="auto"/>
          <w:sz w:val="21"/>
          <w:szCs w:val="21"/>
        </w:rPr>
        <w:t xml:space="preserve">乙方：“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受甲方委托，</w:t>
      </w:r>
      <w:r>
        <w:rPr>
          <w:rFonts w:hint="eastAsia" w:ascii="宋体" w:hAnsi="宋体" w:eastAsia="宋体"/>
          <w:color w:val="auto"/>
          <w:sz w:val="21"/>
          <w:szCs w:val="21"/>
          <w:u w:val="single"/>
        </w:rPr>
        <w:t xml:space="preserve">           (采购代理机构)</w:t>
      </w:r>
      <w:r>
        <w:rPr>
          <w:rFonts w:hint="eastAsia" w:ascii="宋体" w:hAnsi="宋体" w:eastAsia="宋体"/>
          <w:color w:val="auto"/>
          <w:sz w:val="21"/>
          <w:szCs w:val="21"/>
        </w:rPr>
        <w:t>组织对</w:t>
      </w:r>
      <w:r>
        <w:rPr>
          <w:rFonts w:hint="eastAsia" w:ascii="宋体" w:hAnsi="宋体" w:eastAsia="宋体"/>
          <w:color w:val="auto"/>
          <w:sz w:val="21"/>
          <w:szCs w:val="21"/>
          <w:u w:val="single"/>
        </w:rPr>
        <w:t xml:space="preserve">         （项目名称）</w:t>
      </w:r>
      <w:r>
        <w:rPr>
          <w:rFonts w:hint="eastAsia" w:ascii="宋体" w:hAnsi="宋体" w:eastAsia="宋体"/>
          <w:color w:val="auto"/>
          <w:sz w:val="21"/>
          <w:szCs w:val="21"/>
        </w:rPr>
        <w:t>采购项目（采购项目编号为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）进行采购，于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日通过公开招标，经评标委员会评定乙方</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为中标单位。为了保护甲、乙双方合法权益，根据《中华人民共和国政府采购法》及其实施条例、《中华人民共和国</w:t>
      </w:r>
      <w:r>
        <w:rPr>
          <w:color w:val="auto"/>
        </w:rPr>
        <w:fldChar w:fldCharType="begin"/>
      </w:r>
      <w:r>
        <w:rPr>
          <w:color w:val="auto"/>
        </w:rPr>
        <w:instrText xml:space="preserve"> HYPERLINK "http://www.chinalawedu.com/web/23251/" \t "_blank" \o "合同法" </w:instrText>
      </w:r>
      <w:r>
        <w:rPr>
          <w:color w:val="auto"/>
        </w:rPr>
        <w:fldChar w:fldCharType="separate"/>
      </w:r>
      <w:r>
        <w:rPr>
          <w:rFonts w:hint="eastAsia" w:ascii="宋体" w:hAnsi="宋体" w:eastAsia="宋体"/>
          <w:color w:val="auto"/>
          <w:sz w:val="21"/>
          <w:szCs w:val="21"/>
        </w:rPr>
        <w:t>合同法</w:t>
      </w:r>
      <w:r>
        <w:rPr>
          <w:rFonts w:hint="eastAsia" w:ascii="宋体" w:hAnsi="宋体" w:eastAsia="宋体"/>
          <w:color w:val="auto"/>
          <w:sz w:val="21"/>
          <w:szCs w:val="21"/>
        </w:rPr>
        <w:fldChar w:fldCharType="end"/>
      </w:r>
      <w:r>
        <w:rPr>
          <w:rFonts w:hint="eastAsia" w:ascii="宋体" w:hAnsi="宋体" w:eastAsia="宋体"/>
          <w:color w:val="auto"/>
          <w:sz w:val="21"/>
          <w:szCs w:val="21"/>
        </w:rPr>
        <w:t>》，在平等自愿的基础上，按照下面的条款和条件，签署本合同。</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第一条 合同项目</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1、项目名称：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2、采购项目编号：                   。</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第二条 合同组成</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1、合同文件组成内容包括：本合同书 、中标通知书、投标文件（含澄清内容）、招标文件（含招标文件澄清通知）等。</w:t>
      </w:r>
    </w:p>
    <w:p>
      <w:pPr>
        <w:spacing w:after="0" w:line="360" w:lineRule="auto"/>
        <w:ind w:firstLine="422" w:firstLineChars="200"/>
        <w:rPr>
          <w:rFonts w:ascii="宋体" w:hAnsi="宋体" w:eastAsia="宋体"/>
          <w:b/>
          <w:color w:val="auto"/>
          <w:sz w:val="21"/>
          <w:szCs w:val="21"/>
        </w:rPr>
      </w:pPr>
      <w:bookmarkStart w:id="115" w:name="_Toc86481558"/>
      <w:r>
        <w:rPr>
          <w:rFonts w:hint="eastAsia" w:ascii="宋体" w:hAnsi="宋体" w:eastAsia="宋体"/>
          <w:b/>
          <w:color w:val="auto"/>
          <w:sz w:val="21"/>
          <w:szCs w:val="21"/>
        </w:rPr>
        <w:t>第三条 服务内容、标准及要求</w:t>
      </w:r>
    </w:p>
    <w:p>
      <w:pPr>
        <w:spacing w:after="0" w:line="360" w:lineRule="auto"/>
        <w:rPr>
          <w:rFonts w:ascii="宋体" w:hAnsi="宋体" w:eastAsia="宋体" w:cs="仿宋"/>
          <w:color w:val="auto"/>
          <w:sz w:val="21"/>
          <w:szCs w:val="21"/>
          <w:u w:val="single"/>
          <w:shd w:val="clear" w:color="auto" w:fill="FFFFFF"/>
        </w:rPr>
      </w:pPr>
      <w:r>
        <w:rPr>
          <w:rFonts w:hint="eastAsia" w:ascii="宋体" w:hAnsi="宋体" w:eastAsia="宋体" w:cs="仿宋"/>
          <w:color w:val="auto"/>
          <w:sz w:val="21"/>
          <w:szCs w:val="21"/>
          <w:shd w:val="clear" w:color="auto" w:fill="FFFFFF"/>
        </w:rPr>
        <w:t>1、采购内容：</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2、采购标准：</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3、采购要求：</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4、具体采购内容采购标准及要求以招标文件用户需求书及乙方投标文件承诺条款及方案为准。</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第四条 价格</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1、合同总价包含：人工费、材料费、设备使用费、各种税费、保险费及合同实施过程中的不可预见费用等全部费用，按本次招标范围及中标价一次包干，结算时不作调整。</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 xml:space="preserve">2、合同总价：（人民币）大写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3、本合同价为固定不变价。</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第五条 服务期限及地点</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1、服务期：  年，合同生效之日自       年  月  日至     年  月  日止。</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2、服务地点：              或甲方指定地点。</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第六条 付款方式</w:t>
      </w:r>
    </w:p>
    <w:p>
      <w:pPr>
        <w:pStyle w:val="15"/>
        <w:spacing w:line="360" w:lineRule="auto"/>
        <w:ind w:firstLine="420" w:firstLineChars="200"/>
        <w:rPr>
          <w:rFonts w:ascii="宋体" w:hAnsi="宋体"/>
          <w:color w:val="auto"/>
          <w:sz w:val="21"/>
          <w:szCs w:val="21"/>
        </w:rPr>
      </w:pPr>
      <w:r>
        <w:rPr>
          <w:rFonts w:hint="eastAsia" w:ascii="宋体" w:hAnsi="宋体"/>
          <w:color w:val="auto"/>
          <w:sz w:val="21"/>
          <w:szCs w:val="21"/>
        </w:rPr>
        <w:t>1、本合同的付款方式为：</w:t>
      </w:r>
      <w:r>
        <w:rPr>
          <w:rFonts w:hint="eastAsia" w:ascii="宋体" w:hAnsi="宋体"/>
          <w:color w:val="auto"/>
          <w:sz w:val="21"/>
          <w:szCs w:val="21"/>
          <w:u w:val="single"/>
        </w:rPr>
        <w:t xml:space="preserve">                     </w:t>
      </w:r>
      <w:r>
        <w:rPr>
          <w:rFonts w:hint="eastAsia" w:ascii="宋体" w:hAnsi="宋体"/>
          <w:color w:val="auto"/>
          <w:sz w:val="21"/>
          <w:szCs w:val="21"/>
        </w:rPr>
        <w:t>。</w:t>
      </w:r>
    </w:p>
    <w:p>
      <w:pPr>
        <w:pStyle w:val="15"/>
        <w:spacing w:line="360" w:lineRule="auto"/>
        <w:ind w:firstLine="420" w:firstLineChars="200"/>
        <w:rPr>
          <w:rFonts w:ascii="宋体" w:hAnsi="宋体"/>
          <w:color w:val="auto"/>
          <w:sz w:val="21"/>
          <w:szCs w:val="21"/>
        </w:rPr>
      </w:pPr>
      <w:r>
        <w:rPr>
          <w:rFonts w:hint="eastAsia" w:ascii="宋体" w:hAnsi="宋体"/>
          <w:color w:val="auto"/>
          <w:sz w:val="21"/>
          <w:szCs w:val="21"/>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第七条 验收方式</w:t>
      </w:r>
    </w:p>
    <w:p>
      <w:pPr>
        <w:pStyle w:val="15"/>
        <w:spacing w:line="360" w:lineRule="auto"/>
        <w:ind w:firstLine="480"/>
        <w:rPr>
          <w:rFonts w:ascii="宋体" w:hAnsi="宋体"/>
          <w:color w:val="auto"/>
          <w:sz w:val="21"/>
          <w:szCs w:val="21"/>
        </w:rPr>
      </w:pPr>
      <w:r>
        <w:rPr>
          <w:rFonts w:hint="eastAsia" w:ascii="宋体" w:hAnsi="宋体"/>
          <w:color w:val="auto"/>
          <w:sz w:val="21"/>
          <w:szCs w:val="21"/>
        </w:rPr>
        <w:t>1、验收应在甲乙双方共同参加下进行，依据招标文件及本合同的有关规定制定的方案进行验收，并按国家有关规定、规范进行。</w:t>
      </w:r>
    </w:p>
    <w:p>
      <w:pPr>
        <w:pStyle w:val="15"/>
        <w:spacing w:line="360" w:lineRule="auto"/>
        <w:ind w:firstLine="480"/>
        <w:rPr>
          <w:rFonts w:ascii="宋体" w:hAnsi="宋体"/>
          <w:color w:val="auto"/>
          <w:sz w:val="21"/>
          <w:szCs w:val="21"/>
        </w:rPr>
      </w:pPr>
      <w:r>
        <w:rPr>
          <w:rFonts w:hint="eastAsia" w:ascii="宋体" w:hAnsi="宋体"/>
          <w:color w:val="auto"/>
          <w:sz w:val="21"/>
          <w:szCs w:val="21"/>
        </w:rPr>
        <w:t>2、甲方组织项目验收小组按国家有关规定、规范进行验收，必要时邀请相关专业人员或机构参与验收。</w:t>
      </w:r>
    </w:p>
    <w:p>
      <w:pPr>
        <w:pStyle w:val="15"/>
        <w:spacing w:line="360" w:lineRule="auto"/>
        <w:ind w:firstLine="480"/>
        <w:rPr>
          <w:rFonts w:ascii="宋体" w:hAnsi="宋体"/>
          <w:color w:val="auto"/>
          <w:sz w:val="21"/>
          <w:szCs w:val="21"/>
        </w:rPr>
      </w:pPr>
      <w:r>
        <w:rPr>
          <w:rFonts w:hint="eastAsia" w:ascii="宋体" w:hAnsi="宋体"/>
          <w:color w:val="auto"/>
          <w:sz w:val="21"/>
          <w:szCs w:val="21"/>
        </w:rPr>
        <w:t>3、对验收不合格的部分，乙方应在甲方规定时间内及时整改完善直至合格。</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第八条 税和关税</w:t>
      </w:r>
    </w:p>
    <w:p>
      <w:pPr>
        <w:pStyle w:val="15"/>
        <w:spacing w:line="360" w:lineRule="auto"/>
        <w:ind w:firstLine="482"/>
        <w:rPr>
          <w:rFonts w:ascii="宋体" w:hAnsi="宋体"/>
          <w:color w:val="auto"/>
          <w:sz w:val="21"/>
          <w:szCs w:val="21"/>
        </w:rPr>
      </w:pPr>
      <w:r>
        <w:rPr>
          <w:rFonts w:hint="eastAsia" w:ascii="宋体" w:hAnsi="宋体"/>
          <w:color w:val="auto"/>
          <w:sz w:val="21"/>
          <w:szCs w:val="21"/>
        </w:rPr>
        <w:t>1、中国政府根据现行税法对甲方征收的与本合同有关的一切税费均应由甲方承担。</w:t>
      </w:r>
    </w:p>
    <w:p>
      <w:pPr>
        <w:pStyle w:val="15"/>
        <w:spacing w:line="360" w:lineRule="auto"/>
        <w:ind w:firstLine="482"/>
        <w:rPr>
          <w:rFonts w:ascii="宋体" w:hAnsi="宋体"/>
          <w:color w:val="auto"/>
          <w:sz w:val="21"/>
          <w:szCs w:val="21"/>
        </w:rPr>
      </w:pPr>
      <w:r>
        <w:rPr>
          <w:rFonts w:hint="eastAsia" w:ascii="宋体" w:hAnsi="宋体"/>
          <w:color w:val="auto"/>
          <w:sz w:val="21"/>
          <w:szCs w:val="21"/>
        </w:rPr>
        <w:t>2、中国政府根据现行税法规定对乙方或其雇员征收的与本合同有关的一切税费应由乙方承担。</w:t>
      </w:r>
    </w:p>
    <w:p>
      <w:pPr>
        <w:pStyle w:val="15"/>
        <w:spacing w:line="360" w:lineRule="auto"/>
        <w:ind w:firstLine="482"/>
        <w:rPr>
          <w:rFonts w:ascii="宋体" w:hAnsi="宋体"/>
          <w:color w:val="auto"/>
          <w:sz w:val="21"/>
          <w:szCs w:val="21"/>
        </w:rPr>
      </w:pPr>
      <w:r>
        <w:rPr>
          <w:rFonts w:hint="eastAsia" w:ascii="宋体" w:hAnsi="宋体"/>
          <w:color w:val="auto"/>
          <w:sz w:val="21"/>
          <w:szCs w:val="21"/>
        </w:rPr>
        <w:t>3、在中国境外发生的与本合同执行有关的一切税费均应由乙方承担。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第九条 其它约定</w:t>
      </w:r>
    </w:p>
    <w:p>
      <w:pPr>
        <w:spacing w:after="0" w:line="360" w:lineRule="auto"/>
        <w:ind w:firstLine="420" w:firstLineChars="200"/>
        <w:rPr>
          <w:rFonts w:ascii="宋体" w:hAnsi="宋体" w:eastAsia="宋体"/>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、严禁转包，未经甲方书面同意不得分包。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2、乙方全部工作人员，须符合东莞市政府用工标准要求。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3、乙方服务人员进行服务期间的过失或故意行为，造成甲方经济损失的，由乙方负责赔偿。</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4、服务人员的劳动关系隶属乙方，乙方负责服务人员的工资、节假日和超时加班补助费、社会保险、住宿、伙食等。</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5、乙方负责本项目服务人员购买因意外身故或伤残和因意外事故住院治疗保险，并负责办理一切保险赔偿手续。</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第十条 违约责任</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%的违约金。</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2、由于乙方的原因，导致双方签订的合同终止，乙方因此而遭受的损失，将由乙方独立承担，甲方对此不负任何责任，也不作任何赔偿。</w:t>
      </w:r>
    </w:p>
    <w:bookmarkEnd w:id="115"/>
    <w:p>
      <w:pPr>
        <w:spacing w:after="0" w:line="360" w:lineRule="auto"/>
        <w:ind w:firstLine="422" w:firstLineChars="200"/>
        <w:rPr>
          <w:rFonts w:ascii="宋体" w:hAnsi="宋体" w:eastAsia="宋体"/>
          <w:b/>
          <w:color w:val="auto"/>
          <w:sz w:val="21"/>
          <w:szCs w:val="21"/>
        </w:rPr>
      </w:pPr>
      <w:bookmarkStart w:id="116" w:name="_Toc86481570"/>
      <w:r>
        <w:rPr>
          <w:rFonts w:hint="eastAsia" w:ascii="宋体" w:hAnsi="宋体" w:eastAsia="宋体"/>
          <w:b/>
          <w:color w:val="auto"/>
          <w:sz w:val="21"/>
          <w:szCs w:val="21"/>
        </w:rPr>
        <w:t>第十一条 争议的解决</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1、凡与本合同有关而引起的一切争议，甲乙双方应首先通过友好协商解决，如经协商后仍不能达成协议时，任何一方可以向法院提出诉讼。</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2、本合同发生的诉讼管辖地为东莞市有管辖权的法院。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3、在进行法院审理期间，除提交法院审理的事项外，合同其他部分仍继续履行。</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宋体"/>
          <w:color w:val="auto"/>
          <w:sz w:val="21"/>
          <w:szCs w:val="21"/>
        </w:rPr>
        <w:t>4、本合同按照中华人民共和国的法律进行解释</w:t>
      </w:r>
      <w:r>
        <w:rPr>
          <w:rFonts w:hint="eastAsia" w:ascii="宋体" w:hAnsi="宋体" w:eastAsia="宋体" w:cs="仿宋"/>
          <w:color w:val="auto"/>
          <w:sz w:val="21"/>
          <w:szCs w:val="21"/>
          <w:shd w:val="clear" w:color="auto" w:fill="FFFFFF"/>
        </w:rPr>
        <w:t>。</w:t>
      </w:r>
    </w:p>
    <w:p>
      <w:pPr>
        <w:spacing w:after="0" w:line="360" w:lineRule="auto"/>
        <w:ind w:firstLine="422" w:firstLineChars="200"/>
        <w:rPr>
          <w:rFonts w:ascii="宋体" w:hAnsi="宋体" w:eastAsia="宋体"/>
          <w:b/>
          <w:color w:val="auto"/>
          <w:sz w:val="21"/>
          <w:szCs w:val="21"/>
        </w:rPr>
      </w:pPr>
      <w:bookmarkStart w:id="117" w:name="_Toc86481569"/>
      <w:r>
        <w:rPr>
          <w:rFonts w:hint="eastAsia" w:ascii="宋体" w:hAnsi="宋体" w:eastAsia="宋体"/>
          <w:b/>
          <w:color w:val="auto"/>
          <w:sz w:val="21"/>
          <w:szCs w:val="21"/>
        </w:rPr>
        <w:t>第十二条 合同生效</w:t>
      </w:r>
      <w:bookmarkEnd w:id="117"/>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1、本合同由双方法定代表人或委托代理人签字盖章后立即生效，具有同等法律效力，合同有效期随服务期结束而自然终止。</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2、本合同一式    份，其中甲方    份、乙方    份，采购代理机构 壹 份（须在合同签订之日起7个工作日内递交）。</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第十三条 其它</w:t>
      </w:r>
      <w:bookmarkEnd w:id="116"/>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1、本合同未尽事宜，双方可签订补充合同，补充合同与所有附件均为合同的有效组成部分，与本合同具有同等法律效力。</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2、在执行本合同的过程中，所有经甲乙双方签署确认的文件（包括会议纪要、补充协议、往来信函、合同附件等）即成为本合同的有效组成部分，其生效日期为双方签字盖章或确认之日期。</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本合同合计   页A4纸张，缺页之合同为无效合同。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甲方（盖章）：                      乙方（盖章）：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法定代表(签字)：                   法定代表(签字)：</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地址：                             地址：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                             电话：</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传真：</w:t>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开户银行：</w:t>
      </w:r>
      <w:r>
        <w:rPr>
          <w:rFonts w:hint="eastAsia" w:ascii="宋体" w:hAnsi="宋体" w:eastAsia="宋体"/>
          <w:color w:val="auto"/>
          <w:sz w:val="21"/>
          <w:szCs w:val="21"/>
        </w:rPr>
        <w:tab/>
      </w:r>
      <w:r>
        <w:rPr>
          <w:rFonts w:hint="eastAsia" w:ascii="宋体" w:hAnsi="宋体" w:eastAsia="宋体"/>
          <w:color w:val="auto"/>
          <w:sz w:val="21"/>
          <w:szCs w:val="21"/>
        </w:rPr>
        <w:t xml:space="preserve">                     开户银行：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账号：                             账号：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签约时间：</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签约地点：</w:t>
      </w:r>
    </w:p>
    <w:p>
      <w:pPr>
        <w:rPr>
          <w:rFonts w:ascii="宋体" w:hAnsi="宋体" w:eastAsia="宋体"/>
          <w:b/>
          <w:color w:val="auto"/>
          <w:sz w:val="21"/>
          <w:szCs w:val="21"/>
        </w:rPr>
      </w:pPr>
      <w:r>
        <w:rPr>
          <w:rFonts w:hint="eastAsia" w:ascii="宋体" w:hAnsi="宋体" w:eastAsia="宋体"/>
          <w:b/>
          <w:color w:val="auto"/>
          <w:sz w:val="21"/>
          <w:szCs w:val="21"/>
        </w:rPr>
        <w:t>此仅为合同书样本，中标人需根据实际情况和甲方签订相应的合同！</w:t>
      </w:r>
    </w:p>
    <w:p>
      <w:pPr>
        <w:rPr>
          <w:rFonts w:ascii="宋体" w:hAnsi="宋体" w:eastAsia="宋体"/>
          <w:b/>
          <w:color w:val="auto"/>
          <w:sz w:val="21"/>
          <w:szCs w:val="21"/>
        </w:rPr>
      </w:pPr>
      <w:r>
        <w:rPr>
          <w:rFonts w:hint="eastAsia" w:ascii="宋体" w:hAnsi="宋体" w:eastAsia="宋体"/>
          <w:b/>
          <w:color w:val="auto"/>
          <w:sz w:val="21"/>
          <w:szCs w:val="21"/>
        </w:rPr>
        <w:br w:type="page"/>
      </w:r>
    </w:p>
    <w:p>
      <w:pPr>
        <w:pStyle w:val="3"/>
        <w:spacing w:before="0" w:after="0" w:line="240" w:lineRule="auto"/>
        <w:rPr>
          <w:color w:val="auto"/>
          <w:sz w:val="28"/>
          <w:szCs w:val="28"/>
        </w:rPr>
      </w:pPr>
      <w:bookmarkStart w:id="118" w:name="_Toc23749"/>
      <w:r>
        <w:rPr>
          <w:rFonts w:hint="eastAsia"/>
          <w:color w:val="auto"/>
          <w:sz w:val="28"/>
          <w:szCs w:val="28"/>
        </w:rPr>
        <w:t>第六部分  附件－投标文件格式</w:t>
      </w:r>
      <w:bookmarkEnd w:id="118"/>
    </w:p>
    <w:p>
      <w:pPr>
        <w:rPr>
          <w:color w:val="auto"/>
        </w:rPr>
      </w:pPr>
    </w:p>
    <w:p>
      <w:pPr>
        <w:pStyle w:val="5"/>
        <w:widowControl w:val="0"/>
        <w:overflowPunct w:val="0"/>
        <w:spacing w:before="0" w:after="0" w:line="240" w:lineRule="auto"/>
        <w:rPr>
          <w:rFonts w:ascii="宋体" w:hAnsi="宋体" w:eastAsia="宋体"/>
          <w:color w:val="auto"/>
          <w:sz w:val="21"/>
          <w:szCs w:val="21"/>
        </w:rPr>
      </w:pPr>
      <w:bookmarkStart w:id="119" w:name="_Toc26830"/>
      <w:r>
        <w:rPr>
          <w:rFonts w:hint="eastAsia" w:ascii="宋体" w:hAnsi="宋体" w:eastAsia="宋体"/>
          <w:color w:val="auto"/>
          <w:sz w:val="21"/>
          <w:szCs w:val="21"/>
        </w:rPr>
        <w:t>附件1.投标文件目录</w:t>
      </w:r>
      <w:bookmarkEnd w:id="119"/>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目录</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格式自理。</w:t>
      </w: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注：</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1、投标人制作的投标文件应当具备目录。</w:t>
      </w:r>
      <w:r>
        <w:rPr>
          <w:rFonts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20" w:name="_Toc18893"/>
      <w:r>
        <w:rPr>
          <w:rFonts w:hint="eastAsia" w:ascii="宋体" w:hAnsi="宋体" w:eastAsia="宋体"/>
          <w:color w:val="auto"/>
          <w:sz w:val="21"/>
          <w:szCs w:val="21"/>
        </w:rPr>
        <w:t>附件1-1 评分标准索引表</w:t>
      </w:r>
      <w:bookmarkEnd w:id="120"/>
    </w:p>
    <w:p>
      <w:pPr>
        <w:adjustRightInd/>
        <w:snapToGrid/>
        <w:spacing w:line="276" w:lineRule="auto"/>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评分标准索引表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序号</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评审项目</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评分细则</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分值</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numPr>
          <w:ilvl w:val="0"/>
          <w:numId w:val="8"/>
        </w:numPr>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该表格为参考格式，投标人可按实际情况自行制订评分标准索引表。</w:t>
      </w:r>
    </w:p>
    <w:p>
      <w:pPr>
        <w:pStyle w:val="2"/>
        <w:spacing w:before="0"/>
        <w:ind w:left="0"/>
        <w:rPr>
          <w:color w:val="auto"/>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21" w:name="_Toc30640"/>
      <w:r>
        <w:rPr>
          <w:rFonts w:hint="eastAsia" w:ascii="宋体" w:hAnsi="宋体" w:eastAsia="宋体"/>
          <w:color w:val="auto"/>
          <w:sz w:val="21"/>
          <w:szCs w:val="21"/>
        </w:rPr>
        <w:t>附件2.投标书格式</w:t>
      </w:r>
      <w:bookmarkEnd w:id="121"/>
    </w:p>
    <w:p>
      <w:pPr>
        <w:jc w:val="center"/>
        <w:rPr>
          <w:rFonts w:ascii="宋体" w:hAnsi="宋体" w:eastAsia="宋体"/>
          <w:color w:val="auto"/>
          <w:sz w:val="21"/>
          <w:szCs w:val="21"/>
        </w:rPr>
      </w:pPr>
      <w:r>
        <w:rPr>
          <w:rFonts w:hint="eastAsia" w:ascii="黑体" w:eastAsia="黑体"/>
          <w:color w:val="auto"/>
          <w:sz w:val="32"/>
          <w:szCs w:val="32"/>
        </w:rPr>
        <w:t>投标书</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根据贵方为</w:t>
      </w:r>
      <w:r>
        <w:rPr>
          <w:rFonts w:hint="eastAsia" w:ascii="宋体" w:hAnsi="宋体" w:eastAsia="宋体"/>
          <w:color w:val="auto"/>
          <w:sz w:val="21"/>
          <w:szCs w:val="21"/>
          <w:u w:val="single"/>
        </w:rPr>
        <w:t>（项目名称）（采购项目编号）</w:t>
      </w:r>
      <w:r>
        <w:rPr>
          <w:rFonts w:hint="eastAsia" w:ascii="宋体" w:hAnsi="宋体" w:eastAsia="宋体"/>
          <w:color w:val="auto"/>
          <w:sz w:val="21"/>
          <w:szCs w:val="21"/>
        </w:rPr>
        <w:t>项目招标公告/招标邀请，签字代表</w:t>
      </w:r>
      <w:r>
        <w:rPr>
          <w:rFonts w:hint="eastAsia" w:ascii="宋体" w:hAnsi="宋体" w:eastAsia="宋体"/>
          <w:color w:val="auto"/>
          <w:sz w:val="21"/>
          <w:szCs w:val="21"/>
          <w:u w:val="single"/>
        </w:rPr>
        <w:t>（姓名、职务）</w:t>
      </w:r>
      <w:r>
        <w:rPr>
          <w:rFonts w:hint="eastAsia" w:ascii="宋体" w:hAnsi="宋体" w:eastAsia="宋体"/>
          <w:color w:val="auto"/>
          <w:sz w:val="21"/>
          <w:szCs w:val="21"/>
        </w:rPr>
        <w:t>经正式授权并代表投标人</w:t>
      </w:r>
      <w:r>
        <w:rPr>
          <w:rFonts w:hint="eastAsia" w:ascii="宋体" w:hAnsi="宋体" w:eastAsia="宋体"/>
          <w:color w:val="auto"/>
          <w:sz w:val="21"/>
          <w:szCs w:val="21"/>
          <w:u w:val="single"/>
        </w:rPr>
        <w:t>（投标人名称、地址）</w:t>
      </w:r>
      <w:r>
        <w:rPr>
          <w:rFonts w:hint="eastAsia" w:ascii="宋体" w:hAnsi="宋体" w:eastAsia="宋体"/>
          <w:color w:val="auto"/>
          <w:sz w:val="21"/>
          <w:szCs w:val="21"/>
        </w:rPr>
        <w:t>提交投标文件及“开标文件”：</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在此，签字代表宣布同意如下：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我方将按招标文件的规定履行合同责任和义务。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b/>
          <w:color w:val="auto"/>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rPr>
        <w:t xml:space="preserve">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本投标有效期为自开标日起</w:t>
      </w:r>
      <w:r>
        <w:rPr>
          <w:rFonts w:hint="eastAsia" w:ascii="宋体" w:hAnsi="宋体" w:eastAsia="宋体"/>
          <w:color w:val="auto"/>
          <w:sz w:val="21"/>
          <w:szCs w:val="21"/>
          <w:u w:val="single"/>
        </w:rPr>
        <w:t>90</w:t>
      </w:r>
      <w:r>
        <w:rPr>
          <w:rFonts w:hint="eastAsia" w:ascii="宋体" w:hAnsi="宋体" w:eastAsia="宋体"/>
          <w:color w:val="auto"/>
          <w:sz w:val="21"/>
          <w:szCs w:val="21"/>
        </w:rPr>
        <w:t xml:space="preserve">个日历日。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我方保证遵守投标人须知中关于没收投标保证金的规定。</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我方承诺，与买方聘请的为此项目提供咨询服务的公司及任何附属机构均无关联，我方不是买方的附属机构。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我方同意提供按照贵方可能要求的与其投标有关的一切数据或资料。</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与本投标有关的一切正式信函请寄：</w:t>
      </w:r>
    </w:p>
    <w:p>
      <w:pPr>
        <w:spacing w:after="0" w:line="360" w:lineRule="auto"/>
        <w:rPr>
          <w:rFonts w:ascii="宋体" w:hAnsi="宋体" w:eastAsia="宋体"/>
          <w:color w:val="auto"/>
          <w:sz w:val="21"/>
          <w:szCs w:val="21"/>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地址：　　　　　　　　　　　　　　　　　　　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电话/移动电话：　　　　　　　　　　　　　　　电子函件：</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投标人代表签字：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投标人名称（全称）：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投标人盖章：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投标人开户银行（全称）：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投标人银行帐号：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日期：</w:t>
      </w:r>
    </w:p>
    <w:p>
      <w:pPr>
        <w:pStyle w:val="5"/>
        <w:widowControl w:val="0"/>
        <w:overflowPunct w:val="0"/>
        <w:spacing w:before="0" w:after="0" w:line="240" w:lineRule="auto"/>
        <w:rPr>
          <w:rFonts w:ascii="宋体" w:hAnsi="宋体" w:eastAsia="宋体"/>
          <w:color w:val="auto"/>
          <w:sz w:val="21"/>
          <w:szCs w:val="21"/>
        </w:rPr>
      </w:pPr>
      <w:bookmarkStart w:id="122" w:name="_Toc6866"/>
      <w:r>
        <w:rPr>
          <w:rFonts w:hint="eastAsia" w:ascii="宋体" w:hAnsi="宋体" w:eastAsia="宋体"/>
          <w:color w:val="auto"/>
          <w:sz w:val="21"/>
          <w:szCs w:val="21"/>
        </w:rPr>
        <w:t>附件3.开标一览表格式</w:t>
      </w:r>
      <w:bookmarkEnd w:id="122"/>
    </w:p>
    <w:p>
      <w:pPr>
        <w:jc w:val="center"/>
        <w:rPr>
          <w:rFonts w:ascii="黑体" w:eastAsia="黑体"/>
          <w:color w:val="auto"/>
          <w:sz w:val="32"/>
          <w:szCs w:val="32"/>
        </w:rPr>
      </w:pPr>
      <w:r>
        <w:rPr>
          <w:rFonts w:hint="eastAsia" w:ascii="黑体" w:eastAsia="黑体"/>
          <w:color w:val="auto"/>
          <w:sz w:val="32"/>
          <w:szCs w:val="32"/>
        </w:rPr>
        <w:t>开标一览表</w:t>
      </w:r>
    </w:p>
    <w:p>
      <w:pPr>
        <w:spacing w:line="360" w:lineRule="auto"/>
        <w:rPr>
          <w:color w:val="auto"/>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16"/>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项目名称</w:t>
            </w: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投标总价</w:t>
            </w:r>
          </w:p>
        </w:tc>
        <w:tc>
          <w:tcPr>
            <w:tcW w:w="3262"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restar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小写：</w:t>
            </w:r>
          </w:p>
        </w:tc>
        <w:tc>
          <w:tcPr>
            <w:tcW w:w="3262" w:type="dxa"/>
            <w:vMerge w:val="restar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continue"/>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color w:val="auto"/>
              </w:rPr>
            </w:pP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大写：</w:t>
            </w:r>
          </w:p>
        </w:tc>
        <w:tc>
          <w:tcPr>
            <w:tcW w:w="3262" w:type="dxa"/>
            <w:vMerge w:val="continue"/>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lang w:eastAsia="zh-CN"/>
              </w:rPr>
            </w:pPr>
          </w:p>
        </w:tc>
      </w:tr>
    </w:tbl>
    <w:p>
      <w:pPr>
        <w:spacing w:after="0" w:line="360" w:lineRule="auto"/>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日期：</w:t>
      </w:r>
    </w:p>
    <w:p>
      <w:pPr>
        <w:spacing w:after="0" w:line="360" w:lineRule="auto"/>
        <w:ind w:firstLine="359" w:firstLineChars="171"/>
        <w:rPr>
          <w:rFonts w:ascii="宋体" w:hAnsi="宋体" w:eastAsia="宋体"/>
          <w:color w:val="auto"/>
          <w:sz w:val="21"/>
          <w:szCs w:val="21"/>
        </w:rPr>
      </w:pPr>
    </w:p>
    <w:p>
      <w:pPr>
        <w:spacing w:after="0" w:line="360" w:lineRule="auto"/>
        <w:ind w:left="391" w:hanging="390" w:hangingChars="186"/>
        <w:rPr>
          <w:rFonts w:ascii="宋体" w:hAnsi="宋体" w:eastAsia="宋体"/>
          <w:color w:val="auto"/>
          <w:sz w:val="21"/>
          <w:szCs w:val="21"/>
        </w:rPr>
      </w:pPr>
      <w:r>
        <w:rPr>
          <w:rFonts w:hint="eastAsia" w:ascii="宋体" w:hAnsi="宋体" w:eastAsia="宋体"/>
          <w:color w:val="auto"/>
          <w:sz w:val="21"/>
          <w:szCs w:val="21"/>
        </w:rPr>
        <w:t xml:space="preserve">       注：1、投标总价栏须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ascii="宋体" w:hAnsi="宋体" w:eastAsia="宋体"/>
          <w:color w:val="auto"/>
          <w:sz w:val="21"/>
          <w:szCs w:val="21"/>
        </w:rPr>
        <w:t>表示的投标总价</w:t>
      </w:r>
      <w:r>
        <w:rPr>
          <w:rFonts w:hint="eastAsia" w:ascii="宋体" w:hAnsi="宋体" w:eastAsia="宋体"/>
          <w:color w:val="auto"/>
          <w:sz w:val="21"/>
          <w:szCs w:val="21"/>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3、未按招标文件要求报价、填写开标一览表是导致投标人废标的常见问题，请投标人仔细填写，认真核对。</w:t>
      </w:r>
    </w:p>
    <w:p>
      <w:pPr>
        <w:adjustRightInd/>
        <w:snapToGrid/>
        <w:spacing w:line="276" w:lineRule="auto"/>
        <w:rPr>
          <w:color w:val="auto"/>
        </w:rPr>
      </w:pPr>
    </w:p>
    <w:p>
      <w:pPr>
        <w:adjustRightInd/>
        <w:snapToGrid/>
        <w:spacing w:line="276" w:lineRule="auto"/>
        <w:rPr>
          <w:color w:val="auto"/>
        </w:rPr>
      </w:pPr>
      <w:r>
        <w:rPr>
          <w:color w:val="auto"/>
        </w:rPr>
        <w:br w:type="page"/>
      </w:r>
    </w:p>
    <w:p>
      <w:pPr>
        <w:pStyle w:val="5"/>
        <w:widowControl w:val="0"/>
        <w:overflowPunct w:val="0"/>
        <w:spacing w:before="0" w:after="0" w:line="240" w:lineRule="auto"/>
        <w:rPr>
          <w:rFonts w:ascii="宋体" w:hAnsi="宋体" w:eastAsia="宋体"/>
          <w:color w:val="auto"/>
          <w:sz w:val="21"/>
          <w:szCs w:val="21"/>
        </w:rPr>
      </w:pPr>
      <w:bookmarkStart w:id="123" w:name="_Toc3254"/>
      <w:r>
        <w:rPr>
          <w:rFonts w:hint="eastAsia" w:ascii="宋体" w:hAnsi="宋体" w:eastAsia="宋体"/>
          <w:color w:val="auto"/>
          <w:sz w:val="21"/>
          <w:szCs w:val="21"/>
        </w:rPr>
        <w:t xml:space="preserve">附件4. </w:t>
      </w:r>
      <w:r>
        <w:rPr>
          <w:rFonts w:hint="eastAsia" w:ascii="宋体" w:hAnsi="宋体" w:eastAsia="宋体" w:cs="Times New Roman"/>
          <w:color w:val="auto"/>
          <w:sz w:val="21"/>
          <w:szCs w:val="21"/>
        </w:rPr>
        <w:t>投标分项报价表格式</w:t>
      </w:r>
      <w:bookmarkEnd w:id="123"/>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货物（服务）分项报价表</w:t>
      </w:r>
      <w:r>
        <w:rPr>
          <w:rFonts w:hint="eastAsia" w:ascii="宋体" w:hAnsi="宋体" w:eastAsia="宋体"/>
          <w:color w:val="auto"/>
          <w:sz w:val="21"/>
          <w:szCs w:val="21"/>
        </w:rPr>
        <w:t xml:space="preserve"> </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序号</w:t>
            </w:r>
          </w:p>
        </w:tc>
        <w:tc>
          <w:tcPr>
            <w:tcW w:w="137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数量</w:t>
            </w:r>
          </w:p>
        </w:tc>
        <w:tc>
          <w:tcPr>
            <w:tcW w:w="110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单价</w:t>
            </w:r>
          </w:p>
        </w:tc>
        <w:tc>
          <w:tcPr>
            <w:tcW w:w="1183"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服务要求</w:t>
            </w:r>
          </w:p>
        </w:tc>
        <w:tc>
          <w:tcPr>
            <w:tcW w:w="1078"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1</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2</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3</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spacing w:after="0"/>
              <w:rPr>
                <w:rFonts w:ascii="宋体" w:hAnsi="宋体" w:eastAsia="宋体"/>
                <w:color w:val="auto"/>
                <w:sz w:val="21"/>
                <w:szCs w:val="21"/>
              </w:rPr>
            </w:pPr>
            <w:r>
              <w:rPr>
                <w:rFonts w:hint="eastAsia" w:ascii="宋体" w:hAnsi="宋体" w:eastAsia="宋体"/>
                <w:color w:val="auto"/>
                <w:sz w:val="21"/>
                <w:szCs w:val="21"/>
              </w:rPr>
              <w:t>日期：</w:t>
            </w:r>
          </w:p>
        </w:tc>
      </w:tr>
    </w:tbl>
    <w:p>
      <w:pPr>
        <w:rPr>
          <w:rFonts w:ascii="宋体" w:hAnsi="宋体" w:eastAsia="宋体" w:cs="宋体"/>
          <w:b/>
          <w:color w:val="auto"/>
          <w:sz w:val="21"/>
          <w:szCs w:val="21"/>
        </w:rPr>
      </w:pPr>
    </w:p>
    <w:p>
      <w:pPr>
        <w:rPr>
          <w:rFonts w:ascii="宋体" w:hAnsi="宋体" w:eastAsia="宋体" w:cs="宋体"/>
          <w:b/>
          <w:color w:val="auto"/>
          <w:sz w:val="21"/>
          <w:szCs w:val="21"/>
        </w:rPr>
      </w:pPr>
      <w:r>
        <w:rPr>
          <w:rFonts w:hint="eastAsia" w:ascii="宋体" w:hAnsi="宋体" w:eastAsia="宋体" w:cs="宋体"/>
          <w:b/>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小型和微型企业（货物、承担的工程或者服务）列价表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58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575" w:type="dxa"/>
            <w:vAlign w:val="center"/>
          </w:tcPr>
          <w:p>
            <w:pPr>
              <w:spacing w:after="0"/>
              <w:ind w:hanging="148"/>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品牌及原产地</w:t>
            </w:r>
          </w:p>
        </w:tc>
        <w:tc>
          <w:tcPr>
            <w:tcW w:w="118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77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778"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972"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587" w:type="dxa"/>
            <w:vAlign w:val="center"/>
          </w:tcPr>
          <w:p>
            <w:pPr>
              <w:spacing w:after="0"/>
              <w:jc w:val="center"/>
              <w:textAlignment w:val="bottom"/>
              <w:rPr>
                <w:rFonts w:ascii="宋体" w:hAnsi="宋体" w:eastAsia="宋体" w:cs="宋体"/>
                <w:color w:val="auto"/>
                <w:sz w:val="21"/>
                <w:szCs w:val="21"/>
              </w:rPr>
            </w:pPr>
          </w:p>
        </w:tc>
        <w:tc>
          <w:tcPr>
            <w:tcW w:w="1575" w:type="dxa"/>
            <w:vAlign w:val="center"/>
          </w:tcPr>
          <w:p>
            <w:pPr>
              <w:spacing w:after="0"/>
              <w:jc w:val="center"/>
              <w:textAlignment w:val="bottom"/>
              <w:rPr>
                <w:rFonts w:ascii="宋体" w:hAnsi="宋体" w:eastAsia="宋体" w:cs="宋体"/>
                <w:color w:val="auto"/>
                <w:sz w:val="21"/>
                <w:szCs w:val="21"/>
              </w:rPr>
            </w:pPr>
          </w:p>
        </w:tc>
        <w:tc>
          <w:tcPr>
            <w:tcW w:w="1180"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777" w:type="dxa"/>
            <w:vAlign w:val="center"/>
          </w:tcPr>
          <w:p>
            <w:pPr>
              <w:spacing w:after="0"/>
              <w:jc w:val="center"/>
              <w:textAlignment w:val="bottom"/>
              <w:rPr>
                <w:rFonts w:ascii="宋体" w:hAnsi="宋体" w:eastAsia="宋体" w:cs="宋体"/>
                <w:color w:val="auto"/>
                <w:sz w:val="21"/>
                <w:szCs w:val="21"/>
              </w:rPr>
            </w:pPr>
          </w:p>
        </w:tc>
        <w:tc>
          <w:tcPr>
            <w:tcW w:w="778" w:type="dxa"/>
            <w:vAlign w:val="center"/>
          </w:tcPr>
          <w:p>
            <w:pPr>
              <w:spacing w:after="0"/>
              <w:jc w:val="center"/>
              <w:textAlignment w:val="bottom"/>
              <w:rPr>
                <w:rFonts w:ascii="宋体" w:hAnsi="宋体" w:eastAsia="宋体" w:cs="宋体"/>
                <w:color w:val="auto"/>
                <w:sz w:val="21"/>
                <w:szCs w:val="21"/>
              </w:rPr>
            </w:pPr>
          </w:p>
        </w:tc>
        <w:tc>
          <w:tcPr>
            <w:tcW w:w="972"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060" w:type="dxa"/>
            <w:gridSpan w:val="6"/>
            <w:vAlign w:val="center"/>
          </w:tcPr>
          <w:p>
            <w:pPr>
              <w:spacing w:after="0"/>
              <w:rPr>
                <w:rFonts w:ascii="宋体" w:hAnsi="宋体" w:eastAsia="宋体" w:cs="宋体"/>
                <w:color w:val="auto"/>
                <w:sz w:val="21"/>
                <w:szCs w:val="21"/>
              </w:rPr>
            </w:pPr>
            <w:r>
              <w:rPr>
                <w:rStyle w:val="34"/>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注：1、投标人在“货物（服务）分项报价表”中的报价内容中，如有属于</w:t>
            </w:r>
            <w:r>
              <w:rPr>
                <w:rFonts w:hint="eastAsia" w:ascii="宋体" w:hAnsi="宋体" w:eastAsia="宋体" w:cs="宋体"/>
                <w:b/>
                <w:color w:val="auto"/>
                <w:sz w:val="21"/>
                <w:szCs w:val="21"/>
              </w:rPr>
              <w:t>小型和微型企业产品（货物、承担的工程或者服务）的，必须在此表单独列明，否则在计算价格得分时不予以相应的扣除</w:t>
            </w:r>
            <w:r>
              <w:rPr>
                <w:rStyle w:val="34"/>
                <w:rFonts w:hint="eastAsia" w:ascii="宋体" w:hAnsi="宋体" w:eastAsia="宋体" w:cs="宋体"/>
                <w:b/>
                <w:color w:val="auto"/>
                <w:sz w:val="21"/>
                <w:szCs w:val="21"/>
              </w:rPr>
              <w:t>；</w:t>
            </w:r>
          </w:p>
          <w:p>
            <w:pPr>
              <w:tabs>
                <w:tab w:val="left" w:pos="284"/>
              </w:tabs>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4"/>
                <w:rFonts w:ascii="宋体" w:hAnsi="宋体" w:eastAsia="宋体" w:cs="宋体"/>
                <w:b/>
                <w:color w:val="auto"/>
                <w:sz w:val="21"/>
                <w:szCs w:val="21"/>
              </w:rPr>
            </w:pPr>
            <w:r>
              <w:rPr>
                <w:rFonts w:hint="eastAsia" w:ascii="宋体" w:hAnsi="宋体" w:eastAsia="宋体"/>
                <w:color w:val="auto"/>
                <w:sz w:val="21"/>
                <w:szCs w:val="21"/>
              </w:rPr>
              <w:t>日期：</w:t>
            </w:r>
          </w:p>
        </w:tc>
      </w:tr>
    </w:tbl>
    <w:p>
      <w:pPr>
        <w:pStyle w:val="24"/>
        <w:spacing w:after="0" w:line="360" w:lineRule="auto"/>
        <w:ind w:firstLine="0" w:firstLineChars="0"/>
        <w:rPr>
          <w:rFonts w:ascii="宋体" w:hAnsi="宋体" w:eastAsia="宋体"/>
          <w:color w:val="auto"/>
          <w:sz w:val="21"/>
          <w:szCs w:val="21"/>
        </w:rPr>
      </w:pPr>
      <w:r>
        <w:rPr>
          <w:rFonts w:hint="eastAsia" w:ascii="宋体" w:hAnsi="宋体" w:eastAsia="宋体"/>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节能产品或环境标志产品列价表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381"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316"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106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11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8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833"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10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266" w:type="dxa"/>
            <w:gridSpan w:val="6"/>
            <w:vAlign w:val="center"/>
          </w:tcPr>
          <w:p>
            <w:pPr>
              <w:spacing w:after="0"/>
              <w:rPr>
                <w:rFonts w:ascii="宋体" w:hAnsi="宋体" w:eastAsia="宋体" w:cs="宋体"/>
                <w:color w:val="auto"/>
                <w:sz w:val="21"/>
                <w:szCs w:val="21"/>
              </w:rPr>
            </w:pPr>
            <w:r>
              <w:rPr>
                <w:rStyle w:val="34"/>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4"/>
                <w:rFonts w:ascii="宋体" w:hAnsi="宋体" w:eastAsia="宋体" w:cs="宋体"/>
                <w:b/>
                <w:color w:val="auto"/>
                <w:sz w:val="21"/>
                <w:szCs w:val="21"/>
              </w:rPr>
            </w:pPr>
            <w:r>
              <w:rPr>
                <w:rStyle w:val="34"/>
                <w:rFonts w:hint="eastAsia" w:ascii="宋体" w:hAnsi="宋体" w:eastAsia="宋体" w:cs="宋体"/>
                <w:b/>
                <w:color w:val="auto"/>
                <w:sz w:val="21"/>
                <w:szCs w:val="21"/>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4"/>
                <w:rFonts w:ascii="宋体" w:hAnsi="宋体" w:eastAsia="宋体" w:cs="宋体"/>
                <w:b/>
                <w:color w:val="auto"/>
                <w:sz w:val="21"/>
                <w:szCs w:val="21"/>
              </w:rPr>
            </w:pPr>
            <w:r>
              <w:rPr>
                <w:rFonts w:hint="eastAsia" w:ascii="宋体" w:hAnsi="宋体" w:eastAsia="宋体"/>
                <w:color w:val="auto"/>
                <w:sz w:val="21"/>
                <w:szCs w:val="21"/>
              </w:rPr>
              <w:t>日期：</w:t>
            </w:r>
          </w:p>
        </w:tc>
      </w:tr>
    </w:tbl>
    <w:p>
      <w:pPr>
        <w:jc w:val="both"/>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24" w:name="_Toc16412"/>
      <w:r>
        <w:rPr>
          <w:rFonts w:hint="eastAsia" w:ascii="宋体" w:hAnsi="宋体" w:eastAsia="宋体"/>
          <w:color w:val="auto"/>
          <w:sz w:val="21"/>
          <w:szCs w:val="21"/>
        </w:rPr>
        <w:t>附件5. 法定代表人证明书格式</w:t>
      </w:r>
      <w:bookmarkEnd w:id="124"/>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法定代表人证明书</w:t>
      </w:r>
    </w:p>
    <w:p>
      <w:pPr>
        <w:pStyle w:val="27"/>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7"/>
        <w:spacing w:line="420" w:lineRule="atLeast"/>
        <w:ind w:firstLine="433"/>
        <w:rPr>
          <w:rFonts w:ascii="宋体" w:eastAsia="宋体"/>
          <w:color w:val="auto"/>
          <w:sz w:val="21"/>
          <w:szCs w:val="21"/>
        </w:rPr>
      </w:pPr>
    </w:p>
    <w:p>
      <w:pPr>
        <w:pStyle w:val="27"/>
        <w:spacing w:line="420" w:lineRule="atLeast"/>
        <w:ind w:firstLine="433"/>
        <w:rPr>
          <w:rFonts w:ascii="宋体" w:eastAsia="宋体"/>
          <w:color w:val="auto"/>
          <w:sz w:val="21"/>
          <w:szCs w:val="21"/>
          <w:u w:val="single"/>
        </w:rPr>
      </w:pPr>
      <w:r>
        <w:rPr>
          <w:rFonts w:hint="eastAsia" w:ascii="宋体" w:eastAsia="宋体"/>
          <w:color w:val="auto"/>
          <w:sz w:val="21"/>
          <w:szCs w:val="21"/>
        </w:rPr>
        <w:t>投标人名称:</w:t>
      </w:r>
    </w:p>
    <w:p>
      <w:pPr>
        <w:pStyle w:val="27"/>
        <w:spacing w:line="420" w:lineRule="atLeast"/>
        <w:ind w:firstLine="433"/>
        <w:rPr>
          <w:rFonts w:ascii="宋体" w:eastAsia="宋体"/>
          <w:color w:val="auto"/>
          <w:sz w:val="21"/>
          <w:szCs w:val="21"/>
          <w:u w:val="single"/>
        </w:rPr>
      </w:pPr>
      <w:r>
        <w:rPr>
          <w:rFonts w:hint="eastAsia" w:ascii="宋体" w:eastAsia="宋体"/>
          <w:color w:val="auto"/>
          <w:sz w:val="21"/>
          <w:szCs w:val="21"/>
        </w:rPr>
        <w:t>单 位 性质：</w:t>
      </w:r>
    </w:p>
    <w:p>
      <w:pPr>
        <w:pStyle w:val="27"/>
        <w:spacing w:line="420" w:lineRule="atLeast"/>
        <w:ind w:firstLine="433"/>
        <w:rPr>
          <w:rFonts w:ascii="宋体" w:eastAsia="宋体"/>
          <w:color w:val="auto"/>
          <w:sz w:val="21"/>
          <w:szCs w:val="21"/>
          <w:u w:val="single"/>
        </w:rPr>
      </w:pPr>
      <w:r>
        <w:rPr>
          <w:rFonts w:hint="eastAsia" w:ascii="宋体" w:eastAsia="宋体"/>
          <w:color w:val="auto"/>
          <w:sz w:val="21"/>
          <w:szCs w:val="21"/>
        </w:rPr>
        <w:t>地      址：</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7"/>
        <w:spacing w:line="420" w:lineRule="atLeast"/>
        <w:ind w:firstLine="433"/>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（投标人名称）的法定代表人。</w:t>
      </w:r>
    </w:p>
    <w:p>
      <w:pPr>
        <w:spacing w:line="420" w:lineRule="atLeast"/>
        <w:ind w:firstLine="420" w:firstLineChars="200"/>
        <w:rPr>
          <w:rFonts w:ascii="宋体" w:hAnsi="宋体" w:eastAsia="宋体"/>
          <w:color w:val="auto"/>
          <w:sz w:val="21"/>
          <w:szCs w:val="21"/>
        </w:rPr>
      </w:pPr>
      <w:r>
        <w:rPr>
          <w:rFonts w:hint="eastAsia" w:ascii="宋体" w:hAnsi="宋体" w:eastAsia="宋体"/>
          <w:color w:val="auto"/>
          <w:sz w:val="21"/>
          <w:szCs w:val="21"/>
        </w:rPr>
        <w:t>特此证明。</w:t>
      </w:r>
    </w:p>
    <w:p>
      <w:pPr>
        <w:pStyle w:val="27"/>
        <w:spacing w:line="500" w:lineRule="atLeast"/>
        <w:ind w:firstLine="3517" w:firstLineChars="1675"/>
        <w:rPr>
          <w:rFonts w:ascii="宋体" w:eastAsia="宋体"/>
          <w:color w:val="auto"/>
          <w:sz w:val="21"/>
          <w:szCs w:val="21"/>
        </w:rPr>
      </w:pP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法定代表人联系方式：</w:t>
      </w:r>
    </w:p>
    <w:p>
      <w:pPr>
        <w:pStyle w:val="27"/>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27"/>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ind w:firstLine="420" w:firstLineChars="200"/>
        <w:rPr>
          <w:rFonts w:ascii="宋体" w:hAnsi="宋体" w:eastAsia="宋体"/>
          <w:color w:val="auto"/>
          <w:sz w:val="21"/>
          <w:szCs w:val="21"/>
        </w:rPr>
      </w:pPr>
    </w:p>
    <w:p>
      <w:pPr>
        <w:ind w:firstLine="420" w:firstLineChars="200"/>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16"/>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18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rPr>
          <w:color w:val="auto"/>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5"/>
        <w:widowControl w:val="0"/>
        <w:overflowPunct w:val="0"/>
        <w:spacing w:before="0" w:after="0" w:line="240" w:lineRule="auto"/>
        <w:rPr>
          <w:color w:val="auto"/>
        </w:rPr>
      </w:pPr>
      <w:bookmarkStart w:id="125" w:name="_Toc31205"/>
      <w:r>
        <w:rPr>
          <w:rFonts w:hint="eastAsia" w:ascii="宋体" w:hAnsi="宋体" w:eastAsia="宋体"/>
          <w:color w:val="auto"/>
          <w:sz w:val="21"/>
          <w:szCs w:val="21"/>
        </w:rPr>
        <w:t>附件6.法定代表人授权书格式</w:t>
      </w:r>
      <w:bookmarkEnd w:id="125"/>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法定代表人授权书</w:t>
      </w:r>
    </w:p>
    <w:p>
      <w:pPr>
        <w:pStyle w:val="27"/>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7"/>
        <w:spacing w:line="420" w:lineRule="atLeast"/>
        <w:ind w:firstLine="433"/>
        <w:rPr>
          <w:rFonts w:ascii="宋体" w:eastAsia="宋体"/>
          <w:color w:val="auto"/>
          <w:sz w:val="21"/>
          <w:szCs w:val="21"/>
        </w:rPr>
      </w:pP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27"/>
        <w:spacing w:line="500" w:lineRule="atLeast"/>
        <w:ind w:firstLine="3517" w:firstLineChars="1675"/>
        <w:rPr>
          <w:rFonts w:ascii="宋体" w:eastAsia="宋体"/>
          <w:color w:val="auto"/>
          <w:sz w:val="21"/>
          <w:szCs w:val="21"/>
        </w:rPr>
      </w:pP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被授权人签字：</w:t>
      </w:r>
    </w:p>
    <w:p>
      <w:pPr>
        <w:pStyle w:val="27"/>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移动电话： </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详细通讯地址：</w:t>
      </w:r>
    </w:p>
    <w:p>
      <w:pPr>
        <w:pStyle w:val="27"/>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邮箱：                          </w:t>
      </w:r>
    </w:p>
    <w:p>
      <w:pPr>
        <w:pStyle w:val="27"/>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7"/>
        <w:spacing w:line="460" w:lineRule="exact"/>
        <w:ind w:firstLine="433"/>
        <w:rPr>
          <w:rFonts w:ascii="宋体" w:eastAsia="宋体"/>
          <w:color w:val="auto"/>
          <w:sz w:val="21"/>
          <w:szCs w:val="21"/>
        </w:rPr>
      </w:pPr>
    </w:p>
    <w:p>
      <w:pPr>
        <w:ind w:firstLine="420" w:firstLineChars="200"/>
        <w:rPr>
          <w:rFonts w:eastAsia="宋体"/>
          <w:color w:val="auto"/>
        </w:rPr>
      </w:pPr>
      <w:r>
        <w:rPr>
          <w:rFonts w:hint="eastAsia" w:ascii="宋体" w:hAnsi="宋体" w:eastAsia="宋体"/>
          <w:color w:val="auto"/>
          <w:sz w:val="21"/>
          <w:szCs w:val="21"/>
        </w:rPr>
        <w:t>须附：被授权人身份证复印件。</w:t>
      </w:r>
    </w:p>
    <w:tbl>
      <w:tblPr>
        <w:tblStyle w:val="16"/>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232" w:type="dxa"/>
            <w:vAlign w:val="center"/>
          </w:tcPr>
          <w:p>
            <w:pPr>
              <w:pStyle w:val="27"/>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adjustRightInd/>
        <w:snapToGrid/>
        <w:spacing w:line="276" w:lineRule="auto"/>
        <w:rPr>
          <w:color w:val="auto"/>
        </w:rPr>
      </w:pPr>
      <w:bookmarkStart w:id="126" w:name="_Toc22486"/>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27" w:name="_Toc17164"/>
      <w:r>
        <w:rPr>
          <w:rFonts w:hint="eastAsia" w:ascii="宋体" w:hAnsi="宋体" w:eastAsia="宋体"/>
          <w:color w:val="auto"/>
          <w:sz w:val="21"/>
          <w:szCs w:val="21"/>
        </w:rPr>
        <w:t>附件7.资格申明</w:t>
      </w:r>
      <w:bookmarkEnd w:id="127"/>
    </w:p>
    <w:p>
      <w:pPr>
        <w:jc w:val="center"/>
        <w:rPr>
          <w:rFonts w:ascii="黑体" w:eastAsia="黑体"/>
          <w:color w:val="auto"/>
          <w:sz w:val="28"/>
          <w:szCs w:val="28"/>
        </w:rPr>
      </w:pPr>
      <w:r>
        <w:rPr>
          <w:rFonts w:hint="eastAsia" w:ascii="黑体" w:eastAsia="黑体"/>
          <w:color w:val="auto"/>
          <w:sz w:val="28"/>
          <w:szCs w:val="28"/>
        </w:rPr>
        <w:t>资格申明</w:t>
      </w:r>
    </w:p>
    <w:p>
      <w:pPr>
        <w:pStyle w:val="27"/>
        <w:spacing w:line="420" w:lineRule="atLeast"/>
        <w:ind w:firstLine="0" w:firstLineChars="0"/>
        <w:rPr>
          <w:rFonts w:ascii="宋体" w:eastAsia="宋体"/>
          <w:color w:val="auto"/>
          <w:sz w:val="21"/>
          <w:szCs w:val="21"/>
        </w:rPr>
      </w:pPr>
      <w:r>
        <w:rPr>
          <w:rFonts w:hint="eastAsia" w:ascii="宋体" w:eastAsia="宋体"/>
          <w:color w:val="auto"/>
          <w:sz w:val="21"/>
          <w:szCs w:val="21"/>
        </w:rPr>
        <w:t>三方诚信招标有限公司东莞分公司：</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我方</w:t>
      </w:r>
      <w:r>
        <w:rPr>
          <w:rFonts w:ascii="宋体" w:hAnsi="宋体" w:eastAsia="宋体"/>
          <w:color w:val="auto"/>
          <w:sz w:val="21"/>
          <w:szCs w:val="21"/>
        </w:rPr>
        <w:t>愿响应</w:t>
      </w:r>
      <w:r>
        <w:rPr>
          <w:rFonts w:hint="eastAsia" w:ascii="宋体" w:hAnsi="宋体" w:eastAsia="宋体"/>
          <w:color w:val="auto"/>
          <w:sz w:val="21"/>
          <w:szCs w:val="21"/>
        </w:rPr>
        <w:t>贵</w:t>
      </w:r>
      <w:r>
        <w:rPr>
          <w:rFonts w:ascii="宋体" w:hAnsi="宋体" w:eastAsia="宋体"/>
          <w:color w:val="auto"/>
          <w:sz w:val="21"/>
          <w:szCs w:val="21"/>
        </w:rPr>
        <w:t>方</w:t>
      </w:r>
      <w:r>
        <w:rPr>
          <w:rFonts w:hint="eastAsia" w:ascii="宋体" w:hAnsi="宋体" w:eastAsia="宋体"/>
          <w:color w:val="auto"/>
          <w:sz w:val="21"/>
          <w:szCs w:val="21"/>
        </w:rPr>
        <w:t>关于（项目名称）</w:t>
      </w:r>
      <w:r>
        <w:rPr>
          <w:rFonts w:ascii="宋体" w:hAnsi="宋体" w:eastAsia="宋体"/>
          <w:color w:val="auto"/>
          <w:sz w:val="21"/>
          <w:szCs w:val="21"/>
        </w:rPr>
        <w:t>（</w:t>
      </w:r>
      <w:r>
        <w:rPr>
          <w:rFonts w:hint="eastAsia" w:ascii="宋体" w:hAnsi="宋体" w:eastAsia="宋体"/>
          <w:color w:val="auto"/>
          <w:sz w:val="21"/>
          <w:szCs w:val="21"/>
        </w:rPr>
        <w:t>采购项目编号</w:t>
      </w:r>
      <w:r>
        <w:rPr>
          <w:rFonts w:ascii="宋体" w:hAnsi="宋体" w:eastAsia="宋体"/>
          <w:color w:val="auto"/>
          <w:sz w:val="21"/>
          <w:szCs w:val="21"/>
        </w:rPr>
        <w:t>）</w:t>
      </w:r>
      <w:r>
        <w:rPr>
          <w:rFonts w:hint="eastAsia" w:ascii="宋体" w:hAnsi="宋体" w:eastAsia="宋体"/>
          <w:color w:val="auto"/>
          <w:sz w:val="21"/>
          <w:szCs w:val="21"/>
        </w:rPr>
        <w:t>的</w:t>
      </w:r>
      <w:r>
        <w:rPr>
          <w:rFonts w:ascii="宋体" w:hAnsi="宋体" w:eastAsia="宋体"/>
          <w:color w:val="auto"/>
          <w:sz w:val="21"/>
          <w:szCs w:val="21"/>
        </w:rPr>
        <w:t>投标邀请，参与投标，提供用户需求书中规定的</w:t>
      </w:r>
      <w:r>
        <w:rPr>
          <w:rFonts w:hint="eastAsia" w:ascii="宋体" w:hAnsi="宋体" w:eastAsia="宋体"/>
          <w:color w:val="auto"/>
          <w:sz w:val="21"/>
          <w:szCs w:val="21"/>
        </w:rPr>
        <w:t>货物及相关服务</w:t>
      </w:r>
      <w:r>
        <w:rPr>
          <w:rFonts w:ascii="宋体" w:hAnsi="宋体" w:eastAsia="宋体"/>
          <w:color w:val="auto"/>
          <w:sz w:val="21"/>
          <w:szCs w:val="21"/>
        </w:rPr>
        <w:t>，并按招标文件要求提交所附资格文件且声明和保证如下：</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二、</w:t>
      </w:r>
      <w:r>
        <w:rPr>
          <w:rFonts w:ascii="宋体" w:hAnsi="宋体" w:eastAsia="宋体"/>
          <w:color w:val="auto"/>
          <w:sz w:val="21"/>
          <w:szCs w:val="21"/>
        </w:rPr>
        <w:t>我方依法注册，在法律上、财务上和运作上完全独立于（采购人名称）（采购人）及</w:t>
      </w:r>
      <w:r>
        <w:rPr>
          <w:rFonts w:hint="eastAsia" w:ascii="宋体" w:hAnsi="宋体" w:eastAsia="宋体"/>
          <w:color w:val="auto"/>
          <w:sz w:val="21"/>
          <w:szCs w:val="21"/>
        </w:rPr>
        <w:t>三方诚信招标有限公司东莞分公司</w:t>
      </w:r>
      <w:r>
        <w:rPr>
          <w:rFonts w:ascii="宋体" w:hAnsi="宋体" w:eastAsia="宋体"/>
          <w:color w:val="auto"/>
          <w:sz w:val="21"/>
          <w:szCs w:val="21"/>
        </w:rPr>
        <w:t>（采购代理机构）</w:t>
      </w:r>
      <w:r>
        <w:rPr>
          <w:rFonts w:hint="eastAsia" w:ascii="宋体" w:hAnsi="宋体" w:eastAsia="宋体"/>
          <w:color w:val="auto"/>
          <w:sz w:val="21"/>
          <w:szCs w:val="21"/>
        </w:rPr>
        <w:t>。</w:t>
      </w:r>
    </w:p>
    <w:p>
      <w:pPr>
        <w:pStyle w:val="27"/>
        <w:spacing w:line="500" w:lineRule="atLeast"/>
        <w:ind w:firstLine="3517" w:firstLineChars="1675"/>
        <w:rPr>
          <w:rFonts w:ascii="宋体" w:eastAsia="宋体"/>
          <w:color w:val="auto"/>
          <w:sz w:val="21"/>
          <w:szCs w:val="21"/>
        </w:rPr>
      </w:pPr>
    </w:p>
    <w:p>
      <w:pPr>
        <w:pStyle w:val="27"/>
        <w:spacing w:line="500" w:lineRule="atLeast"/>
        <w:ind w:firstLine="3517" w:firstLineChars="1675"/>
        <w:rPr>
          <w:rFonts w:ascii="宋体" w:eastAsia="宋体"/>
          <w:color w:val="auto"/>
          <w:sz w:val="21"/>
          <w:szCs w:val="21"/>
        </w:rPr>
      </w:pPr>
    </w:p>
    <w:p>
      <w:pPr>
        <w:pStyle w:val="27"/>
        <w:spacing w:line="500" w:lineRule="atLeast"/>
        <w:ind w:firstLine="433"/>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7"/>
        <w:spacing w:line="500" w:lineRule="atLeast"/>
        <w:ind w:firstLine="433"/>
        <w:rPr>
          <w:rFonts w:ascii="宋体" w:eastAsia="宋体"/>
          <w:color w:val="auto"/>
          <w:sz w:val="21"/>
          <w:szCs w:val="21"/>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r>
        <w:rPr>
          <w:rFonts w:hint="eastAsia" w:ascii="宋体" w:eastAsia="宋体"/>
          <w:color w:val="auto"/>
          <w:sz w:val="21"/>
          <w:szCs w:val="21"/>
        </w:rPr>
        <w:t xml:space="preserve">                        </w:t>
      </w:r>
    </w:p>
    <w:p>
      <w:pPr>
        <w:pStyle w:val="27"/>
        <w:spacing w:line="500" w:lineRule="atLeast"/>
        <w:ind w:firstLine="433"/>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7"/>
        <w:spacing w:line="500" w:lineRule="atLeast"/>
        <w:ind w:firstLine="433"/>
        <w:rPr>
          <w:rFonts w:ascii="宋体" w:eastAsia="宋体"/>
          <w:color w:val="auto"/>
          <w:sz w:val="21"/>
          <w:szCs w:val="21"/>
        </w:rPr>
      </w:pPr>
      <w:r>
        <w:rPr>
          <w:rFonts w:hint="eastAsia" w:asci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28" w:name="_Toc27839"/>
      <w:r>
        <w:rPr>
          <w:rFonts w:hint="eastAsia" w:ascii="宋体" w:hAnsi="宋体" w:eastAsia="宋体"/>
          <w:color w:val="auto"/>
          <w:sz w:val="21"/>
          <w:szCs w:val="21"/>
        </w:rPr>
        <w:t>附件8.营业执照</w:t>
      </w:r>
      <w:bookmarkEnd w:id="128"/>
    </w:p>
    <w:p>
      <w:pPr>
        <w:jc w:val="center"/>
        <w:rPr>
          <w:rFonts w:ascii="黑体" w:eastAsia="黑体"/>
          <w:color w:val="auto"/>
          <w:sz w:val="28"/>
          <w:szCs w:val="28"/>
        </w:rPr>
      </w:pPr>
      <w:bookmarkStart w:id="129" w:name="_Toc24210"/>
      <w:bookmarkStart w:id="130" w:name="_Toc1511"/>
      <w:bookmarkStart w:id="131" w:name="_Toc4926"/>
      <w:bookmarkStart w:id="132" w:name="_Toc17470"/>
      <w:bookmarkStart w:id="133" w:name="_Toc5919"/>
      <w:r>
        <w:rPr>
          <w:rFonts w:hint="eastAsia" w:ascii="黑体" w:eastAsia="黑体"/>
          <w:color w:val="auto"/>
          <w:sz w:val="28"/>
          <w:szCs w:val="28"/>
        </w:rPr>
        <w:t>营业执照</w:t>
      </w:r>
      <w:bookmarkEnd w:id="129"/>
      <w:bookmarkEnd w:id="130"/>
      <w:bookmarkEnd w:id="131"/>
      <w:bookmarkEnd w:id="132"/>
      <w:bookmarkEnd w:id="133"/>
    </w:p>
    <w:p>
      <w:pPr>
        <w:jc w:val="center"/>
        <w:rPr>
          <w:rFonts w:ascii="黑体" w:eastAsia="黑体"/>
          <w:color w:val="auto"/>
          <w:sz w:val="28"/>
          <w:szCs w:val="28"/>
        </w:rPr>
      </w:pPr>
      <w:r>
        <w:rPr>
          <w:rFonts w:hint="eastAsia" w:ascii="黑体" w:eastAsia="黑体"/>
          <w:color w:val="auto"/>
          <w:sz w:val="28"/>
          <w:szCs w:val="28"/>
        </w:rPr>
        <w:br w:type="page"/>
      </w:r>
    </w:p>
    <w:p>
      <w:pPr>
        <w:pStyle w:val="5"/>
        <w:widowControl w:val="0"/>
        <w:overflowPunct w:val="0"/>
        <w:spacing w:before="0" w:after="0" w:line="240" w:lineRule="auto"/>
        <w:rPr>
          <w:rFonts w:ascii="宋体" w:hAnsi="宋体" w:eastAsia="宋体"/>
          <w:color w:val="auto"/>
          <w:sz w:val="21"/>
          <w:szCs w:val="21"/>
        </w:rPr>
      </w:pPr>
      <w:bookmarkStart w:id="134" w:name="_Toc26141"/>
      <w:r>
        <w:rPr>
          <w:rFonts w:hint="eastAsia" w:ascii="宋体" w:hAnsi="宋体" w:eastAsia="宋体"/>
          <w:color w:val="auto"/>
          <w:sz w:val="21"/>
          <w:szCs w:val="21"/>
        </w:rPr>
        <w:t>附件9.相关资质证明文件</w:t>
      </w:r>
      <w:bookmarkEnd w:id="134"/>
    </w:p>
    <w:p>
      <w:pPr>
        <w:rPr>
          <w:color w:val="auto"/>
        </w:rPr>
      </w:pPr>
    </w:p>
    <w:p>
      <w:pPr>
        <w:jc w:val="center"/>
        <w:rPr>
          <w:rFonts w:ascii="黑体" w:eastAsia="黑体"/>
          <w:color w:val="auto"/>
          <w:sz w:val="28"/>
          <w:szCs w:val="28"/>
        </w:rPr>
      </w:pPr>
      <w:bookmarkStart w:id="135" w:name="_Toc16698"/>
      <w:bookmarkStart w:id="136" w:name="_Toc30307"/>
      <w:bookmarkStart w:id="137" w:name="_Toc16233"/>
      <w:bookmarkStart w:id="138" w:name="_Toc9592"/>
      <w:bookmarkStart w:id="139" w:name="_Toc13458"/>
      <w:r>
        <w:rPr>
          <w:rFonts w:hint="eastAsia" w:ascii="黑体" w:eastAsia="黑体"/>
          <w:color w:val="auto"/>
          <w:sz w:val="28"/>
          <w:szCs w:val="28"/>
        </w:rPr>
        <w:t>相关资质证明文件</w:t>
      </w:r>
      <w:bookmarkEnd w:id="126"/>
      <w:bookmarkEnd w:id="135"/>
      <w:bookmarkEnd w:id="136"/>
      <w:bookmarkEnd w:id="137"/>
      <w:bookmarkEnd w:id="138"/>
      <w:bookmarkEnd w:id="139"/>
    </w:p>
    <w:p>
      <w:pPr>
        <w:jc w:val="center"/>
        <w:rPr>
          <w:rFonts w:ascii="黑体" w:eastAsia="黑体"/>
          <w:color w:val="auto"/>
          <w:sz w:val="28"/>
          <w:szCs w:val="28"/>
        </w:rPr>
      </w:pPr>
      <w:r>
        <w:rPr>
          <w:rFonts w:hint="eastAsia" w:ascii="黑体" w:eastAsia="黑体"/>
          <w:color w:val="auto"/>
          <w:sz w:val="28"/>
          <w:szCs w:val="28"/>
        </w:rPr>
        <w:br w:type="page"/>
      </w:r>
    </w:p>
    <w:p>
      <w:pPr>
        <w:pStyle w:val="5"/>
        <w:widowControl w:val="0"/>
        <w:overflowPunct w:val="0"/>
        <w:spacing w:before="0" w:after="0" w:line="240" w:lineRule="auto"/>
        <w:rPr>
          <w:rFonts w:ascii="宋体" w:hAnsi="宋体" w:eastAsia="宋体"/>
          <w:color w:val="auto"/>
          <w:sz w:val="21"/>
          <w:szCs w:val="21"/>
        </w:rPr>
      </w:pPr>
      <w:bookmarkStart w:id="140" w:name="_Toc17618"/>
      <w:r>
        <w:rPr>
          <w:rFonts w:hint="eastAsia" w:ascii="宋体" w:hAnsi="宋体" w:eastAsia="宋体"/>
          <w:color w:val="auto"/>
          <w:sz w:val="21"/>
          <w:szCs w:val="21"/>
        </w:rPr>
        <w:t>附件10. 商务条款偏离表格式</w:t>
      </w:r>
      <w:bookmarkEnd w:id="140"/>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商务条款偏离表</w:t>
      </w:r>
    </w:p>
    <w:tbl>
      <w:tblPr>
        <w:tblStyle w:val="16"/>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62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服务项目名称</w:t>
            </w:r>
          </w:p>
        </w:tc>
        <w:tc>
          <w:tcPr>
            <w:tcW w:w="136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587"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133"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73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p>
    <w:p>
      <w:pPr>
        <w:ind w:left="718" w:hanging="718" w:hangingChars="342"/>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1、投标人应对照招标文件商务要求，说明已对招标文件的商务内容做出了实质性的响应。</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2、商务条款包括但不限于合格投标人资格、付款方式、履约保证金、完工期、售后服务、检验及验收、保险、争端的解决等要求。</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若文件有具体要求的，应按照文件要求进行逐一响应，并提供相应的证明材料</w:t>
      </w:r>
      <w:r>
        <w:rPr>
          <w:rFonts w:hint="eastAsia" w:ascii="宋体" w:hAnsi="宋体" w:eastAsia="宋体"/>
          <w:color w:val="auto"/>
          <w:sz w:val="21"/>
          <w:szCs w:val="21"/>
        </w:rPr>
        <w:t>。</w:t>
      </w: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r>
        <w:rPr>
          <w:color w:val="auto"/>
        </w:rPr>
        <w:br w:type="page"/>
      </w:r>
    </w:p>
    <w:p>
      <w:pPr>
        <w:pStyle w:val="5"/>
        <w:widowControl w:val="0"/>
        <w:overflowPunct w:val="0"/>
        <w:spacing w:before="0" w:after="0" w:line="240" w:lineRule="auto"/>
        <w:rPr>
          <w:rFonts w:ascii="宋体" w:hAnsi="宋体" w:eastAsia="宋体"/>
          <w:color w:val="auto"/>
          <w:sz w:val="21"/>
          <w:szCs w:val="21"/>
        </w:rPr>
      </w:pPr>
      <w:bookmarkStart w:id="141" w:name="_Toc32183"/>
      <w:r>
        <w:rPr>
          <w:rFonts w:hint="eastAsia" w:ascii="宋体" w:hAnsi="宋体" w:eastAsia="宋体"/>
          <w:color w:val="auto"/>
          <w:sz w:val="21"/>
          <w:szCs w:val="21"/>
        </w:rPr>
        <w:t>附件11. 技术规格偏离表格式</w:t>
      </w:r>
      <w:bookmarkEnd w:id="141"/>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技术规格偏离表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902" w:type="dxa"/>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技术规格</w:t>
            </w:r>
          </w:p>
        </w:tc>
        <w:tc>
          <w:tcPr>
            <w:tcW w:w="137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62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23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544"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ind w:firstLine="178" w:firstLineChars="85"/>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1、偏离项中填写“正”、“负”或“无”，说明项中填写原因。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2、投标人应对照招标文件技术规格，说明所提供服务已对招标文件的技术规格做出实质性的响应，并申明与技术规格条文的偏差和例外。特别对有具体参数要求的指标，投标人必须提供所投设备的具体参数值。</w:t>
      </w:r>
    </w:p>
    <w:p>
      <w:pPr>
        <w:spacing w:after="0" w:line="360" w:lineRule="auto"/>
        <w:rPr>
          <w:rFonts w:ascii="宋体" w:hAnsi="宋体" w:eastAsia="宋体"/>
          <w:color w:val="auto"/>
          <w:sz w:val="21"/>
          <w:szCs w:val="21"/>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rPr>
          <w:rFonts w:ascii="宋体" w:hAnsi="宋体" w:eastAsia="宋体"/>
          <w:color w:val="auto"/>
          <w:sz w:val="21"/>
          <w:szCs w:val="21"/>
        </w:rPr>
      </w:pPr>
      <w:bookmarkStart w:id="142" w:name="_Toc17691"/>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s="Times New Roman"/>
          <w:b w:val="0"/>
          <w:bCs w:val="0"/>
          <w:color w:val="auto"/>
          <w:sz w:val="32"/>
          <w:szCs w:val="32"/>
        </w:rPr>
      </w:pPr>
      <w:bookmarkStart w:id="143" w:name="_Toc29613"/>
      <w:r>
        <w:rPr>
          <w:rFonts w:hint="eastAsia" w:ascii="宋体" w:hAnsi="宋体" w:eastAsia="宋体"/>
          <w:color w:val="auto"/>
          <w:sz w:val="21"/>
          <w:szCs w:val="21"/>
        </w:rPr>
        <w:t>附件12.重要技术参数（▲）响应表</w:t>
      </w:r>
      <w:bookmarkEnd w:id="142"/>
      <w:bookmarkEnd w:id="143"/>
    </w:p>
    <w:p>
      <w:pPr>
        <w:jc w:val="center"/>
        <w:rPr>
          <w:rFonts w:ascii="黑体" w:eastAsia="黑体"/>
          <w:color w:val="auto"/>
          <w:sz w:val="28"/>
          <w:szCs w:val="28"/>
        </w:rPr>
      </w:pPr>
      <w:bookmarkStart w:id="144" w:name="_Toc1274"/>
      <w:bookmarkStart w:id="145" w:name="_Toc4827"/>
      <w:bookmarkStart w:id="146" w:name="_Toc6080"/>
      <w:bookmarkStart w:id="147" w:name="_Toc18668"/>
      <w:bookmarkStart w:id="148" w:name="_Toc26078"/>
      <w:bookmarkStart w:id="149" w:name="_Toc4464"/>
    </w:p>
    <w:p>
      <w:pPr>
        <w:jc w:val="center"/>
        <w:rPr>
          <w:rFonts w:ascii="黑体" w:eastAsia="黑体"/>
          <w:color w:val="auto"/>
          <w:sz w:val="28"/>
          <w:szCs w:val="28"/>
        </w:rPr>
      </w:pPr>
      <w:r>
        <w:rPr>
          <w:rFonts w:hint="eastAsia" w:ascii="黑体" w:eastAsia="黑体"/>
          <w:color w:val="auto"/>
          <w:sz w:val="28"/>
          <w:szCs w:val="28"/>
        </w:rPr>
        <w:t>重要技术参数（▲）响应表</w:t>
      </w:r>
      <w:bookmarkEnd w:id="144"/>
      <w:bookmarkEnd w:id="145"/>
      <w:bookmarkEnd w:id="146"/>
      <w:bookmarkEnd w:id="147"/>
      <w:bookmarkEnd w:id="148"/>
      <w:bookmarkEnd w:id="149"/>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bookmarkStart w:id="150" w:name="_Toc2700"/>
            <w:bookmarkStart w:id="151" w:name="_Toc22448"/>
            <w:bookmarkStart w:id="152" w:name="_Toc27090"/>
            <w:bookmarkStart w:id="153" w:name="_Toc16872"/>
            <w:bookmarkStart w:id="154" w:name="_Toc14815"/>
            <w:bookmarkStart w:id="155" w:name="_Toc12049"/>
            <w:bookmarkStart w:id="156" w:name="_Toc4304"/>
            <w:bookmarkStart w:id="157" w:name="_Toc10045"/>
            <w:bookmarkStart w:id="158" w:name="_Toc15903"/>
            <w:bookmarkStart w:id="159" w:name="_Toc21739"/>
            <w:r>
              <w:rPr>
                <w:rFonts w:hint="eastAsia" w:ascii="宋体" w:hAnsi="宋体" w:eastAsia="宋体" w:cs="Times New Roman"/>
                <w:color w:val="auto"/>
                <w:sz w:val="21"/>
                <w:szCs w:val="21"/>
              </w:rPr>
              <w:t>技术参数（▲）</w:t>
            </w:r>
            <w:bookmarkEnd w:id="150"/>
            <w:bookmarkEnd w:id="151"/>
            <w:bookmarkEnd w:id="152"/>
            <w:bookmarkEnd w:id="153"/>
            <w:bookmarkEnd w:id="154"/>
            <w:bookmarkEnd w:id="155"/>
            <w:bookmarkEnd w:id="156"/>
            <w:bookmarkEnd w:id="157"/>
            <w:bookmarkEnd w:id="158"/>
            <w:bookmarkEnd w:id="159"/>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bookmarkStart w:id="160" w:name="_Toc7333"/>
            <w:bookmarkStart w:id="161" w:name="_Toc19251"/>
            <w:bookmarkStart w:id="162" w:name="_Toc8490"/>
            <w:bookmarkStart w:id="163" w:name="_Toc8312"/>
            <w:bookmarkStart w:id="164" w:name="_Toc32531"/>
            <w:bookmarkStart w:id="165" w:name="_Toc22917"/>
            <w:bookmarkStart w:id="166" w:name="_Toc21809"/>
            <w:bookmarkStart w:id="167" w:name="_Toc22879"/>
            <w:bookmarkStart w:id="168" w:name="_Toc27442"/>
            <w:bookmarkStart w:id="169" w:name="_Toc24662"/>
            <w:r>
              <w:rPr>
                <w:rFonts w:hint="eastAsia" w:ascii="宋体" w:hAnsi="宋体" w:eastAsia="宋体" w:cs="Times New Roman"/>
                <w:color w:val="auto"/>
                <w:sz w:val="21"/>
                <w:szCs w:val="21"/>
              </w:rPr>
              <w:t>是否响应</w:t>
            </w:r>
            <w:bookmarkEnd w:id="160"/>
            <w:bookmarkEnd w:id="161"/>
            <w:bookmarkEnd w:id="162"/>
            <w:bookmarkEnd w:id="163"/>
            <w:bookmarkEnd w:id="164"/>
            <w:bookmarkEnd w:id="165"/>
            <w:bookmarkEnd w:id="166"/>
            <w:bookmarkEnd w:id="167"/>
            <w:bookmarkEnd w:id="168"/>
            <w:bookmarkEnd w:id="169"/>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bookmarkStart w:id="170" w:name="_Toc1330"/>
            <w:bookmarkStart w:id="171" w:name="_Toc3701"/>
            <w:bookmarkStart w:id="172" w:name="_Toc1912"/>
            <w:bookmarkStart w:id="173" w:name="_Toc17296"/>
            <w:bookmarkStart w:id="174" w:name="_Toc27185"/>
            <w:bookmarkStart w:id="175" w:name="_Toc5563"/>
            <w:bookmarkStart w:id="176" w:name="_Toc5992"/>
            <w:bookmarkStart w:id="177" w:name="_Toc20820"/>
            <w:bookmarkStart w:id="178" w:name="_Toc20139"/>
            <w:bookmarkStart w:id="179" w:name="_Toc17642"/>
            <w:r>
              <w:rPr>
                <w:rFonts w:hint="eastAsia" w:ascii="宋体" w:hAnsi="宋体" w:eastAsia="宋体" w:cs="Times New Roman"/>
                <w:color w:val="auto"/>
                <w:sz w:val="21"/>
                <w:szCs w:val="21"/>
              </w:rPr>
              <w:t>页码范围</w:t>
            </w:r>
            <w:bookmarkEnd w:id="170"/>
            <w:bookmarkEnd w:id="171"/>
            <w:bookmarkEnd w:id="172"/>
            <w:bookmarkEnd w:id="173"/>
            <w:bookmarkEnd w:id="174"/>
            <w:bookmarkEnd w:id="175"/>
            <w:bookmarkEnd w:id="176"/>
            <w:bookmarkEnd w:id="177"/>
            <w:bookmarkEnd w:id="178"/>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rPr>
            </w:pPr>
          </w:p>
        </w:tc>
      </w:tr>
    </w:tbl>
    <w:p>
      <w:pPr>
        <w:pStyle w:val="24"/>
        <w:spacing w:after="0" w:line="360" w:lineRule="auto"/>
        <w:rPr>
          <w:rFonts w:ascii="宋体" w:hAnsi="宋体" w:eastAsia="宋体"/>
          <w:color w:val="auto"/>
          <w:sz w:val="21"/>
          <w:szCs w:val="21"/>
        </w:rPr>
      </w:pPr>
    </w:p>
    <w:p>
      <w:pPr>
        <w:pStyle w:val="24"/>
        <w:spacing w:after="0"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10"/>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4"/>
        <w:numPr>
          <w:ilvl w:val="0"/>
          <w:numId w:val="10"/>
        </w:numPr>
        <w:spacing w:after="0" w:line="360" w:lineRule="auto"/>
        <w:ind w:firstLine="422"/>
        <w:rPr>
          <w:rFonts w:ascii="宋体" w:hAnsi="宋体" w:eastAsia="宋体"/>
          <w:b/>
          <w:bCs/>
          <w:color w:val="auto"/>
          <w:sz w:val="21"/>
          <w:szCs w:val="21"/>
        </w:rPr>
      </w:pPr>
      <w:r>
        <w:rPr>
          <w:rFonts w:hint="eastAsia" w:ascii="宋体" w:hAnsi="宋体" w:eastAsia="宋体"/>
          <w:b/>
          <w:bCs/>
          <w:color w:val="auto"/>
          <w:sz w:val="21"/>
          <w:szCs w:val="21"/>
        </w:rPr>
        <w:t>投标人可按项目的实际需要提供本表格。招标文件内未涉及▲参数的，此表可以不用提供。</w:t>
      </w:r>
    </w:p>
    <w:p>
      <w:pPr>
        <w:pStyle w:val="24"/>
        <w:numPr>
          <w:ilvl w:val="0"/>
          <w:numId w:val="10"/>
        </w:numPr>
        <w:spacing w:after="0" w:line="360" w:lineRule="auto"/>
        <w:rPr>
          <w:rFonts w:ascii="宋体" w:hAnsi="宋体" w:eastAsia="宋体"/>
          <w:color w:val="auto"/>
          <w:sz w:val="21"/>
          <w:szCs w:val="21"/>
        </w:rPr>
      </w:pPr>
      <w:r>
        <w:rPr>
          <w:rFonts w:hint="eastAsia" w:ascii="宋体" w:hAnsi="宋体" w:eastAsia="宋体"/>
          <w:color w:val="auto"/>
          <w:sz w:val="21"/>
          <w:szCs w:val="21"/>
        </w:rPr>
        <w:t>响应表所列出的材料应为真实准确的，若文件需要，应提供相关证明材料复印件加盖公章。请勿提供虚假、过期材料，否则将依据相关规定严肃处理</w:t>
      </w:r>
    </w:p>
    <w:p>
      <w:pPr>
        <w:pStyle w:val="24"/>
        <w:numPr>
          <w:ilvl w:val="0"/>
          <w:numId w:val="10"/>
        </w:numPr>
        <w:spacing w:after="0" w:line="360" w:lineRule="auto"/>
        <w:rPr>
          <w:rFonts w:ascii="宋体" w:hAnsi="宋体" w:eastAsia="宋体"/>
          <w:color w:val="auto"/>
          <w:sz w:val="21"/>
          <w:szCs w:val="21"/>
        </w:rPr>
      </w:pPr>
      <w:r>
        <w:rPr>
          <w:rFonts w:hint="eastAsia" w:ascii="宋体" w:hAnsi="宋体" w:eastAsia="宋体"/>
          <w:color w:val="auto"/>
          <w:sz w:val="21"/>
          <w:szCs w:val="21"/>
        </w:rPr>
        <w:t>若招标文件有需求，投标文件未提供重要技术参数（</w:t>
      </w:r>
      <w:r>
        <w:rPr>
          <w:rFonts w:hint="eastAsia" w:ascii="宋体" w:hAnsi="宋体" w:eastAsia="宋体" w:cs="Times New Roman"/>
          <w:color w:val="auto"/>
          <w:sz w:val="21"/>
          <w:szCs w:val="21"/>
        </w:rPr>
        <w:t>▲</w:t>
      </w:r>
      <w:r>
        <w:rPr>
          <w:rFonts w:hint="eastAsia" w:ascii="宋体" w:hAnsi="宋体" w:eastAsia="宋体"/>
          <w:color w:val="auto"/>
          <w:sz w:val="21"/>
          <w:szCs w:val="21"/>
        </w:rPr>
        <w:t>）响应表对投标人投标产生负面影响的，投标人自行承担后果。</w:t>
      </w:r>
    </w:p>
    <w:p>
      <w:pPr>
        <w:pStyle w:val="24"/>
        <w:numPr>
          <w:ilvl w:val="0"/>
          <w:numId w:val="10"/>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30"/>
          <w:szCs w:val="30"/>
        </w:rPr>
      </w:pPr>
      <w:bookmarkStart w:id="180" w:name="_Toc27674"/>
      <w:r>
        <w:rPr>
          <w:rFonts w:hint="eastAsia" w:ascii="宋体" w:hAnsi="宋体" w:eastAsia="宋体"/>
          <w:color w:val="auto"/>
          <w:sz w:val="21"/>
          <w:szCs w:val="21"/>
        </w:rPr>
        <w:t>附件13.业绩表</w:t>
      </w:r>
      <w:bookmarkEnd w:id="180"/>
    </w:p>
    <w:p>
      <w:pPr>
        <w:jc w:val="center"/>
        <w:rPr>
          <w:rFonts w:ascii="黑体" w:eastAsia="黑体"/>
          <w:color w:val="auto"/>
          <w:sz w:val="28"/>
          <w:szCs w:val="28"/>
        </w:rPr>
      </w:pPr>
      <w:r>
        <w:rPr>
          <w:rFonts w:hint="eastAsia" w:ascii="黑体" w:eastAsia="黑体"/>
          <w:color w:val="auto"/>
          <w:sz w:val="28"/>
          <w:szCs w:val="28"/>
        </w:rPr>
        <w:t>业绩表</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706"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项目金额</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项目合同签订时间</w:t>
            </w:r>
          </w:p>
        </w:tc>
        <w:tc>
          <w:tcPr>
            <w:tcW w:w="1697"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706"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697" w:type="dxa"/>
            <w:vAlign w:val="center"/>
          </w:tcPr>
          <w:p>
            <w:pPr>
              <w:adjustRightInd/>
              <w:snapToGrid/>
              <w:spacing w:after="0"/>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bl>
    <w:p>
      <w:pPr>
        <w:pStyle w:val="24"/>
        <w:spacing w:after="0"/>
        <w:rPr>
          <w:rFonts w:ascii="宋体" w:hAnsi="宋体" w:eastAsia="宋体"/>
          <w:color w:val="auto"/>
          <w:sz w:val="21"/>
          <w:szCs w:val="21"/>
        </w:rPr>
      </w:pPr>
    </w:p>
    <w:p>
      <w:pPr>
        <w:pStyle w:val="24"/>
        <w:spacing w:after="0"/>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4"/>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业绩表所列出的材料应为真实准确的，并应提供相关证明材料复印件加盖公章。请勿提供虚假、过期材料，否则将依据相关规定严肃处理。</w:t>
      </w:r>
    </w:p>
    <w:p>
      <w:pPr>
        <w:pStyle w:val="24"/>
        <w:numPr>
          <w:ilvl w:val="0"/>
          <w:numId w:val="11"/>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81" w:name="_Toc7860"/>
      <w:r>
        <w:rPr>
          <w:rFonts w:hint="eastAsia" w:ascii="宋体" w:hAnsi="宋体" w:eastAsia="宋体"/>
          <w:color w:val="auto"/>
          <w:sz w:val="21"/>
          <w:szCs w:val="21"/>
        </w:rPr>
        <w:t>附件14. 项目实施方案格式</w:t>
      </w:r>
      <w:bookmarkEnd w:id="181"/>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项目实施方案</w:t>
      </w:r>
    </w:p>
    <w:p>
      <w:pPr>
        <w:jc w:val="center"/>
        <w:rPr>
          <w:rFonts w:ascii="黑体" w:eastAsia="黑体"/>
          <w:color w:val="auto"/>
          <w:sz w:val="32"/>
          <w:szCs w:val="32"/>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1、为完成本项目投标人临时投入的设备</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4、售后服务方案</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5、..........</w:t>
      </w:r>
    </w:p>
    <w:p>
      <w:pPr>
        <w:spacing w:after="0" w:line="360" w:lineRule="auto"/>
        <w:ind w:left="738" w:leftChars="200" w:hanging="298" w:hangingChars="142"/>
        <w:rPr>
          <w:rFonts w:ascii="宋体" w:hAnsi="宋体" w:eastAsia="宋体" w:cs="Times New Roman"/>
          <w:color w:val="auto"/>
          <w:sz w:val="21"/>
          <w:szCs w:val="21"/>
        </w:rPr>
      </w:pPr>
      <w:r>
        <w:rPr>
          <w:rFonts w:hint="eastAsia" w:ascii="宋体" w:hAnsi="宋体" w:eastAsia="宋体"/>
          <w:color w:val="auto"/>
          <w:sz w:val="21"/>
          <w:szCs w:val="21"/>
        </w:rPr>
        <w:t>自行编写。</w:t>
      </w: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82" w:name="_Toc8596"/>
      <w:r>
        <w:rPr>
          <w:rFonts w:hint="eastAsia" w:ascii="宋体" w:hAnsi="宋体" w:eastAsia="宋体"/>
          <w:color w:val="auto"/>
          <w:sz w:val="21"/>
          <w:szCs w:val="21"/>
        </w:rPr>
        <w:t>附件15. 实施本项目的有关人员资料表格式</w:t>
      </w:r>
      <w:bookmarkEnd w:id="182"/>
    </w:p>
    <w:p>
      <w:pPr>
        <w:jc w:val="center"/>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实施本项目的有关人员资料表</w:t>
      </w:r>
    </w:p>
    <w:tbl>
      <w:tblPr>
        <w:tblStyle w:val="16"/>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序号</w:t>
            </w:r>
          </w:p>
        </w:tc>
        <w:tc>
          <w:tcPr>
            <w:tcW w:w="82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姓名</w:t>
            </w: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本项目拟任岗位</w:t>
            </w:r>
          </w:p>
        </w:tc>
        <w:tc>
          <w:tcPr>
            <w:tcW w:w="76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性别</w:t>
            </w:r>
          </w:p>
        </w:tc>
        <w:tc>
          <w:tcPr>
            <w:tcW w:w="70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年龄</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技术职称</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专 业</w:t>
            </w:r>
          </w:p>
        </w:tc>
        <w:tc>
          <w:tcPr>
            <w:tcW w:w="78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资质证书</w:t>
            </w:r>
          </w:p>
        </w:tc>
        <w:tc>
          <w:tcPr>
            <w:tcW w:w="1090" w:type="dxa"/>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bl>
    <w:p>
      <w:pPr>
        <w:ind w:firstLine="178" w:firstLineChars="85"/>
        <w:rPr>
          <w:rFonts w:ascii="宋体" w:hAnsi="宋体" w:eastAsia="宋体"/>
          <w:color w:val="auto"/>
          <w:sz w:val="21"/>
          <w:szCs w:val="21"/>
        </w:rPr>
      </w:pPr>
    </w:p>
    <w:p>
      <w:pPr>
        <w:ind w:firstLine="178" w:firstLineChars="85"/>
        <w:rPr>
          <w:rFonts w:ascii="宋体" w:hAnsi="宋体" w:eastAsia="宋体"/>
          <w:color w:val="auto"/>
          <w:sz w:val="21"/>
          <w:szCs w:val="21"/>
        </w:rPr>
      </w:pPr>
      <w:r>
        <w:rPr>
          <w:rFonts w:hint="eastAsia" w:ascii="宋体" w:hAnsi="宋体" w:eastAsia="宋体"/>
          <w:color w:val="auto"/>
          <w:sz w:val="21"/>
          <w:szCs w:val="21"/>
        </w:rPr>
        <w:t>附有关证明文件（复印件加盖公章）</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投标人代表签字：</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12"/>
        </w:numPr>
        <w:ind w:firstLineChars="0"/>
        <w:rPr>
          <w:rFonts w:ascii="宋体" w:hAnsi="宋体" w:eastAsia="宋体"/>
          <w:color w:val="auto"/>
          <w:sz w:val="21"/>
          <w:szCs w:val="21"/>
        </w:rPr>
      </w:pPr>
      <w:r>
        <w:rPr>
          <w:rFonts w:hint="eastAsia" w:ascii="宋体" w:hAnsi="宋体" w:eastAsia="宋体"/>
          <w:color w:val="auto"/>
          <w:sz w:val="21"/>
          <w:szCs w:val="21"/>
        </w:rPr>
        <w:t>投标人可按项目的实际需要</w:t>
      </w:r>
      <w:r>
        <w:rPr>
          <w:rFonts w:hint="eastAsia" w:ascii="宋体" w:hAnsi="宋体" w:eastAsia="宋体"/>
          <w:color w:val="auto"/>
          <w:sz w:val="21"/>
          <w:szCs w:val="21"/>
          <w:lang w:eastAsia="zh-CN"/>
        </w:rPr>
        <w:t>或招标文件的要求</w:t>
      </w:r>
      <w:r>
        <w:rPr>
          <w:rFonts w:hint="eastAsia" w:ascii="宋体" w:hAnsi="宋体" w:eastAsia="宋体"/>
          <w:color w:val="auto"/>
          <w:sz w:val="21"/>
          <w:szCs w:val="21"/>
        </w:rPr>
        <w:t>提供本表格。</w:t>
      </w:r>
    </w:p>
    <w:p>
      <w:pPr>
        <w:pStyle w:val="24"/>
        <w:numPr>
          <w:ilvl w:val="0"/>
          <w:numId w:val="12"/>
        </w:numPr>
        <w:ind w:firstLineChars="0"/>
        <w:rPr>
          <w:rFonts w:ascii="宋体" w:hAnsi="宋体" w:eastAsia="宋体" w:cs="Times New Roman"/>
          <w:color w:val="auto"/>
          <w:sz w:val="21"/>
          <w:szCs w:val="21"/>
        </w:rPr>
      </w:pPr>
      <w:r>
        <w:rPr>
          <w:rFonts w:hint="eastAsia" w:ascii="宋体" w:hAnsi="宋体" w:eastAsia="宋体"/>
          <w:color w:val="auto"/>
          <w:sz w:val="21"/>
          <w:szCs w:val="21"/>
        </w:rPr>
        <w:t>该表格为参考格式，投标人可按实际情况自行制订。</w:t>
      </w:r>
    </w:p>
    <w:p>
      <w:pPr>
        <w:pStyle w:val="24"/>
        <w:numPr>
          <w:ilvl w:val="0"/>
          <w:numId w:val="12"/>
        </w:numPr>
        <w:ind w:firstLineChars="0"/>
        <w:rPr>
          <w:rFonts w:ascii="宋体" w:hAnsi="宋体" w:eastAsia="宋体" w:cs="Times New Roman"/>
          <w:color w:val="auto"/>
          <w:sz w:val="21"/>
          <w:szCs w:val="21"/>
        </w:rPr>
      </w:pPr>
      <w:r>
        <w:rPr>
          <w:rFonts w:hint="eastAsia" w:ascii="宋体" w:hAnsi="宋体" w:eastAsia="宋体"/>
          <w:color w:val="auto"/>
          <w:sz w:val="21"/>
          <w:szCs w:val="21"/>
          <w:lang w:eastAsia="zh-CN"/>
        </w:rPr>
        <w:t>如本项目不涉及此表内容，则无需提供此表。</w:t>
      </w: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183" w:name="_Toc21598"/>
      <w:r>
        <w:rPr>
          <w:rFonts w:hint="eastAsia" w:ascii="宋体" w:hAnsi="宋体" w:eastAsia="宋体"/>
          <w:color w:val="auto"/>
          <w:sz w:val="21"/>
          <w:szCs w:val="21"/>
        </w:rPr>
        <w:t>附件16.投标货物说明一览表格式</w:t>
      </w:r>
      <w:bookmarkEnd w:id="183"/>
    </w:p>
    <w:p>
      <w:pPr>
        <w:jc w:val="center"/>
        <w:rPr>
          <w:rFonts w:ascii="黑体" w:eastAsia="黑体"/>
          <w:color w:val="auto"/>
          <w:sz w:val="28"/>
          <w:szCs w:val="28"/>
        </w:rPr>
      </w:pPr>
    </w:p>
    <w:p>
      <w:pPr>
        <w:jc w:val="center"/>
        <w:rPr>
          <w:rFonts w:ascii="黑体" w:eastAsia="黑体" w:cs="Times New Roman"/>
          <w:color w:val="auto"/>
          <w:sz w:val="28"/>
          <w:szCs w:val="28"/>
        </w:rPr>
      </w:pPr>
      <w:r>
        <w:rPr>
          <w:rFonts w:hint="eastAsia" w:ascii="黑体" w:eastAsia="黑体" w:cs="Times New Roman"/>
          <w:color w:val="auto"/>
          <w:sz w:val="28"/>
          <w:szCs w:val="28"/>
        </w:rPr>
        <w:t>投标货物说明一览表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75"/>
        <w:gridCol w:w="1618"/>
        <w:gridCol w:w="1217"/>
        <w:gridCol w:w="165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序号</w:t>
            </w:r>
          </w:p>
        </w:tc>
        <w:tc>
          <w:tcPr>
            <w:tcW w:w="177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货物名称</w:t>
            </w:r>
          </w:p>
        </w:tc>
        <w:tc>
          <w:tcPr>
            <w:tcW w:w="1618"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规格型号</w:t>
            </w:r>
          </w:p>
        </w:tc>
        <w:tc>
          <w:tcPr>
            <w:tcW w:w="1217"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数量</w:t>
            </w:r>
          </w:p>
        </w:tc>
        <w:tc>
          <w:tcPr>
            <w:tcW w:w="1656"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单价</w:t>
            </w:r>
          </w:p>
        </w:tc>
        <w:tc>
          <w:tcPr>
            <w:tcW w:w="130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bl>
    <w:p>
      <w:pPr>
        <w:spacing w:after="0"/>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投标人代表签字：</w:t>
      </w: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投标人盖章：</w:t>
      </w:r>
    </w:p>
    <w:p>
      <w:pPr>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注：</w:t>
      </w:r>
    </w:p>
    <w:p>
      <w:pPr>
        <w:pStyle w:val="24"/>
        <w:ind w:firstLine="0" w:firstLineChars="0"/>
        <w:rPr>
          <w:rFonts w:ascii="宋体" w:hAnsi="宋体" w:eastAsia="宋体"/>
          <w:color w:val="auto"/>
          <w:sz w:val="21"/>
          <w:szCs w:val="21"/>
        </w:rPr>
      </w:pPr>
      <w:r>
        <w:rPr>
          <w:rFonts w:hint="eastAsia" w:ascii="宋体" w:hAnsi="宋体" w:eastAsia="宋体"/>
          <w:color w:val="auto"/>
          <w:sz w:val="21"/>
          <w:szCs w:val="21"/>
        </w:rPr>
        <w:t>1、投标人可按项目的实际需要提供本表格。</w:t>
      </w:r>
    </w:p>
    <w:p>
      <w:pPr>
        <w:pStyle w:val="24"/>
        <w:ind w:firstLine="0" w:firstLineChars="0"/>
        <w:rPr>
          <w:rFonts w:hint="eastAsia" w:ascii="宋体" w:hAnsi="宋体" w:eastAsia="宋体"/>
          <w:color w:val="auto"/>
          <w:sz w:val="21"/>
          <w:szCs w:val="21"/>
        </w:rPr>
      </w:pPr>
      <w:r>
        <w:rPr>
          <w:rFonts w:hint="eastAsia" w:ascii="宋体" w:hAnsi="宋体" w:eastAsia="宋体"/>
          <w:color w:val="auto"/>
          <w:sz w:val="21"/>
          <w:szCs w:val="21"/>
        </w:rPr>
        <w:t>2、该表格为参考格式，投标人可按实际情况自行制订。</w:t>
      </w:r>
    </w:p>
    <w:p>
      <w:pPr>
        <w:pStyle w:val="24"/>
        <w:ind w:firstLine="0" w:firstLineChars="0"/>
        <w:rPr>
          <w:rFonts w:ascii="宋体" w:hAnsi="宋体" w:eastAsia="宋体"/>
          <w:color w:val="auto"/>
          <w:sz w:val="21"/>
          <w:szCs w:val="21"/>
        </w:rPr>
      </w:pPr>
      <w:r>
        <w:rPr>
          <w:rFonts w:hint="eastAsia" w:ascii="宋体" w:hAnsi="宋体" w:eastAsia="宋体"/>
          <w:color w:val="auto"/>
          <w:sz w:val="21"/>
          <w:szCs w:val="21"/>
        </w:rPr>
        <w:t>3、如本项目不涉及此表内容，则无需提供此表。</w:t>
      </w:r>
      <w:r>
        <w:rPr>
          <w:rFonts w:hint="eastAsia" w:ascii="宋体" w:hAnsi="宋体" w:eastAsia="宋体"/>
          <w:color w:val="auto"/>
          <w:sz w:val="21"/>
          <w:szCs w:val="21"/>
        </w:rPr>
        <w:br w:type="page"/>
      </w:r>
    </w:p>
    <w:p>
      <w:pPr>
        <w:pStyle w:val="5"/>
        <w:widowControl w:val="0"/>
        <w:overflowPunct w:val="0"/>
        <w:spacing w:before="0" w:after="0" w:line="240" w:lineRule="auto"/>
        <w:rPr>
          <w:rFonts w:ascii="楷体_GB2312" w:eastAsia="楷体_GB2312"/>
          <w:color w:val="auto"/>
          <w:sz w:val="24"/>
        </w:rPr>
      </w:pPr>
      <w:bookmarkStart w:id="184" w:name="_Toc10094"/>
      <w:r>
        <w:rPr>
          <w:rFonts w:hint="eastAsia" w:ascii="宋体" w:hAnsi="宋体" w:eastAsia="宋体"/>
          <w:color w:val="auto"/>
          <w:sz w:val="21"/>
          <w:szCs w:val="21"/>
        </w:rPr>
        <w:t>附件17.在经营活动中没有重大违法记录的书面声明格式</w:t>
      </w:r>
      <w:bookmarkEnd w:id="184"/>
    </w:p>
    <w:p>
      <w:pPr>
        <w:rPr>
          <w:color w:val="auto"/>
        </w:rPr>
      </w:pPr>
    </w:p>
    <w:p>
      <w:pPr>
        <w:jc w:val="center"/>
        <w:rPr>
          <w:rFonts w:ascii="黑体" w:eastAsia="黑体"/>
          <w:color w:val="auto"/>
          <w:sz w:val="28"/>
          <w:szCs w:val="28"/>
        </w:rPr>
      </w:pPr>
      <w:r>
        <w:rPr>
          <w:rFonts w:hint="eastAsia" w:ascii="黑体" w:eastAsia="黑体"/>
          <w:color w:val="auto"/>
          <w:sz w:val="28"/>
          <w:szCs w:val="28"/>
        </w:rPr>
        <w:t>投标人在参与政府采购活动前三年未有重大违法记录、没有不良信用记录的声明函</w:t>
      </w:r>
    </w:p>
    <w:p>
      <w:pPr>
        <w:spacing w:after="0" w:line="360" w:lineRule="auto"/>
        <w:ind w:firstLine="420" w:firstLineChars="200"/>
        <w:rPr>
          <w:rFonts w:ascii="宋体" w:hAnsi="宋体" w:eastAsia="宋体" w:cs="宋体"/>
          <w:color w:val="auto"/>
          <w:sz w:val="21"/>
          <w:szCs w:val="21"/>
        </w:rPr>
      </w:pP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三方诚信招标有限公司东莞分公司：</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我公司郑重承诺：在参加“</w:t>
      </w:r>
      <w:r>
        <w:rPr>
          <w:rFonts w:hint="eastAsia" w:ascii="宋体" w:hAnsi="宋体" w:eastAsia="宋体" w:cs="宋体"/>
          <w:color w:val="auto"/>
          <w:sz w:val="21"/>
          <w:szCs w:val="21"/>
          <w:u w:val="single"/>
        </w:rPr>
        <w:t xml:space="preserve">       （采购项目名称）</w:t>
      </w:r>
      <w:r>
        <w:rPr>
          <w:rFonts w:hint="eastAsia" w:ascii="宋体" w:hAnsi="宋体" w:eastAsia="宋体" w:cs="宋体"/>
          <w:color w:val="auto"/>
          <w:sz w:val="21"/>
          <w:szCs w:val="21"/>
        </w:rPr>
        <w:t>” （项目编号: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rPr>
      </w:pP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投标人名称（盖章）：</w:t>
      </w: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日期：</w:t>
      </w:r>
    </w:p>
    <w:p>
      <w:pPr>
        <w:adjustRightInd/>
        <w:snapToGrid/>
        <w:spacing w:line="276" w:lineRule="auto"/>
        <w:rPr>
          <w:rFonts w:ascii="楷体_GB2312" w:eastAsia="楷体_GB2312" w:hAnsiTheme="majorHAnsi" w:cstheme="majorBidi"/>
          <w:b/>
          <w:bCs/>
          <w:color w:val="auto"/>
          <w:sz w:val="24"/>
          <w:szCs w:val="28"/>
        </w:rPr>
      </w:pPr>
      <w:bookmarkStart w:id="185" w:name="_Toc417907703"/>
      <w:r>
        <w:rPr>
          <w:rFonts w:ascii="楷体_GB2312" w:eastAsia="楷体_GB2312"/>
          <w:color w:val="auto"/>
          <w:sz w:val="24"/>
        </w:rPr>
        <w:br w:type="page"/>
      </w:r>
    </w:p>
    <w:p>
      <w:pPr>
        <w:pStyle w:val="5"/>
        <w:widowControl w:val="0"/>
        <w:overflowPunct w:val="0"/>
        <w:spacing w:before="0" w:after="0" w:line="240" w:lineRule="auto"/>
        <w:rPr>
          <w:color w:val="auto"/>
        </w:rPr>
      </w:pPr>
      <w:bookmarkStart w:id="186" w:name="_Toc21223"/>
      <w:r>
        <w:rPr>
          <w:rFonts w:hint="eastAsia" w:ascii="宋体" w:hAnsi="宋体" w:eastAsia="宋体"/>
          <w:color w:val="auto"/>
          <w:sz w:val="21"/>
          <w:szCs w:val="21"/>
        </w:rPr>
        <w:t>附件18. 中小企业声明函（投标人为中小企业时适用）</w:t>
      </w:r>
      <w:bookmarkEnd w:id="185"/>
      <w:bookmarkEnd w:id="186"/>
    </w:p>
    <w:p>
      <w:pPr>
        <w:jc w:val="center"/>
        <w:rPr>
          <w:rFonts w:ascii="微软雅黑" w:hAnsi="微软雅黑" w:cs="微软雅黑"/>
          <w:b/>
          <w:color w:val="auto"/>
          <w:sz w:val="28"/>
          <w:szCs w:val="28"/>
        </w:rPr>
      </w:pPr>
    </w:p>
    <w:p>
      <w:pPr>
        <w:jc w:val="center"/>
        <w:rPr>
          <w:rFonts w:ascii="黑体" w:eastAsia="黑体"/>
          <w:color w:val="auto"/>
          <w:sz w:val="28"/>
          <w:szCs w:val="28"/>
        </w:rPr>
      </w:pPr>
      <w:r>
        <w:rPr>
          <w:rFonts w:hint="eastAsia" w:ascii="黑体" w:eastAsia="黑体"/>
          <w:color w:val="auto"/>
          <w:sz w:val="28"/>
          <w:szCs w:val="28"/>
        </w:rPr>
        <w:t>中小企业声明函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本公司郑重声明，根据《政府采购促进中小企业发展暂行办法》（财库[2011]181号）的规定，本公司为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企业。即，本公司同时满足以下条件：</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2、本公司参加</w:t>
      </w:r>
      <w:r>
        <w:rPr>
          <w:rFonts w:hint="eastAsia" w:ascii="宋体" w:hAnsi="宋体" w:eastAsia="宋体"/>
          <w:color w:val="auto"/>
          <w:sz w:val="21"/>
          <w:szCs w:val="21"/>
          <w:u w:val="single"/>
        </w:rPr>
        <w:t>　　（采购人）　　</w:t>
      </w:r>
      <w:r>
        <w:rPr>
          <w:rFonts w:hint="eastAsia" w:ascii="宋体" w:hAnsi="宋体" w:eastAsia="宋体"/>
          <w:color w:val="auto"/>
          <w:sz w:val="21"/>
          <w:szCs w:val="21"/>
        </w:rPr>
        <w:t>的</w:t>
      </w:r>
      <w:r>
        <w:rPr>
          <w:rFonts w:hint="eastAsia" w:ascii="宋体" w:hAnsi="宋体" w:eastAsia="宋体"/>
          <w:color w:val="auto"/>
          <w:sz w:val="21"/>
          <w:szCs w:val="21"/>
          <w:u w:val="single"/>
        </w:rPr>
        <w:t>　　（采购项目）　　</w:t>
      </w:r>
      <w:r>
        <w:rPr>
          <w:rFonts w:hint="eastAsia" w:ascii="宋体" w:hAnsi="宋体" w:eastAsia="宋体"/>
          <w:color w:val="auto"/>
          <w:sz w:val="21"/>
          <w:szCs w:val="21"/>
        </w:rPr>
        <w:t>采购活动提供本企业制造的货物，由本企业承担工程、提供服务，或者提供其他</w:t>
      </w:r>
      <w:r>
        <w:rPr>
          <w:rFonts w:hint="eastAsia" w:ascii="宋体" w:hAnsi="宋体" w:eastAsia="宋体"/>
          <w:color w:val="auto"/>
          <w:sz w:val="21"/>
          <w:szCs w:val="21"/>
          <w:u w:val="single"/>
        </w:rPr>
        <w:t>　（请填写：中型、小型、微型）　</w:t>
      </w:r>
      <w:r>
        <w:rPr>
          <w:rFonts w:hint="eastAsia" w:ascii="宋体" w:hAnsi="宋体" w:eastAsia="宋体"/>
          <w:color w:val="auto"/>
          <w:sz w:val="21"/>
          <w:szCs w:val="21"/>
        </w:rPr>
        <w:t>企业制造的货物。本条所称货物不包括使用大型企业注册商标的货物。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本公司对上述声明的真实性负责。如有虚假，将依法承担相应责任。</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投标人名称（加盖公章）：</w:t>
      </w: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p>
    <w:p>
      <w:pPr>
        <w:rPr>
          <w:rFonts w:ascii="宋体" w:hAnsi="宋体" w:eastAsia="宋体"/>
          <w:color w:val="auto"/>
          <w:sz w:val="21"/>
          <w:szCs w:val="21"/>
        </w:rPr>
      </w:pPr>
      <w:r>
        <w:rPr>
          <w:rFonts w:hint="eastAsia" w:ascii="宋体" w:hAnsi="宋体" w:eastAsia="宋体"/>
          <w:color w:val="auto"/>
          <w:sz w:val="21"/>
          <w:szCs w:val="21"/>
        </w:rPr>
        <w:t>注：</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auto"/>
          <w:sz w:val="21"/>
          <w:szCs w:val="21"/>
        </w:rPr>
      </w:pPr>
      <w:r>
        <w:rPr>
          <w:rFonts w:hint="eastAsia" w:ascii="宋体" w:hAnsi="宋体" w:eastAsia="宋体"/>
          <w:b/>
          <w:bCs/>
          <w:color w:val="auto"/>
          <w:sz w:val="21"/>
          <w:szCs w:val="21"/>
        </w:rPr>
        <w:t>2、若投标人不属于规定的中小企业范围，或提供的产品不是中小企业制造的，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spacing w:after="0" w:line="480" w:lineRule="auto"/>
        <w:ind w:firstLine="420" w:firstLineChars="200"/>
        <w:rPr>
          <w:rFonts w:ascii="楷体_GB2312" w:eastAsia="楷体_GB2312"/>
          <w:color w:val="auto"/>
          <w:sz w:val="24"/>
        </w:rPr>
      </w:pPr>
      <w:r>
        <w:rPr>
          <w:rFonts w:hint="eastAsia" w:ascii="宋体" w:hAnsi="宋体" w:eastAsia="宋体"/>
          <w:color w:val="auto"/>
          <w:sz w:val="21"/>
          <w:szCs w:val="21"/>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rPr>
          <w:rFonts w:ascii="楷体_GB2312" w:eastAsia="楷体_GB2312"/>
          <w:color w:val="auto"/>
          <w:sz w:val="24"/>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5"/>
        <w:widowControl w:val="0"/>
        <w:overflowPunct w:val="0"/>
        <w:spacing w:before="0" w:after="0" w:line="240" w:lineRule="auto"/>
        <w:rPr>
          <w:rFonts w:ascii="楷体_GB2312" w:eastAsia="楷体_GB2312"/>
          <w:color w:val="auto"/>
          <w:sz w:val="24"/>
        </w:rPr>
      </w:pPr>
      <w:bookmarkStart w:id="187" w:name="_Toc28081"/>
      <w:r>
        <w:rPr>
          <w:rFonts w:hint="eastAsia" w:ascii="宋体" w:hAnsi="宋体" w:eastAsia="宋体"/>
          <w:color w:val="auto"/>
          <w:sz w:val="21"/>
          <w:szCs w:val="21"/>
        </w:rPr>
        <w:t>附件19.《残疾人福利性单位声明函》（残疾人福利性单位适用）</w:t>
      </w:r>
      <w:bookmarkEnd w:id="187"/>
    </w:p>
    <w:p>
      <w:pPr>
        <w:jc w:val="center"/>
        <w:rPr>
          <w:color w:val="auto"/>
        </w:rPr>
      </w:pPr>
    </w:p>
    <w:p>
      <w:pPr>
        <w:jc w:val="center"/>
        <w:rPr>
          <w:rFonts w:ascii="黑体" w:eastAsia="黑体"/>
          <w:color w:val="auto"/>
          <w:sz w:val="28"/>
          <w:szCs w:val="28"/>
        </w:rPr>
      </w:pPr>
      <w:r>
        <w:rPr>
          <w:rFonts w:hint="eastAsia" w:ascii="黑体" w:eastAsia="黑体"/>
          <w:color w:val="auto"/>
          <w:sz w:val="28"/>
          <w:szCs w:val="28"/>
        </w:rPr>
        <w:t>残疾人福利性单位声明函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本单位对上述声明的真实性负责。如有虚假，将依法承担相应责任。</w:t>
      </w:r>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单位名称（盖章）：</w:t>
      </w:r>
      <w:bookmarkStart w:id="188" w:name="_Toc22970"/>
      <w:bookmarkStart w:id="189" w:name="_Toc30277"/>
      <w:bookmarkStart w:id="190" w:name="_Toc509844825"/>
      <w:bookmarkStart w:id="191" w:name="_Toc20910"/>
      <w:bookmarkStart w:id="192" w:name="_Toc509927455"/>
      <w:bookmarkStart w:id="193" w:name="_Toc508960153"/>
      <w:bookmarkStart w:id="194" w:name="_Toc508898066"/>
      <w:bookmarkStart w:id="195" w:name="_Toc508958703"/>
      <w:bookmarkStart w:id="196" w:name="_Toc510171693"/>
      <w:bookmarkStart w:id="197" w:name="_Toc30247"/>
      <w:bookmarkStart w:id="198" w:name="_Toc509479530"/>
      <w:bookmarkStart w:id="199" w:name="_Toc17761"/>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bookmarkEnd w:id="188"/>
      <w:bookmarkEnd w:id="189"/>
      <w:bookmarkEnd w:id="190"/>
      <w:bookmarkEnd w:id="191"/>
      <w:bookmarkEnd w:id="192"/>
      <w:bookmarkEnd w:id="193"/>
      <w:bookmarkEnd w:id="194"/>
      <w:bookmarkEnd w:id="195"/>
      <w:bookmarkEnd w:id="196"/>
      <w:bookmarkEnd w:id="197"/>
      <w:bookmarkEnd w:id="198"/>
      <w:bookmarkEnd w:id="199"/>
    </w:p>
    <w:p>
      <w:pPr>
        <w:pStyle w:val="2"/>
        <w:rPr>
          <w:color w:val="auto"/>
        </w:rPr>
      </w:pPr>
    </w:p>
    <w:p>
      <w:pPr>
        <w:spacing w:after="0" w:line="480" w:lineRule="auto"/>
        <w:ind w:firstLine="420" w:firstLineChars="200"/>
        <w:rPr>
          <w:rFonts w:ascii="宋体" w:hAnsi="宋体" w:eastAsia="宋体"/>
          <w:color w:val="auto"/>
          <w:sz w:val="21"/>
          <w:szCs w:val="21"/>
        </w:rPr>
      </w:pPr>
      <w:bookmarkStart w:id="200" w:name="_Toc509479531"/>
      <w:bookmarkStart w:id="201" w:name="_Toc28527"/>
      <w:bookmarkStart w:id="202" w:name="_Toc31520"/>
      <w:bookmarkStart w:id="203" w:name="_Toc508958704"/>
      <w:bookmarkStart w:id="204" w:name="_Toc509927456"/>
      <w:bookmarkStart w:id="205" w:name="_Toc21053"/>
      <w:bookmarkStart w:id="206" w:name="_Toc508898067"/>
      <w:bookmarkStart w:id="207" w:name="_Toc510171694"/>
      <w:bookmarkStart w:id="208" w:name="_Toc5447"/>
      <w:bookmarkStart w:id="209" w:name="_Toc509844826"/>
      <w:bookmarkStart w:id="210" w:name="_Toc26216"/>
      <w:bookmarkStart w:id="211" w:name="_Toc508960154"/>
      <w:r>
        <w:rPr>
          <w:rFonts w:hint="eastAsia" w:ascii="宋体" w:hAnsi="宋体" w:eastAsia="宋体"/>
          <w:color w:val="auto"/>
          <w:sz w:val="21"/>
          <w:szCs w:val="21"/>
        </w:rPr>
        <w:t>注：（1）符合《财政部 民政部 中国残疾人联合会关于促进残疾人就业政府采购政策的通知》（财库〔2017〕 141号）规定条件的残疾人福利性单位应当提供《残疾人福利性单位声明函》。</w:t>
      </w:r>
      <w:bookmarkEnd w:id="200"/>
      <w:bookmarkEnd w:id="201"/>
      <w:bookmarkEnd w:id="202"/>
      <w:bookmarkEnd w:id="203"/>
      <w:bookmarkEnd w:id="204"/>
      <w:bookmarkEnd w:id="205"/>
      <w:bookmarkEnd w:id="206"/>
      <w:bookmarkEnd w:id="207"/>
      <w:bookmarkEnd w:id="208"/>
      <w:bookmarkEnd w:id="209"/>
      <w:bookmarkEnd w:id="210"/>
      <w:bookmarkEnd w:id="211"/>
    </w:p>
    <w:p>
      <w:pPr>
        <w:spacing w:after="0" w:line="480" w:lineRule="auto"/>
        <w:ind w:firstLine="420" w:firstLineChars="200"/>
        <w:rPr>
          <w:rFonts w:ascii="宋体" w:hAnsi="宋体" w:eastAsia="宋体"/>
          <w:color w:val="auto"/>
          <w:sz w:val="21"/>
          <w:szCs w:val="21"/>
        </w:rPr>
      </w:pPr>
      <w:bookmarkStart w:id="212" w:name="_Toc508958705"/>
      <w:bookmarkStart w:id="213" w:name="_Toc510171695"/>
      <w:bookmarkStart w:id="214" w:name="_Toc28126"/>
      <w:bookmarkStart w:id="215" w:name="_Toc14653"/>
      <w:bookmarkStart w:id="216" w:name="_Toc28626"/>
      <w:bookmarkStart w:id="217" w:name="_Toc509479532"/>
      <w:bookmarkStart w:id="218" w:name="_Toc9148"/>
      <w:bookmarkStart w:id="219" w:name="_Toc509844827"/>
      <w:bookmarkStart w:id="220" w:name="_Toc509927457"/>
      <w:bookmarkStart w:id="221" w:name="_Toc508960155"/>
      <w:bookmarkStart w:id="222" w:name="_Toc508898068"/>
      <w:bookmarkStart w:id="223" w:name="_Toc24848"/>
      <w:r>
        <w:rPr>
          <w:rFonts w:hint="eastAsia" w:ascii="宋体" w:hAnsi="宋体" w:eastAsia="宋体"/>
          <w:color w:val="auto"/>
          <w:sz w:val="21"/>
          <w:szCs w:val="21"/>
        </w:rPr>
        <w:t>（2）中标人为残疾人福利性单位的，采购代理机构将随中标结果同时公告其《残疾人福利性单位声明函》，接受社会监督。</w:t>
      </w:r>
      <w:bookmarkEnd w:id="212"/>
      <w:bookmarkEnd w:id="213"/>
      <w:bookmarkEnd w:id="214"/>
      <w:bookmarkEnd w:id="215"/>
      <w:bookmarkEnd w:id="216"/>
      <w:bookmarkEnd w:id="217"/>
      <w:bookmarkEnd w:id="218"/>
      <w:bookmarkEnd w:id="219"/>
      <w:bookmarkEnd w:id="220"/>
      <w:bookmarkEnd w:id="221"/>
      <w:bookmarkEnd w:id="222"/>
      <w:bookmarkEnd w:id="223"/>
    </w:p>
    <w:p>
      <w:pPr>
        <w:spacing w:after="0" w:line="480" w:lineRule="auto"/>
        <w:ind w:firstLine="420" w:firstLineChars="200"/>
        <w:rPr>
          <w:rFonts w:ascii="宋体" w:hAnsi="宋体" w:eastAsia="宋体"/>
          <w:color w:val="auto"/>
          <w:sz w:val="21"/>
          <w:szCs w:val="21"/>
        </w:rPr>
      </w:pPr>
      <w:bookmarkStart w:id="224" w:name="_Toc509844828"/>
      <w:bookmarkStart w:id="225" w:name="_Toc28044"/>
      <w:bookmarkStart w:id="226" w:name="_Toc9837"/>
      <w:bookmarkStart w:id="227" w:name="_Toc22981"/>
      <w:bookmarkStart w:id="228" w:name="_Toc7858"/>
      <w:bookmarkStart w:id="229" w:name="_Toc509927458"/>
      <w:bookmarkStart w:id="230" w:name="_Toc508958706"/>
      <w:bookmarkStart w:id="231" w:name="_Toc508960156"/>
      <w:bookmarkStart w:id="232" w:name="_Toc508898069"/>
      <w:bookmarkStart w:id="233" w:name="_Toc509479533"/>
      <w:bookmarkStart w:id="234" w:name="_Toc28686"/>
      <w:bookmarkStart w:id="235" w:name="_Toc510171696"/>
      <w:r>
        <w:rPr>
          <w:rFonts w:hint="eastAsia" w:ascii="宋体" w:hAnsi="宋体" w:eastAsia="宋体"/>
          <w:color w:val="auto"/>
          <w:sz w:val="21"/>
          <w:szCs w:val="21"/>
        </w:rPr>
        <w:t>（3）投标人提供的《残疾人福利性单位声明函》与事实不符的，依照《政府采购法》第七十七条第一款的规定追究法律责任。</w:t>
      </w:r>
      <w:bookmarkEnd w:id="224"/>
      <w:bookmarkEnd w:id="225"/>
      <w:bookmarkEnd w:id="226"/>
      <w:bookmarkEnd w:id="227"/>
      <w:bookmarkEnd w:id="228"/>
      <w:bookmarkEnd w:id="229"/>
      <w:bookmarkEnd w:id="230"/>
      <w:bookmarkEnd w:id="231"/>
      <w:bookmarkEnd w:id="232"/>
      <w:bookmarkEnd w:id="233"/>
      <w:bookmarkEnd w:id="234"/>
      <w:bookmarkEnd w:id="235"/>
    </w:p>
    <w:p>
      <w:pPr>
        <w:spacing w:after="0" w:line="480" w:lineRule="auto"/>
        <w:ind w:firstLine="420" w:firstLineChars="200"/>
        <w:rPr>
          <w:rFonts w:hint="eastAsia" w:ascii="宋体" w:hAnsi="宋体" w:eastAsia="宋体"/>
          <w:color w:val="auto"/>
          <w:sz w:val="21"/>
          <w:szCs w:val="21"/>
        </w:rPr>
      </w:pPr>
      <w:bookmarkStart w:id="236" w:name="_Toc18843"/>
      <w:bookmarkStart w:id="237" w:name="_Toc508958707"/>
      <w:bookmarkStart w:id="238" w:name="_Toc509479534"/>
      <w:bookmarkStart w:id="239" w:name="_Toc509844829"/>
      <w:bookmarkStart w:id="240" w:name="_Toc509927459"/>
      <w:bookmarkStart w:id="241" w:name="_Toc508960157"/>
      <w:bookmarkStart w:id="242" w:name="_Toc5289"/>
      <w:bookmarkStart w:id="243" w:name="_Toc510171697"/>
      <w:bookmarkStart w:id="244" w:name="_Toc508898070"/>
      <w:r>
        <w:rPr>
          <w:rFonts w:hint="eastAsia" w:ascii="宋体" w:hAnsi="宋体" w:eastAsia="宋体"/>
          <w:color w:val="auto"/>
          <w:sz w:val="21"/>
          <w:szCs w:val="21"/>
        </w:rPr>
        <w:t>（4）残疾人福利性单位视同小型、微型企业，享受评审中价格扣除。残疾人福利性单位属于小型、微型企业的，不重复享受政策。</w:t>
      </w:r>
      <w:bookmarkEnd w:id="236"/>
      <w:bookmarkEnd w:id="237"/>
      <w:bookmarkEnd w:id="238"/>
      <w:bookmarkEnd w:id="239"/>
      <w:bookmarkEnd w:id="240"/>
      <w:bookmarkEnd w:id="241"/>
      <w:bookmarkEnd w:id="242"/>
      <w:bookmarkEnd w:id="243"/>
      <w:bookmarkEnd w:id="244"/>
    </w:p>
    <w:p>
      <w:pPr>
        <w:spacing w:after="0" w:line="480" w:lineRule="auto"/>
        <w:ind w:firstLine="422" w:firstLineChars="200"/>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w:t>
      </w:r>
      <w:r>
        <w:rPr>
          <w:rFonts w:hint="eastAsia" w:ascii="宋体" w:hAnsi="宋体" w:eastAsia="宋体"/>
          <w:b/>
          <w:bCs/>
          <w:color w:val="auto"/>
          <w:sz w:val="21"/>
          <w:szCs w:val="21"/>
          <w:lang w:val="en-US" w:eastAsia="zh-CN"/>
        </w:rPr>
        <w:t>5</w:t>
      </w:r>
      <w:r>
        <w:rPr>
          <w:rFonts w:hint="eastAsia" w:ascii="宋体" w:hAnsi="宋体" w:eastAsia="宋体"/>
          <w:b/>
          <w:bCs/>
          <w:color w:val="auto"/>
          <w:sz w:val="21"/>
          <w:szCs w:val="21"/>
          <w:lang w:eastAsia="zh-CN"/>
        </w:rPr>
        <w:t>）</w:t>
      </w:r>
      <w:r>
        <w:rPr>
          <w:rFonts w:hint="eastAsia" w:ascii="宋体" w:hAnsi="宋体" w:eastAsia="宋体"/>
          <w:b/>
          <w:bCs/>
          <w:color w:val="auto"/>
          <w:sz w:val="21"/>
          <w:szCs w:val="21"/>
        </w:rPr>
        <w:t>若投标人不属于规定的残疾人福利性单位，或提供的产品不是</w:t>
      </w:r>
      <w:r>
        <w:rPr>
          <w:rFonts w:hint="eastAsia" w:ascii="宋体" w:hAnsi="宋体" w:eastAsia="宋体"/>
          <w:b/>
          <w:bCs/>
          <w:color w:val="auto"/>
          <w:sz w:val="21"/>
          <w:szCs w:val="21"/>
          <w:lang w:eastAsia="zh-CN"/>
        </w:rPr>
        <w:t>残疾人福利单位</w:t>
      </w:r>
      <w:r>
        <w:rPr>
          <w:rFonts w:hint="eastAsia" w:ascii="宋体" w:hAnsi="宋体" w:eastAsia="宋体"/>
          <w:b/>
          <w:bCs/>
          <w:color w:val="auto"/>
          <w:sz w:val="21"/>
          <w:szCs w:val="21"/>
        </w:rPr>
        <w:t>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adjustRightInd/>
        <w:snapToGrid/>
        <w:spacing w:line="276" w:lineRule="auto"/>
        <w:rPr>
          <w:rFonts w:ascii="宋体" w:hAnsi="宋体" w:eastAsia="宋体"/>
          <w:bCs/>
          <w:color w:val="auto"/>
          <w:sz w:val="21"/>
          <w:szCs w:val="21"/>
        </w:rPr>
      </w:pPr>
      <w:r>
        <w:rPr>
          <w:rFonts w:hint="eastAsia" w:ascii="宋体" w:hAnsi="宋体" w:eastAsia="宋体"/>
          <w:bCs/>
          <w:color w:val="auto"/>
          <w:sz w:val="21"/>
          <w:szCs w:val="21"/>
        </w:rPr>
        <w:br w:type="page"/>
      </w:r>
    </w:p>
    <w:p>
      <w:pPr>
        <w:pStyle w:val="5"/>
        <w:widowControl w:val="0"/>
        <w:overflowPunct w:val="0"/>
        <w:spacing w:before="0" w:after="0" w:line="240" w:lineRule="auto"/>
        <w:rPr>
          <w:color w:val="auto"/>
        </w:rPr>
      </w:pPr>
      <w:bookmarkStart w:id="245" w:name="_Toc25634"/>
      <w:r>
        <w:rPr>
          <w:rFonts w:hint="eastAsia" w:ascii="宋体" w:hAnsi="宋体" w:eastAsia="宋体"/>
          <w:color w:val="auto"/>
          <w:sz w:val="21"/>
          <w:szCs w:val="21"/>
        </w:rPr>
        <w:t>附件20. 投标保证金汇入情况说明格式</w:t>
      </w:r>
      <w:bookmarkEnd w:id="245"/>
    </w:p>
    <w:p>
      <w:pPr>
        <w:rPr>
          <w:color w:val="auto"/>
        </w:rPr>
      </w:pPr>
    </w:p>
    <w:p>
      <w:pPr>
        <w:jc w:val="center"/>
        <w:rPr>
          <w:rFonts w:ascii="黑体" w:eastAsia="黑体"/>
          <w:color w:val="auto"/>
          <w:sz w:val="28"/>
          <w:szCs w:val="28"/>
        </w:rPr>
      </w:pPr>
      <w:r>
        <w:rPr>
          <w:rFonts w:hint="eastAsia" w:ascii="黑体" w:eastAsia="黑体"/>
          <w:color w:val="auto"/>
          <w:sz w:val="28"/>
          <w:szCs w:val="28"/>
        </w:rPr>
        <w:t>投标保证金汇入情况说明</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本单位已按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项目</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）的招标文件要求，于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日前以</w:t>
      </w:r>
      <w:r>
        <w:rPr>
          <w:rFonts w:hint="eastAsia" w:ascii="宋体" w:hAnsi="宋体" w:eastAsia="宋体"/>
          <w:color w:val="auto"/>
          <w:sz w:val="21"/>
          <w:szCs w:val="21"/>
          <w:u w:val="single"/>
        </w:rPr>
        <w:t xml:space="preserve">           （付款形式）</w:t>
      </w:r>
      <w:r>
        <w:rPr>
          <w:rFonts w:hint="eastAsia" w:ascii="宋体" w:hAnsi="宋体" w:eastAsia="宋体"/>
          <w:color w:val="auto"/>
          <w:sz w:val="21"/>
          <w:szCs w:val="21"/>
        </w:rPr>
        <w:t>方式汇入指定帐户（帐户名称：</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，帐号：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,开户银行：</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本单位投标保证金的汇款情况：（详见附件－投标保证金进帐单）</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汇出时间：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汇款金额：（大写）人民币</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元（小写：￥</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汇款帐户名称：</w:t>
      </w:r>
      <w:r>
        <w:rPr>
          <w:rFonts w:hint="eastAsia" w:ascii="宋体" w:hAnsi="宋体" w:eastAsia="宋体"/>
          <w:color w:val="auto"/>
          <w:sz w:val="21"/>
          <w:szCs w:val="21"/>
          <w:u w:val="single"/>
        </w:rPr>
        <w:t xml:space="preserve">  （必须是投标时使用的帐户名）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帐        号：</w:t>
      </w:r>
      <w:r>
        <w:rPr>
          <w:rFonts w:hint="eastAsia" w:ascii="宋体" w:hAnsi="宋体" w:eastAsia="宋体"/>
          <w:color w:val="auto"/>
          <w:sz w:val="21"/>
          <w:szCs w:val="21"/>
          <w:u w:val="single"/>
        </w:rPr>
        <w:t xml:space="preserve">  （必须是投标时使用的帐号）     </w:t>
      </w:r>
    </w:p>
    <w:p>
      <w:pPr>
        <w:spacing w:after="0" w:line="480" w:lineRule="auto"/>
        <w:ind w:firstLine="420" w:firstLineChars="200"/>
        <w:rPr>
          <w:rFonts w:ascii="宋体" w:hAnsi="宋体" w:eastAsia="宋体"/>
          <w:color w:val="auto"/>
          <w:sz w:val="21"/>
          <w:szCs w:val="21"/>
          <w:u w:val="single"/>
        </w:rPr>
      </w:pPr>
      <w:r>
        <w:rPr>
          <w:rFonts w:hint="eastAsia" w:ascii="宋体" w:hAnsi="宋体" w:eastAsia="宋体"/>
          <w:color w:val="auto"/>
          <w:sz w:val="21"/>
          <w:szCs w:val="21"/>
        </w:rPr>
        <w:t>开 户  银 行：</w:t>
      </w:r>
      <w:r>
        <w:rPr>
          <w:rFonts w:hint="eastAsia" w:ascii="宋体" w:hAnsi="宋体" w:eastAsia="宋体"/>
          <w:color w:val="auto"/>
          <w:sz w:val="21"/>
          <w:szCs w:val="21"/>
          <w:u w:val="single"/>
        </w:rPr>
        <w:t xml:space="preserve">  （      银行   分行  支行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投标保证金退回时，请按上述资料退回。</w:t>
      </w:r>
    </w:p>
    <w:p>
      <w:pPr>
        <w:spacing w:after="0" w:line="480" w:lineRule="auto"/>
        <w:ind w:right="884" w:rightChars="402"/>
        <w:jc w:val="right"/>
        <w:rPr>
          <w:rFonts w:ascii="宋体" w:hAnsi="宋体" w:eastAsia="宋体"/>
          <w:color w:val="auto"/>
          <w:sz w:val="21"/>
          <w:szCs w:val="21"/>
        </w:rPr>
      </w:pPr>
      <w:r>
        <w:rPr>
          <w:rFonts w:hint="eastAsia" w:ascii="宋体" w:hAnsi="宋体" w:eastAsia="宋体"/>
          <w:color w:val="auto"/>
          <w:sz w:val="21"/>
          <w:szCs w:val="21"/>
        </w:rPr>
        <w:t>（单位公章）</w:t>
      </w:r>
    </w:p>
    <w:p>
      <w:pPr>
        <w:spacing w:after="0" w:line="480" w:lineRule="auto"/>
        <w:ind w:right="658" w:rightChars="299"/>
        <w:jc w:val="right"/>
        <w:rPr>
          <w:rFonts w:ascii="宋体" w:hAnsi="宋体" w:eastAsia="宋体"/>
          <w:color w:val="auto"/>
          <w:sz w:val="21"/>
          <w:szCs w:val="21"/>
        </w:rPr>
      </w:pPr>
      <w:r>
        <w:rPr>
          <w:rFonts w:hint="eastAsia" w:ascii="宋体" w:hAnsi="宋体" w:eastAsia="宋体"/>
          <w:color w:val="auto"/>
          <w:sz w:val="21"/>
          <w:szCs w:val="21"/>
        </w:rPr>
        <w:t>年 月 日</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单位名称：</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单位地址：</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联系人：</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单位电话：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联系人手机：</w:t>
      </w:r>
      <w:r>
        <w:rPr>
          <w:rFonts w:hint="eastAsia" w:ascii="宋体" w:hAnsi="宋体" w:eastAsia="宋体"/>
          <w:color w:val="auto"/>
          <w:sz w:val="21"/>
          <w:szCs w:val="21"/>
          <w:u w:val="single"/>
        </w:rPr>
        <w:t xml:space="preserve">              </w:t>
      </w:r>
    </w:p>
    <w:p>
      <w:pPr>
        <w:spacing w:after="0"/>
        <w:rPr>
          <w:rFonts w:ascii="宋体" w:hAnsi="宋体" w:eastAsia="宋体"/>
          <w:color w:val="auto"/>
          <w:sz w:val="21"/>
          <w:szCs w:val="21"/>
        </w:rPr>
      </w:pP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br w:type="page"/>
      </w: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附：我方投标保证金汇款凭证</w:t>
      </w:r>
    </w:p>
    <w:tbl>
      <w:tblPr>
        <w:tblStyle w:val="16"/>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复印件，并在骑缝上加盖投标人公章，或是直接把转账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240" w:lineRule="auto"/>
        <w:rPr>
          <w:rFonts w:ascii="宋体" w:hAnsi="宋体" w:eastAsia="宋体"/>
          <w:color w:val="auto"/>
          <w:sz w:val="21"/>
          <w:szCs w:val="21"/>
        </w:rPr>
      </w:pPr>
      <w:bookmarkStart w:id="246" w:name="_Toc4363"/>
      <w:r>
        <w:rPr>
          <w:rFonts w:hint="eastAsia" w:ascii="宋体" w:hAnsi="宋体" w:eastAsia="宋体"/>
          <w:color w:val="auto"/>
          <w:sz w:val="21"/>
          <w:szCs w:val="21"/>
        </w:rPr>
        <w:t>附件21.政府采购投标担保函</w:t>
      </w:r>
      <w:bookmarkEnd w:id="246"/>
      <w:r>
        <w:rPr>
          <w:rFonts w:hint="eastAsia" w:ascii="宋体" w:hAnsi="宋体" w:eastAsia="宋体"/>
          <w:color w:val="auto"/>
          <w:sz w:val="21"/>
          <w:szCs w:val="21"/>
        </w:rPr>
        <w:t xml:space="preserve"> </w:t>
      </w:r>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政府采购投标担保函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 编号：</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（采购人或采购代理机构）：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（以下简称“投标人”）拟参加编号为</w:t>
      </w:r>
      <w:r>
        <w:rPr>
          <w:rFonts w:hint="eastAsia" w:ascii="宋体" w:hAnsi="宋体" w:eastAsia="宋体" w:cs="宋体"/>
          <w:color w:val="auto"/>
          <w:sz w:val="21"/>
          <w:szCs w:val="21"/>
          <w:u w:val="single"/>
        </w:rPr>
        <w:t xml:space="preserve">            的</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（一）在投标人出现下列情形之一时，我方承担保证责任：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1．中标后投标人无正当理由不与采购人或者采购代理机构签订《政府采购合同》；</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2．招标文件规定的投标人应当缴纳保证金的其他情形。</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（二）我方承担保证责任的最高金额为人民币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），即本项目的投标保证金金额。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我方的保证期间为：自本保函生效之日起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2．我方在收到索赔通知及相关证明材料后，在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个工作日内进行审查，符合应承担保证责任情形的，我方应按照你方的要求代投标人向你方支付投标保证金。</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2．我方按照本保函向你贵方履行了保证责任后，自我方向你贵方支付款项（支付款项从我方账户划出）之日起，保证责任终止。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3．按照法律法规的规定或出现我方保证责任终止的其它情形的，我方在本保函项下的保证责任亦终止。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1．依照法律规定或你方与投标人的另行约定，全部或者部分免除投标人投标保证金义务时，我方亦免除相应的保证责任。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2．因你方原因致使投标人发生本保函第一条第（一）款约定情形的，我方不承担保证责任。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3．因不可抗力造成投标人发生本保函第一条约定情形的，我方不承担保证责任。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4．你方或其他有权机关对招标文件进行任何澄清或修改，加重我方保证责任的，我方对加重部分不承担保证责任，但该澄清或修改经我方事先书面同意的除外。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jc w:val="right"/>
        <w:rPr>
          <w:rFonts w:ascii="宋体" w:hAnsi="宋体" w:eastAsia="宋体" w:cs="宋体"/>
          <w:color w:val="auto"/>
          <w:sz w:val="21"/>
          <w:szCs w:val="21"/>
        </w:rPr>
      </w:pP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）若投标人不以投标担保函形式提交投标保证金，则无需在投标文件中提供此格式。</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）若投标人以投标担保函形式提交投标保证金，则应将投标担保函原件交予采购代理机构。</w:t>
      </w:r>
    </w:p>
    <w:p>
      <w:pPr>
        <w:spacing w:after="0"/>
        <w:rPr>
          <w:rFonts w:ascii="黑体" w:eastAsia="黑体"/>
          <w:color w:val="auto"/>
          <w:sz w:val="30"/>
          <w:szCs w:val="30"/>
        </w:rPr>
      </w:pPr>
      <w:r>
        <w:rPr>
          <w:rFonts w:hint="eastAsia" w:ascii="宋体" w:hAnsi="宋体" w:eastAsia="宋体"/>
          <w:color w:val="auto"/>
          <w:sz w:val="21"/>
          <w:szCs w:val="21"/>
          <w:lang w:eastAsia="zh-CN"/>
        </w:rPr>
        <w:br w:type="page"/>
      </w:r>
      <w:bookmarkStart w:id="247" w:name="_Toc27534"/>
      <w:r>
        <w:rPr>
          <w:rStyle w:val="25"/>
          <w:rFonts w:hint="eastAsia" w:ascii="宋体" w:hAnsi="宋体" w:eastAsia="宋体" w:cs="宋体"/>
          <w:color w:val="auto"/>
          <w:sz w:val="21"/>
          <w:szCs w:val="21"/>
        </w:rPr>
        <w:t>附件22.政府采购履约担保函</w:t>
      </w:r>
      <w:bookmarkEnd w:id="247"/>
    </w:p>
    <w:p>
      <w:pPr>
        <w:jc w:val="center"/>
        <w:rPr>
          <w:rFonts w:ascii="黑体" w:eastAsia="黑体"/>
          <w:color w:val="auto"/>
          <w:sz w:val="28"/>
          <w:szCs w:val="28"/>
        </w:rPr>
      </w:pPr>
      <w:r>
        <w:rPr>
          <w:rFonts w:hint="eastAsia" w:ascii="黑体" w:eastAsia="黑体"/>
          <w:color w:val="auto"/>
          <w:sz w:val="28"/>
          <w:szCs w:val="28"/>
        </w:rPr>
        <w:t>政府采购履约担保函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编号：  </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鉴于你方与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（以下简称供应商）于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日签定编号为   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政府采购合同》（以下简称主合同），且依据该合同的约定，供应商应在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日前向你方交纳履约保证金，且可以履约担保函的形式交纳履约保证金。应供应商的申请，我方以保证的方式向你方提供如下履约保证金担保：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（一）在供应商出现下列情形之一时，我方承担保证责任：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1．将中标项目转让给他人，或者在投标文件中未说明，且未经采购招标机构人同意，将中标项目分包给他人的；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2．主合同约定的应当缴纳履约保证金的情形: </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（1）未按主合同约定的质量、数量和期限供应货物/提供服务/完成工程的；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after="0" w:line="480" w:lineRule="auto"/>
        <w:ind w:right="-1291" w:rightChars="-587"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（二）我方的保证范围是主合同约定的合同价款总额</w:t>
      </w:r>
      <w:r>
        <w:rPr>
          <w:rFonts w:hint="eastAsia" w:ascii="宋体" w:hAnsi="宋体" w:eastAsia="宋体" w:cs="宋体"/>
          <w:color w:val="auto"/>
          <w:sz w:val="21"/>
          <w:szCs w:val="21"/>
          <w:u w:val="single"/>
        </w:rPr>
        <w:t xml:space="preserve">  </w:t>
      </w:r>
    </w:p>
    <w:p>
      <w:pPr>
        <w:spacing w:after="0" w:line="480" w:lineRule="auto"/>
        <w:ind w:right="26" w:rightChars="12"/>
        <w:rPr>
          <w:rFonts w:ascii="宋体" w:hAnsi="宋体" w:eastAsia="宋体" w:cs="宋体"/>
          <w:color w:val="auto"/>
          <w:sz w:val="21"/>
          <w:szCs w:val="21"/>
        </w:rPr>
      </w:pPr>
      <w:r>
        <w:rPr>
          <w:rFonts w:hint="eastAsia" w:ascii="宋体" w:hAnsi="宋体" w:eastAsia="宋体" w:cs="宋体"/>
          <w:color w:val="auto"/>
          <w:sz w:val="21"/>
          <w:szCs w:val="21"/>
        </w:rPr>
        <w:t>%数额为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。（即主合同履约保证金金额）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我方保证的期间为：自本合同生效之日起至供应商按照主合同约定的供货/完工期限届满后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日内。</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如果供应商未按主合同约定向贵方供应货物/提供服务/完成工程的，由我方在保证金额内向你方支付上述款项。</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1．你方要求我方承担保证责任的，应在本保函保证期间内向我方发出书面索赔通知。索赔通知应写明要求索赔的金额，支付款项应到达的帐号。并附有证明供应商违约事实的证明材料。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如果你方与供应商因货物质量问题产生争议，你方还需同时提供</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部门出具的质量检测报告，或经诉讼（仲裁）程序裁决后的裁决书、调解书，本保证人即按照检测结果或裁决书、调解书决定是否承担保证责任。</w:t>
      </w:r>
    </w:p>
    <w:p>
      <w:pPr>
        <w:spacing w:after="0" w:line="480" w:lineRule="auto"/>
        <w:ind w:right="-726" w:rightChars="-330"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2．我方收到你方的书面索赔通知及相应证明材料，在</w:t>
      </w:r>
      <w:r>
        <w:rPr>
          <w:rFonts w:hint="eastAsia" w:ascii="宋体" w:hAnsi="宋体" w:eastAsia="宋体" w:cs="宋体"/>
          <w:color w:val="auto"/>
          <w:sz w:val="21"/>
          <w:szCs w:val="21"/>
          <w:u w:val="single"/>
        </w:rPr>
        <w:t xml:space="preserve">  </w:t>
      </w:r>
    </w:p>
    <w:p>
      <w:pPr>
        <w:spacing w:after="0" w:line="480" w:lineRule="auto"/>
        <w:ind w:right="-726" w:rightChars="-330"/>
        <w:rPr>
          <w:rFonts w:ascii="宋体" w:hAnsi="宋体" w:eastAsia="宋体" w:cs="宋体"/>
          <w:color w:val="auto"/>
          <w:sz w:val="21"/>
          <w:szCs w:val="21"/>
        </w:rPr>
      </w:pPr>
      <w:r>
        <w:rPr>
          <w:rFonts w:hint="eastAsia" w:ascii="宋体" w:hAnsi="宋体" w:eastAsia="宋体" w:cs="宋体"/>
          <w:color w:val="auto"/>
          <w:sz w:val="21"/>
          <w:szCs w:val="21"/>
        </w:rPr>
        <w:t>工作日内进行核定后按照本保函的承诺承担保证责任。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2．我方按照本保函向你方履行了保证责任后，自我方向你方支付款项（支付款项从我方账户划出）之日起，保证责任即终止。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3．按照法律法规的规定或出现应终止我方保证责任的其它情形的，我方在本保函项下的保证责任亦终止。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1．因你方违反主合同约定致使供应商不能履行义务的，我方不承担保证责任。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2．依照法律法规的规定或你方与供应商的另行约定，全部或者部分免除供应商应缴纳的保证金义务的，我方亦免除相应的保证责任。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3．因不可抗力造成供应商不能履行供货义务的，我方不承担保证责任。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rPr>
          <w:rFonts w:ascii="宋体" w:hAnsi="宋体" w:eastAsia="宋体" w:cs="宋体"/>
          <w:color w:val="auto"/>
          <w:sz w:val="21"/>
          <w:szCs w:val="21"/>
        </w:rPr>
      </w:pP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）此格式为履约担保函格式，无需在投标文件中提供此格式。</w:t>
      </w:r>
    </w:p>
    <w:p>
      <w:pPr>
        <w:pStyle w:val="2"/>
        <w:rPr>
          <w:color w:val="auto"/>
        </w:rPr>
      </w:pPr>
    </w:p>
    <w:p>
      <w:pPr>
        <w:pStyle w:val="3"/>
        <w:spacing w:before="0" w:after="0" w:line="240" w:lineRule="auto"/>
        <w:jc w:val="center"/>
        <w:rPr>
          <w:rFonts w:ascii="宋体" w:hAnsi="宋体" w:eastAsia="宋体" w:cs="宋体"/>
          <w:color w:val="auto"/>
          <w:sz w:val="21"/>
          <w:szCs w:val="21"/>
        </w:rPr>
      </w:pPr>
      <w:r>
        <w:rPr>
          <w:rFonts w:ascii="宋体" w:hAnsi="宋体" w:eastAsia="宋体" w:cs="宋体"/>
          <w:color w:val="auto"/>
          <w:sz w:val="21"/>
          <w:szCs w:val="21"/>
        </w:rPr>
        <w:br w:type="page"/>
      </w:r>
    </w:p>
    <w:p>
      <w:pPr>
        <w:pStyle w:val="5"/>
        <w:spacing w:before="0" w:after="0" w:line="240" w:lineRule="auto"/>
        <w:rPr>
          <w:rFonts w:ascii="宋体" w:hAnsi="宋体" w:eastAsia="宋体" w:cs="宋体"/>
          <w:color w:val="auto"/>
          <w:sz w:val="21"/>
          <w:szCs w:val="21"/>
        </w:rPr>
      </w:pPr>
      <w:bookmarkStart w:id="248" w:name="_Toc17023"/>
      <w:r>
        <w:rPr>
          <w:rFonts w:hint="eastAsia" w:ascii="宋体" w:hAnsi="宋体" w:eastAsia="宋体" w:cs="宋体"/>
          <w:color w:val="auto"/>
          <w:sz w:val="21"/>
          <w:szCs w:val="21"/>
        </w:rPr>
        <w:t>附件23.获取招标文件登记表</w:t>
      </w:r>
      <w:bookmarkEnd w:id="248"/>
    </w:p>
    <w:p>
      <w:pPr>
        <w:pStyle w:val="3"/>
        <w:spacing w:before="0" w:after="0" w:line="240" w:lineRule="auto"/>
        <w:jc w:val="center"/>
        <w:rPr>
          <w:rFonts w:ascii="黑体" w:hAnsi="宋体"/>
          <w:color w:val="auto"/>
          <w:sz w:val="44"/>
          <w:szCs w:val="44"/>
        </w:rPr>
      </w:pPr>
      <w:bookmarkStart w:id="249" w:name="_Toc1968"/>
    </w:p>
    <w:p>
      <w:pPr>
        <w:spacing w:after="0"/>
        <w:jc w:val="center"/>
        <w:rPr>
          <w:rFonts w:ascii="黑体" w:hAnsi="黑体" w:eastAsia="黑体" w:cs="黑体"/>
          <w:color w:val="auto"/>
          <w:sz w:val="36"/>
          <w:szCs w:val="36"/>
        </w:rPr>
      </w:pPr>
      <w:r>
        <w:rPr>
          <w:rFonts w:hint="eastAsia" w:ascii="黑体" w:hAnsi="黑体" w:eastAsia="黑体" w:cs="黑体"/>
          <w:color w:val="auto"/>
          <w:sz w:val="36"/>
          <w:szCs w:val="36"/>
          <w:lang w:eastAsia="zh-CN"/>
        </w:rPr>
        <w:t>获取</w:t>
      </w:r>
      <w:r>
        <w:rPr>
          <w:rFonts w:hint="eastAsia" w:ascii="黑体" w:hAnsi="黑体" w:eastAsia="黑体" w:cs="黑体"/>
          <w:color w:val="auto"/>
          <w:sz w:val="36"/>
          <w:szCs w:val="36"/>
        </w:rPr>
        <w:t>招标文件登记表</w:t>
      </w:r>
      <w:bookmarkEnd w:id="249"/>
    </w:p>
    <w:tbl>
      <w:tblPr>
        <w:tblStyle w:val="17"/>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获取招标文件时间</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2020</w:t>
            </w:r>
            <w:r>
              <w:rPr>
                <w:rFonts w:hint="eastAsia" w:ascii="宋体" w:hAnsi="宋体" w:eastAsia="宋体" w:cs="宋体"/>
                <w:color w:val="auto"/>
                <w:sz w:val="32"/>
                <w:szCs w:val="32"/>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拟投标项目名称</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项目编号</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供应商全称</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供应商联系人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电话</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手机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传真</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电子邮箱</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单位地址及邮编</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备注</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招标文件领取人签名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招标文件发售人签名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招标文件售价</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人民币0元/份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8528" w:type="dxa"/>
            <w:gridSpan w:val="2"/>
            <w:vAlign w:val="center"/>
          </w:tcPr>
          <w:p>
            <w:pPr>
              <w:spacing w:after="0"/>
              <w:jc w:val="center"/>
              <w:rPr>
                <w:rFonts w:hint="eastAsia" w:ascii="宋体" w:hAnsi="宋体" w:eastAsia="宋体" w:cs="宋体"/>
                <w:color w:val="auto"/>
                <w:sz w:val="32"/>
                <w:szCs w:val="32"/>
                <w:lang w:eastAsia="zh-CN"/>
              </w:rPr>
            </w:pPr>
            <w:r>
              <w:rPr>
                <w:rFonts w:hint="eastAsia" w:ascii="宋体" w:hAnsi="宋体" w:eastAsia="宋体" w:cs="宋体"/>
                <w:b/>
                <w:bCs/>
                <w:color w:val="auto"/>
                <w:sz w:val="32"/>
                <w:szCs w:val="32"/>
                <w:lang w:eastAsia="zh-CN"/>
              </w:rPr>
              <w:t>注：开完发票后请把报名表格交还至前台</w:t>
            </w:r>
          </w:p>
        </w:tc>
      </w:tr>
    </w:tbl>
    <w:p>
      <w:pPr>
        <w:rPr>
          <w:rFonts w:ascii="宋体" w:hAnsi="宋体" w:eastAsia="宋体" w:cs="宋体"/>
          <w:color w:val="auto"/>
          <w:sz w:val="21"/>
          <w:szCs w:val="21"/>
        </w:rPr>
      </w:pPr>
    </w:p>
    <w:p>
      <w:pPr>
        <w:rPr>
          <w:color w:val="auto"/>
        </w:rPr>
      </w:pPr>
      <w:r>
        <w:rPr>
          <w:color w:val="auto"/>
        </w:rPr>
        <w:br w:type="page"/>
      </w:r>
    </w:p>
    <w:p>
      <w:pPr>
        <w:pStyle w:val="5"/>
        <w:spacing w:before="0" w:after="0" w:line="240" w:lineRule="auto"/>
        <w:rPr>
          <w:rFonts w:hint="eastAsia" w:ascii="宋体" w:hAnsi="宋体" w:eastAsia="宋体" w:cs="宋体"/>
          <w:color w:val="auto"/>
          <w:sz w:val="21"/>
          <w:szCs w:val="21"/>
          <w:lang w:val="en-US" w:eastAsia="zh-CN"/>
        </w:rPr>
      </w:pPr>
      <w:bookmarkStart w:id="250" w:name="_Toc11182"/>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 xml:space="preserve"> 24.质疑函范本</w:t>
      </w:r>
      <w:bookmarkEnd w:id="250"/>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1.质疑函</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一、质疑供应商基本信息</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质疑供应商：</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授权代表：</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二、质疑项目基本情况</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包号：</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采购文件获取日期：</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三、质疑事项具体内容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质疑事项1：</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事实依据：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法律依据：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质疑事项2</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四、与质疑事项相关的质疑请求</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请求：</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签字(签章)：                   公章：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日期：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质疑函制作说明：</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5.质疑函的质疑请求应与质疑事项相关。</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8.质疑函递交地址为采购代理机构办公地址，详细地址详见投标邀请书。</w:t>
      </w:r>
    </w:p>
    <w:p>
      <w:pPr>
        <w:pStyle w:val="2"/>
        <w:rPr>
          <w:rFonts w:hint="eastAsia"/>
          <w:color w:val="auto"/>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2.询问函、质疑函授权书参考格式</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本委托书声明：在下面签字的</w:t>
      </w:r>
      <w:r>
        <w:rPr>
          <w:rFonts w:hint="eastAsia" w:ascii="宋体" w:hAnsi="宋体" w:eastAsia="宋体" w:cs="宋体"/>
          <w:color w:val="auto"/>
          <w:sz w:val="21"/>
          <w:szCs w:val="21"/>
          <w:u w:val="single"/>
        </w:rPr>
        <w:t xml:space="preserve">           （法定代表人或负责人姓名、职务）</w:t>
      </w:r>
      <w:r>
        <w:rPr>
          <w:rFonts w:hint="eastAsia" w:ascii="宋体" w:hAnsi="宋体" w:eastAsia="宋体" w:cs="宋体"/>
          <w:color w:val="auto"/>
          <w:sz w:val="21"/>
          <w:szCs w:val="21"/>
        </w:rPr>
        <w:t xml:space="preserve">代表 </w:t>
      </w:r>
      <w:r>
        <w:rPr>
          <w:rFonts w:hint="eastAsia" w:ascii="宋体" w:hAnsi="宋体" w:eastAsia="宋体" w:cs="宋体"/>
          <w:color w:val="auto"/>
          <w:sz w:val="21"/>
          <w:szCs w:val="21"/>
          <w:u w:val="single"/>
        </w:rPr>
        <w:t xml:space="preserve">            （供应商名称）</w:t>
      </w:r>
      <w:r>
        <w:rPr>
          <w:rFonts w:hint="eastAsia" w:ascii="宋体" w:hAnsi="宋体" w:eastAsia="宋体" w:cs="宋体"/>
          <w:color w:val="auto"/>
          <w:sz w:val="21"/>
          <w:szCs w:val="21"/>
        </w:rPr>
        <w:t>委托在下面签字的</w:t>
      </w:r>
      <w:r>
        <w:rPr>
          <w:rFonts w:hint="eastAsia" w:ascii="宋体" w:hAnsi="宋体" w:eastAsia="宋体" w:cs="宋体"/>
          <w:color w:val="auto"/>
          <w:sz w:val="21"/>
          <w:szCs w:val="21"/>
          <w:u w:val="single"/>
        </w:rPr>
        <w:t xml:space="preserve">          （授权代表的姓名、职务）</w:t>
      </w:r>
      <w:r>
        <w:rPr>
          <w:rFonts w:hint="eastAsia" w:ascii="宋体" w:hAnsi="宋体" w:eastAsia="宋体" w:cs="宋体"/>
          <w:color w:val="auto"/>
          <w:sz w:val="21"/>
          <w:szCs w:val="21"/>
        </w:rPr>
        <w:t>为本公司的合法代表人，就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采购项目（采购编号：</w:t>
      </w:r>
      <w:r>
        <w:rPr>
          <w:rFonts w:hint="eastAsia" w:ascii="宋体" w:hAnsi="宋体" w:eastAsia="宋体" w:cs="宋体"/>
          <w:color w:val="auto"/>
          <w:sz w:val="21"/>
          <w:szCs w:val="21"/>
          <w:u w:val="single"/>
        </w:rPr>
        <w:t xml:space="preserve">          ）             （填写授权内容）</w:t>
      </w:r>
      <w:r>
        <w:rPr>
          <w:rFonts w:hint="eastAsia" w:ascii="宋体" w:hAnsi="宋体" w:eastAsia="宋体" w:cs="宋体"/>
          <w:color w:val="auto"/>
          <w:sz w:val="21"/>
          <w:szCs w:val="21"/>
        </w:rPr>
        <w:t>，以本公司的名义处理一切与之有关的事宜</w:t>
      </w:r>
      <w:r>
        <w:rPr>
          <w:rFonts w:hint="eastAsia" w:ascii="宋体" w:hAnsi="宋体" w:eastAsia="宋体" w:cs="宋体"/>
          <w:color w:val="auto"/>
          <w:sz w:val="21"/>
          <w:szCs w:val="21"/>
          <w:u w:val="single"/>
        </w:rPr>
        <w:t>（须提供法定代表人或负责人、授权代表身份证复印件）。</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本委托书于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日签字生效。</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供应商名称（加盖公章）：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授权代表（签名或盖私章）：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 w:hAnsi="仿宋" w:eastAsia="仿宋"/>
          <w:color w:val="auto"/>
          <w:sz w:val="24"/>
        </w:rPr>
      </w:pPr>
      <w:r>
        <w:rPr>
          <w:rFonts w:hint="eastAsia" w:ascii="宋体" w:hAnsi="宋体" w:eastAsia="宋体" w:cs="宋体"/>
          <w:color w:val="auto"/>
          <w:sz w:val="21"/>
          <w:szCs w:val="21"/>
        </w:rPr>
        <w:t>日期：</w:t>
      </w:r>
    </w:p>
    <w:p>
      <w:pPr>
        <w:bidi w:val="0"/>
        <w:rPr>
          <w:rFonts w:hint="default"/>
          <w:color w:val="auto"/>
          <w:lang w:val="en-US" w:eastAsia="zh-CN"/>
        </w:rPr>
      </w:pPr>
    </w:p>
    <w:sectPr>
      <w:footerReference r:id="rId5" w:type="first"/>
      <w:footerReference r:id="rId4"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PingFang SC">
    <w:altName w:val="宋体"/>
    <w:panose1 w:val="00000000000000000000"/>
    <w:charset w:val="86"/>
    <w:family w:val="swiss"/>
    <w:pitch w:val="default"/>
    <w:sig w:usb0="00000000" w:usb1="00000000" w:usb2="00000017"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hhMEKz&#10;AQAASwMAAA4AAAAAAAAAAQAgAAAAHgEAAGRycy9lMm9Eb2MueG1sUEsFBgAAAAAGAAYAWQEAAEMF&#10;A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c97CcLIB&#10;AABLAwAADgAAAAAAAAABACAAAAAeAQAAZHJzL2Uyb0RvYy54bWxQSwUGAAAAAAYABgBZAQAAQgUA&#10;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东莞市政府采购公开招标文件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BAA12ADA"/>
    <w:multiLevelType w:val="singleLevel"/>
    <w:tmpl w:val="BAA12ADA"/>
    <w:lvl w:ilvl="0" w:tentative="0">
      <w:start w:val="1"/>
      <w:numFmt w:val="decimal"/>
      <w:suff w:val="nothing"/>
      <w:lvlText w:val="（%1）"/>
      <w:lvlJc w:val="left"/>
    </w:lvl>
  </w:abstractNum>
  <w:abstractNum w:abstractNumId="2">
    <w:nsid w:val="CFF174A5"/>
    <w:multiLevelType w:val="singleLevel"/>
    <w:tmpl w:val="CFF174A5"/>
    <w:lvl w:ilvl="0" w:tentative="0">
      <w:start w:val="1"/>
      <w:numFmt w:val="decimal"/>
      <w:suff w:val="nothing"/>
      <w:lvlText w:val="%1、"/>
      <w:lvlJc w:val="left"/>
    </w:lvl>
  </w:abstractNum>
  <w:abstractNum w:abstractNumId="3">
    <w:nsid w:val="D0047B7E"/>
    <w:multiLevelType w:val="singleLevel"/>
    <w:tmpl w:val="D0047B7E"/>
    <w:lvl w:ilvl="0" w:tentative="0">
      <w:start w:val="1"/>
      <w:numFmt w:val="decimal"/>
      <w:suff w:val="nothing"/>
      <w:lvlText w:val="%1、"/>
      <w:lvlJc w:val="left"/>
    </w:lvl>
  </w:abstractNum>
  <w:abstractNum w:abstractNumId="4">
    <w:nsid w:val="E09EF6E1"/>
    <w:multiLevelType w:val="singleLevel"/>
    <w:tmpl w:val="E09EF6E1"/>
    <w:lvl w:ilvl="0" w:tentative="0">
      <w:start w:val="1"/>
      <w:numFmt w:val="decimal"/>
      <w:suff w:val="nothing"/>
      <w:lvlText w:val="（%1）"/>
      <w:lvlJc w:val="left"/>
    </w:lvl>
  </w:abstractNum>
  <w:abstractNum w:abstractNumId="5">
    <w:nsid w:val="F73DC5D7"/>
    <w:multiLevelType w:val="singleLevel"/>
    <w:tmpl w:val="F73DC5D7"/>
    <w:lvl w:ilvl="0" w:tentative="0">
      <w:start w:val="1"/>
      <w:numFmt w:val="decimal"/>
      <w:suff w:val="nothing"/>
      <w:lvlText w:val="（%1）"/>
      <w:lvlJc w:val="left"/>
    </w:lvl>
  </w:abstractNum>
  <w:abstractNum w:abstractNumId="6">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206CABF7"/>
    <w:multiLevelType w:val="singleLevel"/>
    <w:tmpl w:val="206CABF7"/>
    <w:lvl w:ilvl="0" w:tentative="0">
      <w:start w:val="1"/>
      <w:numFmt w:val="decimal"/>
      <w:suff w:val="nothing"/>
      <w:lvlText w:val="（%1）"/>
      <w:lvlJc w:val="left"/>
    </w:lvl>
  </w:abstractNum>
  <w:abstractNum w:abstractNumId="9">
    <w:nsid w:val="3F88662E"/>
    <w:multiLevelType w:val="singleLevel"/>
    <w:tmpl w:val="3F88662E"/>
    <w:lvl w:ilvl="0" w:tentative="0">
      <w:start w:val="1"/>
      <w:numFmt w:val="decimal"/>
      <w:suff w:val="space"/>
      <w:lvlText w:val="%1)"/>
      <w:lvlJc w:val="left"/>
    </w:lvl>
  </w:abstractNum>
  <w:abstractNum w:abstractNumId="10">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7"/>
  </w:num>
  <w:num w:numId="3">
    <w:abstractNumId w:val="9"/>
  </w:num>
  <w:num w:numId="4">
    <w:abstractNumId w:val="8"/>
  </w:num>
  <w:num w:numId="5">
    <w:abstractNumId w:val="4"/>
  </w:num>
  <w:num w:numId="6">
    <w:abstractNumId w:val="5"/>
  </w:num>
  <w:num w:numId="7">
    <w:abstractNumId w:val="1"/>
  </w:num>
  <w:num w:numId="8">
    <w:abstractNumId w:val="2"/>
  </w:num>
  <w:num w:numId="9">
    <w:abstractNumId w:val="6"/>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D5273"/>
    <w:rsid w:val="000F09D9"/>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4C00"/>
    <w:rsid w:val="00247AE0"/>
    <w:rsid w:val="002504F8"/>
    <w:rsid w:val="00260AC1"/>
    <w:rsid w:val="0026312D"/>
    <w:rsid w:val="0027078E"/>
    <w:rsid w:val="00284156"/>
    <w:rsid w:val="00285643"/>
    <w:rsid w:val="002867A1"/>
    <w:rsid w:val="002901F8"/>
    <w:rsid w:val="002A540A"/>
    <w:rsid w:val="002B4087"/>
    <w:rsid w:val="002B5F6C"/>
    <w:rsid w:val="002C165E"/>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21BCF"/>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5543F"/>
    <w:rsid w:val="00664F6B"/>
    <w:rsid w:val="006731D2"/>
    <w:rsid w:val="00682986"/>
    <w:rsid w:val="006913C9"/>
    <w:rsid w:val="00691701"/>
    <w:rsid w:val="00691AE0"/>
    <w:rsid w:val="0069491E"/>
    <w:rsid w:val="006B7878"/>
    <w:rsid w:val="006C14BD"/>
    <w:rsid w:val="006C28E5"/>
    <w:rsid w:val="006D1BA8"/>
    <w:rsid w:val="006D393E"/>
    <w:rsid w:val="006D4AD8"/>
    <w:rsid w:val="006E0B58"/>
    <w:rsid w:val="006E0C4B"/>
    <w:rsid w:val="007110BA"/>
    <w:rsid w:val="00711465"/>
    <w:rsid w:val="0072310A"/>
    <w:rsid w:val="00723B11"/>
    <w:rsid w:val="007343A7"/>
    <w:rsid w:val="00734BB2"/>
    <w:rsid w:val="0075028E"/>
    <w:rsid w:val="007608B9"/>
    <w:rsid w:val="00761AAB"/>
    <w:rsid w:val="007724B4"/>
    <w:rsid w:val="007818FB"/>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3E43"/>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8F79E1"/>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55C3"/>
    <w:rsid w:val="009E398C"/>
    <w:rsid w:val="009E6F05"/>
    <w:rsid w:val="00A10906"/>
    <w:rsid w:val="00A14EEF"/>
    <w:rsid w:val="00A25E78"/>
    <w:rsid w:val="00A61230"/>
    <w:rsid w:val="00A813C5"/>
    <w:rsid w:val="00A824E6"/>
    <w:rsid w:val="00A858DC"/>
    <w:rsid w:val="00A94D14"/>
    <w:rsid w:val="00AB19CE"/>
    <w:rsid w:val="00AB3969"/>
    <w:rsid w:val="00AC187B"/>
    <w:rsid w:val="00AC5C21"/>
    <w:rsid w:val="00AE310E"/>
    <w:rsid w:val="00AE4FC5"/>
    <w:rsid w:val="00AF5F1F"/>
    <w:rsid w:val="00B027A4"/>
    <w:rsid w:val="00B236B3"/>
    <w:rsid w:val="00B26534"/>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44530"/>
    <w:rsid w:val="00E61D2E"/>
    <w:rsid w:val="00E62B7F"/>
    <w:rsid w:val="00E726BC"/>
    <w:rsid w:val="00E72821"/>
    <w:rsid w:val="00E81DDC"/>
    <w:rsid w:val="00E81F67"/>
    <w:rsid w:val="00E83650"/>
    <w:rsid w:val="00E83A31"/>
    <w:rsid w:val="00E93E51"/>
    <w:rsid w:val="00E97CC0"/>
    <w:rsid w:val="00EA2524"/>
    <w:rsid w:val="00EC092D"/>
    <w:rsid w:val="00EC0DF8"/>
    <w:rsid w:val="00ED378B"/>
    <w:rsid w:val="00EE08F9"/>
    <w:rsid w:val="00EE5B3F"/>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1B938AA"/>
    <w:rsid w:val="021832B7"/>
    <w:rsid w:val="024E2E49"/>
    <w:rsid w:val="02A741FD"/>
    <w:rsid w:val="02C16E5D"/>
    <w:rsid w:val="02D964CF"/>
    <w:rsid w:val="03707410"/>
    <w:rsid w:val="037F03E3"/>
    <w:rsid w:val="03A0770F"/>
    <w:rsid w:val="03A27BF9"/>
    <w:rsid w:val="03A448B8"/>
    <w:rsid w:val="03AD071E"/>
    <w:rsid w:val="04DF1036"/>
    <w:rsid w:val="05A97DEC"/>
    <w:rsid w:val="05C81981"/>
    <w:rsid w:val="05E65C7E"/>
    <w:rsid w:val="06BC41F2"/>
    <w:rsid w:val="07197D08"/>
    <w:rsid w:val="071C2CFD"/>
    <w:rsid w:val="071E5C55"/>
    <w:rsid w:val="073F7319"/>
    <w:rsid w:val="07595F41"/>
    <w:rsid w:val="07615EC0"/>
    <w:rsid w:val="077005AB"/>
    <w:rsid w:val="078F4581"/>
    <w:rsid w:val="07995C5E"/>
    <w:rsid w:val="07BE179A"/>
    <w:rsid w:val="07BF027F"/>
    <w:rsid w:val="08031A31"/>
    <w:rsid w:val="081A5CC7"/>
    <w:rsid w:val="08A276E5"/>
    <w:rsid w:val="08FA6B6B"/>
    <w:rsid w:val="09061A75"/>
    <w:rsid w:val="09182241"/>
    <w:rsid w:val="093C069F"/>
    <w:rsid w:val="09855177"/>
    <w:rsid w:val="09F1637C"/>
    <w:rsid w:val="0A25628F"/>
    <w:rsid w:val="0AA534D5"/>
    <w:rsid w:val="0AA650EB"/>
    <w:rsid w:val="0AB8066A"/>
    <w:rsid w:val="0AF47339"/>
    <w:rsid w:val="0B22594B"/>
    <w:rsid w:val="0BC044BE"/>
    <w:rsid w:val="0BDF26F7"/>
    <w:rsid w:val="0C264099"/>
    <w:rsid w:val="0C2B4952"/>
    <w:rsid w:val="0C7B2220"/>
    <w:rsid w:val="0D890E47"/>
    <w:rsid w:val="0DC64A00"/>
    <w:rsid w:val="0DFC60BA"/>
    <w:rsid w:val="0E4249F1"/>
    <w:rsid w:val="0F7C5FF6"/>
    <w:rsid w:val="0FC63FBD"/>
    <w:rsid w:val="0FCD0AEE"/>
    <w:rsid w:val="106C564D"/>
    <w:rsid w:val="107B7B8F"/>
    <w:rsid w:val="107C67CE"/>
    <w:rsid w:val="109D68CB"/>
    <w:rsid w:val="10A949B8"/>
    <w:rsid w:val="11200D07"/>
    <w:rsid w:val="11DA73AF"/>
    <w:rsid w:val="12C60D80"/>
    <w:rsid w:val="131F7A3A"/>
    <w:rsid w:val="132645D0"/>
    <w:rsid w:val="13455ABC"/>
    <w:rsid w:val="1370322B"/>
    <w:rsid w:val="13B27845"/>
    <w:rsid w:val="141A03E1"/>
    <w:rsid w:val="143B2E0B"/>
    <w:rsid w:val="14672B11"/>
    <w:rsid w:val="14892735"/>
    <w:rsid w:val="14CC769D"/>
    <w:rsid w:val="15D359D7"/>
    <w:rsid w:val="15D81E0F"/>
    <w:rsid w:val="163C77BE"/>
    <w:rsid w:val="1679588C"/>
    <w:rsid w:val="16994962"/>
    <w:rsid w:val="16A71041"/>
    <w:rsid w:val="16AA24BF"/>
    <w:rsid w:val="16F72341"/>
    <w:rsid w:val="17680CAB"/>
    <w:rsid w:val="176E4128"/>
    <w:rsid w:val="1783371F"/>
    <w:rsid w:val="17E62B67"/>
    <w:rsid w:val="180F4499"/>
    <w:rsid w:val="18221ECE"/>
    <w:rsid w:val="19A2789F"/>
    <w:rsid w:val="1A460CF5"/>
    <w:rsid w:val="1A7F297D"/>
    <w:rsid w:val="1AB16AC1"/>
    <w:rsid w:val="1B034A52"/>
    <w:rsid w:val="1B1F34AD"/>
    <w:rsid w:val="1B8D5DC6"/>
    <w:rsid w:val="1C2775EC"/>
    <w:rsid w:val="1C750ECE"/>
    <w:rsid w:val="1D0836D7"/>
    <w:rsid w:val="1D196139"/>
    <w:rsid w:val="1DB85900"/>
    <w:rsid w:val="1DF05BC8"/>
    <w:rsid w:val="1E010AF7"/>
    <w:rsid w:val="1E0178EB"/>
    <w:rsid w:val="1E301173"/>
    <w:rsid w:val="1EA40BB4"/>
    <w:rsid w:val="1F43381C"/>
    <w:rsid w:val="1FA4148D"/>
    <w:rsid w:val="20121621"/>
    <w:rsid w:val="201A421D"/>
    <w:rsid w:val="204E554F"/>
    <w:rsid w:val="20590035"/>
    <w:rsid w:val="20FC799E"/>
    <w:rsid w:val="22154DDD"/>
    <w:rsid w:val="22213E42"/>
    <w:rsid w:val="22336873"/>
    <w:rsid w:val="238C2182"/>
    <w:rsid w:val="23BB4E7D"/>
    <w:rsid w:val="23C172D6"/>
    <w:rsid w:val="23F04F64"/>
    <w:rsid w:val="24814CBE"/>
    <w:rsid w:val="24AC168B"/>
    <w:rsid w:val="258C3BEC"/>
    <w:rsid w:val="260E3862"/>
    <w:rsid w:val="26F56CE2"/>
    <w:rsid w:val="27A34F71"/>
    <w:rsid w:val="27B36A67"/>
    <w:rsid w:val="27EB0D9B"/>
    <w:rsid w:val="286602C8"/>
    <w:rsid w:val="28665C95"/>
    <w:rsid w:val="290B3EB9"/>
    <w:rsid w:val="291418C2"/>
    <w:rsid w:val="2950768C"/>
    <w:rsid w:val="297A5FC4"/>
    <w:rsid w:val="2A8D4F8F"/>
    <w:rsid w:val="2A911082"/>
    <w:rsid w:val="2A917B34"/>
    <w:rsid w:val="2AE3766F"/>
    <w:rsid w:val="2B7E4054"/>
    <w:rsid w:val="2BF22742"/>
    <w:rsid w:val="2C987C56"/>
    <w:rsid w:val="2CFF149A"/>
    <w:rsid w:val="2D201865"/>
    <w:rsid w:val="2D4B5CEA"/>
    <w:rsid w:val="2D652658"/>
    <w:rsid w:val="2DC80C49"/>
    <w:rsid w:val="2DCA6355"/>
    <w:rsid w:val="2DF0699F"/>
    <w:rsid w:val="2E166748"/>
    <w:rsid w:val="2E556F01"/>
    <w:rsid w:val="2E8E20B4"/>
    <w:rsid w:val="2ED06066"/>
    <w:rsid w:val="2ED1223D"/>
    <w:rsid w:val="2EE470F7"/>
    <w:rsid w:val="2F000139"/>
    <w:rsid w:val="2F561B8A"/>
    <w:rsid w:val="2F9F42DC"/>
    <w:rsid w:val="2FF37AB3"/>
    <w:rsid w:val="30FF27D2"/>
    <w:rsid w:val="31170995"/>
    <w:rsid w:val="31264A30"/>
    <w:rsid w:val="31884E67"/>
    <w:rsid w:val="31A0275E"/>
    <w:rsid w:val="31ED6B08"/>
    <w:rsid w:val="328464CE"/>
    <w:rsid w:val="32AB70C5"/>
    <w:rsid w:val="32DC33E0"/>
    <w:rsid w:val="335D0AF5"/>
    <w:rsid w:val="3370088C"/>
    <w:rsid w:val="33A3154A"/>
    <w:rsid w:val="33DC2F78"/>
    <w:rsid w:val="3428227C"/>
    <w:rsid w:val="35260F83"/>
    <w:rsid w:val="35602226"/>
    <w:rsid w:val="356B72E7"/>
    <w:rsid w:val="3572424F"/>
    <w:rsid w:val="35FC3844"/>
    <w:rsid w:val="36AD519D"/>
    <w:rsid w:val="36B57705"/>
    <w:rsid w:val="36F8668C"/>
    <w:rsid w:val="37A103ED"/>
    <w:rsid w:val="37EA5E6E"/>
    <w:rsid w:val="37FF016F"/>
    <w:rsid w:val="38427C0B"/>
    <w:rsid w:val="387C5ABE"/>
    <w:rsid w:val="389B3A1E"/>
    <w:rsid w:val="38EB6119"/>
    <w:rsid w:val="39FE0BE9"/>
    <w:rsid w:val="3A3C1AAF"/>
    <w:rsid w:val="3A51228C"/>
    <w:rsid w:val="3A552E60"/>
    <w:rsid w:val="3A5D642F"/>
    <w:rsid w:val="3AB210FC"/>
    <w:rsid w:val="3AD95C13"/>
    <w:rsid w:val="3B261E51"/>
    <w:rsid w:val="3BCD72F7"/>
    <w:rsid w:val="3C414142"/>
    <w:rsid w:val="3CF737A2"/>
    <w:rsid w:val="3D10295A"/>
    <w:rsid w:val="3E0572FD"/>
    <w:rsid w:val="3E1A5292"/>
    <w:rsid w:val="3E5A7FE7"/>
    <w:rsid w:val="3EC8179E"/>
    <w:rsid w:val="3EF66B2E"/>
    <w:rsid w:val="3F217914"/>
    <w:rsid w:val="3FD70BB0"/>
    <w:rsid w:val="3FFB55AC"/>
    <w:rsid w:val="401C5F9D"/>
    <w:rsid w:val="401C690C"/>
    <w:rsid w:val="401D7195"/>
    <w:rsid w:val="40CE3DC0"/>
    <w:rsid w:val="40D7455A"/>
    <w:rsid w:val="40E743E5"/>
    <w:rsid w:val="41734CBA"/>
    <w:rsid w:val="41DD7057"/>
    <w:rsid w:val="420F7A65"/>
    <w:rsid w:val="4216611A"/>
    <w:rsid w:val="423E300F"/>
    <w:rsid w:val="425656C8"/>
    <w:rsid w:val="4257273C"/>
    <w:rsid w:val="42677B61"/>
    <w:rsid w:val="42756DB0"/>
    <w:rsid w:val="42B21AD2"/>
    <w:rsid w:val="42FD694D"/>
    <w:rsid w:val="43FA5777"/>
    <w:rsid w:val="44044D92"/>
    <w:rsid w:val="441C1611"/>
    <w:rsid w:val="443C440B"/>
    <w:rsid w:val="443F7DBF"/>
    <w:rsid w:val="44514F52"/>
    <w:rsid w:val="448965CB"/>
    <w:rsid w:val="44FA2D53"/>
    <w:rsid w:val="4571374F"/>
    <w:rsid w:val="458B1BB0"/>
    <w:rsid w:val="4611075B"/>
    <w:rsid w:val="46214818"/>
    <w:rsid w:val="467A0297"/>
    <w:rsid w:val="468B7125"/>
    <w:rsid w:val="46C4691F"/>
    <w:rsid w:val="479D1D34"/>
    <w:rsid w:val="47B609C0"/>
    <w:rsid w:val="482D31EA"/>
    <w:rsid w:val="485970A0"/>
    <w:rsid w:val="48B65C71"/>
    <w:rsid w:val="48F303D7"/>
    <w:rsid w:val="492837FF"/>
    <w:rsid w:val="492E6A57"/>
    <w:rsid w:val="4A0030EE"/>
    <w:rsid w:val="4AC36065"/>
    <w:rsid w:val="4B7501F5"/>
    <w:rsid w:val="4B8C2DEB"/>
    <w:rsid w:val="4BFA3C9F"/>
    <w:rsid w:val="4C0E3379"/>
    <w:rsid w:val="4C107F48"/>
    <w:rsid w:val="4C3277BC"/>
    <w:rsid w:val="4CC353EB"/>
    <w:rsid w:val="4CF36F3C"/>
    <w:rsid w:val="4D4F67BA"/>
    <w:rsid w:val="4D603399"/>
    <w:rsid w:val="4D867EE1"/>
    <w:rsid w:val="4DBC4C65"/>
    <w:rsid w:val="4DF6568D"/>
    <w:rsid w:val="4E550010"/>
    <w:rsid w:val="4E5F14CB"/>
    <w:rsid w:val="4F3705F8"/>
    <w:rsid w:val="4FAC3540"/>
    <w:rsid w:val="4FBB12F4"/>
    <w:rsid w:val="4FCF1583"/>
    <w:rsid w:val="4FFA7625"/>
    <w:rsid w:val="501B0BF9"/>
    <w:rsid w:val="507D2599"/>
    <w:rsid w:val="5096229D"/>
    <w:rsid w:val="50DC4184"/>
    <w:rsid w:val="51475B39"/>
    <w:rsid w:val="514C3EA7"/>
    <w:rsid w:val="519849E5"/>
    <w:rsid w:val="51B36892"/>
    <w:rsid w:val="51F80E39"/>
    <w:rsid w:val="52506DA7"/>
    <w:rsid w:val="533B2B84"/>
    <w:rsid w:val="537A7243"/>
    <w:rsid w:val="539C1B81"/>
    <w:rsid w:val="53AE750F"/>
    <w:rsid w:val="53F263AD"/>
    <w:rsid w:val="549A6BFA"/>
    <w:rsid w:val="54E72921"/>
    <w:rsid w:val="551D5199"/>
    <w:rsid w:val="557772D2"/>
    <w:rsid w:val="55806F07"/>
    <w:rsid w:val="55FA2961"/>
    <w:rsid w:val="565E7F4F"/>
    <w:rsid w:val="56857D06"/>
    <w:rsid w:val="56914056"/>
    <w:rsid w:val="56DB613D"/>
    <w:rsid w:val="57FC2169"/>
    <w:rsid w:val="58096275"/>
    <w:rsid w:val="581C04F1"/>
    <w:rsid w:val="582E6EF7"/>
    <w:rsid w:val="58434392"/>
    <w:rsid w:val="584E30E6"/>
    <w:rsid w:val="59014D02"/>
    <w:rsid w:val="597B384D"/>
    <w:rsid w:val="59996DA8"/>
    <w:rsid w:val="59C30F1B"/>
    <w:rsid w:val="5A0D5854"/>
    <w:rsid w:val="5A20156F"/>
    <w:rsid w:val="5AC7121C"/>
    <w:rsid w:val="5AD90B8D"/>
    <w:rsid w:val="5AE12927"/>
    <w:rsid w:val="5B2243E9"/>
    <w:rsid w:val="5B4E1A44"/>
    <w:rsid w:val="5B666742"/>
    <w:rsid w:val="5B873201"/>
    <w:rsid w:val="5B89551D"/>
    <w:rsid w:val="5B967767"/>
    <w:rsid w:val="5B9E55DE"/>
    <w:rsid w:val="5C286807"/>
    <w:rsid w:val="5C446BC8"/>
    <w:rsid w:val="5C4C687B"/>
    <w:rsid w:val="5C7C2768"/>
    <w:rsid w:val="5CB23AE6"/>
    <w:rsid w:val="5CF55792"/>
    <w:rsid w:val="5CFD533A"/>
    <w:rsid w:val="5D893B14"/>
    <w:rsid w:val="5E2B7D62"/>
    <w:rsid w:val="5EA06921"/>
    <w:rsid w:val="5ED5006A"/>
    <w:rsid w:val="5EF90624"/>
    <w:rsid w:val="5F576E4B"/>
    <w:rsid w:val="5F7A2C30"/>
    <w:rsid w:val="5FBE370A"/>
    <w:rsid w:val="60292845"/>
    <w:rsid w:val="612E1A5D"/>
    <w:rsid w:val="61816046"/>
    <w:rsid w:val="62391564"/>
    <w:rsid w:val="62816669"/>
    <w:rsid w:val="62BA0953"/>
    <w:rsid w:val="62D03A7C"/>
    <w:rsid w:val="62F16BCB"/>
    <w:rsid w:val="62F648FE"/>
    <w:rsid w:val="63A10995"/>
    <w:rsid w:val="63C23EFA"/>
    <w:rsid w:val="643A070A"/>
    <w:rsid w:val="644C573D"/>
    <w:rsid w:val="648667A7"/>
    <w:rsid w:val="64DB383A"/>
    <w:rsid w:val="65032F85"/>
    <w:rsid w:val="65136B50"/>
    <w:rsid w:val="657E2A35"/>
    <w:rsid w:val="65A94E9D"/>
    <w:rsid w:val="65C60A92"/>
    <w:rsid w:val="663526B4"/>
    <w:rsid w:val="668A6DF4"/>
    <w:rsid w:val="66DD6702"/>
    <w:rsid w:val="670D1CBB"/>
    <w:rsid w:val="679406CB"/>
    <w:rsid w:val="68AD17BB"/>
    <w:rsid w:val="68D94D22"/>
    <w:rsid w:val="692B2E4A"/>
    <w:rsid w:val="694303FB"/>
    <w:rsid w:val="69680A64"/>
    <w:rsid w:val="696A0B34"/>
    <w:rsid w:val="698D6A17"/>
    <w:rsid w:val="69EE3535"/>
    <w:rsid w:val="69F954C1"/>
    <w:rsid w:val="6A2031B6"/>
    <w:rsid w:val="6A440C53"/>
    <w:rsid w:val="6AC61F6F"/>
    <w:rsid w:val="6ADE74F0"/>
    <w:rsid w:val="6B1002C0"/>
    <w:rsid w:val="6B723594"/>
    <w:rsid w:val="6B805156"/>
    <w:rsid w:val="6BD50977"/>
    <w:rsid w:val="6BEA2A9B"/>
    <w:rsid w:val="6C9C0875"/>
    <w:rsid w:val="6CAA3931"/>
    <w:rsid w:val="6CF523FE"/>
    <w:rsid w:val="6D3933CA"/>
    <w:rsid w:val="6D7B61EC"/>
    <w:rsid w:val="6DD049FF"/>
    <w:rsid w:val="6E09491E"/>
    <w:rsid w:val="6E0D3655"/>
    <w:rsid w:val="6E5F4465"/>
    <w:rsid w:val="6E8C54DA"/>
    <w:rsid w:val="6EF11E03"/>
    <w:rsid w:val="6F111C62"/>
    <w:rsid w:val="6F2176E5"/>
    <w:rsid w:val="6F3053CA"/>
    <w:rsid w:val="6F592303"/>
    <w:rsid w:val="6F5F5B74"/>
    <w:rsid w:val="6F9B1C65"/>
    <w:rsid w:val="6FD47A25"/>
    <w:rsid w:val="6FFB146E"/>
    <w:rsid w:val="701A5C74"/>
    <w:rsid w:val="706516C3"/>
    <w:rsid w:val="70896E68"/>
    <w:rsid w:val="70CF326F"/>
    <w:rsid w:val="715B60E9"/>
    <w:rsid w:val="71EA1FED"/>
    <w:rsid w:val="72C16204"/>
    <w:rsid w:val="730313F6"/>
    <w:rsid w:val="731E1007"/>
    <w:rsid w:val="73370D24"/>
    <w:rsid w:val="7359268C"/>
    <w:rsid w:val="739503EB"/>
    <w:rsid w:val="73A05B28"/>
    <w:rsid w:val="73C07D69"/>
    <w:rsid w:val="74B42AE4"/>
    <w:rsid w:val="750A429D"/>
    <w:rsid w:val="755D38A7"/>
    <w:rsid w:val="75614792"/>
    <w:rsid w:val="75784473"/>
    <w:rsid w:val="757E044C"/>
    <w:rsid w:val="75977BC3"/>
    <w:rsid w:val="75B161B3"/>
    <w:rsid w:val="75E470E3"/>
    <w:rsid w:val="76736B32"/>
    <w:rsid w:val="76E3765E"/>
    <w:rsid w:val="76FC2AFA"/>
    <w:rsid w:val="77653671"/>
    <w:rsid w:val="778546CC"/>
    <w:rsid w:val="77B56730"/>
    <w:rsid w:val="77C04A8B"/>
    <w:rsid w:val="77D85DB3"/>
    <w:rsid w:val="780252A0"/>
    <w:rsid w:val="78027772"/>
    <w:rsid w:val="78A50513"/>
    <w:rsid w:val="796518DD"/>
    <w:rsid w:val="79AA0532"/>
    <w:rsid w:val="79FE1DDD"/>
    <w:rsid w:val="7A075767"/>
    <w:rsid w:val="7A212062"/>
    <w:rsid w:val="7A282A11"/>
    <w:rsid w:val="7AC21562"/>
    <w:rsid w:val="7AD474A4"/>
    <w:rsid w:val="7B5350AD"/>
    <w:rsid w:val="7B697C89"/>
    <w:rsid w:val="7B8D34C3"/>
    <w:rsid w:val="7B971D84"/>
    <w:rsid w:val="7BF32F03"/>
    <w:rsid w:val="7C1724A5"/>
    <w:rsid w:val="7C8E3CCF"/>
    <w:rsid w:val="7CA54112"/>
    <w:rsid w:val="7CE50CE4"/>
    <w:rsid w:val="7D2E5ABF"/>
    <w:rsid w:val="7E2142A2"/>
    <w:rsid w:val="7E5A6DFA"/>
    <w:rsid w:val="7E7B0BF2"/>
    <w:rsid w:val="7E8D75B6"/>
    <w:rsid w:val="7EF760EE"/>
    <w:rsid w:val="7F2A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1"/>
      <w:ind w:left="120"/>
    </w:pPr>
    <w:rPr>
      <w:rFonts w:ascii="宋体" w:hAnsi="宋体" w:eastAsia="宋体" w:cs="宋体"/>
      <w:sz w:val="24"/>
      <w:lang w:val="zh-CN" w:bidi="zh-CN"/>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tabs>
        <w:tab w:val="right" w:leader="dot" w:pos="8296"/>
      </w:tabs>
      <w:ind w:left="838" w:leftChars="381"/>
    </w:pPr>
    <w:rPr>
      <w:sz w:val="21"/>
      <w:szCs w:val="21"/>
    </w:rPr>
  </w:style>
  <w:style w:type="paragraph" w:styleId="8">
    <w:name w:val="Plain Text"/>
    <w:basedOn w:val="1"/>
    <w:link w:val="36"/>
    <w:qFormat/>
    <w:uiPriority w:val="0"/>
    <w:pPr>
      <w:widowControl w:val="0"/>
      <w:adjustRightInd/>
      <w:snapToGrid/>
      <w:spacing w:after="0"/>
      <w:jc w:val="both"/>
    </w:pPr>
    <w:rPr>
      <w:rFonts w:ascii="宋体" w:hAnsi="Courier New" w:eastAsia="宋体" w:cs="Times New Roman"/>
      <w:b/>
      <w:kern w:val="2"/>
      <w:sz w:val="21"/>
      <w:szCs w:val="20"/>
    </w:rPr>
  </w:style>
  <w:style w:type="paragraph" w:styleId="9">
    <w:name w:val="Balloon Text"/>
    <w:basedOn w:val="1"/>
    <w:link w:val="39"/>
    <w:semiHidden/>
    <w:unhideWhenUsed/>
    <w:qFormat/>
    <w:uiPriority w:val="99"/>
    <w:pPr>
      <w:spacing w:after="0"/>
    </w:pPr>
    <w:rPr>
      <w:sz w:val="18"/>
      <w:szCs w:val="18"/>
    </w:rPr>
  </w:style>
  <w:style w:type="paragraph" w:styleId="10">
    <w:name w:val="footer"/>
    <w:basedOn w:val="1"/>
    <w:link w:val="38"/>
    <w:unhideWhenUsed/>
    <w:qFormat/>
    <w:uiPriority w:val="99"/>
    <w:pPr>
      <w:tabs>
        <w:tab w:val="center" w:pos="4153"/>
        <w:tab w:val="right" w:pos="8306"/>
      </w:tabs>
    </w:pPr>
    <w:rPr>
      <w:sz w:val="18"/>
      <w:szCs w:val="18"/>
    </w:rPr>
  </w:style>
  <w:style w:type="paragraph" w:styleId="11">
    <w:name w:val="header"/>
    <w:basedOn w:val="1"/>
    <w:link w:val="37"/>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toc 4"/>
    <w:basedOn w:val="1"/>
    <w:next w:val="1"/>
    <w:unhideWhenUsed/>
    <w:qFormat/>
    <w:uiPriority w:val="39"/>
    <w:pPr>
      <w:tabs>
        <w:tab w:val="right" w:leader="dot" w:pos="8296"/>
      </w:tabs>
      <w:spacing w:after="120"/>
      <w:ind w:left="1320" w:leftChars="600"/>
    </w:pPr>
  </w:style>
  <w:style w:type="paragraph" w:styleId="14">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5">
    <w:name w:val="Normal (Web)"/>
    <w:basedOn w:val="1"/>
    <w:link w:val="41"/>
    <w:qFormat/>
    <w:uiPriority w:val="0"/>
    <w:pPr>
      <w:widowControl w:val="0"/>
      <w:adjustRightInd/>
      <w:snapToGrid/>
      <w:spacing w:after="0"/>
      <w:jc w:val="both"/>
    </w:pPr>
    <w:rPr>
      <w:rFonts w:eastAsia="宋体" w:asciiTheme="minorHAnsi" w:hAnsiTheme="minorHAnsi"/>
      <w:kern w:val="2"/>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rFonts w:hint="eastAsia" w:ascii="宋体" w:hAnsi="宋体" w:eastAsia="宋体" w:cs="宋体"/>
      <w:color w:val="0031C1"/>
      <w:sz w:val="18"/>
      <w:szCs w:val="18"/>
      <w:u w:val="none"/>
    </w:rPr>
  </w:style>
  <w:style w:type="character" w:styleId="20">
    <w:name w:val="Emphasis"/>
    <w:basedOn w:val="18"/>
    <w:qFormat/>
    <w:uiPriority w:val="20"/>
    <w:rPr>
      <w:i/>
      <w:iCs/>
    </w:rPr>
  </w:style>
  <w:style w:type="character" w:styleId="21">
    <w:name w:val="Hyperlink"/>
    <w:qFormat/>
    <w:uiPriority w:val="99"/>
    <w:rPr>
      <w:rFonts w:hint="eastAsia" w:ascii="宋体" w:hAnsi="宋体" w:eastAsia="宋体" w:cs="宋体"/>
      <w:b/>
      <w:color w:val="0031C1"/>
      <w:kern w:val="0"/>
      <w:sz w:val="18"/>
      <w:szCs w:val="18"/>
      <w:u w:val="none"/>
      <w:lang w:eastAsia="en-US"/>
    </w:rPr>
  </w:style>
  <w:style w:type="character" w:customStyle="1" w:styleId="22">
    <w:name w:val="标题 2 字符"/>
    <w:basedOn w:val="18"/>
    <w:link w:val="3"/>
    <w:qFormat/>
    <w:uiPriority w:val="9"/>
    <w:rPr>
      <w:rFonts w:asciiTheme="majorHAnsi" w:hAnsiTheme="majorHAnsi" w:eastAsiaTheme="majorEastAsia" w:cstheme="majorBidi"/>
      <w:b/>
      <w:bCs/>
      <w:sz w:val="32"/>
      <w:szCs w:val="32"/>
    </w:rPr>
  </w:style>
  <w:style w:type="character" w:customStyle="1" w:styleId="23">
    <w:name w:val="标题 3 字符"/>
    <w:basedOn w:val="18"/>
    <w:link w:val="4"/>
    <w:qFormat/>
    <w:uiPriority w:val="9"/>
    <w:rPr>
      <w:rFonts w:ascii="Tahoma" w:hAnsi="Tahoma"/>
      <w:b/>
      <w:bCs/>
      <w:sz w:val="32"/>
      <w:szCs w:val="32"/>
    </w:rPr>
  </w:style>
  <w:style w:type="paragraph" w:styleId="24">
    <w:name w:val="List Paragraph"/>
    <w:basedOn w:val="1"/>
    <w:qFormat/>
    <w:uiPriority w:val="34"/>
    <w:pPr>
      <w:ind w:firstLine="420" w:firstLineChars="200"/>
    </w:pPr>
  </w:style>
  <w:style w:type="character" w:customStyle="1" w:styleId="25">
    <w:name w:val="标题 4 字符"/>
    <w:basedOn w:val="18"/>
    <w:link w:val="5"/>
    <w:qFormat/>
    <w:uiPriority w:val="9"/>
    <w:rPr>
      <w:rFonts w:asciiTheme="majorHAnsi" w:hAnsiTheme="majorHAnsi" w:eastAsiaTheme="majorEastAsia" w:cstheme="majorBidi"/>
      <w:b/>
      <w:bCs/>
      <w:sz w:val="28"/>
      <w:szCs w:val="28"/>
    </w:rPr>
  </w:style>
  <w:style w:type="character" w:customStyle="1" w:styleId="26">
    <w:name w:val="正文缩进2格 Char"/>
    <w:link w:val="27"/>
    <w:qFormat/>
    <w:uiPriority w:val="0"/>
    <w:rPr>
      <w:rFonts w:ascii="仿宋_GB2312" w:hAnsi="宋体" w:eastAsia="仿宋_GB2312"/>
      <w:kern w:val="2"/>
      <w:sz w:val="31"/>
    </w:rPr>
  </w:style>
  <w:style w:type="paragraph" w:customStyle="1" w:styleId="27">
    <w:name w:val="正文缩进2格"/>
    <w:basedOn w:val="1"/>
    <w:link w:val="26"/>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28">
    <w:name w:val="正文缩进4格"/>
    <w:basedOn w:val="27"/>
    <w:qFormat/>
    <w:uiPriority w:val="0"/>
    <w:pPr>
      <w:ind w:left="2" w:firstLine="538" w:firstLineChars="192"/>
    </w:pPr>
    <w:rPr>
      <w:color w:val="0000FF"/>
      <w:sz w:val="28"/>
    </w:rPr>
  </w:style>
  <w:style w:type="character" w:customStyle="1" w:styleId="29">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0">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1">
    <w:name w:val="标题1"/>
    <w:qFormat/>
    <w:uiPriority w:val="0"/>
    <w:rPr>
      <w:rFonts w:ascii="Times New Roman" w:hAnsi="Times New Roman" w:eastAsia="宋体" w:cs="Times New Roman"/>
      <w:b/>
      <w:kern w:val="0"/>
      <w:sz w:val="24"/>
      <w:szCs w:val="20"/>
      <w:lang w:eastAsia="en-US"/>
    </w:rPr>
  </w:style>
  <w:style w:type="character" w:customStyle="1" w:styleId="32">
    <w:name w:val="标题 3.1 Char"/>
    <w:link w:val="33"/>
    <w:qFormat/>
    <w:uiPriority w:val="0"/>
    <w:rPr>
      <w:rFonts w:ascii="宋体" w:hAnsi="宋体" w:eastAsia="宋体"/>
      <w:b/>
      <w:color w:val="FF0000"/>
      <w:kern w:val="2"/>
      <w:sz w:val="32"/>
    </w:rPr>
  </w:style>
  <w:style w:type="paragraph" w:customStyle="1" w:styleId="33">
    <w:name w:val="标题 3.1"/>
    <w:basedOn w:val="4"/>
    <w:link w:val="32"/>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4">
    <w:name w:val="样式 楷体_GB2312 小四"/>
    <w:qFormat/>
    <w:uiPriority w:val="0"/>
    <w:rPr>
      <w:rFonts w:ascii="楷体_GB2312" w:hAnsi="楷体_GB2312" w:eastAsia="仿宋_GB2312"/>
      <w:sz w:val="24"/>
    </w:rPr>
  </w:style>
  <w:style w:type="character" w:customStyle="1" w:styleId="35">
    <w:name w:val="纯文本 Char"/>
    <w:qFormat/>
    <w:uiPriority w:val="0"/>
    <w:rPr>
      <w:rFonts w:ascii="宋体" w:hAnsi="Courier New" w:eastAsia="宋体" w:cs="Times New Roman"/>
      <w:b/>
      <w:kern w:val="2"/>
      <w:sz w:val="21"/>
      <w:szCs w:val="20"/>
    </w:rPr>
  </w:style>
  <w:style w:type="character" w:customStyle="1" w:styleId="36">
    <w:name w:val="纯文本 字符"/>
    <w:basedOn w:val="18"/>
    <w:link w:val="8"/>
    <w:semiHidden/>
    <w:qFormat/>
    <w:uiPriority w:val="99"/>
    <w:rPr>
      <w:rFonts w:ascii="宋体" w:hAnsi="Courier New" w:eastAsia="宋体" w:cs="Courier New"/>
      <w:sz w:val="21"/>
      <w:szCs w:val="21"/>
    </w:rPr>
  </w:style>
  <w:style w:type="character" w:customStyle="1" w:styleId="37">
    <w:name w:val="页眉 字符"/>
    <w:basedOn w:val="18"/>
    <w:link w:val="11"/>
    <w:qFormat/>
    <w:uiPriority w:val="99"/>
    <w:rPr>
      <w:rFonts w:ascii="Tahoma" w:hAnsi="Tahoma"/>
      <w:sz w:val="18"/>
      <w:szCs w:val="18"/>
    </w:rPr>
  </w:style>
  <w:style w:type="character" w:customStyle="1" w:styleId="38">
    <w:name w:val="页脚 字符"/>
    <w:basedOn w:val="18"/>
    <w:link w:val="10"/>
    <w:qFormat/>
    <w:uiPriority w:val="99"/>
    <w:rPr>
      <w:rFonts w:ascii="Tahoma" w:hAnsi="Tahoma"/>
      <w:sz w:val="18"/>
      <w:szCs w:val="18"/>
    </w:rPr>
  </w:style>
  <w:style w:type="character" w:customStyle="1" w:styleId="39">
    <w:name w:val="批注框文本 字符"/>
    <w:basedOn w:val="18"/>
    <w:link w:val="9"/>
    <w:semiHidden/>
    <w:qFormat/>
    <w:uiPriority w:val="99"/>
    <w:rPr>
      <w:rFonts w:ascii="Tahoma" w:hAnsi="Tahoma"/>
      <w:sz w:val="18"/>
      <w:szCs w:val="18"/>
    </w:rPr>
  </w:style>
  <w:style w:type="paragraph" w:customStyle="1" w:styleId="40">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1">
    <w:name w:val="普通(网站) 字符"/>
    <w:link w:val="15"/>
    <w:qFormat/>
    <w:uiPriority w:val="0"/>
    <w:rPr>
      <w:rFonts w:eastAsia="宋体"/>
      <w:kern w:val="2"/>
      <w:sz w:val="24"/>
      <w:szCs w:val="24"/>
    </w:rPr>
  </w:style>
  <w:style w:type="paragraph" w:customStyle="1" w:styleId="42">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3">
    <w:name w:val="p141"/>
    <w:qFormat/>
    <w:uiPriority w:val="0"/>
    <w:rPr>
      <w:sz w:val="21"/>
      <w:szCs w:val="21"/>
    </w:rPr>
  </w:style>
  <w:style w:type="paragraph" w:customStyle="1" w:styleId="44">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45">
    <w:name w:val="fielderror"/>
    <w:basedOn w:val="18"/>
    <w:uiPriority w:val="0"/>
    <w:rPr>
      <w:color w:val="800000"/>
    </w:rPr>
  </w:style>
  <w:style w:type="character" w:customStyle="1" w:styleId="46">
    <w:name w:val="active4"/>
    <w:basedOn w:val="18"/>
    <w:uiPriority w:val="0"/>
    <w:rPr>
      <w:color w:val="FFFFFF"/>
    </w:rPr>
  </w:style>
  <w:style w:type="character" w:customStyle="1" w:styleId="47">
    <w:name w:val="hilite6"/>
    <w:basedOn w:val="18"/>
    <w:uiPriority w:val="0"/>
    <w:rPr>
      <w:color w:val="000000"/>
    </w:rPr>
  </w:style>
  <w:style w:type="character" w:customStyle="1" w:styleId="48">
    <w:name w:val="required"/>
    <w:basedOn w:val="18"/>
    <w:qFormat/>
    <w:uiPriority w:val="0"/>
    <w:rPr>
      <w:color w:val="FF0000"/>
    </w:rPr>
  </w:style>
  <w:style w:type="character" w:customStyle="1" w:styleId="49">
    <w:name w:val="tab2"/>
    <w:basedOn w:val="18"/>
    <w:uiPriority w:val="0"/>
    <w:rPr>
      <w:color w:val="333366"/>
    </w:rPr>
  </w:style>
  <w:style w:type="character" w:customStyle="1" w:styleId="50">
    <w:name w:val="tab1"/>
    <w:basedOn w:val="18"/>
    <w:qFormat/>
    <w:uiPriority w:val="0"/>
  </w:style>
  <w:style w:type="character" w:customStyle="1" w:styleId="51">
    <w:name w:val="active6"/>
    <w:basedOn w:val="18"/>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BD83C-2A9B-4E6F-A772-FE212356A246}">
  <ds:schemaRefs/>
</ds:datastoreItem>
</file>

<file path=docProps/app.xml><?xml version="1.0" encoding="utf-8"?>
<Properties xmlns="http://schemas.openxmlformats.org/officeDocument/2006/extended-properties" xmlns:vt="http://schemas.openxmlformats.org/officeDocument/2006/docPropsVTypes">
  <Template>Normal</Template>
  <Manager>HLR</Manager>
  <Company>广东三方诚信招标有限公司东莞分公司</Company>
  <Pages>64</Pages>
  <Words>28775</Words>
  <Characters>29670</Characters>
  <Lines>253</Lines>
  <Paragraphs>71</Paragraphs>
  <TotalTime>19</TotalTime>
  <ScaleCrop>false</ScaleCrop>
  <LinksUpToDate>false</LinksUpToDate>
  <CharactersWithSpaces>31584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文件</cp:category>
  <dcterms:created xsi:type="dcterms:W3CDTF">2019-07-08T13:55:00Z</dcterms:created>
  <dc:creator>广东三方诚信招标有限公司东莞分公司</dc:creator>
  <cp:keywords>文件格式版本</cp:keywords>
  <cp:lastModifiedBy>YISE</cp:lastModifiedBy>
  <cp:lastPrinted>2020-04-07T09:22:00Z</cp:lastPrinted>
  <dcterms:modified xsi:type="dcterms:W3CDTF">2020-04-08T09:05:07Z</dcterms:modified>
  <dc:subject>公开招标文件版本</dc:subject>
  <dc:title>公开招标文件版本</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