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宋体" w:hAnsi="宋体" w:eastAsia="宋体" w:cs="宋体"/>
          <w:kern w:val="0"/>
          <w:sz w:val="21"/>
          <w:szCs w:val="21"/>
          <w:lang w:eastAsia="zh-CN"/>
        </w:rPr>
      </w:pPr>
    </w:p>
    <w:p>
      <w:pPr>
        <w:spacing w:line="360" w:lineRule="auto"/>
        <w:jc w:val="left"/>
        <w:rPr>
          <w:rFonts w:ascii="宋体" w:hAnsi="宋体"/>
          <w:b/>
          <w:bCs/>
          <w:kern w:val="44"/>
          <w:sz w:val="21"/>
          <w:szCs w:val="21"/>
        </w:rPr>
      </w:pPr>
    </w:p>
    <w:p>
      <w:pPr>
        <w:pStyle w:val="55"/>
        <w:ind w:firstLine="422"/>
        <w:jc w:val="left"/>
        <w:rPr>
          <w:rFonts w:ascii="宋体" w:hAnsi="宋体"/>
          <w:b/>
          <w:bCs/>
          <w:kern w:val="44"/>
          <w:sz w:val="21"/>
          <w:szCs w:val="21"/>
        </w:rPr>
      </w:pPr>
    </w:p>
    <w:p>
      <w:pPr>
        <w:pStyle w:val="55"/>
        <w:ind w:firstLine="422"/>
        <w:jc w:val="left"/>
        <w:rPr>
          <w:rFonts w:ascii="宋体" w:hAnsi="宋体"/>
          <w:b/>
          <w:bCs/>
          <w:kern w:val="44"/>
          <w:sz w:val="21"/>
          <w:szCs w:val="21"/>
        </w:rPr>
      </w:pPr>
    </w:p>
    <w:p>
      <w:pPr>
        <w:pStyle w:val="55"/>
        <w:ind w:firstLine="0" w:firstLineChars="0"/>
        <w:jc w:val="center"/>
        <w:rPr>
          <w:rFonts w:hint="eastAsia" w:ascii="宋体" w:hAnsi="宋体"/>
          <w:b/>
          <w:sz w:val="72"/>
          <w:szCs w:val="72"/>
          <w:shd w:val="clear" w:color="auto" w:fill="FFFFFF"/>
          <w:lang w:eastAsia="zh-CN"/>
        </w:rPr>
      </w:pPr>
      <w:r>
        <w:rPr>
          <w:rFonts w:hint="eastAsia" w:ascii="宋体" w:hAnsi="宋体"/>
          <w:b/>
          <w:sz w:val="72"/>
          <w:szCs w:val="72"/>
          <w:shd w:val="clear" w:color="auto" w:fill="FFFFFF"/>
        </w:rPr>
        <w:t>气相色谱-质谱联用仪离子色谱仪</w:t>
      </w:r>
      <w:r>
        <w:rPr>
          <w:rFonts w:hint="eastAsia" w:ascii="宋体" w:hAnsi="宋体"/>
          <w:b/>
          <w:sz w:val="72"/>
          <w:szCs w:val="72"/>
          <w:shd w:val="clear" w:color="auto" w:fill="FFFFFF"/>
          <w:lang w:eastAsia="zh-CN"/>
        </w:rPr>
        <w:t>等仪器设备采购</w:t>
      </w:r>
    </w:p>
    <w:p>
      <w:pPr>
        <w:pStyle w:val="55"/>
        <w:ind w:firstLine="0" w:firstLineChars="0"/>
        <w:jc w:val="center"/>
        <w:rPr>
          <w:rFonts w:hint="eastAsia" w:ascii="宋体" w:hAnsi="宋体" w:eastAsia="宋体"/>
          <w:b/>
          <w:sz w:val="72"/>
          <w:szCs w:val="72"/>
          <w:shd w:val="clear" w:color="auto" w:fill="FFFFFF"/>
          <w:lang w:eastAsia="zh-CN"/>
        </w:rPr>
      </w:pPr>
      <w:r>
        <w:rPr>
          <w:rFonts w:hint="eastAsia" w:ascii="宋体" w:hAnsi="宋体"/>
          <w:b/>
          <w:sz w:val="72"/>
          <w:szCs w:val="72"/>
          <w:shd w:val="clear" w:color="auto" w:fill="FFFFFF"/>
          <w:lang w:eastAsia="zh-CN"/>
        </w:rPr>
        <w:t>(重新采购)</w:t>
      </w:r>
    </w:p>
    <w:p>
      <w:pPr>
        <w:pStyle w:val="55"/>
        <w:ind w:firstLine="0" w:firstLineChars="0"/>
        <w:jc w:val="center"/>
        <w:rPr>
          <w:rFonts w:ascii="宋体" w:hAnsi="宋体"/>
          <w:b/>
          <w:sz w:val="72"/>
          <w:szCs w:val="72"/>
          <w:shd w:val="clear" w:color="auto" w:fill="FFFFFF"/>
        </w:rPr>
      </w:pPr>
    </w:p>
    <w:p>
      <w:pPr>
        <w:autoSpaceDE w:val="0"/>
        <w:autoSpaceDN w:val="0"/>
        <w:adjustRightInd w:val="0"/>
        <w:jc w:val="center"/>
        <w:rPr>
          <w:rFonts w:ascii="宋体" w:hAnsi="宋体"/>
          <w:b/>
          <w:sz w:val="72"/>
          <w:szCs w:val="72"/>
          <w:shd w:val="clear" w:color="auto" w:fill="FFFFFF"/>
        </w:rPr>
      </w:pPr>
      <w:r>
        <w:rPr>
          <w:rFonts w:hint="eastAsia" w:ascii="宋体" w:hAnsi="宋体"/>
          <w:b/>
          <w:sz w:val="72"/>
          <w:szCs w:val="72"/>
          <w:shd w:val="clear" w:color="auto" w:fill="FFFFFF"/>
        </w:rPr>
        <w:t>招标文件</w:t>
      </w:r>
    </w:p>
    <w:p>
      <w:pPr>
        <w:autoSpaceDE w:val="0"/>
        <w:autoSpaceDN w:val="0"/>
        <w:adjustRightInd w:val="0"/>
        <w:jc w:val="center"/>
        <w:rPr>
          <w:rFonts w:ascii="宋体" w:hAnsi="Times New Roman" w:cs="宋体"/>
          <w:b/>
          <w:kern w:val="0"/>
          <w:sz w:val="30"/>
          <w:szCs w:val="30"/>
        </w:rPr>
      </w:pPr>
    </w:p>
    <w:p>
      <w:pPr>
        <w:autoSpaceDE w:val="0"/>
        <w:autoSpaceDN w:val="0"/>
        <w:adjustRightInd w:val="0"/>
        <w:jc w:val="center"/>
        <w:rPr>
          <w:rFonts w:ascii="宋体" w:hAnsi="Times New Roman" w:cs="宋体"/>
          <w:b/>
          <w:kern w:val="0"/>
          <w:sz w:val="36"/>
          <w:szCs w:val="30"/>
        </w:rPr>
      </w:pPr>
      <w:r>
        <w:rPr>
          <w:rFonts w:hint="eastAsia" w:ascii="宋体" w:hAnsi="Times New Roman" w:cs="宋体"/>
          <w:b/>
          <w:kern w:val="0"/>
          <w:sz w:val="36"/>
          <w:szCs w:val="30"/>
        </w:rPr>
        <w:t>项目编号：441900-201905-0007004001-0003</w:t>
      </w:r>
    </w:p>
    <w:p>
      <w:pPr>
        <w:pStyle w:val="55"/>
      </w:pPr>
    </w:p>
    <w:p>
      <w:pPr>
        <w:spacing w:line="360" w:lineRule="auto"/>
        <w:jc w:val="center"/>
        <w:rPr>
          <w:rFonts w:ascii="宋体" w:hAnsi="宋体" w:cs="宋体"/>
          <w:kern w:val="0"/>
          <w:sz w:val="30"/>
          <w:szCs w:val="30"/>
        </w:rPr>
      </w:pPr>
      <w:r>
        <w:rPr>
          <w:rFonts w:ascii="宋体" w:hAnsi="宋体" w:cs="宋体"/>
          <w:kern w:val="0"/>
          <w:sz w:val="30"/>
          <w:szCs w:val="30"/>
        </w:rPr>
        <w:drawing>
          <wp:inline distT="0" distB="0" distL="0" distR="0">
            <wp:extent cx="2028825" cy="1926590"/>
            <wp:effectExtent l="0" t="0" r="9525" b="16510"/>
            <wp:docPr id="1" name="图片 1" descr="C:\Users\liuha\Documents\Tencent Files\2397997079\Image\R%ZODK{K8CLEP%ULO`(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iuha\Documents\Tencent Files\2397997079\Image\R%ZODK{K8CLEP%ULO`(X104.jpg"/>
                    <pic:cNvPicPr>
                      <a:picLocks noChangeAspect="1" noChangeArrowheads="1"/>
                    </pic:cNvPicPr>
                  </pic:nvPicPr>
                  <pic:blipFill>
                    <a:blip r:embed="rId6" r:link="rId7" cstate="print"/>
                    <a:srcRect/>
                    <a:stretch>
                      <a:fillRect/>
                    </a:stretch>
                  </pic:blipFill>
                  <pic:spPr>
                    <a:xfrm>
                      <a:off x="0" y="0"/>
                      <a:ext cx="2028825" cy="1926590"/>
                    </a:xfrm>
                    <a:prstGeom prst="rect">
                      <a:avLst/>
                    </a:prstGeom>
                    <a:noFill/>
                    <a:ln w="9525">
                      <a:noFill/>
                      <a:miter lim="800000"/>
                      <a:headEnd/>
                      <a:tailEnd/>
                    </a:ln>
                  </pic:spPr>
                </pic:pic>
              </a:graphicData>
            </a:graphic>
          </wp:inline>
        </w:drawing>
      </w:r>
    </w:p>
    <w:p>
      <w:pPr>
        <w:pStyle w:val="55"/>
      </w:pPr>
    </w:p>
    <w:p>
      <w:pPr>
        <w:spacing w:line="360" w:lineRule="auto"/>
        <w:ind w:firstLine="1063" w:firstLineChars="353"/>
        <w:jc w:val="center"/>
        <w:rPr>
          <w:rFonts w:ascii="宋体" w:hAnsi="Times New Roman" w:cs="宋体"/>
          <w:b/>
          <w:kern w:val="0"/>
          <w:sz w:val="30"/>
          <w:szCs w:val="30"/>
        </w:rPr>
      </w:pPr>
      <w:r>
        <w:rPr>
          <w:rFonts w:hint="eastAsia" w:ascii="宋体" w:hAnsi="Times New Roman" w:cs="宋体"/>
          <w:b/>
          <w:kern w:val="0"/>
          <w:sz w:val="30"/>
          <w:szCs w:val="30"/>
        </w:rPr>
        <w:t>采购人：东莞市环境监测中心站</w:t>
      </w:r>
    </w:p>
    <w:p>
      <w:pPr>
        <w:autoSpaceDE w:val="0"/>
        <w:autoSpaceDN w:val="0"/>
        <w:adjustRightInd w:val="0"/>
        <w:ind w:firstLine="1063" w:firstLineChars="353"/>
        <w:jc w:val="center"/>
        <w:rPr>
          <w:rFonts w:ascii="宋体" w:hAnsi="Times New Roman" w:cs="宋体"/>
          <w:b/>
          <w:kern w:val="0"/>
          <w:sz w:val="30"/>
          <w:szCs w:val="30"/>
        </w:rPr>
      </w:pPr>
      <w:r>
        <w:rPr>
          <w:rFonts w:hint="eastAsia" w:ascii="宋体" w:hAnsi="Times New Roman" w:cs="宋体"/>
          <w:b/>
          <w:kern w:val="0"/>
          <w:sz w:val="30"/>
          <w:szCs w:val="30"/>
        </w:rPr>
        <w:t>采购代理机构：广东志正招标有限公司</w:t>
      </w:r>
    </w:p>
    <w:p>
      <w:pPr>
        <w:autoSpaceDE w:val="0"/>
        <w:autoSpaceDN w:val="0"/>
        <w:adjustRightInd w:val="0"/>
        <w:jc w:val="center"/>
        <w:rPr>
          <w:rFonts w:ascii="宋体" w:hAnsi="Times New Roman" w:cs="宋体"/>
          <w:b/>
          <w:kern w:val="0"/>
          <w:sz w:val="30"/>
          <w:szCs w:val="30"/>
        </w:rPr>
      </w:pPr>
    </w:p>
    <w:p>
      <w:pPr>
        <w:autoSpaceDE w:val="0"/>
        <w:autoSpaceDN w:val="0"/>
        <w:adjustRightInd w:val="0"/>
        <w:ind w:firstLine="1063" w:firstLineChars="353"/>
        <w:jc w:val="center"/>
        <w:rPr>
          <w:rFonts w:ascii="宋体" w:hAnsi="Times New Roman" w:cs="宋体"/>
          <w:b/>
          <w:kern w:val="0"/>
          <w:sz w:val="30"/>
          <w:szCs w:val="30"/>
        </w:rPr>
      </w:pPr>
      <w:r>
        <w:rPr>
          <w:rFonts w:hint="eastAsia" w:ascii="宋体" w:hAnsi="Times New Roman" w:cs="宋体"/>
          <w:b/>
          <w:kern w:val="0"/>
          <w:sz w:val="30"/>
          <w:szCs w:val="30"/>
        </w:rPr>
        <w:t>2019年07月</w:t>
      </w:r>
    </w:p>
    <w:p>
      <w:pPr>
        <w:spacing w:line="400" w:lineRule="exact"/>
        <w:jc w:val="center"/>
        <w:rPr>
          <w:rFonts w:ascii="宋体" w:hAnsi="宋体"/>
          <w:b/>
          <w:sz w:val="36"/>
        </w:rPr>
      </w:pPr>
      <w:r>
        <w:rPr>
          <w:rFonts w:hint="eastAsia" w:ascii="宋体" w:hAnsi="宋体"/>
          <w:b/>
          <w:sz w:val="36"/>
        </w:rPr>
        <w:t>温馨提示：供应商投标特别注意事项</w:t>
      </w:r>
    </w:p>
    <w:p>
      <w:pPr>
        <w:numPr>
          <w:ilvl w:val="0"/>
          <w:numId w:val="6"/>
        </w:numPr>
        <w:spacing w:line="390" w:lineRule="exact"/>
        <w:ind w:left="709" w:hanging="709"/>
        <w:jc w:val="left"/>
        <w:rPr>
          <w:rFonts w:ascii="宋体" w:hAnsi="宋体"/>
          <w:sz w:val="21"/>
          <w:szCs w:val="21"/>
        </w:rPr>
      </w:pPr>
      <w:r>
        <w:rPr>
          <w:rFonts w:ascii="宋体" w:hAnsi="宋体"/>
          <w:sz w:val="21"/>
          <w:szCs w:val="21"/>
        </w:rPr>
        <w:t>请供应商特别留意招标文件上注明的投标截止和开标时间，逾期送达或邮寄送达的投标文件</w:t>
      </w:r>
      <w:r>
        <w:rPr>
          <w:rFonts w:hint="eastAsia" w:ascii="宋体" w:hAnsi="宋体"/>
          <w:sz w:val="21"/>
          <w:szCs w:val="21"/>
        </w:rPr>
        <w:t>，采购代理机构</w:t>
      </w:r>
      <w:r>
        <w:rPr>
          <w:rFonts w:ascii="宋体" w:hAnsi="宋体"/>
          <w:sz w:val="21"/>
          <w:szCs w:val="21"/>
        </w:rPr>
        <w:t>恕不接收。因此，请供应商适当提前到达</w:t>
      </w:r>
      <w:r>
        <w:rPr>
          <w:rFonts w:hint="eastAsia" w:ascii="宋体" w:hAnsi="宋体"/>
          <w:sz w:val="21"/>
          <w:szCs w:val="21"/>
        </w:rPr>
        <w:t>开标</w:t>
      </w:r>
      <w:r>
        <w:rPr>
          <w:rFonts w:ascii="宋体" w:hAnsi="宋体"/>
          <w:sz w:val="21"/>
          <w:szCs w:val="21"/>
        </w:rPr>
        <w:t>会议室。</w:t>
      </w:r>
      <w:r>
        <w:rPr>
          <w:rFonts w:hint="eastAsia" w:ascii="宋体" w:hAnsi="宋体"/>
          <w:b/>
          <w:sz w:val="21"/>
          <w:szCs w:val="21"/>
        </w:rPr>
        <w:t>递交投标文件开始时间为投标截止时间前半小时。</w:t>
      </w:r>
    </w:p>
    <w:p>
      <w:pPr>
        <w:numPr>
          <w:ilvl w:val="0"/>
          <w:numId w:val="6"/>
        </w:numPr>
        <w:spacing w:line="390" w:lineRule="exact"/>
        <w:ind w:left="709" w:hanging="709"/>
        <w:jc w:val="left"/>
        <w:rPr>
          <w:rFonts w:ascii="宋体" w:hAnsi="宋体"/>
          <w:sz w:val="21"/>
          <w:szCs w:val="21"/>
        </w:rPr>
      </w:pPr>
      <w:r>
        <w:rPr>
          <w:rFonts w:ascii="宋体" w:hAnsi="宋体"/>
          <w:sz w:val="21"/>
          <w:szCs w:val="21"/>
        </w:rPr>
        <w:t>投标保证金用于保护本次招标免受投标人的行为而引起的风险，为本次投标的必要组成部分，建议投标人仔细阅读招标文件中关于投标保证金的描述</w:t>
      </w:r>
      <w:r>
        <w:rPr>
          <w:rFonts w:hint="eastAsia" w:ascii="宋体" w:hAnsi="宋体"/>
          <w:sz w:val="21"/>
          <w:szCs w:val="21"/>
        </w:rPr>
        <w:t>。以支票、汇票、本票或者金融机构、担保机构出具的保函等非现金形式交纳投标保证金的，</w:t>
      </w:r>
      <w:r>
        <w:rPr>
          <w:rFonts w:hint="eastAsia" w:ascii="宋体" w:hAnsi="宋体"/>
          <w:b/>
          <w:sz w:val="21"/>
          <w:szCs w:val="21"/>
        </w:rPr>
        <w:t>投标保证金作为投标人投标的组成部分，与投标文件资料一同递交，以到达广东志正招标有限公司指定银行账户或接收到保函证明的时间为准。因</w:t>
      </w:r>
      <w:r>
        <w:rPr>
          <w:rFonts w:ascii="宋体" w:hAnsi="宋体"/>
          <w:b/>
          <w:sz w:val="21"/>
          <w:szCs w:val="21"/>
        </w:rPr>
        <w:t>转账当天不一定能够</w:t>
      </w:r>
      <w:r>
        <w:rPr>
          <w:rFonts w:hint="eastAsia" w:ascii="宋体" w:hAnsi="宋体"/>
          <w:b/>
          <w:sz w:val="21"/>
          <w:szCs w:val="21"/>
        </w:rPr>
        <w:t>到达指定账户</w:t>
      </w:r>
      <w:r>
        <w:rPr>
          <w:rFonts w:ascii="宋体" w:hAnsi="宋体"/>
          <w:b/>
          <w:sz w:val="21"/>
          <w:szCs w:val="21"/>
        </w:rPr>
        <w:t>，为避免因投标保证金未</w:t>
      </w:r>
      <w:r>
        <w:rPr>
          <w:rFonts w:hint="eastAsia" w:ascii="宋体" w:hAnsi="宋体"/>
          <w:b/>
          <w:sz w:val="21"/>
          <w:szCs w:val="21"/>
        </w:rPr>
        <w:t>到达指定账户</w:t>
      </w:r>
      <w:r>
        <w:rPr>
          <w:rFonts w:ascii="宋体" w:hAnsi="宋体"/>
          <w:b/>
          <w:sz w:val="21"/>
          <w:szCs w:val="21"/>
        </w:rPr>
        <w:t>而导致投标被拒，建议</w:t>
      </w:r>
      <w:r>
        <w:rPr>
          <w:rFonts w:hint="eastAsia" w:ascii="宋体" w:hAnsi="宋体"/>
          <w:b/>
          <w:sz w:val="21"/>
          <w:szCs w:val="21"/>
        </w:rPr>
        <w:t>至少提前2个工作日转账或办理银行保函或《政府采购投标担保函》。</w:t>
      </w:r>
    </w:p>
    <w:p>
      <w:pPr>
        <w:numPr>
          <w:ilvl w:val="0"/>
          <w:numId w:val="6"/>
        </w:numPr>
        <w:spacing w:line="390" w:lineRule="exact"/>
        <w:ind w:left="709" w:hanging="709"/>
        <w:jc w:val="left"/>
        <w:rPr>
          <w:rFonts w:ascii="宋体" w:hAnsi="宋体"/>
          <w:b/>
          <w:sz w:val="21"/>
          <w:szCs w:val="21"/>
          <w:u w:val="single"/>
        </w:rPr>
      </w:pPr>
      <w:r>
        <w:rPr>
          <w:rFonts w:ascii="宋体" w:hAnsi="宋体"/>
          <w:b/>
          <w:sz w:val="21"/>
          <w:szCs w:val="21"/>
          <w:u w:val="single"/>
        </w:rPr>
        <w:t>招标文件中标有“★”的</w:t>
      </w:r>
      <w:r>
        <w:rPr>
          <w:rFonts w:hint="eastAsia" w:ascii="宋体" w:hAnsi="宋体"/>
          <w:b/>
          <w:sz w:val="21"/>
          <w:szCs w:val="21"/>
          <w:u w:val="single"/>
        </w:rPr>
        <w:t>条款</w:t>
      </w:r>
      <w:r>
        <w:rPr>
          <w:rFonts w:ascii="宋体" w:hAnsi="宋体"/>
          <w:b/>
          <w:sz w:val="21"/>
          <w:szCs w:val="21"/>
          <w:u w:val="single"/>
        </w:rPr>
        <w:t>，</w:t>
      </w:r>
      <w:r>
        <w:rPr>
          <w:rFonts w:hint="eastAsia" w:ascii="宋体" w:hAnsi="宋体"/>
          <w:b/>
          <w:sz w:val="21"/>
          <w:szCs w:val="21"/>
          <w:u w:val="single"/>
        </w:rPr>
        <w:t>供应商</w:t>
      </w:r>
      <w:r>
        <w:rPr>
          <w:rFonts w:ascii="宋体" w:hAnsi="宋体"/>
          <w:b/>
          <w:sz w:val="21"/>
          <w:szCs w:val="21"/>
          <w:u w:val="single"/>
        </w:rPr>
        <w:t>必须一一响应</w:t>
      </w:r>
      <w:r>
        <w:rPr>
          <w:rFonts w:ascii="宋体" w:hAnsi="宋体"/>
          <w:sz w:val="21"/>
          <w:szCs w:val="21"/>
        </w:rPr>
        <w:t>。</w:t>
      </w:r>
      <w:r>
        <w:rPr>
          <w:rFonts w:ascii="宋体" w:hAnsi="宋体"/>
          <w:b/>
          <w:sz w:val="21"/>
          <w:szCs w:val="21"/>
          <w:u w:val="single"/>
        </w:rPr>
        <w:t>若有一项带“★”的条款要求未响应或不满足，</w:t>
      </w:r>
      <w:r>
        <w:rPr>
          <w:rFonts w:hint="eastAsia" w:ascii="宋体" w:hAnsi="宋体"/>
          <w:b/>
          <w:sz w:val="21"/>
          <w:szCs w:val="21"/>
          <w:u w:val="single"/>
        </w:rPr>
        <w:t>其投标</w:t>
      </w:r>
      <w:r>
        <w:rPr>
          <w:rFonts w:ascii="宋体" w:hAnsi="宋体"/>
          <w:b/>
          <w:sz w:val="21"/>
          <w:szCs w:val="21"/>
          <w:u w:val="single"/>
        </w:rPr>
        <w:t>将按无效投标处理。</w:t>
      </w:r>
    </w:p>
    <w:p>
      <w:pPr>
        <w:numPr>
          <w:ilvl w:val="0"/>
          <w:numId w:val="6"/>
        </w:numPr>
        <w:spacing w:line="390" w:lineRule="exact"/>
        <w:ind w:left="709" w:hanging="709"/>
        <w:jc w:val="left"/>
        <w:rPr>
          <w:rFonts w:ascii="宋体" w:hAnsi="宋体"/>
          <w:sz w:val="21"/>
          <w:szCs w:val="21"/>
        </w:rPr>
      </w:pPr>
      <w:r>
        <w:rPr>
          <w:rFonts w:ascii="宋体" w:hAnsi="宋体"/>
          <w:sz w:val="21"/>
          <w:szCs w:val="21"/>
        </w:rPr>
        <w:t>请正确</w:t>
      </w:r>
      <w:r>
        <w:rPr>
          <w:rFonts w:hint="eastAsia" w:ascii="宋体" w:hAnsi="宋体"/>
          <w:sz w:val="21"/>
          <w:szCs w:val="21"/>
        </w:rPr>
        <w:t>编制投标资料</w:t>
      </w:r>
      <w:r>
        <w:rPr>
          <w:rFonts w:ascii="宋体" w:hAnsi="宋体"/>
          <w:sz w:val="21"/>
          <w:szCs w:val="21"/>
        </w:rPr>
        <w:t>，</w:t>
      </w:r>
      <w:r>
        <w:rPr>
          <w:rFonts w:hint="eastAsia" w:ascii="宋体" w:hAnsi="宋体"/>
          <w:b/>
          <w:sz w:val="21"/>
          <w:szCs w:val="21"/>
        </w:rPr>
        <w:t>如</w:t>
      </w:r>
      <w:r>
        <w:rPr>
          <w:rFonts w:ascii="宋体" w:hAnsi="宋体"/>
          <w:b/>
          <w:sz w:val="21"/>
          <w:szCs w:val="21"/>
        </w:rPr>
        <w:t>含有</w:t>
      </w:r>
      <w:r>
        <w:rPr>
          <w:rFonts w:hint="eastAsia" w:ascii="宋体" w:hAnsi="宋体"/>
          <w:b/>
          <w:sz w:val="21"/>
          <w:szCs w:val="21"/>
        </w:rPr>
        <w:t>包组</w:t>
      </w:r>
      <w:r>
        <w:rPr>
          <w:rFonts w:ascii="宋体" w:hAnsi="宋体"/>
          <w:b/>
          <w:sz w:val="21"/>
          <w:szCs w:val="21"/>
        </w:rPr>
        <w:t>的投标项目，</w:t>
      </w:r>
      <w:r>
        <w:rPr>
          <w:rFonts w:hint="eastAsia" w:ascii="宋体" w:hAnsi="宋体"/>
          <w:b/>
          <w:sz w:val="21"/>
          <w:szCs w:val="21"/>
        </w:rPr>
        <w:t>投标人必须按包</w:t>
      </w:r>
      <w:r>
        <w:rPr>
          <w:rFonts w:ascii="宋体" w:hAnsi="宋体"/>
          <w:b/>
          <w:sz w:val="21"/>
          <w:szCs w:val="21"/>
        </w:rPr>
        <w:t>分开</w:t>
      </w:r>
      <w:r>
        <w:rPr>
          <w:rFonts w:hint="eastAsia" w:ascii="宋体" w:hAnsi="宋体"/>
          <w:b/>
          <w:sz w:val="21"/>
          <w:szCs w:val="21"/>
        </w:rPr>
        <w:t>编制、装订封装和提交</w:t>
      </w:r>
      <w:r>
        <w:rPr>
          <w:rFonts w:hint="eastAsia" w:ascii="宋体" w:hAnsi="宋体"/>
          <w:sz w:val="21"/>
          <w:szCs w:val="21"/>
        </w:rPr>
        <w:t>，未按包组分开的，将视为投标项目其中的一个包组。</w:t>
      </w:r>
    </w:p>
    <w:p>
      <w:pPr>
        <w:numPr>
          <w:ilvl w:val="0"/>
          <w:numId w:val="6"/>
        </w:numPr>
        <w:spacing w:line="390" w:lineRule="exact"/>
        <w:ind w:left="709" w:hanging="709"/>
        <w:jc w:val="left"/>
        <w:rPr>
          <w:rFonts w:ascii="宋体" w:hAnsi="宋体"/>
          <w:sz w:val="21"/>
          <w:szCs w:val="21"/>
        </w:rPr>
      </w:pPr>
      <w:r>
        <w:rPr>
          <w:rFonts w:ascii="宋体" w:hAnsi="宋体"/>
          <w:sz w:val="21"/>
          <w:szCs w:val="21"/>
        </w:rPr>
        <w:t>请仔细检查《投标函》、《开标一览表》、</w:t>
      </w:r>
      <w:r>
        <w:rPr>
          <w:rFonts w:hint="eastAsia" w:ascii="宋体" w:hAnsi="宋体"/>
          <w:sz w:val="21"/>
          <w:szCs w:val="21"/>
        </w:rPr>
        <w:t>《法定代表人证明书》、</w:t>
      </w:r>
      <w:r>
        <w:rPr>
          <w:rFonts w:ascii="宋体" w:hAnsi="宋体"/>
          <w:sz w:val="21"/>
          <w:szCs w:val="21"/>
        </w:rPr>
        <w:t>《</w:t>
      </w:r>
      <w:r>
        <w:rPr>
          <w:rFonts w:hint="eastAsia" w:ascii="宋体" w:hAnsi="宋体"/>
          <w:sz w:val="21"/>
          <w:szCs w:val="21"/>
        </w:rPr>
        <w:t>法定代表人</w:t>
      </w:r>
      <w:r>
        <w:rPr>
          <w:rFonts w:ascii="宋体" w:hAnsi="宋体"/>
          <w:sz w:val="21"/>
          <w:szCs w:val="21"/>
        </w:rPr>
        <w:t>授权书》等重要格式文件是否有按要求盖公章或签名。</w:t>
      </w:r>
    </w:p>
    <w:p>
      <w:pPr>
        <w:numPr>
          <w:ilvl w:val="0"/>
          <w:numId w:val="6"/>
        </w:numPr>
        <w:spacing w:line="390" w:lineRule="exact"/>
        <w:ind w:left="709" w:hanging="709"/>
        <w:jc w:val="left"/>
        <w:rPr>
          <w:rFonts w:ascii="宋体" w:hAnsi="宋体"/>
          <w:sz w:val="21"/>
          <w:szCs w:val="21"/>
        </w:rPr>
      </w:pPr>
      <w:r>
        <w:rPr>
          <w:rFonts w:hint="eastAsia" w:ascii="宋体" w:hAnsi="宋体"/>
          <w:sz w:val="21"/>
          <w:szCs w:val="21"/>
        </w:rPr>
        <w:t>投标人为中型、小型、微型企业的，请提交《中小微企业声明函》（详情见《政府采购促进中小企业发展暂行办法》）。</w:t>
      </w:r>
    </w:p>
    <w:p>
      <w:pPr>
        <w:numPr>
          <w:ilvl w:val="0"/>
          <w:numId w:val="6"/>
        </w:numPr>
        <w:spacing w:line="390" w:lineRule="exact"/>
        <w:ind w:left="709" w:hanging="709"/>
        <w:jc w:val="left"/>
        <w:rPr>
          <w:rFonts w:ascii="宋体" w:hAnsi="宋体"/>
          <w:sz w:val="21"/>
          <w:szCs w:val="21"/>
        </w:rPr>
      </w:pPr>
      <w:r>
        <w:rPr>
          <w:rFonts w:ascii="宋体" w:hAnsi="宋体"/>
          <w:sz w:val="21"/>
          <w:szCs w:val="21"/>
        </w:rPr>
        <w:t>建议将投标文件按</w:t>
      </w:r>
      <w:r>
        <w:rPr>
          <w:rFonts w:hint="eastAsia" w:ascii="宋体" w:hAnsi="宋体"/>
          <w:sz w:val="21"/>
          <w:szCs w:val="21"/>
        </w:rPr>
        <w:t>目录格式</w:t>
      </w:r>
      <w:r>
        <w:rPr>
          <w:rFonts w:ascii="宋体" w:hAnsi="宋体"/>
          <w:sz w:val="21"/>
          <w:szCs w:val="21"/>
        </w:rPr>
        <w:t>顺序编制页码。</w:t>
      </w:r>
    </w:p>
    <w:p>
      <w:pPr>
        <w:numPr>
          <w:ilvl w:val="0"/>
          <w:numId w:val="6"/>
        </w:numPr>
        <w:spacing w:line="390" w:lineRule="exact"/>
        <w:ind w:left="709" w:hanging="709"/>
        <w:jc w:val="left"/>
        <w:rPr>
          <w:rFonts w:ascii="宋体" w:hAnsi="宋体"/>
          <w:sz w:val="21"/>
          <w:szCs w:val="21"/>
        </w:rPr>
      </w:pPr>
      <w:r>
        <w:rPr>
          <w:rFonts w:hint="eastAsia" w:ascii="宋体" w:hAnsi="宋体"/>
          <w:sz w:val="21"/>
          <w:szCs w:val="21"/>
        </w:rPr>
        <w:t>部分项目明确允许分公司作为投标人的，需提供具有法人资格的总公司的营业执照副本复印件及授权书。总公司可就本项目或此类项目在一定范围或时间内出具唯一的投标授权书。</w:t>
      </w:r>
    </w:p>
    <w:p>
      <w:pPr>
        <w:numPr>
          <w:ilvl w:val="0"/>
          <w:numId w:val="6"/>
        </w:numPr>
        <w:spacing w:line="390" w:lineRule="exact"/>
        <w:ind w:left="709" w:hanging="709"/>
        <w:jc w:val="left"/>
        <w:rPr>
          <w:rFonts w:ascii="宋体" w:hAnsi="宋体"/>
          <w:sz w:val="21"/>
          <w:szCs w:val="21"/>
        </w:rPr>
      </w:pPr>
      <w:r>
        <w:rPr>
          <w:rFonts w:hint="eastAsia" w:ascii="宋体" w:hAnsi="宋体"/>
          <w:sz w:val="21"/>
          <w:szCs w:val="21"/>
        </w:rPr>
        <w:t>已缴纳投标保证金但决定不参加投标的潜在投标人请于投标截止时间前三个工作日以书面形式通知采购代理机构。</w:t>
      </w:r>
    </w:p>
    <w:p>
      <w:pPr>
        <w:numPr>
          <w:ilvl w:val="0"/>
          <w:numId w:val="6"/>
        </w:numPr>
        <w:spacing w:line="390" w:lineRule="exact"/>
        <w:ind w:left="709" w:hanging="709"/>
        <w:jc w:val="left"/>
        <w:rPr>
          <w:rFonts w:ascii="宋体" w:hAnsi="宋体"/>
          <w:sz w:val="21"/>
          <w:szCs w:val="21"/>
        </w:rPr>
      </w:pPr>
      <w:r>
        <w:rPr>
          <w:rFonts w:hint="eastAsia" w:ascii="宋体" w:hAnsi="宋体"/>
          <w:b/>
          <w:sz w:val="21"/>
          <w:szCs w:val="21"/>
        </w:rPr>
        <w:t>投标人请注意区分投标保证金及履约保证金和招标代理服务费收款账号的区别</w:t>
      </w:r>
      <w:r>
        <w:rPr>
          <w:rFonts w:hint="eastAsia" w:ascii="宋体" w:hAnsi="宋体"/>
          <w:sz w:val="21"/>
          <w:szCs w:val="21"/>
        </w:rPr>
        <w:t>，务必将保证金按招标文件的要求存入指定的保证金专用账户，招标代理服务费存入采购代理机构中指定的服务费账户,</w:t>
      </w:r>
      <w:r>
        <w:rPr>
          <w:rFonts w:hint="eastAsia" w:ascii="宋体" w:hAnsi="宋体"/>
          <w:b/>
          <w:sz w:val="21"/>
          <w:szCs w:val="21"/>
        </w:rPr>
        <w:t xml:space="preserve"> 履约保证金中标后按采购人要求提交，汇入账户见招标文件或由采购人另行通知</w:t>
      </w:r>
      <w:r>
        <w:rPr>
          <w:rFonts w:hint="eastAsia" w:ascii="宋体" w:hAnsi="宋体"/>
          <w:sz w:val="21"/>
          <w:szCs w:val="21"/>
        </w:rPr>
        <w:t>。切勿将款项转错账户，以免影响保证金缴纳、退还的时效。</w:t>
      </w:r>
    </w:p>
    <w:p>
      <w:pPr>
        <w:numPr>
          <w:ilvl w:val="0"/>
          <w:numId w:val="6"/>
        </w:numPr>
        <w:spacing w:line="390" w:lineRule="exact"/>
        <w:ind w:left="709" w:hanging="709"/>
        <w:jc w:val="left"/>
        <w:rPr>
          <w:rFonts w:ascii="宋体" w:hAnsi="宋体" w:cs="仿宋_GB2312"/>
          <w:b/>
          <w:bCs/>
          <w:sz w:val="21"/>
          <w:szCs w:val="21"/>
          <w:lang w:val="zh-CN"/>
        </w:rPr>
      </w:pPr>
      <w:r>
        <w:rPr>
          <w:rFonts w:hint="eastAsia" w:ascii="宋体" w:hAnsi="宋体"/>
          <w:sz w:val="21"/>
          <w:szCs w:val="21"/>
        </w:rPr>
        <w:t>我司</w:t>
      </w:r>
      <w:r>
        <w:rPr>
          <w:rFonts w:ascii="宋体" w:hAnsi="宋体"/>
          <w:sz w:val="21"/>
          <w:szCs w:val="21"/>
        </w:rPr>
        <w:t>为采购代理机构，不对供应商购买招标文件时提交的相关资料的真伪做出判断，如供应商发现相关资料被盗用或复制，建议遵循法律途径解决，追究侵权者责任。对一家供应商递交两份</w:t>
      </w:r>
      <w:r>
        <w:rPr>
          <w:rFonts w:hint="eastAsia" w:ascii="宋体" w:hAnsi="宋体"/>
          <w:sz w:val="21"/>
          <w:szCs w:val="21"/>
        </w:rPr>
        <w:t>不同</w:t>
      </w:r>
      <w:r>
        <w:rPr>
          <w:rFonts w:ascii="宋体" w:hAnsi="宋体"/>
          <w:sz w:val="21"/>
          <w:szCs w:val="21"/>
        </w:rPr>
        <w:t>投标</w:t>
      </w:r>
      <w:r>
        <w:rPr>
          <w:rFonts w:hint="eastAsia" w:ascii="宋体" w:hAnsi="宋体"/>
          <w:sz w:val="21"/>
          <w:szCs w:val="21"/>
        </w:rPr>
        <w:t>方案</w:t>
      </w:r>
      <w:r>
        <w:rPr>
          <w:rFonts w:ascii="宋体" w:hAnsi="宋体"/>
          <w:sz w:val="21"/>
          <w:szCs w:val="21"/>
        </w:rPr>
        <w:t>的，</w:t>
      </w:r>
      <w:r>
        <w:rPr>
          <w:rFonts w:hint="eastAsia" w:ascii="宋体" w:hAnsi="宋体"/>
          <w:sz w:val="21"/>
          <w:szCs w:val="21"/>
        </w:rPr>
        <w:t>评标委员会</w:t>
      </w:r>
      <w:r>
        <w:rPr>
          <w:rFonts w:ascii="宋体" w:hAnsi="宋体"/>
          <w:sz w:val="21"/>
          <w:szCs w:val="21"/>
        </w:rPr>
        <w:t>将</w:t>
      </w:r>
      <w:r>
        <w:rPr>
          <w:rFonts w:hint="eastAsia" w:ascii="宋体" w:hAnsi="宋体"/>
          <w:sz w:val="21"/>
          <w:szCs w:val="21"/>
        </w:rPr>
        <w:t>对其投标</w:t>
      </w:r>
      <w:r>
        <w:rPr>
          <w:rFonts w:ascii="宋体" w:hAnsi="宋体"/>
          <w:sz w:val="21"/>
          <w:szCs w:val="21"/>
        </w:rPr>
        <w:t>按无效投标处理</w:t>
      </w:r>
      <w:r>
        <w:rPr>
          <w:rFonts w:hint="eastAsia" w:ascii="宋体" w:hAnsi="宋体"/>
          <w:sz w:val="21"/>
          <w:szCs w:val="21"/>
        </w:rPr>
        <w:t>（如有特殊要求的除外）。</w:t>
      </w:r>
    </w:p>
    <w:p>
      <w:pPr>
        <w:spacing w:line="390" w:lineRule="exact"/>
        <w:jc w:val="left"/>
        <w:rPr>
          <w:rFonts w:ascii="宋体" w:hAnsi="宋体" w:cs="仿宋_GB2312"/>
          <w:b/>
          <w:bCs/>
          <w:sz w:val="21"/>
          <w:szCs w:val="21"/>
          <w:lang w:val="zh-CN"/>
        </w:rPr>
      </w:pPr>
      <w:r>
        <w:rPr>
          <w:rFonts w:hint="eastAsia" w:ascii="宋体" w:hAnsi="宋体" w:cs="仿宋_GB2312"/>
          <w:b/>
          <w:bCs/>
          <w:sz w:val="21"/>
          <w:szCs w:val="21"/>
          <w:lang w:val="zh-CN"/>
        </w:rPr>
        <w:t>（本提示内容为招标文件条款要求的重要说明，属投标重要提醒,但非招标文件的主要组成条款内容，如有不一致，以招标文件内容的为准。）</w:t>
      </w:r>
    </w:p>
    <w:p>
      <w:pPr>
        <w:spacing w:line="360" w:lineRule="atLeast"/>
        <w:jc w:val="left"/>
        <w:rPr>
          <w:rFonts w:ascii="宋体" w:hAnsi="宋体"/>
          <w:b/>
          <w:bCs/>
          <w:sz w:val="21"/>
          <w:szCs w:val="21"/>
        </w:rPr>
      </w:pPr>
      <w:r>
        <w:rPr>
          <w:rFonts w:ascii="宋体" w:hAnsi="宋体" w:cs="仿宋_GB2312"/>
          <w:b/>
          <w:bCs/>
          <w:sz w:val="21"/>
          <w:szCs w:val="21"/>
          <w:lang w:val="zh-CN"/>
        </w:rPr>
        <w:br w:type="page"/>
      </w:r>
      <w:r>
        <w:rPr>
          <w:rFonts w:hint="eastAsia" w:ascii="宋体" w:hAnsi="宋体"/>
          <w:b/>
          <w:bCs/>
          <w:sz w:val="21"/>
          <w:szCs w:val="21"/>
        </w:rPr>
        <w:t>附我司地图：</w:t>
      </w:r>
    </w:p>
    <w:p>
      <w:pPr>
        <w:spacing w:line="360" w:lineRule="atLeast"/>
        <w:jc w:val="left"/>
        <w:rPr>
          <w:rFonts w:ascii="宋体" w:hAnsi="宋体"/>
          <w:b/>
          <w:bCs/>
          <w:sz w:val="21"/>
          <w:szCs w:val="21"/>
        </w:rPr>
      </w:pPr>
    </w:p>
    <w:p>
      <w:pPr>
        <w:spacing w:line="360" w:lineRule="auto"/>
        <w:jc w:val="center"/>
        <w:rPr>
          <w:sz w:val="21"/>
          <w:szCs w:val="21"/>
          <w:bdr w:val="single" w:color="0D0D0D" w:sz="18" w:space="0"/>
        </w:rPr>
      </w:pPr>
      <w:r>
        <w:rPr>
          <w:sz w:val="21"/>
          <w:szCs w:val="21"/>
        </w:rPr>
        <w:drawing>
          <wp:inline distT="0" distB="0" distL="0" distR="0">
            <wp:extent cx="5486400" cy="487426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cstate="print"/>
                    <a:srcRect/>
                    <a:stretch>
                      <a:fillRect/>
                    </a:stretch>
                  </pic:blipFill>
                  <pic:spPr>
                    <a:xfrm>
                      <a:off x="0" y="0"/>
                      <a:ext cx="5486400" cy="4874260"/>
                    </a:xfrm>
                    <a:prstGeom prst="rect">
                      <a:avLst/>
                    </a:prstGeom>
                    <a:noFill/>
                    <a:ln w="9525">
                      <a:noFill/>
                      <a:miter lim="800000"/>
                      <a:headEnd/>
                      <a:tailEnd/>
                    </a:ln>
                  </pic:spPr>
                </pic:pic>
              </a:graphicData>
            </a:graphic>
          </wp:inline>
        </w:drawing>
      </w:r>
    </w:p>
    <w:p>
      <w:pPr>
        <w:spacing w:line="360" w:lineRule="auto"/>
        <w:ind w:firstLine="420" w:firstLineChars="200"/>
        <w:jc w:val="left"/>
        <w:rPr>
          <w:sz w:val="21"/>
          <w:szCs w:val="21"/>
        </w:rPr>
      </w:pPr>
      <w:r>
        <w:rPr>
          <w:rFonts w:hint="eastAsia"/>
          <w:sz w:val="21"/>
          <w:szCs w:val="21"/>
        </w:rPr>
        <w:t>交通提示：</w:t>
      </w:r>
    </w:p>
    <w:p>
      <w:pPr>
        <w:spacing w:line="360" w:lineRule="auto"/>
        <w:ind w:firstLine="420" w:firstLineChars="200"/>
        <w:jc w:val="left"/>
        <w:rPr>
          <w:sz w:val="21"/>
          <w:szCs w:val="21"/>
        </w:rPr>
      </w:pPr>
      <w:r>
        <w:rPr>
          <w:rFonts w:hint="eastAsia"/>
          <w:sz w:val="21"/>
          <w:szCs w:val="21"/>
        </w:rPr>
        <w:t>驾车导航：</w:t>
      </w:r>
    </w:p>
    <w:p>
      <w:pPr>
        <w:spacing w:line="360" w:lineRule="auto"/>
        <w:ind w:firstLine="420" w:firstLineChars="200"/>
        <w:jc w:val="left"/>
        <w:rPr>
          <w:sz w:val="21"/>
          <w:szCs w:val="21"/>
        </w:rPr>
      </w:pPr>
      <w:r>
        <w:rPr>
          <w:rFonts w:hint="eastAsia"/>
          <w:sz w:val="21"/>
          <w:szCs w:val="21"/>
        </w:rPr>
        <w:t>广东省东莞市旗峰路190号</w:t>
      </w:r>
      <w:r>
        <w:rPr>
          <w:rFonts w:hint="eastAsia"/>
          <w:b/>
          <w:bCs/>
          <w:sz w:val="21"/>
          <w:szCs w:val="21"/>
        </w:rPr>
        <w:t>城市花园商贸中心</w:t>
      </w:r>
    </w:p>
    <w:p>
      <w:pPr>
        <w:spacing w:line="360" w:lineRule="auto"/>
        <w:ind w:firstLine="420" w:firstLineChars="200"/>
        <w:jc w:val="left"/>
        <w:rPr>
          <w:sz w:val="21"/>
          <w:szCs w:val="21"/>
        </w:rPr>
      </w:pPr>
      <w:r>
        <w:rPr>
          <w:rFonts w:hint="eastAsia"/>
          <w:sz w:val="21"/>
          <w:szCs w:val="21"/>
        </w:rPr>
        <w:t>公交路线：</w:t>
      </w:r>
    </w:p>
    <w:p>
      <w:pPr>
        <w:spacing w:line="360" w:lineRule="auto"/>
        <w:ind w:firstLine="420" w:firstLineChars="200"/>
        <w:jc w:val="left"/>
        <w:rPr>
          <w:sz w:val="21"/>
          <w:szCs w:val="21"/>
        </w:rPr>
      </w:pPr>
      <w:r>
        <w:rPr>
          <w:rFonts w:hint="eastAsia"/>
          <w:sz w:val="21"/>
          <w:szCs w:val="21"/>
        </w:rPr>
        <w:t>从东莞市汽车总站乘坐公交25路车至</w:t>
      </w:r>
      <w:r>
        <w:rPr>
          <w:rFonts w:hint="eastAsia"/>
          <w:b/>
          <w:bCs/>
          <w:sz w:val="21"/>
          <w:szCs w:val="21"/>
        </w:rPr>
        <w:t>城市花园</w:t>
      </w:r>
      <w:r>
        <w:rPr>
          <w:rFonts w:hint="eastAsia"/>
          <w:sz w:val="21"/>
          <w:szCs w:val="21"/>
        </w:rPr>
        <w:t>站下车</w:t>
      </w:r>
    </w:p>
    <w:p>
      <w:pPr>
        <w:spacing w:line="360" w:lineRule="auto"/>
        <w:ind w:firstLine="420" w:firstLineChars="200"/>
        <w:jc w:val="left"/>
        <w:rPr>
          <w:sz w:val="21"/>
          <w:szCs w:val="21"/>
        </w:rPr>
      </w:pPr>
      <w:r>
        <w:rPr>
          <w:rFonts w:hint="eastAsia"/>
          <w:sz w:val="21"/>
          <w:szCs w:val="21"/>
        </w:rPr>
        <w:t>从东莞南城汽车站乘坐公交17路、C1路车至</w:t>
      </w:r>
      <w:r>
        <w:rPr>
          <w:rFonts w:hint="eastAsia"/>
          <w:b/>
          <w:bCs/>
          <w:sz w:val="21"/>
          <w:szCs w:val="21"/>
        </w:rPr>
        <w:t>城市花园</w:t>
      </w:r>
      <w:r>
        <w:rPr>
          <w:rFonts w:hint="eastAsia"/>
          <w:sz w:val="21"/>
          <w:szCs w:val="21"/>
        </w:rPr>
        <w:t>站下车</w:t>
      </w:r>
    </w:p>
    <w:p>
      <w:pPr>
        <w:spacing w:line="360" w:lineRule="auto"/>
        <w:ind w:firstLine="420" w:firstLineChars="200"/>
        <w:jc w:val="left"/>
        <w:rPr>
          <w:sz w:val="21"/>
          <w:szCs w:val="21"/>
        </w:rPr>
      </w:pPr>
      <w:r>
        <w:rPr>
          <w:rFonts w:hint="eastAsia"/>
          <w:sz w:val="21"/>
          <w:szCs w:val="21"/>
        </w:rPr>
        <w:t>从东莞汽车东站乘坐公交26路、C1路、X22路车至</w:t>
      </w:r>
      <w:r>
        <w:rPr>
          <w:rFonts w:hint="eastAsia"/>
          <w:b/>
          <w:bCs/>
          <w:sz w:val="21"/>
          <w:szCs w:val="21"/>
        </w:rPr>
        <w:t>城市花园</w:t>
      </w:r>
      <w:r>
        <w:rPr>
          <w:rFonts w:hint="eastAsia"/>
          <w:sz w:val="21"/>
          <w:szCs w:val="21"/>
        </w:rPr>
        <w:t>站下车</w:t>
      </w:r>
    </w:p>
    <w:p>
      <w:pPr>
        <w:spacing w:line="360" w:lineRule="auto"/>
        <w:ind w:firstLine="420" w:firstLineChars="200"/>
        <w:jc w:val="left"/>
        <w:rPr>
          <w:sz w:val="21"/>
          <w:szCs w:val="21"/>
        </w:rPr>
      </w:pPr>
      <w:r>
        <w:rPr>
          <w:rFonts w:hint="eastAsia"/>
          <w:sz w:val="21"/>
          <w:szCs w:val="21"/>
        </w:rPr>
        <w:t>从东莞南城汽车站乘坐公交15路、18路车至</w:t>
      </w:r>
      <w:r>
        <w:rPr>
          <w:rFonts w:hint="eastAsia"/>
          <w:b/>
          <w:bCs/>
          <w:sz w:val="21"/>
          <w:szCs w:val="21"/>
        </w:rPr>
        <w:t>方中电脑城</w:t>
      </w:r>
      <w:r>
        <w:rPr>
          <w:rFonts w:hint="eastAsia"/>
          <w:sz w:val="21"/>
          <w:szCs w:val="21"/>
        </w:rPr>
        <w:t>站下车</w:t>
      </w:r>
    </w:p>
    <w:p>
      <w:pPr>
        <w:spacing w:line="360" w:lineRule="auto"/>
        <w:jc w:val="left"/>
        <w:rPr>
          <w:sz w:val="21"/>
          <w:szCs w:val="21"/>
        </w:rPr>
      </w:pPr>
      <w:r>
        <w:rPr>
          <w:rFonts w:hint="eastAsia"/>
          <w:sz w:val="21"/>
          <w:szCs w:val="21"/>
        </w:rPr>
        <w:t>其它：</w:t>
      </w:r>
    </w:p>
    <w:p>
      <w:pPr>
        <w:spacing w:line="360" w:lineRule="auto"/>
        <w:ind w:firstLine="420" w:firstLineChars="200"/>
        <w:jc w:val="left"/>
        <w:rPr>
          <w:sz w:val="21"/>
          <w:szCs w:val="21"/>
        </w:rPr>
      </w:pPr>
      <w:r>
        <w:rPr>
          <w:rFonts w:hint="eastAsia"/>
          <w:sz w:val="21"/>
          <w:szCs w:val="21"/>
        </w:rPr>
        <w:t>请自行搜索其它合适的交通方式前往。</w:t>
      </w:r>
    </w:p>
    <w:p>
      <w:pPr>
        <w:spacing w:line="360" w:lineRule="auto"/>
        <w:jc w:val="center"/>
        <w:rPr>
          <w:rFonts w:ascii="宋体" w:hAnsi="宋体"/>
          <w:b/>
          <w:bCs/>
          <w:kern w:val="44"/>
          <w:sz w:val="44"/>
          <w:szCs w:val="44"/>
        </w:rPr>
      </w:pPr>
      <w:r>
        <w:rPr>
          <w:sz w:val="21"/>
          <w:szCs w:val="21"/>
          <w:bdr w:val="single" w:color="0D0D0D" w:sz="18" w:space="0"/>
        </w:rPr>
        <w:br w:type="page"/>
      </w:r>
      <w:r>
        <w:rPr>
          <w:rFonts w:hint="eastAsia" w:ascii="宋体" w:hAnsi="宋体"/>
          <w:b/>
          <w:bCs/>
          <w:kern w:val="44"/>
          <w:sz w:val="44"/>
          <w:szCs w:val="44"/>
        </w:rPr>
        <w:t>目</w:t>
      </w:r>
      <w:r>
        <w:rPr>
          <w:rFonts w:ascii="宋体" w:hAnsi="宋体"/>
          <w:b/>
          <w:bCs/>
          <w:kern w:val="44"/>
          <w:sz w:val="44"/>
          <w:szCs w:val="44"/>
        </w:rPr>
        <w:t xml:space="preserve">  录</w:t>
      </w:r>
    </w:p>
    <w:p>
      <w:pPr>
        <w:pStyle w:val="29"/>
        <w:tabs>
          <w:tab w:val="right" w:leader="dot" w:pos="9638"/>
          <w:tab w:val="clear" w:pos="9540"/>
        </w:tabs>
      </w:pPr>
      <w:r>
        <w:rPr>
          <w:b w:val="0"/>
          <w:smallCaps/>
        </w:rPr>
        <w:fldChar w:fldCharType="begin"/>
      </w:r>
      <w:r>
        <w:rPr>
          <w:b w:val="0"/>
          <w:smallCaps/>
        </w:rPr>
        <w:instrText xml:space="preserve"> TOC \o "1-2" \h \z \u </w:instrText>
      </w:r>
      <w:r>
        <w:rPr>
          <w:b w:val="0"/>
          <w:smallCaps/>
        </w:rPr>
        <w:fldChar w:fldCharType="separate"/>
      </w:r>
      <w:r>
        <w:fldChar w:fldCharType="begin"/>
      </w:r>
      <w:r>
        <w:instrText xml:space="preserve"> HYPERLINK \l "_Toc4873" </w:instrText>
      </w:r>
      <w:r>
        <w:fldChar w:fldCharType="separate"/>
      </w:r>
      <w:r>
        <w:rPr>
          <w:rFonts w:hint="eastAsia"/>
          <w:szCs w:val="32"/>
        </w:rPr>
        <w:t>投标邀请</w:t>
      </w:r>
      <w:r>
        <w:tab/>
      </w:r>
      <w:r>
        <w:fldChar w:fldCharType="begin"/>
      </w:r>
      <w:r>
        <w:instrText xml:space="preserve"> PAGEREF _Toc4873 </w:instrText>
      </w:r>
      <w:r>
        <w:fldChar w:fldCharType="separate"/>
      </w:r>
      <w:r>
        <w:t>6</w:t>
      </w:r>
      <w:r>
        <w:fldChar w:fldCharType="end"/>
      </w:r>
      <w:r>
        <w:fldChar w:fldCharType="end"/>
      </w:r>
    </w:p>
    <w:p>
      <w:pPr>
        <w:pStyle w:val="29"/>
        <w:tabs>
          <w:tab w:val="right" w:leader="dot" w:pos="9638"/>
          <w:tab w:val="clear" w:pos="9540"/>
        </w:tabs>
      </w:pPr>
      <w:r>
        <w:fldChar w:fldCharType="begin"/>
      </w:r>
      <w:r>
        <w:instrText xml:space="preserve"> HYPERLINK \l "_Toc24370" </w:instrText>
      </w:r>
      <w:r>
        <w:fldChar w:fldCharType="separate"/>
      </w:r>
      <w:r>
        <w:rPr>
          <w:rFonts w:hint="eastAsia"/>
          <w:szCs w:val="32"/>
        </w:rPr>
        <w:t>第一部分</w:t>
      </w:r>
      <w:r>
        <w:rPr>
          <w:szCs w:val="32"/>
        </w:rPr>
        <w:t xml:space="preserve"> 投标须知</w:t>
      </w:r>
      <w:r>
        <w:tab/>
      </w:r>
      <w:r>
        <w:fldChar w:fldCharType="begin"/>
      </w:r>
      <w:r>
        <w:instrText xml:space="preserve"> PAGEREF _Toc24370 </w:instrText>
      </w:r>
      <w:r>
        <w:fldChar w:fldCharType="separate"/>
      </w:r>
      <w:r>
        <w:t>9</w:t>
      </w:r>
      <w:r>
        <w:fldChar w:fldCharType="end"/>
      </w:r>
      <w:r>
        <w:fldChar w:fldCharType="end"/>
      </w:r>
    </w:p>
    <w:p>
      <w:pPr>
        <w:pStyle w:val="29"/>
        <w:tabs>
          <w:tab w:val="right" w:leader="dot" w:pos="9638"/>
          <w:tab w:val="clear" w:pos="9540"/>
        </w:tabs>
      </w:pPr>
      <w:r>
        <w:fldChar w:fldCharType="begin"/>
      </w:r>
      <w:r>
        <w:instrText xml:space="preserve"> HYPERLINK \l "_Toc24669" </w:instrText>
      </w:r>
      <w:r>
        <w:fldChar w:fldCharType="separate"/>
      </w:r>
      <w:r>
        <w:rPr>
          <w:rFonts w:hint="eastAsia"/>
          <w:szCs w:val="32"/>
        </w:rPr>
        <w:t>投标须知前附表</w:t>
      </w:r>
      <w:r>
        <w:tab/>
      </w:r>
      <w:r>
        <w:fldChar w:fldCharType="begin"/>
      </w:r>
      <w:r>
        <w:instrText xml:space="preserve"> PAGEREF _Toc24669 </w:instrText>
      </w:r>
      <w:r>
        <w:fldChar w:fldCharType="separate"/>
      </w:r>
      <w:r>
        <w:t>9</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"_Toc14041" </w:instrText>
      </w:r>
      <w:r>
        <w:fldChar w:fldCharType="separate"/>
      </w:r>
      <w:r>
        <w:rPr>
          <w:rFonts w:hint="eastAsia" w:ascii="宋体" w:hAnsi="宋体"/>
          <w:bCs/>
          <w:szCs w:val="21"/>
        </w:rPr>
        <w:t>一、 总则</w:t>
      </w:r>
      <w:r>
        <w:tab/>
      </w:r>
      <w:r>
        <w:fldChar w:fldCharType="begin"/>
      </w:r>
      <w:r>
        <w:instrText xml:space="preserve"> PAGEREF _Toc14041 </w:instrText>
      </w:r>
      <w:r>
        <w:fldChar w:fldCharType="separate"/>
      </w:r>
      <w:r>
        <w:t>12</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"_Toc17564" </w:instrText>
      </w:r>
      <w:r>
        <w:fldChar w:fldCharType="separate"/>
      </w:r>
      <w:r>
        <w:rPr>
          <w:rFonts w:hint="eastAsia" w:ascii="宋体" w:hAnsi="宋体"/>
          <w:bCs/>
          <w:szCs w:val="21"/>
        </w:rPr>
        <w:t>二、 关于招标文件</w:t>
      </w:r>
      <w:r>
        <w:tab/>
      </w:r>
      <w:r>
        <w:fldChar w:fldCharType="begin"/>
      </w:r>
      <w:r>
        <w:instrText xml:space="preserve"> PAGEREF _Toc17564 </w:instrText>
      </w:r>
      <w:r>
        <w:fldChar w:fldCharType="separate"/>
      </w:r>
      <w:r>
        <w:t>15</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"_Toc18978" </w:instrText>
      </w:r>
      <w:r>
        <w:fldChar w:fldCharType="separate"/>
      </w:r>
      <w:r>
        <w:rPr>
          <w:rFonts w:hint="eastAsia" w:ascii="宋体" w:hAnsi="宋体"/>
          <w:bCs/>
          <w:szCs w:val="21"/>
        </w:rPr>
        <w:t>三、 关于投标人</w:t>
      </w:r>
      <w:r>
        <w:tab/>
      </w:r>
      <w:r>
        <w:fldChar w:fldCharType="begin"/>
      </w:r>
      <w:r>
        <w:instrText xml:space="preserve"> PAGEREF _Toc18978 </w:instrText>
      </w:r>
      <w:r>
        <w:fldChar w:fldCharType="separate"/>
      </w:r>
      <w:r>
        <w:t>17</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"_Toc17875" </w:instrText>
      </w:r>
      <w:r>
        <w:fldChar w:fldCharType="separate"/>
      </w:r>
      <w:r>
        <w:rPr>
          <w:rFonts w:hint="eastAsia" w:ascii="宋体" w:hAnsi="宋体"/>
          <w:bCs/>
          <w:szCs w:val="21"/>
        </w:rPr>
        <w:t>四、 关于投标文件</w:t>
      </w:r>
      <w:r>
        <w:tab/>
      </w:r>
      <w:r>
        <w:fldChar w:fldCharType="begin"/>
      </w:r>
      <w:r>
        <w:instrText xml:space="preserve"> PAGEREF _Toc17875 </w:instrText>
      </w:r>
      <w:r>
        <w:fldChar w:fldCharType="separate"/>
      </w:r>
      <w:r>
        <w:t>19</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"_Toc9185" </w:instrText>
      </w:r>
      <w:r>
        <w:fldChar w:fldCharType="separate"/>
      </w:r>
      <w:r>
        <w:rPr>
          <w:rFonts w:hint="eastAsia" w:ascii="宋体" w:hAnsi="宋体"/>
          <w:bCs/>
          <w:szCs w:val="21"/>
        </w:rPr>
        <w:t>五、 关于开标</w:t>
      </w:r>
      <w:r>
        <w:tab/>
      </w:r>
      <w:r>
        <w:fldChar w:fldCharType="begin"/>
      </w:r>
      <w:r>
        <w:instrText xml:space="preserve"> PAGEREF _Toc9185 </w:instrText>
      </w:r>
      <w:r>
        <w:fldChar w:fldCharType="separate"/>
      </w:r>
      <w:r>
        <w:t>22</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"_Toc29827" </w:instrText>
      </w:r>
      <w:r>
        <w:fldChar w:fldCharType="separate"/>
      </w:r>
      <w:r>
        <w:rPr>
          <w:rFonts w:hint="eastAsia" w:ascii="宋体" w:hAnsi="宋体"/>
          <w:bCs/>
          <w:szCs w:val="21"/>
        </w:rPr>
        <w:t>六、 关于评标</w:t>
      </w:r>
      <w:r>
        <w:tab/>
      </w:r>
      <w:r>
        <w:fldChar w:fldCharType="begin"/>
      </w:r>
      <w:r>
        <w:instrText xml:space="preserve"> PAGEREF _Toc29827 </w:instrText>
      </w:r>
      <w:r>
        <w:fldChar w:fldCharType="separate"/>
      </w:r>
      <w:r>
        <w:t>23</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"_Toc26542" </w:instrText>
      </w:r>
      <w:r>
        <w:fldChar w:fldCharType="separate"/>
      </w:r>
      <w:r>
        <w:rPr>
          <w:rFonts w:hint="eastAsia" w:ascii="宋体" w:hAnsi="宋体"/>
          <w:bCs/>
          <w:szCs w:val="21"/>
        </w:rPr>
        <w:t>七、 关于定标</w:t>
      </w:r>
      <w:r>
        <w:tab/>
      </w:r>
      <w:r>
        <w:fldChar w:fldCharType="begin"/>
      </w:r>
      <w:r>
        <w:instrText xml:space="preserve"> PAGEREF _Toc26542 </w:instrText>
      </w:r>
      <w:r>
        <w:fldChar w:fldCharType="separate"/>
      </w:r>
      <w:r>
        <w:t>25</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"_Toc11949" </w:instrText>
      </w:r>
      <w:r>
        <w:fldChar w:fldCharType="separate"/>
      </w:r>
      <w:r>
        <w:rPr>
          <w:rFonts w:hint="eastAsia" w:ascii="宋体" w:hAnsi="宋体"/>
          <w:bCs/>
          <w:szCs w:val="21"/>
        </w:rPr>
        <w:t>八、 关于无效投标的认定和废标</w:t>
      </w:r>
      <w:r>
        <w:tab/>
      </w:r>
      <w:r>
        <w:fldChar w:fldCharType="begin"/>
      </w:r>
      <w:r>
        <w:instrText xml:space="preserve"> PAGEREF _Toc11949 </w:instrText>
      </w:r>
      <w:r>
        <w:fldChar w:fldCharType="separate"/>
      </w:r>
      <w:r>
        <w:t>26</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"_Toc18721" </w:instrText>
      </w:r>
      <w:r>
        <w:fldChar w:fldCharType="separate"/>
      </w:r>
      <w:r>
        <w:rPr>
          <w:rFonts w:hint="eastAsia" w:ascii="宋体" w:hAnsi="宋体"/>
          <w:bCs/>
          <w:szCs w:val="21"/>
        </w:rPr>
        <w:t>九、 关于</w:t>
      </w:r>
      <w:r>
        <w:rPr>
          <w:rFonts w:ascii="宋体" w:hAnsi="宋体"/>
          <w:bCs/>
          <w:szCs w:val="21"/>
        </w:rPr>
        <w:t>合同</w:t>
      </w:r>
      <w:r>
        <w:tab/>
      </w:r>
      <w:r>
        <w:fldChar w:fldCharType="begin"/>
      </w:r>
      <w:r>
        <w:instrText xml:space="preserve"> PAGEREF _Toc18721 </w:instrText>
      </w:r>
      <w:r>
        <w:fldChar w:fldCharType="separate"/>
      </w:r>
      <w:r>
        <w:t>27</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"_Toc30880" </w:instrText>
      </w:r>
      <w:r>
        <w:fldChar w:fldCharType="separate"/>
      </w:r>
      <w:r>
        <w:rPr>
          <w:rFonts w:hint="eastAsia" w:ascii="宋体" w:hAnsi="宋体"/>
          <w:bCs/>
          <w:szCs w:val="21"/>
        </w:rPr>
        <w:t>十、 关于招标代理服务费</w:t>
      </w:r>
      <w:r>
        <w:tab/>
      </w:r>
      <w:r>
        <w:fldChar w:fldCharType="begin"/>
      </w:r>
      <w:r>
        <w:instrText xml:space="preserve"> PAGEREF _Toc30880 </w:instrText>
      </w:r>
      <w:r>
        <w:fldChar w:fldCharType="separate"/>
      </w:r>
      <w:r>
        <w:t>28</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"_Toc17919" </w:instrText>
      </w:r>
      <w:r>
        <w:fldChar w:fldCharType="separate"/>
      </w:r>
      <w:r>
        <w:rPr>
          <w:rFonts w:hint="eastAsia" w:ascii="宋体" w:hAnsi="宋体"/>
          <w:bCs/>
          <w:szCs w:val="21"/>
        </w:rPr>
        <w:t>十一、 关于询问、质疑</w:t>
      </w:r>
      <w:r>
        <w:tab/>
      </w:r>
      <w:r>
        <w:fldChar w:fldCharType="begin"/>
      </w:r>
      <w:r>
        <w:instrText xml:space="preserve"> PAGEREF _Toc17919 </w:instrText>
      </w:r>
      <w:r>
        <w:fldChar w:fldCharType="separate"/>
      </w:r>
      <w:r>
        <w:t>28</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"_Toc249" </w:instrText>
      </w:r>
      <w:r>
        <w:fldChar w:fldCharType="separate"/>
      </w:r>
      <w:r>
        <w:rPr>
          <w:rFonts w:hint="eastAsia" w:ascii="宋体" w:hAnsi="宋体"/>
          <w:bCs/>
          <w:szCs w:val="21"/>
        </w:rPr>
        <w:t>十二、 关于投诉</w:t>
      </w:r>
      <w:r>
        <w:tab/>
      </w:r>
      <w:r>
        <w:fldChar w:fldCharType="begin"/>
      </w:r>
      <w:r>
        <w:instrText xml:space="preserve"> PAGEREF _Toc249 </w:instrText>
      </w:r>
      <w:r>
        <w:fldChar w:fldCharType="separate"/>
      </w:r>
      <w:r>
        <w:t>29</w:t>
      </w:r>
      <w:r>
        <w:fldChar w:fldCharType="end"/>
      </w:r>
      <w:r>
        <w:fldChar w:fldCharType="end"/>
      </w:r>
    </w:p>
    <w:p>
      <w:pPr>
        <w:pStyle w:val="29"/>
        <w:tabs>
          <w:tab w:val="right" w:leader="dot" w:pos="9638"/>
          <w:tab w:val="clear" w:pos="9540"/>
        </w:tabs>
      </w:pPr>
      <w:r>
        <w:fldChar w:fldCharType="begin"/>
      </w:r>
      <w:r>
        <w:instrText xml:space="preserve"> HYPERLINK \l "_Toc698" </w:instrText>
      </w:r>
      <w:r>
        <w:fldChar w:fldCharType="separate"/>
      </w:r>
      <w:r>
        <w:rPr>
          <w:rFonts w:hint="eastAsia"/>
          <w:szCs w:val="32"/>
        </w:rPr>
        <w:t>第二部分拟签订的合同文本</w:t>
      </w:r>
      <w:r>
        <w:tab/>
      </w:r>
      <w:r>
        <w:fldChar w:fldCharType="begin"/>
      </w:r>
      <w:r>
        <w:instrText xml:space="preserve"> PAGEREF _Toc698 </w:instrText>
      </w:r>
      <w:r>
        <w:fldChar w:fldCharType="separate"/>
      </w:r>
      <w:r>
        <w:t>31</w:t>
      </w:r>
      <w:r>
        <w:fldChar w:fldCharType="end"/>
      </w:r>
      <w:r>
        <w:fldChar w:fldCharType="end"/>
      </w:r>
    </w:p>
    <w:p>
      <w:pPr>
        <w:pStyle w:val="29"/>
        <w:tabs>
          <w:tab w:val="right" w:leader="dot" w:pos="9638"/>
          <w:tab w:val="clear" w:pos="9540"/>
        </w:tabs>
      </w:pPr>
      <w:r>
        <w:fldChar w:fldCharType="begin"/>
      </w:r>
      <w:r>
        <w:instrText xml:space="preserve"> HYPERLINK \l "_Toc20894" </w:instrText>
      </w:r>
      <w:r>
        <w:fldChar w:fldCharType="separate"/>
      </w:r>
      <w:r>
        <w:rPr>
          <w:rFonts w:hint="eastAsia"/>
          <w:szCs w:val="32"/>
        </w:rPr>
        <w:t>第三部分 招标需求</w:t>
      </w:r>
      <w:r>
        <w:tab/>
      </w:r>
      <w:r>
        <w:fldChar w:fldCharType="begin"/>
      </w:r>
      <w:r>
        <w:instrText xml:space="preserve"> PAGEREF _Toc20894 </w:instrText>
      </w:r>
      <w:r>
        <w:fldChar w:fldCharType="separate"/>
      </w:r>
      <w:r>
        <w:t>36</w:t>
      </w:r>
      <w:r>
        <w:fldChar w:fldCharType="end"/>
      </w:r>
      <w:r>
        <w:fldChar w:fldCharType="end"/>
      </w:r>
    </w:p>
    <w:p>
      <w:pPr>
        <w:pStyle w:val="29"/>
        <w:tabs>
          <w:tab w:val="right" w:leader="dot" w:pos="9638"/>
          <w:tab w:val="clear" w:pos="9540"/>
        </w:tabs>
      </w:pPr>
      <w:r>
        <w:fldChar w:fldCharType="begin"/>
      </w:r>
      <w:r>
        <w:instrText xml:space="preserve"> HYPERLINK \l "_Toc25577" </w:instrText>
      </w:r>
      <w:r>
        <w:fldChar w:fldCharType="separate"/>
      </w:r>
      <w:r>
        <w:rPr>
          <w:rFonts w:hint="eastAsia"/>
          <w:szCs w:val="32"/>
        </w:rPr>
        <w:t>第四部分 评标办法</w:t>
      </w:r>
      <w:r>
        <w:tab/>
      </w:r>
      <w:r>
        <w:fldChar w:fldCharType="begin"/>
      </w:r>
      <w:r>
        <w:instrText xml:space="preserve"> PAGEREF _Toc25577 </w:instrText>
      </w:r>
      <w:r>
        <w:fldChar w:fldCharType="separate"/>
      </w:r>
      <w:r>
        <w:t>48</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"_Toc32209" </w:instrText>
      </w:r>
      <w:r>
        <w:fldChar w:fldCharType="separate"/>
      </w:r>
      <w:r>
        <w:rPr>
          <w:rFonts w:ascii="宋体" w:hAnsi="宋体"/>
          <w:bCs/>
          <w:szCs w:val="21"/>
        </w:rPr>
        <w:t xml:space="preserve">1 </w:t>
      </w:r>
      <w:r>
        <w:rPr>
          <w:rFonts w:hint="eastAsia" w:ascii="宋体" w:hAnsi="宋体"/>
          <w:szCs w:val="21"/>
        </w:rPr>
        <w:t>评标委员会</w:t>
      </w:r>
      <w:r>
        <w:tab/>
      </w:r>
      <w:r>
        <w:fldChar w:fldCharType="begin"/>
      </w:r>
      <w:r>
        <w:instrText xml:space="preserve"> PAGEREF _Toc32209 </w:instrText>
      </w:r>
      <w:r>
        <w:fldChar w:fldCharType="separate"/>
      </w:r>
      <w:r>
        <w:t>48</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"_Toc5296" </w:instrText>
      </w:r>
      <w:r>
        <w:fldChar w:fldCharType="separate"/>
      </w:r>
      <w:r>
        <w:rPr>
          <w:rFonts w:ascii="宋体" w:hAnsi="宋体"/>
          <w:szCs w:val="21"/>
        </w:rPr>
        <w:t xml:space="preserve">2 </w:t>
      </w:r>
      <w:r>
        <w:rPr>
          <w:rFonts w:hint="eastAsia" w:ascii="宋体" w:hAnsi="宋体"/>
          <w:szCs w:val="21"/>
        </w:rPr>
        <w:t>评标方法</w:t>
      </w:r>
      <w:r>
        <w:tab/>
      </w:r>
      <w:r>
        <w:fldChar w:fldCharType="begin"/>
      </w:r>
      <w:r>
        <w:instrText xml:space="preserve"> PAGEREF _Toc5296 </w:instrText>
      </w:r>
      <w:r>
        <w:fldChar w:fldCharType="separate"/>
      </w:r>
      <w:r>
        <w:t>48</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"_Toc23938" </w:instrText>
      </w:r>
      <w:r>
        <w:fldChar w:fldCharType="separate"/>
      </w:r>
      <w:r>
        <w:rPr>
          <w:rFonts w:ascii="宋体" w:hAnsi="宋体"/>
          <w:szCs w:val="21"/>
        </w:rPr>
        <w:t xml:space="preserve">3 </w:t>
      </w:r>
      <w:r>
        <w:rPr>
          <w:rFonts w:hint="eastAsia" w:ascii="宋体" w:hAnsi="宋体"/>
          <w:szCs w:val="21"/>
        </w:rPr>
        <w:t>评标程序</w:t>
      </w:r>
      <w:r>
        <w:tab/>
      </w:r>
      <w:r>
        <w:fldChar w:fldCharType="begin"/>
      </w:r>
      <w:r>
        <w:instrText xml:space="preserve"> PAGEREF _Toc23938 </w:instrText>
      </w:r>
      <w:r>
        <w:fldChar w:fldCharType="separate"/>
      </w:r>
      <w:r>
        <w:t>48</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"_Toc26921" </w:instrText>
      </w:r>
      <w:r>
        <w:fldChar w:fldCharType="separate"/>
      </w:r>
      <w:r>
        <w:rPr>
          <w:rFonts w:ascii="宋体" w:hAnsi="宋体"/>
          <w:szCs w:val="21"/>
        </w:rPr>
        <w:t xml:space="preserve">4 </w:t>
      </w:r>
      <w:r>
        <w:rPr>
          <w:rFonts w:hint="eastAsia" w:ascii="宋体" w:hAnsi="宋体"/>
          <w:szCs w:val="21"/>
        </w:rPr>
        <w:t>推荐中标候选人名单</w:t>
      </w:r>
      <w:r>
        <w:tab/>
      </w:r>
      <w:r>
        <w:fldChar w:fldCharType="begin"/>
      </w:r>
      <w:r>
        <w:instrText xml:space="preserve"> PAGEREF _Toc26921 </w:instrText>
      </w:r>
      <w:r>
        <w:fldChar w:fldCharType="separate"/>
      </w:r>
      <w:r>
        <w:t>50</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"_Toc10380" </w:instrText>
      </w:r>
      <w:r>
        <w:fldChar w:fldCharType="separate"/>
      </w:r>
      <w:r>
        <w:rPr>
          <w:rFonts w:hint="eastAsia" w:ascii="宋体" w:hAnsi="宋体"/>
          <w:szCs w:val="21"/>
        </w:rPr>
        <w:t>5 确定中标人</w:t>
      </w:r>
      <w:r>
        <w:tab/>
      </w:r>
      <w:r>
        <w:fldChar w:fldCharType="begin"/>
      </w:r>
      <w:r>
        <w:instrText xml:space="preserve"> PAGEREF _Toc10380 </w:instrText>
      </w:r>
      <w:r>
        <w:fldChar w:fldCharType="separate"/>
      </w:r>
      <w:r>
        <w:t>50</w:t>
      </w:r>
      <w:r>
        <w:fldChar w:fldCharType="end"/>
      </w:r>
      <w:r>
        <w:fldChar w:fldCharType="end"/>
      </w:r>
    </w:p>
    <w:p>
      <w:pPr>
        <w:pStyle w:val="29"/>
        <w:tabs>
          <w:tab w:val="right" w:leader="dot" w:pos="9638"/>
          <w:tab w:val="clear" w:pos="9540"/>
        </w:tabs>
      </w:pPr>
      <w:r>
        <w:fldChar w:fldCharType="begin"/>
      </w:r>
      <w:r>
        <w:instrText xml:space="preserve"> HYPERLINK \l "_Toc17740" </w:instrText>
      </w:r>
      <w:r>
        <w:fldChar w:fldCharType="separate"/>
      </w:r>
      <w:r>
        <w:rPr>
          <w:rFonts w:hint="eastAsia"/>
          <w:szCs w:val="32"/>
        </w:rPr>
        <w:t>第五部分 商务技术部分格式</w:t>
      </w:r>
      <w:r>
        <w:tab/>
      </w:r>
      <w:r>
        <w:fldChar w:fldCharType="begin"/>
      </w:r>
      <w:r>
        <w:instrText xml:space="preserve"> PAGEREF _Toc17740 </w:instrText>
      </w:r>
      <w:r>
        <w:fldChar w:fldCharType="separate"/>
      </w:r>
      <w:r>
        <w:t>58</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"_Toc6275" </w:instrText>
      </w:r>
      <w:r>
        <w:fldChar w:fldCharType="separate"/>
      </w:r>
      <w:r>
        <w:rPr>
          <w:rFonts w:hint="eastAsia" w:ascii="宋体" w:hAnsi="宋体"/>
          <w:bCs/>
        </w:rPr>
        <w:t>第一章 目录</w:t>
      </w:r>
      <w:r>
        <w:tab/>
      </w:r>
      <w:r>
        <w:fldChar w:fldCharType="begin"/>
      </w:r>
      <w:r>
        <w:instrText xml:space="preserve"> PAGEREF _Toc6275 </w:instrText>
      </w:r>
      <w:r>
        <w:fldChar w:fldCharType="separate"/>
      </w:r>
      <w:r>
        <w:t>59</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"_Toc13291" </w:instrText>
      </w:r>
      <w:r>
        <w:fldChar w:fldCharType="separate"/>
      </w:r>
      <w:r>
        <w:rPr>
          <w:rFonts w:hint="eastAsia" w:ascii="宋体" w:hAnsi="宋体"/>
          <w:bCs/>
        </w:rPr>
        <w:t>第二章 索引</w:t>
      </w:r>
      <w:r>
        <w:tab/>
      </w:r>
      <w:r>
        <w:fldChar w:fldCharType="begin"/>
      </w:r>
      <w:r>
        <w:instrText xml:space="preserve"> PAGEREF _Toc13291 </w:instrText>
      </w:r>
      <w:r>
        <w:fldChar w:fldCharType="separate"/>
      </w:r>
      <w:r>
        <w:t>61</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"_Toc11830" </w:instrText>
      </w:r>
      <w:r>
        <w:fldChar w:fldCharType="separate"/>
      </w:r>
      <w:r>
        <w:rPr>
          <w:rFonts w:ascii="宋体" w:hAnsi="宋体"/>
          <w:szCs w:val="21"/>
        </w:rPr>
        <w:t>2-1 资格</w:t>
      </w:r>
      <w:r>
        <w:rPr>
          <w:rFonts w:hint="eastAsia" w:ascii="宋体" w:hAnsi="宋体"/>
          <w:szCs w:val="21"/>
        </w:rPr>
        <w:t>审查</w:t>
      </w:r>
      <w:r>
        <w:rPr>
          <w:rFonts w:ascii="宋体" w:hAnsi="宋体"/>
          <w:szCs w:val="21"/>
        </w:rPr>
        <w:t>自查表</w:t>
      </w:r>
      <w:r>
        <w:tab/>
      </w:r>
      <w:r>
        <w:fldChar w:fldCharType="begin"/>
      </w:r>
      <w:r>
        <w:instrText xml:space="preserve"> PAGEREF _Toc11830 </w:instrText>
      </w:r>
      <w:r>
        <w:fldChar w:fldCharType="separate"/>
      </w:r>
      <w:r>
        <w:t>61</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"_Toc30398" </w:instrText>
      </w:r>
      <w:r>
        <w:fldChar w:fldCharType="separate"/>
      </w:r>
      <w:r>
        <w:rPr>
          <w:rFonts w:ascii="宋体" w:hAnsi="宋体"/>
          <w:szCs w:val="21"/>
        </w:rPr>
        <w:t>2-2 符合性</w:t>
      </w:r>
      <w:r>
        <w:rPr>
          <w:rFonts w:hint="eastAsia" w:ascii="宋体" w:hAnsi="宋体"/>
          <w:szCs w:val="21"/>
        </w:rPr>
        <w:t>审查</w:t>
      </w:r>
      <w:r>
        <w:rPr>
          <w:rFonts w:ascii="宋体" w:hAnsi="宋体"/>
          <w:szCs w:val="21"/>
        </w:rPr>
        <w:t>自查表</w:t>
      </w:r>
      <w:r>
        <w:tab/>
      </w:r>
      <w:r>
        <w:fldChar w:fldCharType="begin"/>
      </w:r>
      <w:r>
        <w:instrText xml:space="preserve"> PAGEREF _Toc30398 </w:instrText>
      </w:r>
      <w:r>
        <w:fldChar w:fldCharType="separate"/>
      </w:r>
      <w:r>
        <w:t>62</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"_Toc24604" </w:instrText>
      </w:r>
      <w:r>
        <w:fldChar w:fldCharType="separate"/>
      </w:r>
      <w:r>
        <w:rPr>
          <w:rFonts w:ascii="宋体" w:hAnsi="宋体"/>
          <w:szCs w:val="21"/>
        </w:rPr>
        <w:t>2-3 评审</w:t>
      </w:r>
      <w:r>
        <w:rPr>
          <w:rFonts w:hint="eastAsia" w:ascii="宋体" w:hAnsi="宋体"/>
          <w:szCs w:val="21"/>
        </w:rPr>
        <w:t>要素</w:t>
      </w:r>
      <w:r>
        <w:rPr>
          <w:rFonts w:ascii="宋体" w:hAnsi="宋体"/>
          <w:szCs w:val="21"/>
        </w:rPr>
        <w:t>投标资料表</w:t>
      </w:r>
      <w:r>
        <w:tab/>
      </w:r>
      <w:r>
        <w:fldChar w:fldCharType="begin"/>
      </w:r>
      <w:r>
        <w:instrText xml:space="preserve"> PAGEREF _Toc24604 </w:instrText>
      </w:r>
      <w:r>
        <w:fldChar w:fldCharType="separate"/>
      </w:r>
      <w:r>
        <w:t>63</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"_Toc24464" </w:instrText>
      </w:r>
      <w:r>
        <w:fldChar w:fldCharType="separate"/>
      </w:r>
      <w:r>
        <w:rPr>
          <w:rFonts w:hint="eastAsia" w:ascii="宋体" w:hAnsi="宋体"/>
          <w:bCs/>
        </w:rPr>
        <w:t>第三章 资格审查文件</w:t>
      </w:r>
      <w:r>
        <w:tab/>
      </w:r>
      <w:r>
        <w:fldChar w:fldCharType="begin"/>
      </w:r>
      <w:r>
        <w:instrText xml:space="preserve"> PAGEREF _Toc24464 </w:instrText>
      </w:r>
      <w:r>
        <w:fldChar w:fldCharType="separate"/>
      </w:r>
      <w:r>
        <w:t>64</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"_Toc24894" </w:instrText>
      </w:r>
      <w:r>
        <w:fldChar w:fldCharType="separate"/>
      </w:r>
      <w:r>
        <w:rPr>
          <w:rFonts w:ascii="宋体" w:hAnsi="宋体"/>
          <w:szCs w:val="21"/>
        </w:rPr>
        <w:t xml:space="preserve">3-1 </w:t>
      </w:r>
      <w:r>
        <w:rPr>
          <w:rFonts w:hint="eastAsia" w:ascii="宋体" w:hAnsi="宋体"/>
          <w:szCs w:val="21"/>
        </w:rPr>
        <w:t>资格声明函</w:t>
      </w:r>
      <w:r>
        <w:tab/>
      </w:r>
      <w:r>
        <w:fldChar w:fldCharType="begin"/>
      </w:r>
      <w:r>
        <w:instrText xml:space="preserve"> PAGEREF _Toc24894 </w:instrText>
      </w:r>
      <w:r>
        <w:fldChar w:fldCharType="separate"/>
      </w:r>
      <w:r>
        <w:t>64</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"_Toc1031" </w:instrText>
      </w:r>
      <w:r>
        <w:fldChar w:fldCharType="separate"/>
      </w:r>
      <w:r>
        <w:rPr>
          <w:rFonts w:ascii="宋体" w:hAnsi="宋体"/>
          <w:szCs w:val="21"/>
        </w:rPr>
        <w:t xml:space="preserve">3-2 </w:t>
      </w:r>
      <w:r>
        <w:rPr>
          <w:rFonts w:hint="eastAsia" w:ascii="宋体" w:hAnsi="宋体"/>
          <w:szCs w:val="21"/>
        </w:rPr>
        <w:t>符合“供应商资格”要求的其他证明文件</w:t>
      </w:r>
      <w:r>
        <w:tab/>
      </w:r>
      <w:r>
        <w:fldChar w:fldCharType="begin"/>
      </w:r>
      <w:r>
        <w:instrText xml:space="preserve"> PAGEREF _Toc1031 </w:instrText>
      </w:r>
      <w:r>
        <w:fldChar w:fldCharType="separate"/>
      </w:r>
      <w:r>
        <w:t>66</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"_Toc27743" </w:instrText>
      </w:r>
      <w:r>
        <w:fldChar w:fldCharType="separate"/>
      </w:r>
      <w:r>
        <w:rPr>
          <w:rFonts w:hint="eastAsia" w:ascii="宋体" w:hAnsi="宋体"/>
          <w:bCs/>
        </w:rPr>
        <w:t>第四章 投标文件商务部分</w:t>
      </w:r>
      <w:r>
        <w:tab/>
      </w:r>
      <w:r>
        <w:fldChar w:fldCharType="begin"/>
      </w:r>
      <w:r>
        <w:instrText xml:space="preserve"> PAGEREF _Toc27743 </w:instrText>
      </w:r>
      <w:r>
        <w:fldChar w:fldCharType="separate"/>
      </w:r>
      <w:r>
        <w:t>67</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"_Toc7535" </w:instrText>
      </w:r>
      <w:r>
        <w:fldChar w:fldCharType="separate"/>
      </w:r>
      <w:r>
        <w:rPr>
          <w:rFonts w:ascii="宋体" w:hAnsi="宋体"/>
          <w:szCs w:val="21"/>
        </w:rPr>
        <w:t xml:space="preserve">4-1 </w:t>
      </w:r>
      <w:r>
        <w:rPr>
          <w:rFonts w:hint="eastAsia" w:ascii="宋体" w:hAnsi="宋体"/>
          <w:szCs w:val="21"/>
        </w:rPr>
        <w:t>投标函</w:t>
      </w:r>
      <w:r>
        <w:tab/>
      </w:r>
      <w:r>
        <w:fldChar w:fldCharType="begin"/>
      </w:r>
      <w:r>
        <w:instrText xml:space="preserve"> PAGEREF _Toc7535 </w:instrText>
      </w:r>
      <w:r>
        <w:fldChar w:fldCharType="separate"/>
      </w:r>
      <w:r>
        <w:t>67</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"_Toc25878" </w:instrText>
      </w:r>
      <w:r>
        <w:fldChar w:fldCharType="separate"/>
      </w:r>
      <w:r>
        <w:rPr>
          <w:rFonts w:ascii="宋体" w:hAnsi="宋体"/>
          <w:szCs w:val="21"/>
        </w:rPr>
        <w:t xml:space="preserve">4-2 </w:t>
      </w:r>
      <w:r>
        <w:rPr>
          <w:rFonts w:hint="eastAsia" w:ascii="宋体" w:hAnsi="宋体"/>
          <w:szCs w:val="21"/>
        </w:rPr>
        <w:t>法定代表人证明书/法定代表人授权书格式</w:t>
      </w:r>
      <w:r>
        <w:tab/>
      </w:r>
      <w:r>
        <w:fldChar w:fldCharType="begin"/>
      </w:r>
      <w:r>
        <w:instrText xml:space="preserve"> PAGEREF _Toc25878 </w:instrText>
      </w:r>
      <w:r>
        <w:fldChar w:fldCharType="separate"/>
      </w:r>
      <w:r>
        <w:t>68</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"_Toc29580" </w:instrText>
      </w:r>
      <w:r>
        <w:fldChar w:fldCharType="separate"/>
      </w:r>
      <w:r>
        <w:rPr>
          <w:rFonts w:ascii="宋体" w:hAnsi="宋体"/>
          <w:szCs w:val="21"/>
        </w:rPr>
        <w:t xml:space="preserve">4-3 </w:t>
      </w:r>
      <w:r>
        <w:rPr>
          <w:rFonts w:hint="eastAsia" w:ascii="宋体" w:hAnsi="宋体"/>
          <w:szCs w:val="21"/>
        </w:rPr>
        <w:t>政策适用性说明（可选）</w:t>
      </w:r>
      <w:r>
        <w:tab/>
      </w:r>
      <w:r>
        <w:fldChar w:fldCharType="begin"/>
      </w:r>
      <w:r>
        <w:instrText xml:space="preserve"> PAGEREF _Toc29580 </w:instrText>
      </w:r>
      <w:r>
        <w:fldChar w:fldCharType="separate"/>
      </w:r>
      <w:r>
        <w:t>70</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"_Toc21079" </w:instrText>
      </w:r>
      <w:r>
        <w:fldChar w:fldCharType="separate"/>
      </w:r>
      <w:r>
        <w:rPr>
          <w:rFonts w:ascii="宋体" w:hAnsi="宋体"/>
          <w:szCs w:val="21"/>
        </w:rPr>
        <w:t xml:space="preserve">4-4 </w:t>
      </w:r>
      <w:r>
        <w:rPr>
          <w:rFonts w:hint="eastAsia" w:ascii="宋体" w:hAnsi="宋体"/>
          <w:szCs w:val="21"/>
        </w:rPr>
        <w:t>实质性响应一览表</w:t>
      </w:r>
      <w:r>
        <w:tab/>
      </w:r>
      <w:r>
        <w:fldChar w:fldCharType="begin"/>
      </w:r>
      <w:r>
        <w:instrText xml:space="preserve"> PAGEREF _Toc21079 </w:instrText>
      </w:r>
      <w:r>
        <w:fldChar w:fldCharType="separate"/>
      </w:r>
      <w:r>
        <w:t>71</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"_Toc10273" </w:instrText>
      </w:r>
      <w:r>
        <w:fldChar w:fldCharType="separate"/>
      </w:r>
      <w:r>
        <w:rPr>
          <w:rFonts w:ascii="宋体" w:hAnsi="宋体"/>
          <w:szCs w:val="21"/>
        </w:rPr>
        <w:t xml:space="preserve">4-5 </w:t>
      </w:r>
      <w:r>
        <w:rPr>
          <w:rFonts w:hint="eastAsia" w:ascii="宋体" w:hAnsi="宋体"/>
          <w:szCs w:val="21"/>
        </w:rPr>
        <w:t>投标响应与招标文件差异一览表</w:t>
      </w:r>
      <w:r>
        <w:tab/>
      </w:r>
      <w:r>
        <w:fldChar w:fldCharType="begin"/>
      </w:r>
      <w:r>
        <w:instrText xml:space="preserve"> PAGEREF _Toc10273 </w:instrText>
      </w:r>
      <w:r>
        <w:fldChar w:fldCharType="separate"/>
      </w:r>
      <w:r>
        <w:t>73</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"_Toc24113" </w:instrText>
      </w:r>
      <w:r>
        <w:fldChar w:fldCharType="separate"/>
      </w:r>
      <w:r>
        <w:rPr>
          <w:rFonts w:ascii="宋体" w:hAnsi="宋体"/>
          <w:szCs w:val="21"/>
        </w:rPr>
        <w:t xml:space="preserve">4-6 </w:t>
      </w:r>
      <w:r>
        <w:rPr>
          <w:rFonts w:hint="eastAsia" w:ascii="宋体" w:hAnsi="宋体"/>
          <w:szCs w:val="21"/>
        </w:rPr>
        <w:t>投标人基本情况表</w:t>
      </w:r>
      <w:r>
        <w:tab/>
      </w:r>
      <w:r>
        <w:fldChar w:fldCharType="begin"/>
      </w:r>
      <w:r>
        <w:instrText xml:space="preserve"> PAGEREF _Toc24113 </w:instrText>
      </w:r>
      <w:r>
        <w:fldChar w:fldCharType="separate"/>
      </w:r>
      <w:r>
        <w:t>74</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"_Toc11234" </w:instrText>
      </w:r>
      <w:r>
        <w:fldChar w:fldCharType="separate"/>
      </w:r>
      <w:r>
        <w:rPr>
          <w:rFonts w:ascii="宋体" w:hAnsi="宋体"/>
          <w:szCs w:val="21"/>
        </w:rPr>
        <w:t xml:space="preserve">4-7 </w:t>
      </w:r>
      <w:r>
        <w:rPr>
          <w:rFonts w:hint="eastAsia" w:ascii="宋体" w:hAnsi="宋体"/>
          <w:szCs w:val="21"/>
        </w:rPr>
        <w:t>项目经理/项目负责人简历表</w:t>
      </w:r>
      <w:r>
        <w:tab/>
      </w:r>
      <w:r>
        <w:fldChar w:fldCharType="begin"/>
      </w:r>
      <w:r>
        <w:instrText xml:space="preserve"> PAGEREF _Toc11234 </w:instrText>
      </w:r>
      <w:r>
        <w:fldChar w:fldCharType="separate"/>
      </w:r>
      <w:r>
        <w:t>76</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"_Toc28830" </w:instrText>
      </w:r>
      <w:r>
        <w:fldChar w:fldCharType="separate"/>
      </w:r>
      <w:r>
        <w:rPr>
          <w:rFonts w:ascii="宋体" w:hAnsi="宋体"/>
          <w:szCs w:val="21"/>
        </w:rPr>
        <w:t xml:space="preserve">4-8 </w:t>
      </w:r>
      <w:r>
        <w:rPr>
          <w:rFonts w:hint="eastAsia" w:ascii="宋体" w:hAnsi="宋体"/>
          <w:szCs w:val="21"/>
        </w:rPr>
        <w:t>拟为本项目配置的人员情况表</w:t>
      </w:r>
      <w:r>
        <w:tab/>
      </w:r>
      <w:r>
        <w:fldChar w:fldCharType="begin"/>
      </w:r>
      <w:r>
        <w:instrText xml:space="preserve"> PAGEREF _Toc28830 </w:instrText>
      </w:r>
      <w:r>
        <w:fldChar w:fldCharType="separate"/>
      </w:r>
      <w:r>
        <w:t>77</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"_Toc24753" </w:instrText>
      </w:r>
      <w:r>
        <w:fldChar w:fldCharType="separate"/>
      </w:r>
      <w:r>
        <w:rPr>
          <w:rFonts w:ascii="宋体" w:hAnsi="宋体"/>
          <w:szCs w:val="21"/>
        </w:rPr>
        <w:t xml:space="preserve">4-9 </w:t>
      </w:r>
      <w:r>
        <w:rPr>
          <w:rFonts w:hint="eastAsia" w:ascii="宋体" w:hAnsi="宋体"/>
          <w:szCs w:val="21"/>
        </w:rPr>
        <w:t>类似项目业绩一览表</w:t>
      </w:r>
      <w:r>
        <w:tab/>
      </w:r>
      <w:r>
        <w:fldChar w:fldCharType="begin"/>
      </w:r>
      <w:r>
        <w:instrText xml:space="preserve"> PAGEREF _Toc24753 </w:instrText>
      </w:r>
      <w:r>
        <w:fldChar w:fldCharType="separate"/>
      </w:r>
      <w:r>
        <w:t>78</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"_Toc16023" </w:instrText>
      </w:r>
      <w:r>
        <w:fldChar w:fldCharType="separate"/>
      </w:r>
      <w:r>
        <w:rPr>
          <w:rFonts w:ascii="宋体" w:hAnsi="宋体"/>
          <w:szCs w:val="21"/>
        </w:rPr>
        <w:t xml:space="preserve">4-10 </w:t>
      </w:r>
      <w:r>
        <w:rPr>
          <w:rFonts w:hint="eastAsia" w:ascii="宋体" w:hAnsi="宋体"/>
          <w:szCs w:val="21"/>
        </w:rPr>
        <w:t>投标保证金退还说明</w:t>
      </w:r>
      <w:r>
        <w:tab/>
      </w:r>
      <w:r>
        <w:fldChar w:fldCharType="begin"/>
      </w:r>
      <w:r>
        <w:instrText xml:space="preserve"> PAGEREF _Toc16023 </w:instrText>
      </w:r>
      <w:r>
        <w:fldChar w:fldCharType="separate"/>
      </w:r>
      <w:r>
        <w:t>79</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"_Toc8117" </w:instrText>
      </w:r>
      <w:r>
        <w:fldChar w:fldCharType="separate"/>
      </w:r>
      <w:r>
        <w:rPr>
          <w:rFonts w:ascii="宋体" w:hAnsi="宋体"/>
          <w:szCs w:val="21"/>
        </w:rPr>
        <w:t xml:space="preserve">4-11 </w:t>
      </w:r>
      <w:r>
        <w:rPr>
          <w:rFonts w:hint="eastAsia" w:ascii="宋体" w:hAnsi="宋体"/>
          <w:szCs w:val="21"/>
        </w:rPr>
        <w:t>招标代理服务费承诺书</w:t>
      </w:r>
      <w:r>
        <w:tab/>
      </w:r>
      <w:r>
        <w:fldChar w:fldCharType="begin"/>
      </w:r>
      <w:r>
        <w:instrText xml:space="preserve"> PAGEREF _Toc8117 </w:instrText>
      </w:r>
      <w:r>
        <w:fldChar w:fldCharType="separate"/>
      </w:r>
      <w:r>
        <w:t>80</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"_Toc15447" </w:instrText>
      </w:r>
      <w:r>
        <w:fldChar w:fldCharType="separate"/>
      </w:r>
      <w:r>
        <w:rPr>
          <w:rFonts w:ascii="宋体" w:hAnsi="宋体"/>
          <w:szCs w:val="21"/>
        </w:rPr>
        <w:t>4-12 政府采购投标担保函（项目用)</w:t>
      </w:r>
      <w:r>
        <w:tab/>
      </w:r>
      <w:r>
        <w:fldChar w:fldCharType="begin"/>
      </w:r>
      <w:r>
        <w:instrText xml:space="preserve"> PAGEREF _Toc15447 </w:instrText>
      </w:r>
      <w:r>
        <w:fldChar w:fldCharType="separate"/>
      </w:r>
      <w:r>
        <w:t>81</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"_Toc21806" </w:instrText>
      </w:r>
      <w:r>
        <w:fldChar w:fldCharType="separate"/>
      </w:r>
      <w:r>
        <w:rPr>
          <w:rFonts w:ascii="宋体" w:hAnsi="宋体"/>
          <w:szCs w:val="21"/>
        </w:rPr>
        <w:t xml:space="preserve">4-13 </w:t>
      </w:r>
      <w:r>
        <w:rPr>
          <w:rFonts w:hint="eastAsia" w:ascii="宋体" w:hAnsi="宋体"/>
          <w:szCs w:val="21"/>
        </w:rPr>
        <w:t>政府采购履约担保函（项目用)</w:t>
      </w:r>
      <w:r>
        <w:tab/>
      </w:r>
      <w:r>
        <w:fldChar w:fldCharType="begin"/>
      </w:r>
      <w:r>
        <w:instrText xml:space="preserve"> PAGEREF _Toc21806 </w:instrText>
      </w:r>
      <w:r>
        <w:fldChar w:fldCharType="separate"/>
      </w:r>
      <w:r>
        <w:t>83</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"_Toc29284" </w:instrText>
      </w:r>
      <w:r>
        <w:fldChar w:fldCharType="separate"/>
      </w:r>
      <w:r>
        <w:rPr>
          <w:rFonts w:ascii="宋体" w:hAnsi="宋体"/>
          <w:szCs w:val="21"/>
        </w:rPr>
        <w:t xml:space="preserve">4-14 </w:t>
      </w:r>
      <w:r>
        <w:rPr>
          <w:rFonts w:hint="eastAsia" w:ascii="宋体" w:hAnsi="宋体"/>
          <w:szCs w:val="21"/>
        </w:rPr>
        <w:t>制造商（总代理商）授权委托书（要求提交授权书时选用）</w:t>
      </w:r>
      <w:r>
        <w:tab/>
      </w:r>
      <w:r>
        <w:fldChar w:fldCharType="begin"/>
      </w:r>
      <w:r>
        <w:instrText xml:space="preserve"> PAGEREF _Toc29284 </w:instrText>
      </w:r>
      <w:r>
        <w:fldChar w:fldCharType="separate"/>
      </w:r>
      <w:r>
        <w:t>85</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"_Toc1985" </w:instrText>
      </w:r>
      <w:r>
        <w:fldChar w:fldCharType="separate"/>
      </w:r>
      <w:r>
        <w:rPr>
          <w:rFonts w:ascii="宋体" w:hAnsi="宋体"/>
          <w:szCs w:val="21"/>
        </w:rPr>
        <w:t xml:space="preserve">4-15 </w:t>
      </w:r>
      <w:r>
        <w:rPr>
          <w:rFonts w:hint="eastAsia" w:ascii="宋体" w:hAnsi="宋体"/>
          <w:szCs w:val="21"/>
        </w:rPr>
        <w:t>联合体共同投标协议书（如联合体投标，需提供）</w:t>
      </w:r>
      <w:r>
        <w:tab/>
      </w:r>
      <w:r>
        <w:fldChar w:fldCharType="begin"/>
      </w:r>
      <w:r>
        <w:instrText xml:space="preserve"> PAGEREF _Toc1985 </w:instrText>
      </w:r>
      <w:r>
        <w:fldChar w:fldCharType="separate"/>
      </w:r>
      <w:r>
        <w:t>86</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"_Toc21535" </w:instrText>
      </w:r>
      <w:r>
        <w:fldChar w:fldCharType="separate"/>
      </w:r>
      <w:r>
        <w:rPr>
          <w:rFonts w:hint="eastAsia" w:ascii="宋体" w:hAnsi="宋体"/>
          <w:bCs/>
        </w:rPr>
        <w:t>第五章 投标文件技术部分</w:t>
      </w:r>
      <w:r>
        <w:tab/>
      </w:r>
      <w:r>
        <w:fldChar w:fldCharType="begin"/>
      </w:r>
      <w:r>
        <w:instrText xml:space="preserve"> PAGEREF _Toc21535 </w:instrText>
      </w:r>
      <w:r>
        <w:fldChar w:fldCharType="separate"/>
      </w:r>
      <w:r>
        <w:t>87</w:t>
      </w:r>
      <w:r>
        <w:fldChar w:fldCharType="end"/>
      </w:r>
      <w:r>
        <w:fldChar w:fldCharType="end"/>
      </w:r>
    </w:p>
    <w:p>
      <w:pPr>
        <w:pStyle w:val="29"/>
        <w:tabs>
          <w:tab w:val="right" w:leader="dot" w:pos="9638"/>
          <w:tab w:val="clear" w:pos="9540"/>
        </w:tabs>
      </w:pPr>
      <w:r>
        <w:fldChar w:fldCharType="begin"/>
      </w:r>
      <w:r>
        <w:instrText xml:space="preserve"> HYPERLINK \l "_Toc3925" </w:instrText>
      </w:r>
      <w:r>
        <w:fldChar w:fldCharType="separate"/>
      </w:r>
      <w:r>
        <w:rPr>
          <w:rFonts w:hint="eastAsia"/>
          <w:szCs w:val="32"/>
        </w:rPr>
        <w:t>第六部分 价格部分格式</w:t>
      </w:r>
      <w:r>
        <w:tab/>
      </w:r>
      <w:r>
        <w:fldChar w:fldCharType="begin"/>
      </w:r>
      <w:r>
        <w:instrText xml:space="preserve"> PAGEREF _Toc3925 </w:instrText>
      </w:r>
      <w:r>
        <w:fldChar w:fldCharType="separate"/>
      </w:r>
      <w:r>
        <w:t>90</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"_Toc27572" </w:instrText>
      </w:r>
      <w:r>
        <w:fldChar w:fldCharType="separate"/>
      </w:r>
      <w:r>
        <w:rPr>
          <w:rFonts w:hint="eastAsia" w:ascii="宋体" w:hAnsi="宋体"/>
          <w:bCs/>
        </w:rPr>
        <w:t>第一章 目录</w:t>
      </w:r>
      <w:r>
        <w:tab/>
      </w:r>
      <w:r>
        <w:fldChar w:fldCharType="begin"/>
      </w:r>
      <w:r>
        <w:instrText xml:space="preserve"> PAGEREF _Toc27572 </w:instrText>
      </w:r>
      <w:r>
        <w:fldChar w:fldCharType="separate"/>
      </w:r>
      <w:r>
        <w:t>91</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"_Toc8126" </w:instrText>
      </w:r>
      <w:r>
        <w:fldChar w:fldCharType="separate"/>
      </w:r>
      <w:r>
        <w:rPr>
          <w:rFonts w:hint="eastAsia" w:ascii="宋体" w:hAnsi="宋体"/>
          <w:szCs w:val="21"/>
        </w:rPr>
        <w:t>1-1 开标一览表</w:t>
      </w:r>
      <w:r>
        <w:tab/>
      </w:r>
      <w:r>
        <w:fldChar w:fldCharType="begin"/>
      </w:r>
      <w:r>
        <w:instrText xml:space="preserve"> PAGEREF _Toc8126 </w:instrText>
      </w:r>
      <w:r>
        <w:fldChar w:fldCharType="separate"/>
      </w:r>
      <w:r>
        <w:t>92</w:t>
      </w:r>
      <w:r>
        <w:fldChar w:fldCharType="end"/>
      </w:r>
      <w:r>
        <w:fldChar w:fldCharType="end"/>
      </w:r>
    </w:p>
    <w:p>
      <w:pPr>
        <w:pStyle w:val="37"/>
        <w:tabs>
          <w:tab w:val="right" w:leader="dot" w:pos="9638"/>
          <w:tab w:val="clear" w:pos="1080"/>
          <w:tab w:val="clear" w:pos="9540"/>
          <w:tab w:val="clear" w:pos="9628"/>
        </w:tabs>
        <w:ind w:left="360" w:right="-82"/>
      </w:pPr>
      <w:r>
        <w:fldChar w:fldCharType="begin"/>
      </w:r>
      <w:r>
        <w:instrText xml:space="preserve"> HYPERLINK \l "_Toc3740" </w:instrText>
      </w:r>
      <w:r>
        <w:fldChar w:fldCharType="separate"/>
      </w:r>
      <w:r>
        <w:rPr>
          <w:rFonts w:hint="eastAsia" w:ascii="宋体" w:hAnsi="宋体"/>
          <w:szCs w:val="21"/>
        </w:rPr>
        <w:t>1-2 详细报价表</w:t>
      </w:r>
      <w:r>
        <w:tab/>
      </w:r>
      <w:r>
        <w:fldChar w:fldCharType="begin"/>
      </w:r>
      <w:r>
        <w:instrText xml:space="preserve"> PAGEREF _Toc3740 </w:instrText>
      </w:r>
      <w:r>
        <w:fldChar w:fldCharType="separate"/>
      </w:r>
      <w:r>
        <w:t>93</w:t>
      </w:r>
      <w:r>
        <w:fldChar w:fldCharType="end"/>
      </w:r>
      <w:r>
        <w:fldChar w:fldCharType="end"/>
      </w:r>
    </w:p>
    <w:p>
      <w:pPr>
        <w:pStyle w:val="3"/>
        <w:spacing w:line="400" w:lineRule="exact"/>
        <w:jc w:val="center"/>
        <w:rPr>
          <w:rFonts w:ascii="宋体" w:hAnsi="宋体"/>
          <w:b/>
          <w:bCs/>
          <w:sz w:val="32"/>
          <w:szCs w:val="32"/>
        </w:rPr>
      </w:pPr>
      <w:r>
        <w:rPr>
          <w:rFonts w:ascii="宋体" w:hAnsi="宋体"/>
          <w:smallCaps/>
          <w:kern w:val="2"/>
          <w:szCs w:val="21"/>
        </w:rPr>
        <w:fldChar w:fldCharType="end"/>
      </w:r>
      <w:bookmarkStart w:id="0" w:name="_Toc4873"/>
      <w:r>
        <w:rPr>
          <w:rFonts w:ascii="宋体" w:hAnsi="宋体"/>
          <w:bCs/>
          <w:sz w:val="21"/>
          <w:szCs w:val="21"/>
        </w:rPr>
        <w:br w:type="page"/>
      </w:r>
      <w:r>
        <w:rPr>
          <w:rFonts w:hint="eastAsia" w:ascii="宋体" w:hAnsi="宋体"/>
          <w:b/>
          <w:bCs/>
          <w:sz w:val="32"/>
          <w:szCs w:val="32"/>
        </w:rPr>
        <w:t>投标邀请</w:t>
      </w:r>
      <w:bookmarkEnd w:id="0"/>
    </w:p>
    <w:p>
      <w:pPr>
        <w:spacing w:line="440" w:lineRule="exact"/>
        <w:ind w:firstLine="525" w:firstLineChars="250"/>
        <w:jc w:val="left"/>
        <w:rPr>
          <w:rFonts w:ascii="宋体" w:hAnsi="宋体"/>
          <w:sz w:val="21"/>
          <w:szCs w:val="21"/>
        </w:rPr>
      </w:pPr>
      <w:r>
        <w:rPr>
          <w:rFonts w:hint="eastAsia" w:ascii="宋体" w:hAnsi="宋体"/>
          <w:sz w:val="21"/>
          <w:szCs w:val="21"/>
        </w:rPr>
        <w:t>广东志正招标有限公司受东莞市环境监测中心站的委托，对气相色谱-质谱联用仪离子色谱仪</w:t>
      </w:r>
      <w:r>
        <w:rPr>
          <w:rFonts w:hint="eastAsia" w:ascii="宋体" w:hAnsi="宋体"/>
          <w:sz w:val="21"/>
          <w:szCs w:val="21"/>
          <w:lang w:eastAsia="zh-CN"/>
        </w:rPr>
        <w:t>等仪器设备采购(重新采购)</w:t>
      </w:r>
      <w:r>
        <w:rPr>
          <w:rFonts w:hint="eastAsia" w:ascii="宋体" w:hAnsi="宋体"/>
          <w:sz w:val="21"/>
          <w:szCs w:val="21"/>
        </w:rPr>
        <w:t>进行公开招标采购，欢迎符合资格条件的供应商投标。</w:t>
      </w:r>
    </w:p>
    <w:p>
      <w:pPr>
        <w:numPr>
          <w:ilvl w:val="1"/>
          <w:numId w:val="1"/>
        </w:numPr>
        <w:spacing w:line="440" w:lineRule="exact"/>
        <w:ind w:left="748"/>
        <w:jc w:val="left"/>
        <w:rPr>
          <w:rFonts w:ascii="宋体" w:hAnsi="宋体" w:cs="宋体"/>
          <w:sz w:val="21"/>
          <w:szCs w:val="21"/>
        </w:rPr>
      </w:pPr>
      <w:r>
        <w:rPr>
          <w:rFonts w:hint="eastAsia" w:ascii="宋体" w:hAnsi="宋体" w:cs="宋体"/>
          <w:sz w:val="21"/>
          <w:szCs w:val="21"/>
        </w:rPr>
        <w:t>采购项目编号：</w:t>
      </w:r>
      <w:r>
        <w:rPr>
          <w:rFonts w:hint="eastAsia" w:ascii="宋体" w:hAnsi="宋体"/>
          <w:sz w:val="21"/>
          <w:szCs w:val="21"/>
        </w:rPr>
        <w:t>441900-201905-0007004001-0003</w:t>
      </w:r>
    </w:p>
    <w:p>
      <w:pPr>
        <w:numPr>
          <w:ilvl w:val="1"/>
          <w:numId w:val="1"/>
        </w:numPr>
        <w:tabs>
          <w:tab w:val="left" w:pos="567"/>
        </w:tabs>
        <w:spacing w:line="440" w:lineRule="exact"/>
        <w:ind w:left="748"/>
        <w:jc w:val="left"/>
        <w:rPr>
          <w:rFonts w:ascii="宋体" w:hAnsi="宋体" w:cs="宋体"/>
          <w:sz w:val="21"/>
          <w:szCs w:val="21"/>
        </w:rPr>
      </w:pPr>
      <w:r>
        <w:rPr>
          <w:rFonts w:hint="eastAsia" w:ascii="宋体" w:hAnsi="宋体" w:cs="宋体"/>
          <w:sz w:val="21"/>
          <w:szCs w:val="21"/>
        </w:rPr>
        <w:t>采购项目名称：气相色谱-质谱联用仪离子色谱仪</w:t>
      </w:r>
      <w:r>
        <w:rPr>
          <w:rFonts w:hint="eastAsia" w:ascii="宋体" w:hAnsi="宋体" w:cs="宋体"/>
          <w:sz w:val="21"/>
          <w:szCs w:val="21"/>
          <w:lang w:eastAsia="zh-CN"/>
        </w:rPr>
        <w:t>等仪器设备采购(重新采购)</w:t>
      </w:r>
    </w:p>
    <w:p>
      <w:pPr>
        <w:numPr>
          <w:ilvl w:val="1"/>
          <w:numId w:val="1"/>
        </w:numPr>
        <w:tabs>
          <w:tab w:val="left" w:pos="567"/>
        </w:tabs>
        <w:spacing w:line="440" w:lineRule="exact"/>
        <w:jc w:val="left"/>
        <w:rPr>
          <w:rFonts w:ascii="宋体" w:hAnsi="宋体" w:cs="宋体"/>
          <w:sz w:val="21"/>
          <w:szCs w:val="21"/>
        </w:rPr>
      </w:pPr>
      <w:r>
        <w:rPr>
          <w:rFonts w:hint="eastAsia" w:ascii="宋体" w:hAnsi="宋体" w:cs="宋体"/>
          <w:sz w:val="21"/>
          <w:szCs w:val="21"/>
        </w:rPr>
        <w:t>采购项目预算金额（元）：人民币2,318,000.00元</w:t>
      </w:r>
    </w:p>
    <w:p>
      <w:pPr>
        <w:numPr>
          <w:ilvl w:val="1"/>
          <w:numId w:val="1"/>
        </w:numPr>
        <w:tabs>
          <w:tab w:val="left" w:pos="567"/>
        </w:tabs>
        <w:spacing w:line="440" w:lineRule="exact"/>
        <w:ind w:left="748"/>
        <w:jc w:val="left"/>
        <w:rPr>
          <w:rFonts w:ascii="宋体" w:hAnsi="宋体" w:cs="宋体"/>
          <w:sz w:val="21"/>
          <w:szCs w:val="21"/>
        </w:rPr>
      </w:pPr>
      <w:r>
        <w:rPr>
          <w:rFonts w:hint="eastAsia" w:ascii="宋体" w:hAnsi="宋体" w:cs="宋体"/>
          <w:sz w:val="21"/>
          <w:szCs w:val="21"/>
        </w:rPr>
        <w:t>采购数量： 1</w:t>
      </w:r>
    </w:p>
    <w:p>
      <w:pPr>
        <w:numPr>
          <w:ilvl w:val="1"/>
          <w:numId w:val="1"/>
        </w:numPr>
        <w:tabs>
          <w:tab w:val="left" w:pos="567"/>
        </w:tabs>
        <w:spacing w:line="440" w:lineRule="exact"/>
        <w:ind w:left="748"/>
        <w:jc w:val="left"/>
        <w:rPr>
          <w:rFonts w:ascii="宋体" w:hAnsi="宋体"/>
          <w:bCs/>
          <w:sz w:val="21"/>
          <w:szCs w:val="21"/>
        </w:rPr>
      </w:pPr>
      <w:r>
        <w:rPr>
          <w:rFonts w:hint="eastAsia" w:ascii="宋体" w:hAnsi="宋体" w:cs="宋体"/>
          <w:sz w:val="21"/>
          <w:szCs w:val="21"/>
        </w:rPr>
        <w:t>项目内容</w:t>
      </w:r>
      <w:r>
        <w:rPr>
          <w:rFonts w:hint="eastAsia" w:ascii="宋体" w:hAnsi="宋体"/>
          <w:bCs/>
          <w:sz w:val="21"/>
          <w:szCs w:val="21"/>
        </w:rPr>
        <w:t>及要求：（采购项目技术规格、参数及要求，需要落实的政府采购政策）</w:t>
      </w:r>
    </w:p>
    <w:tbl>
      <w:tblPr>
        <w:tblStyle w:val="46"/>
        <w:tblW w:w="89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8976" w:type="dxa"/>
            <w:vAlign w:val="center"/>
          </w:tcPr>
          <w:p>
            <w:pPr>
              <w:tabs>
                <w:tab w:val="left" w:pos="360"/>
              </w:tabs>
              <w:spacing w:line="440" w:lineRule="exact"/>
              <w:jc w:val="center"/>
              <w:rPr>
                <w:rFonts w:ascii="宋体" w:hAnsi="宋体" w:cs="宋体"/>
                <w:b/>
                <w:sz w:val="21"/>
                <w:szCs w:val="21"/>
              </w:rPr>
            </w:pPr>
            <w:r>
              <w:rPr>
                <w:rFonts w:hint="eastAsia" w:ascii="宋体" w:hAnsi="宋体" w:cs="宋体"/>
                <w:b/>
                <w:sz w:val="21"/>
                <w:szCs w:val="21"/>
              </w:rPr>
              <w:t>采购内容/用途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976" w:type="dxa"/>
            <w:vAlign w:val="center"/>
          </w:tcPr>
          <w:p>
            <w:pPr>
              <w:tabs>
                <w:tab w:val="left" w:pos="360"/>
              </w:tabs>
              <w:spacing w:line="440" w:lineRule="exact"/>
              <w:jc w:val="center"/>
              <w:rPr>
                <w:rFonts w:ascii="宋体" w:hAnsi="宋体" w:cs="宋体"/>
                <w:sz w:val="21"/>
                <w:szCs w:val="21"/>
              </w:rPr>
            </w:pPr>
            <w:r>
              <w:rPr>
                <w:rFonts w:hint="eastAsia" w:ascii="宋体" w:hAnsi="宋体" w:cs="宋体"/>
                <w:sz w:val="21"/>
                <w:szCs w:val="21"/>
              </w:rPr>
              <w:t>气相色谱-质谱联用仪离子色谱仪等仪器设备采购供货、安装调试及提供售后服务。</w:t>
            </w:r>
          </w:p>
        </w:tc>
      </w:tr>
    </w:tbl>
    <w:p>
      <w:pPr>
        <w:tabs>
          <w:tab w:val="left" w:pos="360"/>
        </w:tabs>
        <w:spacing w:line="440" w:lineRule="exact"/>
        <w:ind w:left="181"/>
        <w:jc w:val="left"/>
        <w:rPr>
          <w:rFonts w:ascii="宋体" w:hAnsi="宋体" w:cs="宋体"/>
          <w:sz w:val="21"/>
          <w:szCs w:val="21"/>
        </w:rPr>
      </w:pPr>
      <w:r>
        <w:rPr>
          <w:rFonts w:hint="eastAsia" w:ascii="宋体" w:hAnsi="宋体" w:cs="宋体"/>
          <w:sz w:val="21"/>
          <w:szCs w:val="21"/>
        </w:rPr>
        <w:t>备注：</w:t>
      </w:r>
    </w:p>
    <w:p>
      <w:pPr>
        <w:numPr>
          <w:ilvl w:val="1"/>
          <w:numId w:val="7"/>
        </w:numPr>
        <w:tabs>
          <w:tab w:val="left" w:pos="360"/>
          <w:tab w:val="left" w:pos="709"/>
          <w:tab w:val="clear" w:pos="992"/>
        </w:tabs>
        <w:spacing w:line="440" w:lineRule="exact"/>
        <w:ind w:left="709" w:hanging="284"/>
        <w:jc w:val="left"/>
        <w:rPr>
          <w:rFonts w:ascii="宋体" w:hAnsi="宋体" w:cs="宋体"/>
          <w:sz w:val="21"/>
          <w:szCs w:val="21"/>
        </w:rPr>
      </w:pPr>
      <w:r>
        <w:rPr>
          <w:rFonts w:hint="eastAsia" w:ascii="宋体" w:hAnsi="宋体" w:cs="宋体"/>
          <w:sz w:val="21"/>
          <w:szCs w:val="21"/>
        </w:rPr>
        <w:t>招标项目的详细内容及技术参数、执行标准：详见“招标需求”部分。</w:t>
      </w:r>
    </w:p>
    <w:p>
      <w:pPr>
        <w:numPr>
          <w:ilvl w:val="1"/>
          <w:numId w:val="7"/>
        </w:numPr>
        <w:tabs>
          <w:tab w:val="left" w:pos="360"/>
          <w:tab w:val="left" w:pos="709"/>
          <w:tab w:val="clear" w:pos="992"/>
        </w:tabs>
        <w:spacing w:line="440" w:lineRule="exact"/>
        <w:ind w:left="709" w:hanging="284"/>
        <w:jc w:val="left"/>
        <w:rPr>
          <w:rFonts w:ascii="宋体" w:hAnsi="宋体" w:cs="宋体"/>
          <w:sz w:val="21"/>
          <w:szCs w:val="21"/>
        </w:rPr>
      </w:pPr>
      <w:r>
        <w:rPr>
          <w:rFonts w:ascii="宋体" w:hAnsi="宋体" w:cs="宋体"/>
          <w:sz w:val="21"/>
          <w:szCs w:val="21"/>
        </w:rPr>
        <w:t>投标人应对项目所有的内容进行投标，不允许只对其中部分内容进行投标。</w:t>
      </w:r>
    </w:p>
    <w:p>
      <w:pPr>
        <w:numPr>
          <w:ilvl w:val="1"/>
          <w:numId w:val="7"/>
        </w:numPr>
        <w:tabs>
          <w:tab w:val="left" w:pos="360"/>
          <w:tab w:val="left" w:pos="709"/>
          <w:tab w:val="clear" w:pos="992"/>
        </w:tabs>
        <w:spacing w:line="440" w:lineRule="exact"/>
        <w:ind w:left="709" w:hanging="284"/>
        <w:jc w:val="left"/>
        <w:rPr>
          <w:rFonts w:ascii="宋体" w:hAnsi="宋体" w:cs="宋体"/>
          <w:sz w:val="21"/>
          <w:szCs w:val="21"/>
        </w:rPr>
      </w:pPr>
      <w:r>
        <w:rPr>
          <w:rFonts w:hint="eastAsia" w:ascii="宋体" w:hAnsi="宋体" w:cs="宋体"/>
          <w:sz w:val="21"/>
          <w:szCs w:val="21"/>
        </w:rPr>
        <w:t>需要落实的政府采购政策：《政府采购促进中小企业发展暂行办法》（财库[2011]181号）、《关于政府采购支持监狱企业发展有关问题的通知》(财库[2014]68号)、</w:t>
      </w:r>
      <w:r>
        <w:rPr>
          <w:rFonts w:hint="eastAsia" w:ascii="宋体" w:hAnsi="宋体"/>
          <w:sz w:val="21"/>
          <w:szCs w:val="21"/>
        </w:rPr>
        <w:t>《</w:t>
      </w:r>
      <w:r>
        <w:rPr>
          <w:rFonts w:ascii="宋体" w:hAnsi="宋体"/>
          <w:sz w:val="21"/>
          <w:szCs w:val="21"/>
        </w:rPr>
        <w:t>三部门联合发布关于促进残疾人就业政府采购政策的通知</w:t>
      </w:r>
      <w:r>
        <w:rPr>
          <w:rFonts w:hint="eastAsia" w:ascii="宋体" w:hAnsi="宋体"/>
          <w:sz w:val="21"/>
          <w:szCs w:val="21"/>
        </w:rPr>
        <w:t>》（财库〔2017〕141号）、</w:t>
      </w:r>
      <w:r>
        <w:rPr>
          <w:rFonts w:hint="eastAsia" w:ascii="宋体" w:hAnsi="宋体" w:cs="宋体"/>
          <w:sz w:val="21"/>
          <w:szCs w:val="21"/>
        </w:rPr>
        <w:t>《关于环境标志产品政府采购实施的意见》（财库〔2006〕90号、《节能产品政府采购实施意见》的通知（财库〔2004〕185号）。</w:t>
      </w:r>
    </w:p>
    <w:p>
      <w:pPr>
        <w:numPr>
          <w:ilvl w:val="1"/>
          <w:numId w:val="7"/>
        </w:numPr>
        <w:tabs>
          <w:tab w:val="left" w:pos="360"/>
          <w:tab w:val="left" w:pos="709"/>
          <w:tab w:val="clear" w:pos="992"/>
        </w:tabs>
        <w:spacing w:line="440" w:lineRule="exact"/>
        <w:ind w:left="709" w:hanging="284"/>
        <w:jc w:val="left"/>
        <w:rPr>
          <w:rFonts w:ascii="宋体" w:hAnsi="宋体" w:cs="宋体"/>
          <w:sz w:val="21"/>
          <w:szCs w:val="21"/>
        </w:rPr>
      </w:pPr>
      <w:r>
        <w:rPr>
          <w:rFonts w:hint="eastAsia" w:ascii="宋体" w:hAnsi="宋体" w:cs="宋体"/>
          <w:sz w:val="21"/>
          <w:szCs w:val="21"/>
        </w:rPr>
        <w:t>本项目属于政府采购项目。</w:t>
      </w:r>
    </w:p>
    <w:p>
      <w:pPr>
        <w:numPr>
          <w:ilvl w:val="1"/>
          <w:numId w:val="7"/>
        </w:numPr>
        <w:tabs>
          <w:tab w:val="left" w:pos="360"/>
          <w:tab w:val="left" w:pos="709"/>
          <w:tab w:val="clear" w:pos="992"/>
        </w:tabs>
        <w:spacing w:line="440" w:lineRule="exact"/>
        <w:ind w:left="709" w:hanging="284"/>
        <w:jc w:val="left"/>
        <w:rPr>
          <w:rFonts w:ascii="宋体" w:hAnsi="宋体" w:cs="宋体"/>
          <w:sz w:val="21"/>
          <w:szCs w:val="21"/>
        </w:rPr>
      </w:pPr>
      <w:r>
        <w:rPr>
          <w:rFonts w:hint="eastAsia" w:ascii="宋体" w:hAnsi="宋体" w:cs="宋体"/>
          <w:sz w:val="21"/>
          <w:szCs w:val="21"/>
        </w:rPr>
        <w:t>监管部门：东莞市政府采购监管科。</w:t>
      </w:r>
    </w:p>
    <w:p>
      <w:pPr>
        <w:numPr>
          <w:ilvl w:val="1"/>
          <w:numId w:val="1"/>
        </w:numPr>
        <w:tabs>
          <w:tab w:val="left" w:pos="567"/>
        </w:tabs>
        <w:spacing w:line="440" w:lineRule="exact"/>
        <w:ind w:left="748"/>
        <w:jc w:val="left"/>
        <w:rPr>
          <w:rFonts w:ascii="宋体" w:hAnsi="宋体"/>
          <w:bCs/>
          <w:sz w:val="21"/>
          <w:szCs w:val="21"/>
        </w:rPr>
      </w:pPr>
      <w:r>
        <w:rPr>
          <w:rFonts w:hint="eastAsia" w:ascii="宋体" w:hAnsi="宋体" w:cs="宋体"/>
          <w:sz w:val="21"/>
          <w:szCs w:val="21"/>
        </w:rPr>
        <w:t>供应商资格：</w:t>
      </w:r>
    </w:p>
    <w:p>
      <w:pPr>
        <w:numPr>
          <w:ilvl w:val="1"/>
          <w:numId w:val="9"/>
        </w:numPr>
        <w:tabs>
          <w:tab w:val="left" w:pos="709"/>
          <w:tab w:val="clear" w:pos="1060"/>
        </w:tabs>
        <w:spacing w:line="440" w:lineRule="exact"/>
        <w:ind w:left="709" w:hanging="283"/>
        <w:jc w:val="left"/>
        <w:rPr>
          <w:rFonts w:ascii="宋体" w:hAnsi="宋体" w:cs="宋体"/>
          <w:sz w:val="21"/>
          <w:szCs w:val="21"/>
        </w:rPr>
      </w:pPr>
      <w:r>
        <w:rPr>
          <w:rFonts w:hint="eastAsia" w:ascii="宋体" w:hAnsi="宋体" w:cs="宋体"/>
          <w:sz w:val="21"/>
          <w:szCs w:val="21"/>
        </w:rPr>
        <w:t>应具备《中华人民共和国政府采购法》第二十二条规定的条件：</w:t>
      </w:r>
    </w:p>
    <w:p>
      <w:pPr>
        <w:tabs>
          <w:tab w:val="left" w:pos="709"/>
        </w:tabs>
        <w:spacing w:line="440" w:lineRule="exact"/>
        <w:ind w:left="710"/>
        <w:jc w:val="left"/>
        <w:rPr>
          <w:rFonts w:ascii="宋体" w:hAnsi="宋体" w:cs="宋体"/>
          <w:sz w:val="21"/>
          <w:szCs w:val="21"/>
        </w:rPr>
      </w:pPr>
      <w:r>
        <w:rPr>
          <w:rFonts w:hint="eastAsia" w:ascii="宋体" w:hAnsi="宋体" w:cs="宋体"/>
          <w:sz w:val="21"/>
          <w:szCs w:val="21"/>
        </w:rPr>
        <w:t>1）具有独立承担民事责任的能力；</w:t>
      </w:r>
    </w:p>
    <w:p>
      <w:pPr>
        <w:tabs>
          <w:tab w:val="left" w:pos="709"/>
        </w:tabs>
        <w:spacing w:line="440" w:lineRule="exact"/>
        <w:ind w:left="710"/>
        <w:jc w:val="left"/>
        <w:rPr>
          <w:rFonts w:ascii="宋体" w:hAnsi="宋体" w:cs="宋体"/>
          <w:sz w:val="21"/>
          <w:szCs w:val="21"/>
        </w:rPr>
      </w:pPr>
      <w:r>
        <w:rPr>
          <w:rFonts w:hint="eastAsia" w:ascii="宋体" w:hAnsi="宋体" w:cs="宋体"/>
          <w:sz w:val="21"/>
          <w:szCs w:val="21"/>
        </w:rPr>
        <w:t>2）具有良好的商业信誉和健全的财务会计制度；</w:t>
      </w:r>
    </w:p>
    <w:p>
      <w:pPr>
        <w:tabs>
          <w:tab w:val="left" w:pos="709"/>
        </w:tabs>
        <w:spacing w:line="440" w:lineRule="exact"/>
        <w:ind w:left="710"/>
        <w:jc w:val="left"/>
        <w:rPr>
          <w:rFonts w:ascii="宋体" w:hAnsi="宋体" w:cs="宋体"/>
          <w:sz w:val="21"/>
          <w:szCs w:val="21"/>
        </w:rPr>
      </w:pPr>
      <w:r>
        <w:rPr>
          <w:rFonts w:hint="eastAsia" w:ascii="宋体" w:hAnsi="宋体" w:cs="宋体"/>
          <w:sz w:val="21"/>
          <w:szCs w:val="21"/>
        </w:rPr>
        <w:t>3）具有履行合同所必需的设备和专业技术能力；</w:t>
      </w:r>
    </w:p>
    <w:p>
      <w:pPr>
        <w:tabs>
          <w:tab w:val="left" w:pos="709"/>
        </w:tabs>
        <w:spacing w:line="440" w:lineRule="exact"/>
        <w:ind w:left="710"/>
        <w:jc w:val="left"/>
        <w:rPr>
          <w:rFonts w:ascii="宋体" w:hAnsi="宋体" w:cs="宋体"/>
          <w:sz w:val="21"/>
          <w:szCs w:val="21"/>
        </w:rPr>
      </w:pPr>
      <w:r>
        <w:rPr>
          <w:rFonts w:hint="eastAsia" w:ascii="宋体" w:hAnsi="宋体" w:cs="宋体"/>
          <w:sz w:val="21"/>
          <w:szCs w:val="21"/>
        </w:rPr>
        <w:t>4）有依法缴纳税收和社会保障资金的良好记录；</w:t>
      </w:r>
    </w:p>
    <w:p>
      <w:pPr>
        <w:tabs>
          <w:tab w:val="left" w:pos="709"/>
        </w:tabs>
        <w:spacing w:line="440" w:lineRule="exact"/>
        <w:ind w:left="710"/>
        <w:jc w:val="left"/>
        <w:rPr>
          <w:rFonts w:ascii="宋体" w:hAnsi="宋体" w:cs="宋体"/>
          <w:sz w:val="21"/>
          <w:szCs w:val="21"/>
        </w:rPr>
      </w:pPr>
      <w:r>
        <w:rPr>
          <w:rFonts w:hint="eastAsia" w:ascii="宋体" w:hAnsi="宋体" w:cs="宋体"/>
          <w:sz w:val="21"/>
          <w:szCs w:val="21"/>
        </w:rPr>
        <w:t xml:space="preserve">5）参加政府采购活动前三年内，在经营活动中没有重大违法记录；（具体详见 </w:t>
      </w:r>
      <w:r>
        <w:rPr>
          <w:rFonts w:hint="eastAsia" w:ascii="宋体" w:hAnsi="宋体"/>
          <w:sz w:val="21"/>
          <w:szCs w:val="21"/>
        </w:rPr>
        <w:t>资格声明函</w:t>
      </w:r>
      <w:r>
        <w:rPr>
          <w:rFonts w:hint="eastAsia" w:ascii="宋体" w:hAnsi="宋体" w:cs="宋体"/>
          <w:sz w:val="21"/>
          <w:szCs w:val="21"/>
        </w:rPr>
        <w:t>）</w:t>
      </w:r>
    </w:p>
    <w:p>
      <w:pPr>
        <w:tabs>
          <w:tab w:val="left" w:pos="709"/>
        </w:tabs>
        <w:spacing w:line="440" w:lineRule="exact"/>
        <w:ind w:left="710"/>
        <w:jc w:val="left"/>
        <w:rPr>
          <w:rFonts w:ascii="宋体" w:hAnsi="宋体" w:cs="宋体"/>
          <w:sz w:val="21"/>
          <w:szCs w:val="21"/>
        </w:rPr>
      </w:pPr>
      <w:r>
        <w:rPr>
          <w:rFonts w:hint="eastAsia" w:ascii="宋体" w:hAnsi="宋体" w:cs="宋体"/>
          <w:sz w:val="21"/>
          <w:szCs w:val="21"/>
        </w:rPr>
        <w:t>6）法律、行政法规规定的其他条件。</w:t>
      </w:r>
    </w:p>
    <w:p>
      <w:pPr>
        <w:numPr>
          <w:ilvl w:val="1"/>
          <w:numId w:val="9"/>
        </w:numPr>
        <w:tabs>
          <w:tab w:val="left" w:pos="709"/>
          <w:tab w:val="clear" w:pos="1060"/>
        </w:tabs>
        <w:spacing w:line="440" w:lineRule="exact"/>
        <w:ind w:left="709" w:hanging="283"/>
        <w:jc w:val="left"/>
        <w:rPr>
          <w:rFonts w:ascii="宋体" w:hAnsi="宋体" w:cs="宋体"/>
          <w:sz w:val="21"/>
          <w:szCs w:val="21"/>
        </w:rPr>
      </w:pPr>
      <w:r>
        <w:rPr>
          <w:rFonts w:hint="eastAsia" w:ascii="宋体" w:hAnsi="宋体" w:cs="宋体"/>
          <w:sz w:val="21"/>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http://www.ccgp.gov.cn/）查询结果为准，如相关失信记录已失效，供应商需提供相关证明资料）。</w:t>
      </w:r>
    </w:p>
    <w:p>
      <w:pPr>
        <w:numPr>
          <w:ilvl w:val="1"/>
          <w:numId w:val="9"/>
        </w:numPr>
        <w:tabs>
          <w:tab w:val="left" w:pos="709"/>
          <w:tab w:val="clear" w:pos="1060"/>
        </w:tabs>
        <w:spacing w:line="440" w:lineRule="exact"/>
        <w:ind w:left="709" w:hanging="283"/>
        <w:jc w:val="left"/>
        <w:rPr>
          <w:rFonts w:ascii="宋体" w:hAnsi="宋体" w:cs="宋体"/>
          <w:sz w:val="21"/>
          <w:szCs w:val="21"/>
        </w:rPr>
      </w:pPr>
      <w:r>
        <w:rPr>
          <w:rFonts w:ascii="宋体" w:hAnsi="宋体" w:cs="宋体"/>
          <w:sz w:val="21"/>
          <w:szCs w:val="21"/>
        </w:rPr>
        <w:t>本项目只接受报名并购买了招标文件的单位提交的投标文件</w:t>
      </w:r>
      <w:r>
        <w:rPr>
          <w:rFonts w:hint="eastAsia" w:ascii="宋体" w:hAnsi="宋体" w:cs="宋体"/>
          <w:sz w:val="21"/>
          <w:szCs w:val="21"/>
        </w:rPr>
        <w:t>；</w:t>
      </w:r>
    </w:p>
    <w:p>
      <w:pPr>
        <w:numPr>
          <w:ilvl w:val="1"/>
          <w:numId w:val="9"/>
        </w:numPr>
        <w:tabs>
          <w:tab w:val="left" w:pos="709"/>
          <w:tab w:val="clear" w:pos="1060"/>
        </w:tabs>
        <w:spacing w:line="440" w:lineRule="exact"/>
        <w:ind w:left="709" w:hanging="283"/>
        <w:jc w:val="left"/>
        <w:rPr>
          <w:rFonts w:ascii="宋体" w:hAnsi="宋体" w:cs="宋体"/>
          <w:sz w:val="21"/>
          <w:szCs w:val="21"/>
        </w:rPr>
      </w:pPr>
      <w:r>
        <w:rPr>
          <w:rFonts w:hint="eastAsia" w:ascii="宋体" w:hAnsi="宋体" w:cs="宋体"/>
          <w:sz w:val="21"/>
          <w:szCs w:val="21"/>
        </w:rPr>
        <w:t>本项目不接受联合体投标。</w:t>
      </w:r>
    </w:p>
    <w:p>
      <w:pPr>
        <w:numPr>
          <w:ilvl w:val="1"/>
          <w:numId w:val="1"/>
        </w:numPr>
        <w:tabs>
          <w:tab w:val="left" w:pos="567"/>
        </w:tabs>
        <w:spacing w:line="440" w:lineRule="exact"/>
        <w:ind w:left="748"/>
        <w:jc w:val="left"/>
        <w:rPr>
          <w:rFonts w:ascii="宋体" w:hAnsi="宋体" w:cs="宋体"/>
          <w:sz w:val="21"/>
          <w:szCs w:val="21"/>
        </w:rPr>
      </w:pPr>
      <w:r>
        <w:rPr>
          <w:rFonts w:ascii="宋体" w:hAnsi="宋体"/>
          <w:sz w:val="21"/>
          <w:szCs w:val="21"/>
        </w:rPr>
        <w:t>项目报名及</w:t>
      </w:r>
      <w:r>
        <w:rPr>
          <w:rFonts w:hint="eastAsia" w:ascii="宋体" w:hAnsi="宋体"/>
          <w:sz w:val="21"/>
          <w:szCs w:val="21"/>
        </w:rPr>
        <w:t>获取招标文件方式</w:t>
      </w:r>
      <w:r>
        <w:rPr>
          <w:rFonts w:hint="eastAsia" w:ascii="宋体" w:hAnsi="宋体" w:cs="宋体"/>
          <w:sz w:val="21"/>
          <w:szCs w:val="21"/>
        </w:rPr>
        <w:t>：现场购买，原件核查的项目须到现场办理。投标人代表需携带以下资料购买招标文件：</w:t>
      </w:r>
    </w:p>
    <w:p>
      <w:pPr>
        <w:numPr>
          <w:ilvl w:val="1"/>
          <w:numId w:val="10"/>
        </w:numPr>
        <w:tabs>
          <w:tab w:val="left" w:pos="709"/>
          <w:tab w:val="left" w:pos="786"/>
          <w:tab w:val="clear" w:pos="1060"/>
        </w:tabs>
        <w:spacing w:line="440" w:lineRule="exact"/>
        <w:ind w:left="709" w:hanging="283"/>
        <w:rPr>
          <w:rFonts w:ascii="宋体" w:hAnsi="宋体" w:cs="宋体"/>
          <w:sz w:val="21"/>
          <w:szCs w:val="21"/>
        </w:rPr>
      </w:pPr>
      <w:r>
        <w:rPr>
          <w:rFonts w:hint="eastAsia" w:ascii="宋体" w:hAnsi="宋体" w:cs="宋体"/>
          <w:sz w:val="21"/>
          <w:szCs w:val="21"/>
        </w:rPr>
        <w:t>投标人营业执照（事业单位法人证书或法人登记证）副本复印件、组织机构代码证复印件，以上资料均需加盖投标人公章。对已领取“三证合一”的法人证照的单位无需提供组织机构代码证。</w:t>
      </w:r>
    </w:p>
    <w:p>
      <w:pPr>
        <w:tabs>
          <w:tab w:val="left" w:pos="709"/>
        </w:tabs>
        <w:spacing w:line="440" w:lineRule="exact"/>
        <w:ind w:left="700"/>
        <w:jc w:val="left"/>
        <w:rPr>
          <w:rFonts w:ascii="宋体" w:hAnsi="宋体" w:cs="宋体"/>
          <w:b/>
          <w:sz w:val="21"/>
          <w:szCs w:val="21"/>
        </w:rPr>
      </w:pPr>
      <w:r>
        <w:rPr>
          <w:rFonts w:hint="eastAsia" w:ascii="宋体" w:hAnsi="宋体" w:cs="宋体"/>
          <w:b/>
          <w:sz w:val="21"/>
          <w:szCs w:val="21"/>
        </w:rPr>
        <w:t>注：报名资料参与正式投标时须放入投标文件中；对报名供应商资格要求的合格性由负责本项目投标人资格审查的人员在审查时进行评判和论断。</w:t>
      </w:r>
    </w:p>
    <w:p>
      <w:pPr>
        <w:numPr>
          <w:ilvl w:val="1"/>
          <w:numId w:val="1"/>
        </w:numPr>
        <w:tabs>
          <w:tab w:val="left" w:pos="360"/>
        </w:tabs>
        <w:spacing w:line="440" w:lineRule="exact"/>
        <w:ind w:left="748"/>
        <w:jc w:val="left"/>
        <w:rPr>
          <w:rFonts w:ascii="宋体" w:hAnsi="宋体" w:cs="宋体"/>
          <w:kern w:val="0"/>
        </w:rPr>
      </w:pPr>
      <w:r>
        <w:rPr>
          <w:rFonts w:ascii="宋体" w:hAnsi="宋体" w:cs="宋体"/>
          <w:sz w:val="21"/>
          <w:szCs w:val="21"/>
        </w:rPr>
        <w:t>政府采购活动供应商</w:t>
      </w:r>
      <w:r>
        <w:rPr>
          <w:rFonts w:hint="eastAsia" w:ascii="宋体" w:hAnsi="宋体" w:cs="宋体"/>
          <w:sz w:val="21"/>
          <w:szCs w:val="21"/>
        </w:rPr>
        <w:t>登记注册要求：</w:t>
      </w:r>
    </w:p>
    <w:p>
      <w:pPr>
        <w:numPr>
          <w:ilvl w:val="1"/>
          <w:numId w:val="3"/>
        </w:numPr>
        <w:tabs>
          <w:tab w:val="left" w:pos="709"/>
          <w:tab w:val="clear" w:pos="1060"/>
        </w:tabs>
        <w:spacing w:line="440" w:lineRule="exact"/>
        <w:ind w:left="709" w:hanging="283"/>
        <w:rPr>
          <w:rFonts w:ascii="宋体" w:hAnsi="宋体" w:cs="宋体"/>
          <w:sz w:val="21"/>
          <w:szCs w:val="21"/>
        </w:rPr>
      </w:pPr>
      <w:r>
        <w:rPr>
          <w:rFonts w:hint="eastAsia" w:ascii="宋体" w:hAnsi="宋体" w:cs="宋体"/>
          <w:sz w:val="21"/>
          <w:szCs w:val="21"/>
        </w:rPr>
        <w:t xml:space="preserve">凡参与我市政府采购活动的供应商，应自行通过东莞市政府采购网（ http://czj.dg.gov.cn/dggp）或东莞市公共资源交易网（ http://ggzy.dg.gov.cn）进行建档入库，已在市公共资源交易中心入库（企业身份为“政府采购类”）的除外。入库路径：1.东莞市政府采购网-供应商注册；2.东莞市公共资源交易网-企业信息登记-公共资源交易企业库。 </w:t>
      </w:r>
    </w:p>
    <w:p>
      <w:pPr>
        <w:numPr>
          <w:ilvl w:val="1"/>
          <w:numId w:val="3"/>
        </w:numPr>
        <w:tabs>
          <w:tab w:val="left" w:pos="709"/>
          <w:tab w:val="clear" w:pos="1060"/>
        </w:tabs>
        <w:spacing w:line="440" w:lineRule="exact"/>
        <w:ind w:left="709" w:hanging="283"/>
        <w:rPr>
          <w:rFonts w:ascii="宋体" w:hAnsi="宋体" w:cs="宋体"/>
          <w:sz w:val="21"/>
          <w:szCs w:val="21"/>
        </w:rPr>
      </w:pPr>
      <w:r>
        <w:rPr>
          <w:rFonts w:hint="eastAsia" w:ascii="宋体" w:hAnsi="宋体" w:cs="宋体"/>
          <w:sz w:val="21"/>
          <w:szCs w:val="21"/>
        </w:rPr>
        <w:t>各供应商在入库过程中遇到问题的，请及时与市公共资源交易中心联系。入库信息管理联系人：杨琳,联系电话：0769-28330677，系统技术人员：姚会奇，联系电话：0769-28330604。</w:t>
      </w:r>
    </w:p>
    <w:p>
      <w:pPr>
        <w:numPr>
          <w:ilvl w:val="1"/>
          <w:numId w:val="3"/>
        </w:numPr>
        <w:tabs>
          <w:tab w:val="left" w:pos="709"/>
          <w:tab w:val="clear" w:pos="1060"/>
        </w:tabs>
        <w:spacing w:line="440" w:lineRule="exact"/>
        <w:ind w:left="709" w:hanging="283"/>
        <w:rPr>
          <w:rFonts w:ascii="宋体" w:hAnsi="宋体" w:cs="宋体"/>
          <w:sz w:val="21"/>
          <w:szCs w:val="21"/>
        </w:rPr>
      </w:pPr>
      <w:r>
        <w:rPr>
          <w:rFonts w:ascii="宋体" w:hAnsi="宋体" w:cs="宋体"/>
          <w:sz w:val="21"/>
          <w:szCs w:val="21"/>
        </w:rPr>
        <w:t>供应商如未在省采购系统注册的仍然需要自行在省采购系统进行注册。</w:t>
      </w:r>
    </w:p>
    <w:p>
      <w:pPr>
        <w:numPr>
          <w:ilvl w:val="1"/>
          <w:numId w:val="3"/>
        </w:numPr>
        <w:tabs>
          <w:tab w:val="left" w:pos="709"/>
          <w:tab w:val="clear" w:pos="1060"/>
        </w:tabs>
        <w:spacing w:line="440" w:lineRule="exact"/>
        <w:ind w:left="709" w:hanging="283"/>
        <w:rPr>
          <w:rFonts w:ascii="宋体" w:hAnsi="宋体" w:cs="宋体"/>
          <w:sz w:val="21"/>
          <w:szCs w:val="21"/>
        </w:rPr>
      </w:pPr>
      <w:r>
        <w:rPr>
          <w:rFonts w:hint="eastAsia" w:ascii="宋体" w:hAnsi="宋体" w:cs="宋体"/>
          <w:sz w:val="21"/>
          <w:szCs w:val="21"/>
        </w:rPr>
        <w:t>供应商应确保在采购结果公示前（建议在递交投标文件前）完成我市采购系统和省采购系统注册。因供应商注册问题延误项目结果公示或造成省市网系统未同步的，最终以系统解决情况为准。</w:t>
      </w:r>
    </w:p>
    <w:p>
      <w:pPr>
        <w:numPr>
          <w:ilvl w:val="1"/>
          <w:numId w:val="1"/>
        </w:numPr>
        <w:tabs>
          <w:tab w:val="left" w:pos="360"/>
        </w:tabs>
        <w:spacing w:line="440" w:lineRule="exact"/>
        <w:ind w:left="748"/>
        <w:jc w:val="left"/>
        <w:rPr>
          <w:rFonts w:ascii="宋体" w:hAnsi="宋体"/>
          <w:sz w:val="21"/>
          <w:szCs w:val="21"/>
        </w:rPr>
      </w:pPr>
      <w:r>
        <w:rPr>
          <w:rFonts w:ascii="宋体" w:hAnsi="宋体"/>
          <w:sz w:val="21"/>
          <w:szCs w:val="21"/>
        </w:rPr>
        <w:t>本项目</w:t>
      </w:r>
      <w:r>
        <w:rPr>
          <w:rFonts w:hint="eastAsia" w:ascii="宋体" w:hAnsi="宋体"/>
          <w:sz w:val="21"/>
          <w:szCs w:val="21"/>
        </w:rPr>
        <w:t>招标</w:t>
      </w:r>
      <w:r>
        <w:rPr>
          <w:rFonts w:ascii="宋体" w:hAnsi="宋体"/>
          <w:sz w:val="21"/>
          <w:szCs w:val="21"/>
        </w:rPr>
        <w:t>文件公示时间为</w:t>
      </w:r>
      <w:r>
        <w:rPr>
          <w:rFonts w:hint="eastAsia" w:ascii="宋体" w:hAnsi="宋体"/>
          <w:sz w:val="21"/>
          <w:szCs w:val="21"/>
        </w:rPr>
        <w:t>:自2019年</w:t>
      </w:r>
      <w:r>
        <w:rPr>
          <w:rFonts w:hint="eastAsia" w:ascii="宋体" w:hAnsi="宋体"/>
          <w:sz w:val="21"/>
          <w:szCs w:val="21"/>
          <w:lang w:val="en-US" w:eastAsia="zh-CN"/>
        </w:rPr>
        <w:t>7</w:t>
      </w:r>
      <w:r>
        <w:rPr>
          <w:rFonts w:hint="eastAsia" w:ascii="宋体" w:hAnsi="宋体"/>
          <w:sz w:val="21"/>
          <w:szCs w:val="21"/>
        </w:rPr>
        <w:t>月</w:t>
      </w:r>
      <w:r>
        <w:rPr>
          <w:rFonts w:hint="eastAsia" w:ascii="宋体" w:hAnsi="宋体"/>
          <w:sz w:val="21"/>
          <w:szCs w:val="21"/>
          <w:lang w:val="en-US" w:eastAsia="zh-CN"/>
        </w:rPr>
        <w:t>10</w:t>
      </w:r>
      <w:r>
        <w:rPr>
          <w:rFonts w:hint="eastAsia" w:ascii="宋体" w:hAnsi="宋体"/>
          <w:sz w:val="21"/>
          <w:szCs w:val="21"/>
        </w:rPr>
        <w:t>日 至 2019年</w:t>
      </w:r>
      <w:r>
        <w:rPr>
          <w:rFonts w:hint="eastAsia" w:ascii="宋体" w:hAnsi="宋体"/>
          <w:sz w:val="21"/>
          <w:szCs w:val="21"/>
          <w:lang w:val="en-US" w:eastAsia="zh-CN"/>
        </w:rPr>
        <w:t>7</w:t>
      </w:r>
      <w:r>
        <w:rPr>
          <w:rFonts w:hint="eastAsia" w:ascii="宋体" w:hAnsi="宋体"/>
          <w:sz w:val="21"/>
          <w:szCs w:val="21"/>
        </w:rPr>
        <w:t>月</w:t>
      </w:r>
      <w:r>
        <w:rPr>
          <w:rFonts w:hint="eastAsia" w:ascii="宋体" w:hAnsi="宋体"/>
          <w:sz w:val="21"/>
          <w:szCs w:val="21"/>
          <w:lang w:val="en-US" w:eastAsia="zh-CN"/>
        </w:rPr>
        <w:t>17</w:t>
      </w:r>
      <w:r>
        <w:rPr>
          <w:rFonts w:hint="eastAsia" w:ascii="宋体" w:hAnsi="宋体"/>
          <w:sz w:val="21"/>
          <w:szCs w:val="21"/>
        </w:rPr>
        <w:t>日止。</w:t>
      </w:r>
    </w:p>
    <w:p>
      <w:pPr>
        <w:numPr>
          <w:ilvl w:val="1"/>
          <w:numId w:val="1"/>
        </w:numPr>
        <w:tabs>
          <w:tab w:val="left" w:pos="360"/>
        </w:tabs>
        <w:spacing w:line="440" w:lineRule="exact"/>
        <w:ind w:left="748"/>
        <w:jc w:val="left"/>
        <w:rPr>
          <w:rFonts w:ascii="宋体" w:hAnsi="宋体"/>
          <w:bCs/>
          <w:sz w:val="21"/>
          <w:szCs w:val="21"/>
        </w:rPr>
      </w:pPr>
      <w:r>
        <w:rPr>
          <w:rFonts w:hint="eastAsia" w:ascii="宋体" w:hAnsi="宋体"/>
          <w:bCs/>
          <w:sz w:val="21"/>
          <w:szCs w:val="21"/>
        </w:rPr>
        <w:t>符合资格的供应商应当在</w:t>
      </w:r>
      <w:r>
        <w:rPr>
          <w:rFonts w:hint="eastAsia" w:ascii="宋体" w:hAnsi="宋体"/>
          <w:sz w:val="21"/>
          <w:szCs w:val="21"/>
        </w:rPr>
        <w:t>2019年</w:t>
      </w:r>
      <w:r>
        <w:rPr>
          <w:rFonts w:hint="eastAsia" w:ascii="宋体" w:hAnsi="宋体"/>
          <w:sz w:val="21"/>
          <w:szCs w:val="21"/>
          <w:lang w:val="en-US" w:eastAsia="zh-CN"/>
        </w:rPr>
        <w:t>7</w:t>
      </w:r>
      <w:r>
        <w:rPr>
          <w:rFonts w:hint="eastAsia" w:ascii="宋体" w:hAnsi="宋体"/>
          <w:sz w:val="21"/>
          <w:szCs w:val="21"/>
        </w:rPr>
        <w:t>月</w:t>
      </w:r>
      <w:r>
        <w:rPr>
          <w:rFonts w:hint="eastAsia" w:ascii="宋体" w:hAnsi="宋体"/>
          <w:sz w:val="21"/>
          <w:szCs w:val="21"/>
          <w:lang w:val="en-US" w:eastAsia="zh-CN"/>
        </w:rPr>
        <w:t>10</w:t>
      </w:r>
      <w:r>
        <w:rPr>
          <w:rFonts w:hint="eastAsia" w:ascii="宋体" w:hAnsi="宋体"/>
          <w:sz w:val="21"/>
          <w:szCs w:val="21"/>
        </w:rPr>
        <w:t>日 至 2019年</w:t>
      </w:r>
      <w:r>
        <w:rPr>
          <w:rFonts w:hint="eastAsia" w:ascii="宋体" w:hAnsi="宋体"/>
          <w:sz w:val="21"/>
          <w:szCs w:val="21"/>
          <w:lang w:val="en-US" w:eastAsia="zh-CN"/>
        </w:rPr>
        <w:t>7</w:t>
      </w:r>
      <w:r>
        <w:rPr>
          <w:rFonts w:hint="eastAsia" w:ascii="宋体" w:hAnsi="宋体"/>
          <w:sz w:val="21"/>
          <w:szCs w:val="21"/>
        </w:rPr>
        <w:t>月</w:t>
      </w:r>
      <w:r>
        <w:rPr>
          <w:rFonts w:hint="eastAsia" w:ascii="宋体" w:hAnsi="宋体"/>
          <w:sz w:val="21"/>
          <w:szCs w:val="21"/>
          <w:lang w:val="en-US" w:eastAsia="zh-CN"/>
        </w:rPr>
        <w:t>17</w:t>
      </w:r>
      <w:r>
        <w:rPr>
          <w:rFonts w:hint="eastAsia" w:ascii="宋体" w:hAnsi="宋体"/>
          <w:sz w:val="21"/>
          <w:szCs w:val="21"/>
        </w:rPr>
        <w:t>日</w:t>
      </w:r>
      <w:r>
        <w:rPr>
          <w:rFonts w:hint="eastAsia" w:ascii="宋体" w:hAnsi="宋体"/>
          <w:bCs/>
          <w:sz w:val="21"/>
          <w:szCs w:val="21"/>
        </w:rPr>
        <w:t>期间（工作日上午9:30-12:00和下午14:00-17:00，法定节假日除外）到</w:t>
      </w:r>
      <w:r>
        <w:rPr>
          <w:rFonts w:hint="eastAsia" w:ascii="宋体" w:hAnsi="宋体"/>
          <w:bCs/>
          <w:sz w:val="21"/>
          <w:szCs w:val="21"/>
          <w:u w:val="single"/>
        </w:rPr>
        <w:t>广东志正招标有限公司东莞分公司</w:t>
      </w:r>
      <w:r>
        <w:rPr>
          <w:rFonts w:hint="eastAsia" w:ascii="宋体" w:hAnsi="宋体"/>
          <w:bCs/>
          <w:sz w:val="21"/>
          <w:szCs w:val="21"/>
        </w:rPr>
        <w:t>（详细地址：</w:t>
      </w:r>
      <w:r>
        <w:rPr>
          <w:rFonts w:hint="eastAsia" w:ascii="宋体" w:hAnsi="宋体"/>
          <w:bCs/>
          <w:sz w:val="21"/>
          <w:szCs w:val="21"/>
          <w:u w:val="single"/>
        </w:rPr>
        <w:t>广东省东莞市旗峰路190号城市花园商</w:t>
      </w:r>
      <w:bookmarkStart w:id="1" w:name="OLE_LINK2"/>
      <w:bookmarkStart w:id="2" w:name="OLE_LINK1"/>
      <w:r>
        <w:rPr>
          <w:rFonts w:hint="eastAsia" w:ascii="宋体" w:hAnsi="宋体"/>
          <w:bCs/>
          <w:sz w:val="21"/>
          <w:szCs w:val="21"/>
          <w:u w:val="single"/>
        </w:rPr>
        <w:t>贸中心903室</w:t>
      </w:r>
      <w:bookmarkEnd w:id="1"/>
      <w:bookmarkEnd w:id="2"/>
      <w:r>
        <w:rPr>
          <w:rFonts w:hint="eastAsia" w:ascii="宋体" w:hAnsi="宋体"/>
          <w:bCs/>
          <w:sz w:val="21"/>
          <w:szCs w:val="21"/>
        </w:rPr>
        <w:t>）购买招标文件，招标文件每套售价150元（人民币），售后不退。（现场购买只接受现金方式）</w:t>
      </w:r>
    </w:p>
    <w:p>
      <w:pPr>
        <w:numPr>
          <w:ilvl w:val="1"/>
          <w:numId w:val="1"/>
        </w:numPr>
        <w:tabs>
          <w:tab w:val="left" w:pos="567"/>
        </w:tabs>
        <w:spacing w:line="440" w:lineRule="exact"/>
        <w:ind w:left="748"/>
        <w:jc w:val="left"/>
        <w:rPr>
          <w:rFonts w:ascii="宋体" w:hAnsi="宋体"/>
          <w:sz w:val="21"/>
          <w:szCs w:val="21"/>
        </w:rPr>
      </w:pPr>
      <w:r>
        <w:rPr>
          <w:rFonts w:hint="eastAsia" w:ascii="宋体" w:hAnsi="宋体" w:cs="宋体"/>
          <w:sz w:val="21"/>
          <w:szCs w:val="21"/>
        </w:rPr>
        <w:t>投标</w:t>
      </w:r>
      <w:r>
        <w:rPr>
          <w:rFonts w:hint="eastAsia" w:ascii="宋体" w:hAnsi="宋体"/>
          <w:bCs/>
          <w:sz w:val="21"/>
          <w:szCs w:val="21"/>
        </w:rPr>
        <w:t>截止</w:t>
      </w:r>
      <w:r>
        <w:rPr>
          <w:rFonts w:hint="eastAsia" w:ascii="宋体" w:hAnsi="宋体" w:cs="宋体"/>
          <w:sz w:val="21"/>
          <w:szCs w:val="21"/>
        </w:rPr>
        <w:t>时间：</w:t>
      </w:r>
      <w:r>
        <w:rPr>
          <w:rFonts w:hint="eastAsia" w:ascii="宋体" w:hAnsi="宋体"/>
          <w:sz w:val="21"/>
          <w:szCs w:val="21"/>
        </w:rPr>
        <w:t>2019年</w:t>
      </w:r>
      <w:r>
        <w:rPr>
          <w:rFonts w:hint="eastAsia" w:ascii="宋体" w:hAnsi="宋体"/>
          <w:sz w:val="21"/>
          <w:szCs w:val="21"/>
          <w:lang w:val="en-US" w:eastAsia="zh-CN"/>
        </w:rPr>
        <w:t>7</w:t>
      </w:r>
      <w:r>
        <w:rPr>
          <w:rFonts w:ascii="宋体" w:hAnsi="宋体"/>
          <w:sz w:val="21"/>
          <w:szCs w:val="21"/>
        </w:rPr>
        <w:t>月</w:t>
      </w:r>
      <w:r>
        <w:rPr>
          <w:rFonts w:hint="eastAsia" w:ascii="宋体" w:hAnsi="宋体"/>
          <w:sz w:val="21"/>
          <w:szCs w:val="21"/>
          <w:lang w:val="en-US" w:eastAsia="zh-CN"/>
        </w:rPr>
        <w:t>31</w:t>
      </w:r>
      <w:r>
        <w:rPr>
          <w:rFonts w:ascii="宋体" w:hAnsi="宋体"/>
          <w:sz w:val="21"/>
          <w:szCs w:val="21"/>
        </w:rPr>
        <w:t>日</w:t>
      </w:r>
      <w:r>
        <w:rPr>
          <w:rFonts w:hint="eastAsia" w:ascii="宋体" w:hAnsi="宋体"/>
          <w:sz w:val="21"/>
          <w:szCs w:val="21"/>
          <w:lang w:val="en-US" w:eastAsia="zh-CN"/>
        </w:rPr>
        <w:t xml:space="preserve"> </w:t>
      </w:r>
      <w:r>
        <w:rPr>
          <w:rFonts w:ascii="宋体" w:hAnsi="宋体"/>
          <w:sz w:val="21"/>
          <w:szCs w:val="21"/>
        </w:rPr>
        <w:t>09：</w:t>
      </w:r>
      <w:r>
        <w:rPr>
          <w:rFonts w:hint="eastAsia" w:ascii="宋体" w:hAnsi="宋体"/>
          <w:sz w:val="21"/>
          <w:szCs w:val="21"/>
        </w:rPr>
        <w:t>3</w:t>
      </w:r>
      <w:r>
        <w:rPr>
          <w:rFonts w:ascii="宋体" w:hAnsi="宋体"/>
          <w:sz w:val="21"/>
          <w:szCs w:val="21"/>
        </w:rPr>
        <w:t>0</w:t>
      </w:r>
    </w:p>
    <w:p>
      <w:pPr>
        <w:numPr>
          <w:ilvl w:val="1"/>
          <w:numId w:val="1"/>
        </w:numPr>
        <w:tabs>
          <w:tab w:val="left" w:pos="360"/>
        </w:tabs>
        <w:spacing w:line="440" w:lineRule="exact"/>
        <w:ind w:left="748"/>
        <w:jc w:val="left"/>
        <w:rPr>
          <w:rFonts w:ascii="宋体" w:hAnsi="宋体"/>
          <w:bCs/>
          <w:sz w:val="21"/>
          <w:szCs w:val="21"/>
        </w:rPr>
      </w:pPr>
      <w:r>
        <w:rPr>
          <w:rFonts w:hint="eastAsia" w:ascii="宋体" w:hAnsi="宋体"/>
          <w:bCs/>
          <w:sz w:val="21"/>
          <w:szCs w:val="21"/>
        </w:rPr>
        <w:t>提交投标文件地点：东莞市公共资源交易中心开标</w:t>
      </w:r>
      <w:r>
        <w:rPr>
          <w:rFonts w:hint="eastAsia" w:ascii="宋体" w:hAnsi="宋体"/>
          <w:bCs/>
          <w:sz w:val="21"/>
          <w:szCs w:val="21"/>
          <w:lang w:val="en-US" w:eastAsia="zh-CN"/>
        </w:rPr>
        <w:t>6</w:t>
      </w:r>
      <w:r>
        <w:rPr>
          <w:rFonts w:hint="eastAsia" w:ascii="宋体" w:hAnsi="宋体"/>
          <w:bCs/>
          <w:sz w:val="21"/>
          <w:szCs w:val="21"/>
        </w:rPr>
        <w:t>室（东莞市南城区西平东六路）</w:t>
      </w:r>
    </w:p>
    <w:p>
      <w:pPr>
        <w:numPr>
          <w:ilvl w:val="1"/>
          <w:numId w:val="1"/>
        </w:numPr>
        <w:tabs>
          <w:tab w:val="left" w:pos="360"/>
        </w:tabs>
        <w:spacing w:line="440" w:lineRule="exact"/>
        <w:ind w:left="748"/>
        <w:jc w:val="left"/>
        <w:rPr>
          <w:rFonts w:ascii="宋体" w:hAnsi="宋体"/>
          <w:sz w:val="21"/>
          <w:szCs w:val="21"/>
        </w:rPr>
      </w:pPr>
      <w:r>
        <w:rPr>
          <w:rFonts w:hint="eastAsia" w:ascii="宋体" w:hAnsi="宋体"/>
          <w:sz w:val="21"/>
          <w:szCs w:val="21"/>
        </w:rPr>
        <w:t>开标时间：2019年</w:t>
      </w:r>
      <w:r>
        <w:rPr>
          <w:rFonts w:hint="eastAsia" w:ascii="宋体" w:hAnsi="宋体"/>
          <w:sz w:val="21"/>
          <w:szCs w:val="21"/>
          <w:lang w:val="en-US" w:eastAsia="zh-CN"/>
        </w:rPr>
        <w:t>7</w:t>
      </w:r>
      <w:r>
        <w:rPr>
          <w:rFonts w:ascii="宋体" w:hAnsi="宋体"/>
          <w:sz w:val="21"/>
          <w:szCs w:val="21"/>
        </w:rPr>
        <w:t>月</w:t>
      </w:r>
      <w:r>
        <w:rPr>
          <w:rFonts w:hint="eastAsia" w:ascii="宋体" w:hAnsi="宋体"/>
          <w:sz w:val="21"/>
          <w:szCs w:val="21"/>
          <w:lang w:val="en-US" w:eastAsia="zh-CN"/>
        </w:rPr>
        <w:t>31</w:t>
      </w:r>
      <w:r>
        <w:rPr>
          <w:rFonts w:ascii="宋体" w:hAnsi="宋体"/>
          <w:sz w:val="21"/>
          <w:szCs w:val="21"/>
        </w:rPr>
        <w:t>日</w:t>
      </w:r>
      <w:r>
        <w:rPr>
          <w:rFonts w:hint="eastAsia" w:ascii="宋体" w:hAnsi="宋体"/>
          <w:sz w:val="21"/>
          <w:szCs w:val="21"/>
          <w:lang w:val="en-US" w:eastAsia="zh-CN"/>
        </w:rPr>
        <w:t xml:space="preserve"> </w:t>
      </w:r>
      <w:r>
        <w:rPr>
          <w:rFonts w:ascii="宋体" w:hAnsi="宋体"/>
          <w:sz w:val="21"/>
          <w:szCs w:val="21"/>
        </w:rPr>
        <w:t>09：</w:t>
      </w:r>
      <w:r>
        <w:rPr>
          <w:rFonts w:hint="eastAsia" w:ascii="宋体" w:hAnsi="宋体"/>
          <w:sz w:val="21"/>
          <w:szCs w:val="21"/>
        </w:rPr>
        <w:t>3</w:t>
      </w:r>
      <w:r>
        <w:rPr>
          <w:rFonts w:ascii="宋体" w:hAnsi="宋体"/>
          <w:sz w:val="21"/>
          <w:szCs w:val="21"/>
        </w:rPr>
        <w:t>0</w:t>
      </w:r>
    </w:p>
    <w:p>
      <w:pPr>
        <w:numPr>
          <w:ilvl w:val="1"/>
          <w:numId w:val="1"/>
        </w:numPr>
        <w:tabs>
          <w:tab w:val="left" w:pos="360"/>
        </w:tabs>
        <w:spacing w:line="440" w:lineRule="exact"/>
        <w:ind w:left="748"/>
        <w:jc w:val="left"/>
        <w:rPr>
          <w:rFonts w:ascii="宋体" w:hAnsi="宋体"/>
          <w:bCs/>
          <w:sz w:val="21"/>
          <w:szCs w:val="21"/>
        </w:rPr>
      </w:pPr>
      <w:r>
        <w:rPr>
          <w:rFonts w:hint="eastAsia" w:ascii="宋体" w:hAnsi="宋体"/>
          <w:bCs/>
          <w:sz w:val="21"/>
          <w:szCs w:val="21"/>
        </w:rPr>
        <w:t>开标地点：东莞市公共资源交易中心开标</w:t>
      </w:r>
      <w:r>
        <w:rPr>
          <w:rFonts w:hint="eastAsia" w:ascii="宋体" w:hAnsi="宋体"/>
          <w:bCs/>
          <w:sz w:val="21"/>
          <w:szCs w:val="21"/>
          <w:lang w:val="en-US" w:eastAsia="zh-CN"/>
        </w:rPr>
        <w:t>6</w:t>
      </w:r>
      <w:r>
        <w:rPr>
          <w:rFonts w:hint="eastAsia" w:ascii="宋体" w:hAnsi="宋体"/>
          <w:bCs/>
          <w:sz w:val="21"/>
          <w:szCs w:val="21"/>
        </w:rPr>
        <w:t>室（东莞市南城区西平东六路）</w:t>
      </w:r>
    </w:p>
    <w:p>
      <w:pPr>
        <w:numPr>
          <w:ilvl w:val="1"/>
          <w:numId w:val="1"/>
        </w:numPr>
        <w:tabs>
          <w:tab w:val="left" w:pos="360"/>
        </w:tabs>
        <w:spacing w:line="440" w:lineRule="exact"/>
        <w:ind w:left="748"/>
        <w:jc w:val="left"/>
        <w:rPr>
          <w:rFonts w:ascii="宋体" w:hAnsi="宋体"/>
          <w:sz w:val="21"/>
          <w:szCs w:val="21"/>
        </w:rPr>
      </w:pPr>
      <w:r>
        <w:rPr>
          <w:rFonts w:hint="eastAsia" w:ascii="宋体" w:hAnsi="宋体"/>
          <w:sz w:val="21"/>
          <w:szCs w:val="21"/>
        </w:rPr>
        <w:t>联系事项</w:t>
      </w:r>
    </w:p>
    <w:tbl>
      <w:tblPr>
        <w:tblStyle w:val="46"/>
        <w:tblW w:w="9854" w:type="dxa"/>
        <w:jc w:val="center"/>
        <w:tblInd w:w="0" w:type="dxa"/>
        <w:tblLayout w:type="fixed"/>
        <w:tblCellMar>
          <w:top w:w="0" w:type="dxa"/>
          <w:left w:w="108" w:type="dxa"/>
          <w:bottom w:w="0" w:type="dxa"/>
          <w:right w:w="108" w:type="dxa"/>
        </w:tblCellMar>
      </w:tblPr>
      <w:tblGrid>
        <w:gridCol w:w="5190"/>
        <w:gridCol w:w="350"/>
        <w:gridCol w:w="4314"/>
      </w:tblGrid>
      <w:tr>
        <w:tblPrEx>
          <w:tblLayout w:type="fixed"/>
          <w:tblCellMar>
            <w:top w:w="0" w:type="dxa"/>
            <w:left w:w="108" w:type="dxa"/>
            <w:bottom w:w="0" w:type="dxa"/>
            <w:right w:w="108" w:type="dxa"/>
          </w:tblCellMar>
        </w:tblPrEx>
        <w:trPr>
          <w:trHeight w:val="410" w:hRule="atLeast"/>
          <w:jc w:val="center"/>
        </w:trPr>
        <w:tc>
          <w:tcPr>
            <w:tcW w:w="5190" w:type="dxa"/>
            <w:vAlign w:val="center"/>
          </w:tcPr>
          <w:p>
            <w:pPr>
              <w:spacing w:line="440" w:lineRule="exact"/>
              <w:jc w:val="left"/>
              <w:rPr>
                <w:sz w:val="21"/>
                <w:szCs w:val="21"/>
              </w:rPr>
            </w:pPr>
            <w:r>
              <w:rPr>
                <w:rFonts w:hint="eastAsia" w:ascii="宋体" w:hAnsi="宋体"/>
                <w:sz w:val="21"/>
                <w:szCs w:val="21"/>
              </w:rPr>
              <w:t>（一）采购单位：东莞市环境监测中心站</w:t>
            </w:r>
          </w:p>
        </w:tc>
        <w:tc>
          <w:tcPr>
            <w:tcW w:w="350" w:type="dxa"/>
            <w:vAlign w:val="center"/>
          </w:tcPr>
          <w:p>
            <w:pPr>
              <w:spacing w:line="440" w:lineRule="exact"/>
              <w:jc w:val="left"/>
              <w:rPr>
                <w:sz w:val="21"/>
                <w:szCs w:val="21"/>
              </w:rPr>
            </w:pPr>
          </w:p>
        </w:tc>
        <w:tc>
          <w:tcPr>
            <w:tcW w:w="4314" w:type="dxa"/>
            <w:vAlign w:val="center"/>
          </w:tcPr>
          <w:p>
            <w:pPr>
              <w:spacing w:line="440" w:lineRule="exact"/>
              <w:jc w:val="left"/>
              <w:rPr>
                <w:sz w:val="21"/>
                <w:szCs w:val="21"/>
              </w:rPr>
            </w:pPr>
            <w:r>
              <w:rPr>
                <w:rFonts w:hint="eastAsia" w:ascii="宋体" w:hAnsi="宋体"/>
                <w:sz w:val="21"/>
                <w:szCs w:val="21"/>
              </w:rPr>
              <w:t>地址：广东</w:t>
            </w:r>
            <w:bookmarkStart w:id="212" w:name="_GoBack"/>
            <w:bookmarkEnd w:id="212"/>
            <w:r>
              <w:rPr>
                <w:rFonts w:hint="eastAsia" w:ascii="宋体" w:hAnsi="宋体"/>
                <w:sz w:val="21"/>
                <w:szCs w:val="21"/>
              </w:rPr>
              <w:t>省东莞市</w:t>
            </w:r>
          </w:p>
        </w:tc>
      </w:tr>
      <w:tr>
        <w:tblPrEx>
          <w:tblLayout w:type="fixed"/>
          <w:tblCellMar>
            <w:top w:w="0" w:type="dxa"/>
            <w:left w:w="108" w:type="dxa"/>
            <w:bottom w:w="0" w:type="dxa"/>
            <w:right w:w="108" w:type="dxa"/>
          </w:tblCellMar>
        </w:tblPrEx>
        <w:trPr>
          <w:trHeight w:val="352" w:hRule="atLeast"/>
          <w:jc w:val="center"/>
        </w:trPr>
        <w:tc>
          <w:tcPr>
            <w:tcW w:w="5190" w:type="dxa"/>
            <w:vAlign w:val="center"/>
          </w:tcPr>
          <w:p>
            <w:pPr>
              <w:spacing w:line="440" w:lineRule="exact"/>
              <w:ind w:firstLine="630" w:firstLineChars="300"/>
              <w:jc w:val="left"/>
              <w:rPr>
                <w:rFonts w:ascii="宋体" w:hAnsi="宋体"/>
                <w:sz w:val="21"/>
                <w:szCs w:val="21"/>
              </w:rPr>
            </w:pPr>
            <w:r>
              <w:rPr>
                <w:rFonts w:hint="eastAsia" w:ascii="宋体" w:hAnsi="宋体"/>
                <w:sz w:val="21"/>
                <w:szCs w:val="21"/>
              </w:rPr>
              <w:t>联系人：吴先生</w:t>
            </w:r>
          </w:p>
        </w:tc>
        <w:tc>
          <w:tcPr>
            <w:tcW w:w="350" w:type="dxa"/>
            <w:vAlign w:val="center"/>
          </w:tcPr>
          <w:p>
            <w:pPr>
              <w:spacing w:line="440" w:lineRule="exact"/>
              <w:jc w:val="left"/>
              <w:rPr>
                <w:sz w:val="21"/>
                <w:szCs w:val="21"/>
              </w:rPr>
            </w:pPr>
          </w:p>
        </w:tc>
        <w:tc>
          <w:tcPr>
            <w:tcW w:w="4314" w:type="dxa"/>
            <w:vAlign w:val="center"/>
          </w:tcPr>
          <w:p>
            <w:pPr>
              <w:spacing w:line="440" w:lineRule="exact"/>
              <w:jc w:val="left"/>
              <w:rPr>
                <w:rFonts w:ascii="宋体" w:hAnsi="宋体"/>
                <w:sz w:val="21"/>
                <w:szCs w:val="21"/>
              </w:rPr>
            </w:pPr>
            <w:r>
              <w:rPr>
                <w:rFonts w:hint="eastAsia" w:ascii="宋体" w:hAnsi="宋体"/>
                <w:sz w:val="21"/>
                <w:szCs w:val="21"/>
              </w:rPr>
              <w:t>联系电话：0769-85501959</w:t>
            </w:r>
          </w:p>
        </w:tc>
      </w:tr>
      <w:tr>
        <w:tblPrEx>
          <w:tblLayout w:type="fixed"/>
          <w:tblCellMar>
            <w:top w:w="0" w:type="dxa"/>
            <w:left w:w="108" w:type="dxa"/>
            <w:bottom w:w="0" w:type="dxa"/>
            <w:right w:w="108" w:type="dxa"/>
          </w:tblCellMar>
        </w:tblPrEx>
        <w:trPr>
          <w:trHeight w:val="352" w:hRule="atLeast"/>
          <w:jc w:val="center"/>
        </w:trPr>
        <w:tc>
          <w:tcPr>
            <w:tcW w:w="5190" w:type="dxa"/>
            <w:vAlign w:val="center"/>
          </w:tcPr>
          <w:p>
            <w:pPr>
              <w:spacing w:line="440" w:lineRule="exact"/>
              <w:ind w:firstLine="630" w:firstLineChars="300"/>
              <w:jc w:val="left"/>
              <w:rPr>
                <w:rFonts w:ascii="宋体" w:hAnsi="宋体"/>
                <w:sz w:val="21"/>
                <w:szCs w:val="21"/>
              </w:rPr>
            </w:pPr>
            <w:r>
              <w:rPr>
                <w:rFonts w:hint="eastAsia" w:ascii="宋体" w:hAnsi="宋体"/>
                <w:sz w:val="21"/>
                <w:szCs w:val="21"/>
              </w:rPr>
              <w:t>传真：0769-85501959</w:t>
            </w:r>
          </w:p>
        </w:tc>
        <w:tc>
          <w:tcPr>
            <w:tcW w:w="350" w:type="dxa"/>
            <w:vAlign w:val="center"/>
          </w:tcPr>
          <w:p>
            <w:pPr>
              <w:spacing w:line="440" w:lineRule="exact"/>
              <w:jc w:val="left"/>
              <w:rPr>
                <w:sz w:val="21"/>
                <w:szCs w:val="21"/>
              </w:rPr>
            </w:pPr>
          </w:p>
        </w:tc>
        <w:tc>
          <w:tcPr>
            <w:tcW w:w="4314" w:type="dxa"/>
            <w:vAlign w:val="center"/>
          </w:tcPr>
          <w:p>
            <w:pPr>
              <w:spacing w:line="440" w:lineRule="exact"/>
              <w:jc w:val="left"/>
              <w:rPr>
                <w:rFonts w:ascii="宋体" w:hAnsi="宋体"/>
                <w:sz w:val="21"/>
                <w:szCs w:val="21"/>
              </w:rPr>
            </w:pPr>
            <w:r>
              <w:rPr>
                <w:rFonts w:hint="eastAsia" w:ascii="宋体" w:hAnsi="宋体"/>
                <w:sz w:val="21"/>
                <w:szCs w:val="21"/>
              </w:rPr>
              <w:t>邮编：523000</w:t>
            </w:r>
          </w:p>
        </w:tc>
      </w:tr>
      <w:tr>
        <w:tblPrEx>
          <w:tblLayout w:type="fixed"/>
          <w:tblCellMar>
            <w:top w:w="0" w:type="dxa"/>
            <w:left w:w="108" w:type="dxa"/>
            <w:bottom w:w="0" w:type="dxa"/>
            <w:right w:w="108" w:type="dxa"/>
          </w:tblCellMar>
        </w:tblPrEx>
        <w:trPr>
          <w:trHeight w:val="352" w:hRule="atLeast"/>
          <w:jc w:val="center"/>
        </w:trPr>
        <w:tc>
          <w:tcPr>
            <w:tcW w:w="5190" w:type="dxa"/>
            <w:vAlign w:val="center"/>
          </w:tcPr>
          <w:p>
            <w:pPr>
              <w:spacing w:line="440" w:lineRule="exact"/>
              <w:jc w:val="left"/>
              <w:rPr>
                <w:rFonts w:ascii="宋体" w:hAnsi="宋体"/>
                <w:sz w:val="21"/>
                <w:szCs w:val="21"/>
              </w:rPr>
            </w:pPr>
            <w:r>
              <w:rPr>
                <w:rFonts w:hint="eastAsia" w:ascii="宋体" w:hAnsi="宋体"/>
                <w:sz w:val="21"/>
                <w:szCs w:val="21"/>
              </w:rPr>
              <w:t>（二）采购代理机构：广东志正招标有限公司东莞分公司</w:t>
            </w:r>
          </w:p>
        </w:tc>
        <w:tc>
          <w:tcPr>
            <w:tcW w:w="350" w:type="dxa"/>
            <w:vAlign w:val="center"/>
          </w:tcPr>
          <w:p>
            <w:pPr>
              <w:spacing w:line="440" w:lineRule="exact"/>
              <w:jc w:val="left"/>
              <w:rPr>
                <w:sz w:val="21"/>
                <w:szCs w:val="21"/>
              </w:rPr>
            </w:pPr>
          </w:p>
        </w:tc>
        <w:tc>
          <w:tcPr>
            <w:tcW w:w="4314" w:type="dxa"/>
            <w:vAlign w:val="center"/>
          </w:tcPr>
          <w:p>
            <w:pPr>
              <w:spacing w:line="440" w:lineRule="exact"/>
              <w:jc w:val="left"/>
              <w:rPr>
                <w:rFonts w:ascii="宋体" w:hAnsi="宋体"/>
                <w:sz w:val="21"/>
                <w:szCs w:val="21"/>
              </w:rPr>
            </w:pPr>
            <w:r>
              <w:rPr>
                <w:rFonts w:hint="eastAsia" w:ascii="宋体" w:hAnsi="宋体"/>
                <w:sz w:val="21"/>
                <w:szCs w:val="21"/>
              </w:rPr>
              <w:t>地址：</w:t>
            </w:r>
            <w:r>
              <w:rPr>
                <w:rFonts w:hint="eastAsia" w:ascii="宋体" w:hAnsi="宋体"/>
                <w:bCs/>
                <w:sz w:val="21"/>
                <w:szCs w:val="21"/>
              </w:rPr>
              <w:t>广东省东莞市旗峰路190号城市花园</w:t>
            </w:r>
            <w:r>
              <w:rPr>
                <w:rFonts w:hint="eastAsia" w:ascii="宋体" w:hAnsi="宋体"/>
                <w:sz w:val="21"/>
                <w:szCs w:val="21"/>
              </w:rPr>
              <w:t>商</w:t>
            </w:r>
            <w:r>
              <w:rPr>
                <w:rFonts w:hint="eastAsia" w:ascii="宋体" w:hAnsi="宋体"/>
                <w:bCs/>
                <w:sz w:val="21"/>
                <w:szCs w:val="21"/>
              </w:rPr>
              <w:t>贸中心903室</w:t>
            </w:r>
          </w:p>
        </w:tc>
      </w:tr>
      <w:tr>
        <w:tblPrEx>
          <w:tblLayout w:type="fixed"/>
          <w:tblCellMar>
            <w:top w:w="0" w:type="dxa"/>
            <w:left w:w="108" w:type="dxa"/>
            <w:bottom w:w="0" w:type="dxa"/>
            <w:right w:w="108" w:type="dxa"/>
          </w:tblCellMar>
        </w:tblPrEx>
        <w:trPr>
          <w:trHeight w:val="352" w:hRule="atLeast"/>
          <w:jc w:val="center"/>
        </w:trPr>
        <w:tc>
          <w:tcPr>
            <w:tcW w:w="5190" w:type="dxa"/>
            <w:vAlign w:val="center"/>
          </w:tcPr>
          <w:p>
            <w:pPr>
              <w:spacing w:line="440" w:lineRule="exact"/>
              <w:ind w:firstLine="630" w:firstLineChars="300"/>
              <w:jc w:val="left"/>
              <w:rPr>
                <w:rFonts w:ascii="宋体" w:hAnsi="宋体"/>
                <w:sz w:val="21"/>
                <w:szCs w:val="21"/>
              </w:rPr>
            </w:pPr>
            <w:r>
              <w:rPr>
                <w:rFonts w:hint="eastAsia" w:ascii="宋体" w:hAnsi="宋体"/>
                <w:sz w:val="21"/>
                <w:szCs w:val="21"/>
              </w:rPr>
              <w:t>联系人：唐小姐</w:t>
            </w:r>
          </w:p>
        </w:tc>
        <w:tc>
          <w:tcPr>
            <w:tcW w:w="350" w:type="dxa"/>
            <w:vAlign w:val="center"/>
          </w:tcPr>
          <w:p>
            <w:pPr>
              <w:spacing w:line="440" w:lineRule="exact"/>
              <w:jc w:val="left"/>
              <w:rPr>
                <w:sz w:val="21"/>
                <w:szCs w:val="21"/>
              </w:rPr>
            </w:pPr>
          </w:p>
        </w:tc>
        <w:tc>
          <w:tcPr>
            <w:tcW w:w="4314" w:type="dxa"/>
            <w:vAlign w:val="center"/>
          </w:tcPr>
          <w:p>
            <w:pPr>
              <w:spacing w:line="440" w:lineRule="exact"/>
              <w:jc w:val="left"/>
              <w:rPr>
                <w:rFonts w:ascii="宋体" w:hAnsi="宋体"/>
                <w:sz w:val="21"/>
                <w:szCs w:val="21"/>
              </w:rPr>
            </w:pPr>
            <w:r>
              <w:rPr>
                <w:rFonts w:hint="eastAsia" w:ascii="宋体" w:hAnsi="宋体"/>
                <w:sz w:val="21"/>
                <w:szCs w:val="21"/>
              </w:rPr>
              <w:t>联系电话：0769-22306832</w:t>
            </w:r>
          </w:p>
        </w:tc>
      </w:tr>
      <w:tr>
        <w:tblPrEx>
          <w:tblLayout w:type="fixed"/>
          <w:tblCellMar>
            <w:top w:w="0" w:type="dxa"/>
            <w:left w:w="108" w:type="dxa"/>
            <w:bottom w:w="0" w:type="dxa"/>
            <w:right w:w="108" w:type="dxa"/>
          </w:tblCellMar>
        </w:tblPrEx>
        <w:trPr>
          <w:trHeight w:val="352" w:hRule="atLeast"/>
          <w:jc w:val="center"/>
        </w:trPr>
        <w:tc>
          <w:tcPr>
            <w:tcW w:w="5190" w:type="dxa"/>
            <w:vAlign w:val="center"/>
          </w:tcPr>
          <w:p>
            <w:pPr>
              <w:spacing w:line="440" w:lineRule="exact"/>
              <w:ind w:firstLine="630" w:firstLineChars="300"/>
              <w:jc w:val="left"/>
              <w:rPr>
                <w:rFonts w:ascii="宋体" w:hAnsi="宋体"/>
                <w:sz w:val="21"/>
                <w:szCs w:val="21"/>
              </w:rPr>
            </w:pPr>
            <w:r>
              <w:rPr>
                <w:rFonts w:hint="eastAsia" w:ascii="宋体" w:hAnsi="宋体"/>
                <w:sz w:val="21"/>
                <w:szCs w:val="21"/>
              </w:rPr>
              <w:t>传真：0769-22306832</w:t>
            </w:r>
          </w:p>
        </w:tc>
        <w:tc>
          <w:tcPr>
            <w:tcW w:w="350" w:type="dxa"/>
            <w:vAlign w:val="center"/>
          </w:tcPr>
          <w:p>
            <w:pPr>
              <w:spacing w:line="440" w:lineRule="exact"/>
              <w:jc w:val="left"/>
              <w:rPr>
                <w:sz w:val="21"/>
                <w:szCs w:val="21"/>
              </w:rPr>
            </w:pPr>
          </w:p>
        </w:tc>
        <w:tc>
          <w:tcPr>
            <w:tcW w:w="4314" w:type="dxa"/>
            <w:vAlign w:val="center"/>
          </w:tcPr>
          <w:p>
            <w:pPr>
              <w:spacing w:line="440" w:lineRule="exact"/>
              <w:jc w:val="left"/>
              <w:rPr>
                <w:rFonts w:ascii="宋体" w:hAnsi="宋体"/>
                <w:sz w:val="21"/>
                <w:szCs w:val="21"/>
              </w:rPr>
            </w:pPr>
            <w:r>
              <w:rPr>
                <w:rFonts w:hint="eastAsia" w:ascii="宋体" w:hAnsi="宋体"/>
                <w:sz w:val="21"/>
                <w:szCs w:val="21"/>
              </w:rPr>
              <w:t>邮编：</w:t>
            </w:r>
            <w:r>
              <w:rPr>
                <w:rFonts w:hint="eastAsia" w:ascii="宋体" w:hAnsi="宋体" w:cs="宋体"/>
                <w:sz w:val="21"/>
                <w:szCs w:val="21"/>
              </w:rPr>
              <w:t>523000</w:t>
            </w:r>
          </w:p>
        </w:tc>
      </w:tr>
      <w:tr>
        <w:tblPrEx>
          <w:tblLayout w:type="fixed"/>
          <w:tblCellMar>
            <w:top w:w="0" w:type="dxa"/>
            <w:left w:w="108" w:type="dxa"/>
            <w:bottom w:w="0" w:type="dxa"/>
            <w:right w:w="108" w:type="dxa"/>
          </w:tblCellMar>
        </w:tblPrEx>
        <w:trPr>
          <w:trHeight w:val="352" w:hRule="atLeast"/>
          <w:jc w:val="center"/>
        </w:trPr>
        <w:tc>
          <w:tcPr>
            <w:tcW w:w="5190" w:type="dxa"/>
            <w:vAlign w:val="center"/>
          </w:tcPr>
          <w:p>
            <w:pPr>
              <w:spacing w:line="440" w:lineRule="exact"/>
              <w:jc w:val="left"/>
              <w:rPr>
                <w:rFonts w:ascii="宋体" w:hAnsi="宋体"/>
                <w:b/>
                <w:sz w:val="21"/>
                <w:szCs w:val="21"/>
              </w:rPr>
            </w:pPr>
            <w:r>
              <w:rPr>
                <w:rFonts w:hint="eastAsia" w:ascii="宋体" w:hAnsi="宋体"/>
                <w:sz w:val="21"/>
                <w:szCs w:val="21"/>
              </w:rPr>
              <w:t>（三）采购项目联系人：黎先生</w:t>
            </w:r>
          </w:p>
        </w:tc>
        <w:tc>
          <w:tcPr>
            <w:tcW w:w="350" w:type="dxa"/>
            <w:vAlign w:val="center"/>
          </w:tcPr>
          <w:p>
            <w:pPr>
              <w:spacing w:line="440" w:lineRule="exact"/>
              <w:jc w:val="left"/>
              <w:rPr>
                <w:sz w:val="21"/>
                <w:szCs w:val="21"/>
              </w:rPr>
            </w:pPr>
          </w:p>
        </w:tc>
        <w:tc>
          <w:tcPr>
            <w:tcW w:w="4314" w:type="dxa"/>
            <w:vAlign w:val="center"/>
          </w:tcPr>
          <w:p>
            <w:pPr>
              <w:spacing w:line="440" w:lineRule="exact"/>
              <w:jc w:val="left"/>
              <w:rPr>
                <w:rFonts w:ascii="宋体" w:hAnsi="宋体"/>
                <w:sz w:val="21"/>
                <w:szCs w:val="21"/>
              </w:rPr>
            </w:pPr>
            <w:r>
              <w:rPr>
                <w:rFonts w:hint="eastAsia" w:ascii="宋体" w:hAnsi="宋体"/>
                <w:sz w:val="21"/>
                <w:szCs w:val="21"/>
              </w:rPr>
              <w:t>联系电话：0769-22306832</w:t>
            </w:r>
          </w:p>
        </w:tc>
      </w:tr>
    </w:tbl>
    <w:p>
      <w:pPr>
        <w:spacing w:line="440" w:lineRule="exact"/>
        <w:jc w:val="left"/>
        <w:rPr>
          <w:rFonts w:ascii="宋体" w:hAnsi="宋体"/>
          <w:b/>
          <w:sz w:val="21"/>
          <w:szCs w:val="21"/>
          <w:u w:val="double"/>
        </w:rPr>
      </w:pPr>
    </w:p>
    <w:p>
      <w:pPr>
        <w:spacing w:line="440" w:lineRule="exact"/>
        <w:jc w:val="right"/>
        <w:rPr>
          <w:rFonts w:ascii="宋体" w:hAnsi="宋体"/>
          <w:b/>
          <w:bCs/>
          <w:sz w:val="21"/>
          <w:szCs w:val="21"/>
        </w:rPr>
      </w:pPr>
      <w:r>
        <w:rPr>
          <w:rFonts w:hint="eastAsia" w:ascii="宋体" w:hAnsi="宋体"/>
          <w:b/>
          <w:bCs/>
          <w:sz w:val="21"/>
          <w:szCs w:val="21"/>
        </w:rPr>
        <w:t>广东志正招标有限公司</w:t>
      </w:r>
    </w:p>
    <w:p>
      <w:pPr>
        <w:spacing w:line="440" w:lineRule="exact"/>
        <w:jc w:val="right"/>
        <w:rPr>
          <w:rFonts w:ascii="宋体" w:hAnsi="宋体"/>
          <w:b/>
          <w:bCs/>
          <w:sz w:val="21"/>
          <w:szCs w:val="21"/>
        </w:rPr>
      </w:pPr>
      <w:r>
        <w:rPr>
          <w:rFonts w:hint="eastAsia" w:ascii="宋体" w:hAnsi="宋体"/>
          <w:b/>
          <w:bCs/>
          <w:sz w:val="21"/>
          <w:szCs w:val="21"/>
        </w:rPr>
        <w:t>2019年</w:t>
      </w:r>
      <w:r>
        <w:rPr>
          <w:rFonts w:hint="eastAsia" w:ascii="宋体" w:hAnsi="宋体"/>
          <w:b/>
          <w:bCs/>
          <w:sz w:val="21"/>
          <w:szCs w:val="21"/>
          <w:lang w:val="en-US" w:eastAsia="zh-CN"/>
        </w:rPr>
        <w:t>7</w:t>
      </w:r>
      <w:r>
        <w:rPr>
          <w:rFonts w:hint="eastAsia" w:ascii="宋体" w:hAnsi="宋体"/>
          <w:b/>
          <w:bCs/>
          <w:sz w:val="21"/>
          <w:szCs w:val="21"/>
        </w:rPr>
        <w:t>月</w:t>
      </w:r>
      <w:r>
        <w:rPr>
          <w:rFonts w:hint="eastAsia" w:ascii="宋体" w:hAnsi="宋体"/>
          <w:b/>
          <w:bCs/>
          <w:sz w:val="21"/>
          <w:szCs w:val="21"/>
          <w:lang w:val="en-US" w:eastAsia="zh-CN"/>
        </w:rPr>
        <w:t>10</w:t>
      </w:r>
      <w:r>
        <w:rPr>
          <w:rFonts w:hint="eastAsia" w:ascii="宋体" w:hAnsi="宋体"/>
          <w:b/>
          <w:bCs/>
          <w:sz w:val="21"/>
          <w:szCs w:val="21"/>
        </w:rPr>
        <w:t>日</w:t>
      </w:r>
    </w:p>
    <w:p>
      <w:pPr>
        <w:pStyle w:val="3"/>
        <w:spacing w:line="400" w:lineRule="exact"/>
        <w:jc w:val="center"/>
        <w:rPr>
          <w:rFonts w:ascii="宋体" w:hAnsi="宋体"/>
          <w:b/>
          <w:bCs/>
          <w:sz w:val="32"/>
          <w:szCs w:val="32"/>
        </w:rPr>
      </w:pPr>
      <w:r>
        <w:rPr>
          <w:rFonts w:ascii="宋体" w:hAnsi="宋体"/>
          <w:b/>
          <w:bCs/>
          <w:kern w:val="2"/>
          <w:sz w:val="21"/>
          <w:szCs w:val="21"/>
        </w:rPr>
        <w:br w:type="page"/>
      </w:r>
      <w:bookmarkStart w:id="3" w:name="_Toc24370"/>
      <w:bookmarkStart w:id="4" w:name="_Toc368513757"/>
      <w:r>
        <w:rPr>
          <w:rFonts w:hint="eastAsia" w:ascii="宋体" w:hAnsi="宋体"/>
          <w:b/>
          <w:bCs/>
          <w:sz w:val="32"/>
          <w:szCs w:val="32"/>
        </w:rPr>
        <w:t>第一部分</w:t>
      </w:r>
      <w:r>
        <w:rPr>
          <w:rFonts w:ascii="宋体" w:hAnsi="宋体"/>
          <w:b/>
          <w:bCs/>
          <w:sz w:val="32"/>
          <w:szCs w:val="32"/>
        </w:rPr>
        <w:t xml:space="preserve"> 投标须知</w:t>
      </w:r>
      <w:bookmarkEnd w:id="3"/>
      <w:bookmarkEnd w:id="4"/>
    </w:p>
    <w:p>
      <w:pPr>
        <w:pStyle w:val="3"/>
        <w:spacing w:line="400" w:lineRule="exact"/>
        <w:jc w:val="center"/>
        <w:rPr>
          <w:rFonts w:ascii="宋体" w:hAnsi="宋体"/>
          <w:b/>
          <w:bCs/>
          <w:sz w:val="32"/>
          <w:szCs w:val="32"/>
        </w:rPr>
      </w:pPr>
      <w:bookmarkStart w:id="5" w:name="_Toc24669"/>
      <w:r>
        <w:rPr>
          <w:rFonts w:hint="eastAsia" w:ascii="宋体" w:hAnsi="宋体"/>
          <w:b/>
          <w:bCs/>
          <w:sz w:val="32"/>
          <w:szCs w:val="32"/>
        </w:rPr>
        <w:t>投标须知前附表</w:t>
      </w:r>
      <w:bookmarkEnd w:id="5"/>
    </w:p>
    <w:tbl>
      <w:tblPr>
        <w:tblStyle w:val="46"/>
        <w:tblW w:w="94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7"/>
        <w:gridCol w:w="1097"/>
        <w:gridCol w:w="7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jc w:val="center"/>
        </w:trPr>
        <w:tc>
          <w:tcPr>
            <w:tcW w:w="927" w:type="dxa"/>
            <w:vAlign w:val="center"/>
          </w:tcPr>
          <w:p>
            <w:pPr>
              <w:tabs>
                <w:tab w:val="left" w:pos="2552"/>
              </w:tabs>
              <w:spacing w:line="300" w:lineRule="exact"/>
              <w:ind w:left="2"/>
              <w:jc w:val="left"/>
              <w:rPr>
                <w:rFonts w:ascii="宋体" w:hAnsi="宋体"/>
                <w:b/>
                <w:sz w:val="21"/>
                <w:szCs w:val="21"/>
              </w:rPr>
            </w:pPr>
            <w:r>
              <w:rPr>
                <w:rFonts w:hint="eastAsia" w:ascii="宋体" w:hAnsi="宋体"/>
                <w:b/>
                <w:sz w:val="21"/>
                <w:szCs w:val="21"/>
              </w:rPr>
              <w:t>序号</w:t>
            </w:r>
          </w:p>
        </w:tc>
        <w:tc>
          <w:tcPr>
            <w:tcW w:w="1097" w:type="dxa"/>
            <w:vAlign w:val="center"/>
          </w:tcPr>
          <w:p>
            <w:pPr>
              <w:tabs>
                <w:tab w:val="left" w:pos="2552"/>
              </w:tabs>
              <w:spacing w:line="300" w:lineRule="exact"/>
              <w:jc w:val="left"/>
              <w:rPr>
                <w:rFonts w:ascii="宋体" w:hAnsi="宋体"/>
                <w:b/>
                <w:sz w:val="21"/>
                <w:szCs w:val="21"/>
              </w:rPr>
            </w:pPr>
            <w:r>
              <w:rPr>
                <w:rFonts w:hint="eastAsia" w:ascii="宋体" w:hAnsi="宋体"/>
                <w:b/>
                <w:sz w:val="21"/>
                <w:szCs w:val="21"/>
              </w:rPr>
              <w:t>项目</w:t>
            </w:r>
          </w:p>
        </w:tc>
        <w:tc>
          <w:tcPr>
            <w:tcW w:w="7408" w:type="dxa"/>
            <w:vAlign w:val="center"/>
          </w:tcPr>
          <w:p>
            <w:pPr>
              <w:tabs>
                <w:tab w:val="left" w:pos="2552"/>
              </w:tabs>
              <w:spacing w:line="300" w:lineRule="exact"/>
              <w:jc w:val="left"/>
              <w:rPr>
                <w:rFonts w:ascii="宋体" w:hAnsi="宋体"/>
                <w:b/>
                <w:sz w:val="21"/>
                <w:szCs w:val="21"/>
              </w:rPr>
            </w:pPr>
            <w:r>
              <w:rPr>
                <w:rFonts w:hint="eastAsia" w:ascii="宋体" w:hAnsi="宋体"/>
                <w:b/>
                <w:sz w:val="21"/>
                <w:szCs w:val="21"/>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8" w:hRule="atLeast"/>
          <w:jc w:val="center"/>
        </w:trPr>
        <w:tc>
          <w:tcPr>
            <w:tcW w:w="927" w:type="dxa"/>
            <w:vAlign w:val="center"/>
          </w:tcPr>
          <w:p>
            <w:pPr>
              <w:numPr>
                <w:ilvl w:val="0"/>
                <w:numId w:val="5"/>
              </w:numPr>
              <w:tabs>
                <w:tab w:val="left" w:pos="2552"/>
              </w:tabs>
              <w:spacing w:line="300" w:lineRule="exact"/>
              <w:ind w:left="317" w:firstLine="0"/>
              <w:jc w:val="left"/>
              <w:rPr>
                <w:rFonts w:ascii="宋体" w:hAnsi="宋体"/>
                <w:sz w:val="21"/>
                <w:szCs w:val="21"/>
              </w:rPr>
            </w:pPr>
            <w:r>
              <w:rPr>
                <w:rFonts w:hint="eastAsia" w:ascii="宋体" w:hAnsi="宋体"/>
                <w:sz w:val="21"/>
                <w:szCs w:val="21"/>
              </w:rPr>
              <w:t>1</w:t>
            </w:r>
          </w:p>
        </w:tc>
        <w:tc>
          <w:tcPr>
            <w:tcW w:w="1097" w:type="dxa"/>
            <w:vAlign w:val="center"/>
          </w:tcPr>
          <w:p>
            <w:pPr>
              <w:tabs>
                <w:tab w:val="left" w:pos="2552"/>
              </w:tabs>
              <w:spacing w:line="300" w:lineRule="exact"/>
              <w:jc w:val="left"/>
              <w:rPr>
                <w:rFonts w:ascii="宋体" w:hAnsi="宋体"/>
                <w:sz w:val="21"/>
                <w:szCs w:val="21"/>
              </w:rPr>
            </w:pPr>
            <w:r>
              <w:rPr>
                <w:rFonts w:hint="eastAsia" w:ascii="宋体" w:hAnsi="宋体"/>
                <w:sz w:val="21"/>
                <w:szCs w:val="21"/>
              </w:rPr>
              <w:t>项目概况</w:t>
            </w:r>
          </w:p>
        </w:tc>
        <w:tc>
          <w:tcPr>
            <w:tcW w:w="7408" w:type="dxa"/>
            <w:vAlign w:val="center"/>
          </w:tcPr>
          <w:p>
            <w:pPr>
              <w:tabs>
                <w:tab w:val="left" w:pos="2552"/>
              </w:tabs>
              <w:spacing w:line="300" w:lineRule="exact"/>
              <w:jc w:val="left"/>
              <w:rPr>
                <w:rFonts w:hint="eastAsia" w:ascii="宋体" w:hAnsi="宋体" w:eastAsia="宋体"/>
                <w:sz w:val="21"/>
                <w:szCs w:val="21"/>
                <w:lang w:eastAsia="zh-CN"/>
              </w:rPr>
            </w:pPr>
            <w:r>
              <w:rPr>
                <w:rFonts w:hint="eastAsia" w:ascii="宋体" w:hAnsi="宋体"/>
                <w:sz w:val="21"/>
                <w:szCs w:val="21"/>
              </w:rPr>
              <w:t>项目名称：气相色谱-质谱联用仪离子色谱仪</w:t>
            </w:r>
            <w:r>
              <w:rPr>
                <w:rFonts w:hint="eastAsia" w:ascii="宋体" w:hAnsi="宋体"/>
                <w:sz w:val="21"/>
                <w:szCs w:val="21"/>
                <w:lang w:eastAsia="zh-CN"/>
              </w:rPr>
              <w:t>等仪器设备采购(重新采购)</w:t>
            </w:r>
          </w:p>
          <w:p>
            <w:pPr>
              <w:tabs>
                <w:tab w:val="left" w:pos="2552"/>
              </w:tabs>
              <w:spacing w:line="300" w:lineRule="exact"/>
              <w:jc w:val="left"/>
              <w:rPr>
                <w:rFonts w:ascii="宋体" w:hAnsi="宋体"/>
                <w:sz w:val="21"/>
                <w:szCs w:val="21"/>
              </w:rPr>
            </w:pPr>
            <w:r>
              <w:rPr>
                <w:rFonts w:hint="eastAsia" w:ascii="宋体" w:hAnsi="宋体"/>
                <w:sz w:val="21"/>
                <w:szCs w:val="21"/>
              </w:rPr>
              <w:t>项目编号：441900-201905-0007004001-0003</w:t>
            </w:r>
          </w:p>
          <w:p>
            <w:pPr>
              <w:tabs>
                <w:tab w:val="left" w:pos="2552"/>
              </w:tabs>
              <w:spacing w:line="300" w:lineRule="exact"/>
              <w:jc w:val="left"/>
              <w:rPr>
                <w:rFonts w:ascii="宋体" w:hAnsi="宋体"/>
                <w:sz w:val="21"/>
                <w:szCs w:val="21"/>
              </w:rPr>
            </w:pPr>
            <w:r>
              <w:rPr>
                <w:rFonts w:hint="eastAsia" w:ascii="宋体" w:hAnsi="宋体"/>
                <w:sz w:val="21"/>
                <w:szCs w:val="21"/>
              </w:rPr>
              <w:t>采购人名称：东莞市环境监测中心站</w:t>
            </w:r>
          </w:p>
          <w:p>
            <w:pPr>
              <w:tabs>
                <w:tab w:val="left" w:pos="2552"/>
              </w:tabs>
              <w:spacing w:line="300" w:lineRule="exact"/>
              <w:jc w:val="left"/>
              <w:rPr>
                <w:rFonts w:ascii="宋体" w:hAnsi="宋体"/>
                <w:sz w:val="21"/>
                <w:szCs w:val="21"/>
              </w:rPr>
            </w:pPr>
            <w:r>
              <w:rPr>
                <w:rFonts w:hint="eastAsia" w:ascii="宋体" w:hAnsi="宋体"/>
                <w:sz w:val="21"/>
                <w:szCs w:val="21"/>
              </w:rPr>
              <w:t>招标方式：公开招标</w:t>
            </w:r>
          </w:p>
          <w:p>
            <w:pPr>
              <w:tabs>
                <w:tab w:val="left" w:pos="2552"/>
              </w:tabs>
              <w:spacing w:line="300" w:lineRule="exact"/>
              <w:jc w:val="left"/>
              <w:rPr>
                <w:rFonts w:ascii="宋体" w:hAnsi="宋体"/>
                <w:sz w:val="21"/>
                <w:szCs w:val="21"/>
              </w:rPr>
            </w:pPr>
            <w:r>
              <w:rPr>
                <w:rFonts w:hint="eastAsia" w:ascii="宋体" w:hAnsi="宋体"/>
                <w:sz w:val="21"/>
                <w:szCs w:val="21"/>
              </w:rPr>
              <w:t>资金来源：财政性资金</w:t>
            </w:r>
          </w:p>
          <w:p>
            <w:pPr>
              <w:tabs>
                <w:tab w:val="left" w:pos="2552"/>
              </w:tabs>
              <w:spacing w:line="300" w:lineRule="exact"/>
              <w:jc w:val="left"/>
              <w:rPr>
                <w:rFonts w:ascii="宋体" w:hAnsi="宋体"/>
                <w:sz w:val="21"/>
                <w:szCs w:val="21"/>
              </w:rPr>
            </w:pPr>
            <w:r>
              <w:rPr>
                <w:rFonts w:ascii="宋体" w:hAnsi="宋体"/>
                <w:sz w:val="21"/>
                <w:szCs w:val="21"/>
              </w:rPr>
              <w:t>★</w:t>
            </w:r>
            <w:r>
              <w:rPr>
                <w:rFonts w:hint="eastAsia" w:ascii="宋体" w:hAnsi="宋体"/>
                <w:sz w:val="21"/>
                <w:szCs w:val="21"/>
              </w:rPr>
              <w:t>最高限价（预算金额）：人民币2,318,000.00元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jc w:val="center"/>
        </w:trPr>
        <w:tc>
          <w:tcPr>
            <w:tcW w:w="927" w:type="dxa"/>
            <w:vAlign w:val="center"/>
          </w:tcPr>
          <w:p>
            <w:pPr>
              <w:numPr>
                <w:ilvl w:val="0"/>
                <w:numId w:val="5"/>
              </w:numPr>
              <w:tabs>
                <w:tab w:val="left" w:pos="2552"/>
              </w:tabs>
              <w:spacing w:line="300" w:lineRule="exact"/>
              <w:ind w:left="317" w:firstLine="0"/>
              <w:jc w:val="left"/>
              <w:rPr>
                <w:rFonts w:ascii="宋体" w:hAnsi="宋体"/>
                <w:sz w:val="21"/>
                <w:szCs w:val="21"/>
              </w:rPr>
            </w:pPr>
            <w:r>
              <w:rPr>
                <w:rFonts w:hint="eastAsia" w:ascii="宋体" w:hAnsi="宋体"/>
                <w:sz w:val="21"/>
                <w:szCs w:val="21"/>
              </w:rPr>
              <w:t>4</w:t>
            </w:r>
          </w:p>
        </w:tc>
        <w:tc>
          <w:tcPr>
            <w:tcW w:w="1097" w:type="dxa"/>
            <w:vAlign w:val="center"/>
          </w:tcPr>
          <w:p>
            <w:pPr>
              <w:tabs>
                <w:tab w:val="left" w:pos="2552"/>
              </w:tabs>
              <w:spacing w:line="300" w:lineRule="exact"/>
              <w:jc w:val="left"/>
              <w:rPr>
                <w:rFonts w:ascii="宋体" w:hAnsi="宋体"/>
                <w:sz w:val="21"/>
                <w:szCs w:val="21"/>
              </w:rPr>
            </w:pPr>
            <w:r>
              <w:rPr>
                <w:rFonts w:hint="eastAsia" w:ascii="宋体" w:hAnsi="宋体" w:cs="宋体"/>
                <w:sz w:val="21"/>
                <w:szCs w:val="21"/>
              </w:rPr>
              <w:t>★</w:t>
            </w:r>
            <w:r>
              <w:rPr>
                <w:rFonts w:hint="eastAsia" w:ascii="宋体" w:hAnsi="宋体"/>
                <w:sz w:val="21"/>
                <w:szCs w:val="21"/>
              </w:rPr>
              <w:t>投标有效期</w:t>
            </w:r>
          </w:p>
        </w:tc>
        <w:tc>
          <w:tcPr>
            <w:tcW w:w="7408" w:type="dxa"/>
            <w:vAlign w:val="center"/>
          </w:tcPr>
          <w:p>
            <w:pPr>
              <w:tabs>
                <w:tab w:val="left" w:pos="2552"/>
              </w:tabs>
              <w:spacing w:line="300" w:lineRule="exact"/>
              <w:jc w:val="left"/>
              <w:rPr>
                <w:rFonts w:ascii="宋体" w:hAnsi="宋体"/>
                <w:sz w:val="21"/>
                <w:szCs w:val="21"/>
              </w:rPr>
            </w:pPr>
            <w:r>
              <w:rPr>
                <w:rFonts w:hint="eastAsia" w:ascii="宋体" w:hAnsi="宋体"/>
                <w:sz w:val="21"/>
                <w:szCs w:val="21"/>
              </w:rPr>
              <w:t>从投标截止之日起 90 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927" w:type="dxa"/>
            <w:vMerge w:val="restart"/>
            <w:vAlign w:val="center"/>
          </w:tcPr>
          <w:p>
            <w:pPr>
              <w:numPr>
                <w:ilvl w:val="0"/>
                <w:numId w:val="5"/>
              </w:numPr>
              <w:tabs>
                <w:tab w:val="left" w:pos="2552"/>
              </w:tabs>
              <w:spacing w:line="300" w:lineRule="exact"/>
              <w:ind w:left="317" w:firstLine="0"/>
              <w:jc w:val="left"/>
              <w:rPr>
                <w:rFonts w:ascii="宋体" w:hAnsi="宋体"/>
                <w:sz w:val="21"/>
                <w:szCs w:val="21"/>
              </w:rPr>
            </w:pPr>
            <w:r>
              <w:rPr>
                <w:rFonts w:hint="eastAsia" w:ascii="宋体" w:hAnsi="宋体"/>
                <w:sz w:val="21"/>
                <w:szCs w:val="21"/>
              </w:rPr>
              <w:t>5</w:t>
            </w:r>
          </w:p>
        </w:tc>
        <w:tc>
          <w:tcPr>
            <w:tcW w:w="1097" w:type="dxa"/>
            <w:vMerge w:val="restart"/>
            <w:vAlign w:val="center"/>
          </w:tcPr>
          <w:p>
            <w:pPr>
              <w:tabs>
                <w:tab w:val="left" w:pos="2552"/>
              </w:tabs>
              <w:spacing w:line="300" w:lineRule="exact"/>
              <w:jc w:val="left"/>
              <w:rPr>
                <w:rFonts w:ascii="宋体" w:hAnsi="宋体"/>
                <w:sz w:val="21"/>
                <w:szCs w:val="21"/>
              </w:rPr>
            </w:pPr>
            <w:r>
              <w:rPr>
                <w:rFonts w:hint="eastAsia" w:ascii="宋体" w:hAnsi="宋体"/>
                <w:sz w:val="21"/>
                <w:szCs w:val="21"/>
              </w:rPr>
              <w:t>投标保证金</w:t>
            </w:r>
          </w:p>
        </w:tc>
        <w:tc>
          <w:tcPr>
            <w:tcW w:w="7408" w:type="dxa"/>
            <w:vAlign w:val="center"/>
          </w:tcPr>
          <w:p>
            <w:pPr>
              <w:pStyle w:val="15"/>
              <w:spacing w:line="300" w:lineRule="exact"/>
              <w:rPr>
                <w:rFonts w:ascii="宋体" w:hAnsi="宋体"/>
                <w:szCs w:val="21"/>
              </w:rPr>
            </w:pPr>
            <w:r>
              <w:rPr>
                <w:rFonts w:hint="eastAsia" w:ascii="宋体" w:hAnsi="宋体"/>
                <w:szCs w:val="21"/>
              </w:rPr>
              <w:t>大写：人民币贰万伍仟元整</w:t>
            </w:r>
          </w:p>
          <w:p>
            <w:pPr>
              <w:pStyle w:val="15"/>
              <w:spacing w:line="300" w:lineRule="exact"/>
              <w:rPr>
                <w:rFonts w:ascii="宋体" w:hAnsi="宋体"/>
                <w:szCs w:val="21"/>
              </w:rPr>
            </w:pPr>
            <w:r>
              <w:rPr>
                <w:rFonts w:hint="eastAsia" w:ascii="宋体" w:hAnsi="宋体"/>
                <w:b/>
                <w:bCs/>
                <w:szCs w:val="21"/>
                <w:u w:val="single"/>
              </w:rPr>
              <w:t>注:保证金可使用保函形式或汇款形式提交,相应办理可咨询代理公司报名处。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927" w:type="dxa"/>
            <w:vMerge w:val="continue"/>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Merge w:val="continue"/>
            <w:vAlign w:val="center"/>
          </w:tcPr>
          <w:p>
            <w:pPr>
              <w:tabs>
                <w:tab w:val="left" w:pos="2552"/>
              </w:tabs>
              <w:spacing w:line="300" w:lineRule="exact"/>
              <w:jc w:val="left"/>
              <w:rPr>
                <w:rFonts w:ascii="宋体" w:hAnsi="宋体"/>
                <w:sz w:val="21"/>
                <w:szCs w:val="21"/>
              </w:rPr>
            </w:pPr>
          </w:p>
        </w:tc>
        <w:tc>
          <w:tcPr>
            <w:tcW w:w="7408" w:type="dxa"/>
            <w:vAlign w:val="center"/>
          </w:tcPr>
          <w:p>
            <w:pPr>
              <w:tabs>
                <w:tab w:val="left" w:pos="720"/>
              </w:tabs>
              <w:snapToGrid w:val="0"/>
              <w:spacing w:line="300" w:lineRule="exact"/>
              <w:ind w:left="5" w:leftChars="2"/>
              <w:jc w:val="left"/>
              <w:rPr>
                <w:sz w:val="21"/>
                <w:szCs w:val="21"/>
              </w:rPr>
            </w:pPr>
            <w:r>
              <w:rPr>
                <w:rFonts w:hint="eastAsia"/>
                <w:sz w:val="21"/>
                <w:szCs w:val="21"/>
              </w:rPr>
              <w:t>投标人可以以投标担保函、履约担保函、银行转账、电汇方式提交形式缴纳保证金，供应商可自主决定是否使用信用担保方式，并选择担保机构提供的任何一种信用担保品种，财政部门、采购代理机构、采购人不得进行干预。</w:t>
            </w:r>
          </w:p>
          <w:p>
            <w:pPr>
              <w:spacing w:line="300" w:lineRule="exact"/>
              <w:ind w:left="5" w:leftChars="2"/>
              <w:rPr>
                <w:sz w:val="21"/>
                <w:szCs w:val="21"/>
              </w:rPr>
            </w:pPr>
            <w:r>
              <w:rPr>
                <w:rFonts w:hint="eastAsia"/>
                <w:sz w:val="21"/>
                <w:szCs w:val="21"/>
              </w:rPr>
              <w:t>银行转账、电汇方式：请各投标人将投标保证金存进以下广东志正招标有限公司指定银行账户,划账时须在银行划款单用途栏上注明本次招标编号和投标人的简称：</w:t>
            </w:r>
          </w:p>
          <w:p>
            <w:pPr>
              <w:spacing w:line="300" w:lineRule="exact"/>
              <w:ind w:left="5" w:leftChars="2" w:firstLine="594" w:firstLineChars="283"/>
              <w:jc w:val="left"/>
              <w:rPr>
                <w:sz w:val="21"/>
                <w:szCs w:val="21"/>
              </w:rPr>
            </w:pPr>
            <w:r>
              <w:rPr>
                <w:rFonts w:hint="eastAsia"/>
                <w:sz w:val="21"/>
                <w:szCs w:val="21"/>
              </w:rPr>
              <w:t>收款单位：广东志正招标有限公司东莞分公司</w:t>
            </w:r>
          </w:p>
          <w:p>
            <w:pPr>
              <w:spacing w:line="300" w:lineRule="exact"/>
              <w:ind w:left="5" w:leftChars="2" w:firstLine="594" w:firstLineChars="283"/>
              <w:jc w:val="left"/>
              <w:rPr>
                <w:sz w:val="21"/>
                <w:szCs w:val="21"/>
              </w:rPr>
            </w:pPr>
            <w:r>
              <w:rPr>
                <w:rFonts w:hint="eastAsia"/>
                <w:sz w:val="21"/>
                <w:szCs w:val="21"/>
              </w:rPr>
              <w:t>收款账号：7699 0427 1810 788</w:t>
            </w:r>
          </w:p>
          <w:p>
            <w:pPr>
              <w:spacing w:line="300" w:lineRule="exact"/>
              <w:ind w:left="5" w:leftChars="2" w:firstLine="594" w:firstLineChars="283"/>
              <w:jc w:val="left"/>
              <w:rPr>
                <w:sz w:val="21"/>
                <w:szCs w:val="21"/>
              </w:rPr>
            </w:pPr>
            <w:r>
              <w:rPr>
                <w:rFonts w:hint="eastAsia"/>
                <w:sz w:val="21"/>
                <w:szCs w:val="21"/>
              </w:rPr>
              <w:t>开户银行：招商银行东莞分行东城支行</w:t>
            </w:r>
          </w:p>
          <w:p>
            <w:pPr>
              <w:spacing w:line="300" w:lineRule="exact"/>
              <w:ind w:left="5" w:leftChars="2" w:firstLine="594" w:firstLineChars="283"/>
              <w:jc w:val="left"/>
              <w:rPr>
                <w:sz w:val="21"/>
                <w:szCs w:val="21"/>
              </w:rPr>
            </w:pPr>
            <w:r>
              <w:rPr>
                <w:rFonts w:hint="eastAsia"/>
                <w:sz w:val="21"/>
                <w:szCs w:val="21"/>
              </w:rPr>
              <w:t>保证金相关事宜联系人：彭小姐     联系电话：0769-22306832</w:t>
            </w:r>
          </w:p>
          <w:p>
            <w:pPr>
              <w:tabs>
                <w:tab w:val="left" w:pos="720"/>
              </w:tabs>
              <w:snapToGrid w:val="0"/>
              <w:spacing w:line="300" w:lineRule="exact"/>
              <w:ind w:left="5" w:leftChars="2"/>
              <w:jc w:val="left"/>
              <w:rPr>
                <w:sz w:val="21"/>
                <w:szCs w:val="21"/>
              </w:rPr>
            </w:pPr>
            <w:r>
              <w:rPr>
                <w:sz w:val="21"/>
                <w:szCs w:val="21"/>
              </w:rPr>
              <w:t>★</w:t>
            </w:r>
            <w:r>
              <w:rPr>
                <w:rFonts w:hint="eastAsia"/>
                <w:sz w:val="21"/>
                <w:szCs w:val="21"/>
              </w:rPr>
              <w:t>投标保证金作为投标人投标的组成部分,与投标文件资料一同递交，以到达广东志正招标有限公司指定银行账户或接收到保函证明的时间为准。</w:t>
            </w:r>
          </w:p>
          <w:p>
            <w:pPr>
              <w:spacing w:line="300" w:lineRule="exact"/>
              <w:ind w:left="4" w:hanging="4" w:hangingChars="2"/>
              <w:jc w:val="left"/>
              <w:rPr>
                <w:sz w:val="21"/>
                <w:szCs w:val="21"/>
              </w:rPr>
            </w:pPr>
            <w:r>
              <w:rPr>
                <w:sz w:val="21"/>
                <w:szCs w:val="21"/>
              </w:rPr>
              <w:t>★</w:t>
            </w:r>
            <w:r>
              <w:rPr>
                <w:rFonts w:hint="eastAsia"/>
                <w:sz w:val="21"/>
                <w:szCs w:val="21"/>
              </w:rPr>
              <w:t>未按要求提交投标保证金的将导致废标。</w:t>
            </w:r>
          </w:p>
          <w:p>
            <w:pPr>
              <w:pStyle w:val="55"/>
              <w:ind w:firstLine="422"/>
              <w:rPr>
                <w:sz w:val="21"/>
                <w:szCs w:val="21"/>
              </w:rPr>
            </w:pPr>
            <w:r>
              <w:rPr>
                <w:rFonts w:hint="eastAsia" w:ascii="宋体" w:hAnsi="宋体"/>
                <w:b/>
                <w:bCs/>
                <w:sz w:val="21"/>
                <w:szCs w:val="21"/>
                <w:u w:val="single"/>
              </w:rPr>
              <w:t>备注：投标人提供投标担保函的，保函正本需在开标日期前一天(办公时间内)交采购代理机构进行签收备案，信用担保业务单位名单可咨询采购代理机构或查看东莞市政府采购网。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jc w:val="center"/>
        </w:trPr>
        <w:tc>
          <w:tcPr>
            <w:tcW w:w="927" w:type="dxa"/>
            <w:vMerge w:val="restart"/>
            <w:vAlign w:val="center"/>
          </w:tcPr>
          <w:p>
            <w:pPr>
              <w:numPr>
                <w:ilvl w:val="0"/>
                <w:numId w:val="5"/>
              </w:numPr>
              <w:tabs>
                <w:tab w:val="left" w:pos="2552"/>
              </w:tabs>
              <w:spacing w:line="300" w:lineRule="exact"/>
              <w:ind w:left="317" w:firstLine="0"/>
              <w:jc w:val="left"/>
              <w:rPr>
                <w:rFonts w:ascii="宋体" w:hAnsi="宋体"/>
                <w:sz w:val="21"/>
                <w:szCs w:val="21"/>
              </w:rPr>
            </w:pPr>
            <w:r>
              <w:rPr>
                <w:rFonts w:hint="eastAsia" w:ascii="宋体" w:hAnsi="宋体"/>
                <w:sz w:val="21"/>
                <w:szCs w:val="21"/>
              </w:rPr>
              <w:t>3</w:t>
            </w:r>
          </w:p>
        </w:tc>
        <w:tc>
          <w:tcPr>
            <w:tcW w:w="1097" w:type="dxa"/>
            <w:vMerge w:val="restart"/>
            <w:vAlign w:val="center"/>
          </w:tcPr>
          <w:p>
            <w:pPr>
              <w:tabs>
                <w:tab w:val="left" w:pos="2552"/>
              </w:tabs>
              <w:spacing w:line="300" w:lineRule="exact"/>
              <w:jc w:val="left"/>
              <w:rPr>
                <w:rFonts w:ascii="宋体" w:hAnsi="宋体"/>
                <w:sz w:val="21"/>
                <w:szCs w:val="21"/>
              </w:rPr>
            </w:pPr>
            <w:r>
              <w:rPr>
                <w:rFonts w:hint="eastAsia" w:ascii="宋体" w:hAnsi="宋体"/>
                <w:sz w:val="21"/>
                <w:szCs w:val="21"/>
              </w:rPr>
              <w:t>投标递交材料</w:t>
            </w:r>
          </w:p>
        </w:tc>
        <w:tc>
          <w:tcPr>
            <w:tcW w:w="7408" w:type="dxa"/>
            <w:vAlign w:val="center"/>
          </w:tcPr>
          <w:p>
            <w:pPr>
              <w:tabs>
                <w:tab w:val="left" w:pos="2552"/>
              </w:tabs>
              <w:spacing w:line="300" w:lineRule="exact"/>
              <w:jc w:val="left"/>
              <w:rPr>
                <w:rFonts w:ascii="宋体" w:hAnsi="宋体"/>
                <w:sz w:val="21"/>
                <w:szCs w:val="21"/>
              </w:rPr>
            </w:pPr>
            <w:r>
              <w:rPr>
                <w:rFonts w:hint="eastAsia" w:ascii="宋体" w:hAnsi="宋体"/>
                <w:b/>
                <w:sz w:val="21"/>
                <w:szCs w:val="21"/>
              </w:rPr>
              <w:t>开标一览表（原件）、法定代表人证明书或法定代表人授权书、联合体共同投标协议书（如是联合体投标）</w:t>
            </w:r>
            <w:r>
              <w:rPr>
                <w:rFonts w:hint="eastAsia" w:ascii="宋体" w:hAnsi="宋体"/>
                <w:sz w:val="21"/>
                <w:szCs w:val="21"/>
              </w:rPr>
              <w:t>一起封装，在每一封口处加盖公章，封套标明项目名称、项目编号、</w:t>
            </w:r>
            <w:r>
              <w:rPr>
                <w:rFonts w:hint="eastAsia" w:ascii="宋体" w:hAnsi="宋体"/>
                <w:b/>
                <w:sz w:val="21"/>
                <w:szCs w:val="21"/>
              </w:rPr>
              <w:t>包组号、</w:t>
            </w:r>
            <w:r>
              <w:rPr>
                <w:rFonts w:hint="eastAsia" w:ascii="宋体" w:hAnsi="宋体"/>
                <w:sz w:val="21"/>
                <w:szCs w:val="21"/>
              </w:rPr>
              <w:t>投标人名称及“开标一览表”等字样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jc w:val="center"/>
        </w:trPr>
        <w:tc>
          <w:tcPr>
            <w:tcW w:w="927" w:type="dxa"/>
            <w:vMerge w:val="continue"/>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Merge w:val="continue"/>
            <w:vAlign w:val="center"/>
          </w:tcPr>
          <w:p>
            <w:pPr>
              <w:tabs>
                <w:tab w:val="left" w:pos="2552"/>
              </w:tabs>
              <w:spacing w:line="300" w:lineRule="exact"/>
              <w:jc w:val="left"/>
              <w:rPr>
                <w:rFonts w:ascii="宋体" w:hAnsi="宋体"/>
                <w:sz w:val="21"/>
                <w:szCs w:val="21"/>
              </w:rPr>
            </w:pPr>
          </w:p>
        </w:tc>
        <w:tc>
          <w:tcPr>
            <w:tcW w:w="7408" w:type="dxa"/>
            <w:vAlign w:val="center"/>
          </w:tcPr>
          <w:p>
            <w:pPr>
              <w:tabs>
                <w:tab w:val="left" w:pos="2552"/>
              </w:tabs>
              <w:spacing w:line="300" w:lineRule="exact"/>
              <w:jc w:val="left"/>
              <w:rPr>
                <w:rFonts w:ascii="宋体" w:hAnsi="宋体"/>
                <w:sz w:val="21"/>
                <w:szCs w:val="21"/>
              </w:rPr>
            </w:pPr>
            <w:r>
              <w:rPr>
                <w:rFonts w:hint="eastAsia" w:ascii="宋体" w:hAnsi="宋体"/>
                <w:sz w:val="21"/>
                <w:szCs w:val="21"/>
              </w:rPr>
              <w:t>商务技术标文件</w:t>
            </w:r>
            <w:r>
              <w:rPr>
                <w:rFonts w:hint="eastAsia" w:ascii="宋体" w:hAnsi="宋体"/>
                <w:b/>
                <w:sz w:val="21"/>
                <w:szCs w:val="21"/>
              </w:rPr>
              <w:t>正本壹份</w:t>
            </w:r>
            <w:r>
              <w:rPr>
                <w:rFonts w:hint="eastAsia" w:ascii="宋体" w:hAnsi="宋体"/>
                <w:sz w:val="21"/>
                <w:szCs w:val="21"/>
              </w:rPr>
              <w:t>和</w:t>
            </w:r>
            <w:r>
              <w:rPr>
                <w:rFonts w:hint="eastAsia" w:ascii="宋体" w:hAnsi="宋体"/>
                <w:b/>
                <w:sz w:val="21"/>
                <w:szCs w:val="21"/>
              </w:rPr>
              <w:t>电子标书壹份</w:t>
            </w:r>
            <w:r>
              <w:rPr>
                <w:rFonts w:hint="eastAsia" w:ascii="宋体" w:hAnsi="宋体"/>
                <w:sz w:val="21"/>
                <w:szCs w:val="21"/>
              </w:rPr>
              <w:t>一起封装，在每一封口处加盖公章，并在封套上标明项目名称、项目编号、</w:t>
            </w:r>
            <w:r>
              <w:rPr>
                <w:rFonts w:hint="eastAsia" w:ascii="宋体" w:hAnsi="宋体"/>
                <w:b/>
                <w:sz w:val="21"/>
                <w:szCs w:val="21"/>
              </w:rPr>
              <w:t>包组号、</w:t>
            </w:r>
            <w:r>
              <w:rPr>
                <w:rFonts w:hint="eastAsia" w:ascii="宋体" w:hAnsi="宋体"/>
                <w:sz w:val="21"/>
                <w:szCs w:val="21"/>
              </w:rPr>
              <w:t>投标人名称及“商务技术标 正本”等字样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jc w:val="center"/>
        </w:trPr>
        <w:tc>
          <w:tcPr>
            <w:tcW w:w="927" w:type="dxa"/>
            <w:vMerge w:val="continue"/>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Merge w:val="continue"/>
            <w:vAlign w:val="center"/>
          </w:tcPr>
          <w:p>
            <w:pPr>
              <w:tabs>
                <w:tab w:val="left" w:pos="2552"/>
              </w:tabs>
              <w:spacing w:line="300" w:lineRule="exact"/>
              <w:jc w:val="left"/>
              <w:rPr>
                <w:rFonts w:ascii="宋体" w:hAnsi="宋体"/>
                <w:sz w:val="21"/>
                <w:szCs w:val="21"/>
              </w:rPr>
            </w:pPr>
          </w:p>
        </w:tc>
        <w:tc>
          <w:tcPr>
            <w:tcW w:w="7408" w:type="dxa"/>
            <w:vAlign w:val="center"/>
          </w:tcPr>
          <w:p>
            <w:pPr>
              <w:tabs>
                <w:tab w:val="left" w:pos="2552"/>
              </w:tabs>
              <w:spacing w:line="300" w:lineRule="exact"/>
              <w:jc w:val="left"/>
              <w:rPr>
                <w:rFonts w:ascii="宋体" w:hAnsi="宋体"/>
                <w:sz w:val="21"/>
                <w:szCs w:val="21"/>
              </w:rPr>
            </w:pPr>
            <w:r>
              <w:rPr>
                <w:rFonts w:hint="eastAsia" w:ascii="宋体" w:hAnsi="宋体"/>
                <w:sz w:val="21"/>
                <w:szCs w:val="21"/>
              </w:rPr>
              <w:t>商务技术标文件</w:t>
            </w:r>
            <w:r>
              <w:rPr>
                <w:rFonts w:hint="eastAsia" w:ascii="宋体" w:hAnsi="宋体"/>
                <w:b/>
                <w:sz w:val="21"/>
                <w:szCs w:val="21"/>
              </w:rPr>
              <w:t>副本伍份</w:t>
            </w:r>
            <w:r>
              <w:rPr>
                <w:rFonts w:hint="eastAsia" w:ascii="宋体" w:hAnsi="宋体"/>
                <w:sz w:val="21"/>
                <w:szCs w:val="21"/>
              </w:rPr>
              <w:t>一起封装，在每一封口处加盖公章，并在封套上标明项目名称、项目编号、</w:t>
            </w:r>
            <w:r>
              <w:rPr>
                <w:rFonts w:hint="eastAsia" w:ascii="宋体" w:hAnsi="宋体"/>
                <w:b/>
                <w:sz w:val="21"/>
                <w:szCs w:val="21"/>
              </w:rPr>
              <w:t>包组号、</w:t>
            </w:r>
            <w:r>
              <w:rPr>
                <w:rFonts w:hint="eastAsia" w:ascii="宋体" w:hAnsi="宋体"/>
                <w:sz w:val="21"/>
                <w:szCs w:val="21"/>
              </w:rPr>
              <w:t>投标人名称及“商务技术标 副本”等字样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927" w:type="dxa"/>
            <w:vMerge w:val="continue"/>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Merge w:val="continue"/>
            <w:vAlign w:val="center"/>
          </w:tcPr>
          <w:p>
            <w:pPr>
              <w:tabs>
                <w:tab w:val="left" w:pos="2552"/>
              </w:tabs>
              <w:spacing w:line="300" w:lineRule="exact"/>
              <w:jc w:val="left"/>
              <w:rPr>
                <w:rFonts w:ascii="宋体" w:hAnsi="宋体"/>
                <w:sz w:val="21"/>
                <w:szCs w:val="21"/>
              </w:rPr>
            </w:pPr>
          </w:p>
        </w:tc>
        <w:tc>
          <w:tcPr>
            <w:tcW w:w="7408" w:type="dxa"/>
            <w:vAlign w:val="center"/>
          </w:tcPr>
          <w:p>
            <w:pPr>
              <w:tabs>
                <w:tab w:val="left" w:pos="2552"/>
              </w:tabs>
              <w:spacing w:line="300" w:lineRule="exact"/>
              <w:jc w:val="left"/>
              <w:rPr>
                <w:rFonts w:ascii="宋体" w:hAnsi="宋体"/>
                <w:sz w:val="21"/>
                <w:szCs w:val="21"/>
              </w:rPr>
            </w:pPr>
            <w:r>
              <w:rPr>
                <w:rFonts w:hint="eastAsia" w:ascii="宋体" w:hAnsi="宋体"/>
                <w:sz w:val="21"/>
                <w:szCs w:val="21"/>
              </w:rPr>
              <w:t>价格标文件</w:t>
            </w:r>
            <w:r>
              <w:rPr>
                <w:rFonts w:hint="eastAsia" w:ascii="宋体" w:hAnsi="宋体"/>
                <w:b/>
                <w:sz w:val="21"/>
                <w:szCs w:val="21"/>
              </w:rPr>
              <w:t>正本壹份</w:t>
            </w:r>
            <w:r>
              <w:rPr>
                <w:rFonts w:hint="eastAsia" w:ascii="宋体" w:hAnsi="宋体"/>
                <w:sz w:val="21"/>
                <w:szCs w:val="21"/>
              </w:rPr>
              <w:t>封装，在每一封口处加盖公章，并在封套上标明项目名称、项目编号、</w:t>
            </w:r>
            <w:r>
              <w:rPr>
                <w:rFonts w:hint="eastAsia" w:ascii="宋体" w:hAnsi="宋体"/>
                <w:b/>
                <w:sz w:val="21"/>
                <w:szCs w:val="21"/>
              </w:rPr>
              <w:t>包组号、</w:t>
            </w:r>
            <w:r>
              <w:rPr>
                <w:rFonts w:hint="eastAsia" w:ascii="宋体" w:hAnsi="宋体"/>
                <w:sz w:val="21"/>
                <w:szCs w:val="21"/>
              </w:rPr>
              <w:t>投标人名称及“价格标 正本”等字样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jc w:val="center"/>
        </w:trPr>
        <w:tc>
          <w:tcPr>
            <w:tcW w:w="927" w:type="dxa"/>
            <w:vMerge w:val="continue"/>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Merge w:val="continue"/>
            <w:vAlign w:val="center"/>
          </w:tcPr>
          <w:p>
            <w:pPr>
              <w:tabs>
                <w:tab w:val="left" w:pos="2552"/>
              </w:tabs>
              <w:spacing w:line="300" w:lineRule="exact"/>
              <w:jc w:val="left"/>
              <w:rPr>
                <w:rFonts w:ascii="宋体" w:hAnsi="宋体"/>
                <w:sz w:val="21"/>
                <w:szCs w:val="21"/>
              </w:rPr>
            </w:pPr>
          </w:p>
        </w:tc>
        <w:tc>
          <w:tcPr>
            <w:tcW w:w="7408" w:type="dxa"/>
            <w:vAlign w:val="center"/>
          </w:tcPr>
          <w:p>
            <w:pPr>
              <w:tabs>
                <w:tab w:val="left" w:pos="2552"/>
              </w:tabs>
              <w:spacing w:line="300" w:lineRule="exact"/>
              <w:jc w:val="left"/>
              <w:rPr>
                <w:rFonts w:ascii="宋体" w:hAnsi="宋体"/>
                <w:sz w:val="21"/>
                <w:szCs w:val="21"/>
              </w:rPr>
            </w:pPr>
            <w:r>
              <w:rPr>
                <w:rFonts w:hint="eastAsia" w:ascii="宋体" w:hAnsi="宋体"/>
                <w:sz w:val="21"/>
                <w:szCs w:val="21"/>
              </w:rPr>
              <w:t>价格标文件</w:t>
            </w:r>
            <w:r>
              <w:rPr>
                <w:rFonts w:hint="eastAsia" w:ascii="宋体" w:hAnsi="宋体"/>
                <w:b/>
                <w:sz w:val="21"/>
                <w:szCs w:val="21"/>
              </w:rPr>
              <w:t>副本伍份</w:t>
            </w:r>
            <w:r>
              <w:rPr>
                <w:rFonts w:hint="eastAsia" w:ascii="宋体" w:hAnsi="宋体"/>
                <w:sz w:val="21"/>
                <w:szCs w:val="21"/>
              </w:rPr>
              <w:t>一起封装，在每一封口处加盖公章，并在封套上标明项目名称、项目编号、</w:t>
            </w:r>
            <w:r>
              <w:rPr>
                <w:rFonts w:hint="eastAsia" w:ascii="宋体" w:hAnsi="宋体"/>
                <w:b/>
                <w:sz w:val="21"/>
                <w:szCs w:val="21"/>
              </w:rPr>
              <w:t>包组号、</w:t>
            </w:r>
            <w:r>
              <w:rPr>
                <w:rFonts w:hint="eastAsia" w:ascii="宋体" w:hAnsi="宋体"/>
                <w:sz w:val="21"/>
                <w:szCs w:val="21"/>
              </w:rPr>
              <w:t>投标人名称及“价格标 副本”等字样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927" w:type="dxa"/>
            <w:vMerge w:val="continue"/>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Merge w:val="continue"/>
            <w:vAlign w:val="center"/>
          </w:tcPr>
          <w:p>
            <w:pPr>
              <w:tabs>
                <w:tab w:val="left" w:pos="2552"/>
              </w:tabs>
              <w:spacing w:line="300" w:lineRule="exact"/>
              <w:jc w:val="left"/>
              <w:rPr>
                <w:rFonts w:ascii="宋体" w:hAnsi="宋体"/>
                <w:sz w:val="21"/>
                <w:szCs w:val="21"/>
              </w:rPr>
            </w:pPr>
          </w:p>
        </w:tc>
        <w:tc>
          <w:tcPr>
            <w:tcW w:w="7408" w:type="dxa"/>
            <w:vAlign w:val="center"/>
          </w:tcPr>
          <w:p>
            <w:pPr>
              <w:tabs>
                <w:tab w:val="left" w:pos="2552"/>
              </w:tabs>
              <w:spacing w:line="300" w:lineRule="exact"/>
              <w:jc w:val="left"/>
              <w:rPr>
                <w:rFonts w:ascii="宋体" w:hAnsi="宋体"/>
                <w:sz w:val="21"/>
                <w:szCs w:val="21"/>
              </w:rPr>
            </w:pPr>
            <w:r>
              <w:rPr>
                <w:rFonts w:hint="eastAsia" w:ascii="宋体" w:hAnsi="宋体"/>
                <w:b/>
                <w:sz w:val="21"/>
                <w:szCs w:val="21"/>
              </w:rPr>
              <w:t>保证金退还说明（原件）、投标保证金银行划款单（复印件）</w:t>
            </w:r>
            <w:r>
              <w:rPr>
                <w:rFonts w:hint="eastAsia" w:ascii="宋体" w:hAnsi="宋体"/>
                <w:sz w:val="21"/>
                <w:szCs w:val="21"/>
              </w:rPr>
              <w:t>一起封装，在每一封口处加盖公章，并在封套上标明项目名称、项目编号、</w:t>
            </w:r>
            <w:r>
              <w:rPr>
                <w:rFonts w:hint="eastAsia" w:ascii="宋体" w:hAnsi="宋体"/>
                <w:b/>
                <w:sz w:val="21"/>
                <w:szCs w:val="21"/>
              </w:rPr>
              <w:t>包组号、</w:t>
            </w:r>
            <w:r>
              <w:rPr>
                <w:rFonts w:hint="eastAsia" w:ascii="宋体" w:hAnsi="宋体"/>
                <w:sz w:val="21"/>
                <w:szCs w:val="21"/>
              </w:rPr>
              <w:t>投标人名称及“投标保证金”等字样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927" w:type="dxa"/>
            <w:vMerge w:val="continue"/>
            <w:vAlign w:val="center"/>
          </w:tcPr>
          <w:p>
            <w:pPr>
              <w:tabs>
                <w:tab w:val="left" w:pos="2552"/>
              </w:tabs>
              <w:spacing w:line="300" w:lineRule="exact"/>
              <w:jc w:val="left"/>
              <w:rPr>
                <w:rFonts w:ascii="宋体" w:hAnsi="宋体"/>
                <w:sz w:val="21"/>
                <w:szCs w:val="21"/>
              </w:rPr>
            </w:pPr>
          </w:p>
        </w:tc>
        <w:tc>
          <w:tcPr>
            <w:tcW w:w="1097" w:type="dxa"/>
            <w:vMerge w:val="continue"/>
            <w:vAlign w:val="center"/>
          </w:tcPr>
          <w:p>
            <w:pPr>
              <w:tabs>
                <w:tab w:val="left" w:pos="2552"/>
              </w:tabs>
              <w:spacing w:line="300" w:lineRule="exact"/>
              <w:jc w:val="left"/>
              <w:rPr>
                <w:rFonts w:ascii="宋体" w:hAnsi="宋体"/>
                <w:sz w:val="21"/>
                <w:szCs w:val="21"/>
              </w:rPr>
            </w:pPr>
          </w:p>
        </w:tc>
        <w:tc>
          <w:tcPr>
            <w:tcW w:w="7408" w:type="dxa"/>
            <w:vAlign w:val="center"/>
          </w:tcPr>
          <w:p>
            <w:pPr>
              <w:tabs>
                <w:tab w:val="left" w:pos="2552"/>
              </w:tabs>
              <w:spacing w:line="300" w:lineRule="exact"/>
              <w:jc w:val="left"/>
              <w:rPr>
                <w:rFonts w:ascii="宋体" w:hAnsi="宋体"/>
                <w:b/>
                <w:sz w:val="21"/>
                <w:szCs w:val="21"/>
              </w:rPr>
            </w:pPr>
            <w:r>
              <w:rPr>
                <w:rFonts w:ascii="宋体" w:hAnsi="宋体"/>
                <w:b/>
                <w:sz w:val="21"/>
                <w:szCs w:val="21"/>
              </w:rPr>
              <w:t>注</w:t>
            </w:r>
            <w:r>
              <w:rPr>
                <w:rFonts w:hint="eastAsia" w:ascii="宋体" w:hAnsi="宋体"/>
                <w:b/>
                <w:sz w:val="21"/>
                <w:szCs w:val="21"/>
              </w:rPr>
              <w:t>:无分包的项目,包组号可不填。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6" w:hRule="atLeast"/>
          <w:jc w:val="center"/>
        </w:trPr>
        <w:tc>
          <w:tcPr>
            <w:tcW w:w="927" w:type="dxa"/>
            <w:vAlign w:val="center"/>
          </w:tcPr>
          <w:p>
            <w:pPr>
              <w:numPr>
                <w:ilvl w:val="0"/>
                <w:numId w:val="5"/>
              </w:numPr>
              <w:tabs>
                <w:tab w:val="left" w:pos="2552"/>
              </w:tabs>
              <w:spacing w:line="300" w:lineRule="exact"/>
              <w:ind w:left="317" w:firstLine="0"/>
              <w:jc w:val="left"/>
              <w:rPr>
                <w:rFonts w:ascii="宋体" w:hAnsi="宋体"/>
                <w:sz w:val="21"/>
                <w:szCs w:val="21"/>
              </w:rPr>
            </w:pPr>
            <w:r>
              <w:rPr>
                <w:rFonts w:hint="eastAsia" w:ascii="宋体" w:hAnsi="宋体"/>
                <w:sz w:val="21"/>
                <w:szCs w:val="21"/>
              </w:rPr>
              <w:t>6</w:t>
            </w:r>
          </w:p>
        </w:tc>
        <w:tc>
          <w:tcPr>
            <w:tcW w:w="1097" w:type="dxa"/>
            <w:vAlign w:val="center"/>
          </w:tcPr>
          <w:p>
            <w:pPr>
              <w:tabs>
                <w:tab w:val="left" w:pos="2552"/>
              </w:tabs>
              <w:spacing w:line="300" w:lineRule="exact"/>
              <w:jc w:val="left"/>
              <w:rPr>
                <w:rFonts w:ascii="宋体" w:hAnsi="宋体"/>
                <w:sz w:val="21"/>
                <w:szCs w:val="21"/>
              </w:rPr>
            </w:pPr>
            <w:r>
              <w:rPr>
                <w:rFonts w:hint="eastAsia" w:ascii="宋体" w:hAnsi="宋体"/>
                <w:sz w:val="21"/>
                <w:szCs w:val="21"/>
              </w:rPr>
              <w:t>开 标</w:t>
            </w:r>
          </w:p>
        </w:tc>
        <w:tc>
          <w:tcPr>
            <w:tcW w:w="7408" w:type="dxa"/>
            <w:vAlign w:val="center"/>
          </w:tcPr>
          <w:p>
            <w:pPr>
              <w:tabs>
                <w:tab w:val="left" w:pos="2552"/>
              </w:tabs>
              <w:spacing w:line="300" w:lineRule="exact"/>
              <w:jc w:val="left"/>
              <w:rPr>
                <w:rFonts w:ascii="宋体" w:hAnsi="宋体"/>
                <w:sz w:val="21"/>
                <w:szCs w:val="21"/>
              </w:rPr>
            </w:pPr>
            <w:r>
              <w:rPr>
                <w:rFonts w:hint="eastAsia" w:ascii="宋体" w:hAnsi="宋体"/>
                <w:sz w:val="21"/>
                <w:szCs w:val="21"/>
              </w:rPr>
              <w:t>时间：2019年</w:t>
            </w:r>
            <w:r>
              <w:rPr>
                <w:rFonts w:hint="eastAsia" w:ascii="宋体" w:hAnsi="宋体"/>
                <w:sz w:val="21"/>
                <w:szCs w:val="21"/>
                <w:lang w:val="en-US" w:eastAsia="zh-CN"/>
              </w:rPr>
              <w:t>7</w:t>
            </w:r>
            <w:r>
              <w:rPr>
                <w:rFonts w:hint="eastAsia" w:ascii="宋体" w:hAnsi="宋体"/>
                <w:sz w:val="21"/>
                <w:szCs w:val="21"/>
              </w:rPr>
              <w:t>月</w:t>
            </w:r>
            <w:r>
              <w:rPr>
                <w:rFonts w:hint="eastAsia" w:ascii="宋体" w:hAnsi="宋体"/>
                <w:sz w:val="21"/>
                <w:szCs w:val="21"/>
                <w:lang w:val="en-US" w:eastAsia="zh-CN"/>
              </w:rPr>
              <w:t>31</w:t>
            </w:r>
            <w:r>
              <w:rPr>
                <w:rFonts w:hint="eastAsia" w:ascii="宋体" w:hAnsi="宋体"/>
                <w:sz w:val="21"/>
                <w:szCs w:val="21"/>
              </w:rPr>
              <w:t>日9：30</w:t>
            </w:r>
          </w:p>
          <w:p>
            <w:pPr>
              <w:tabs>
                <w:tab w:val="left" w:pos="2552"/>
              </w:tabs>
              <w:spacing w:line="300" w:lineRule="exact"/>
              <w:jc w:val="left"/>
              <w:rPr>
                <w:rFonts w:ascii="宋体" w:hAnsi="宋体"/>
                <w:bCs/>
                <w:sz w:val="21"/>
                <w:szCs w:val="21"/>
              </w:rPr>
            </w:pPr>
            <w:r>
              <w:rPr>
                <w:rFonts w:hint="eastAsia" w:ascii="宋体" w:hAnsi="宋体"/>
                <w:sz w:val="21"/>
                <w:szCs w:val="21"/>
              </w:rPr>
              <w:t>地点：</w:t>
            </w:r>
            <w:r>
              <w:rPr>
                <w:rFonts w:hint="eastAsia" w:ascii="宋体" w:hAnsi="宋体"/>
                <w:bCs/>
                <w:sz w:val="21"/>
                <w:szCs w:val="21"/>
              </w:rPr>
              <w:t>东莞市公共资源交易中心开标</w:t>
            </w:r>
            <w:r>
              <w:rPr>
                <w:rFonts w:hint="eastAsia" w:ascii="宋体" w:hAnsi="宋体"/>
                <w:bCs/>
                <w:sz w:val="21"/>
                <w:szCs w:val="21"/>
                <w:lang w:val="en-US" w:eastAsia="zh-CN"/>
              </w:rPr>
              <w:t>6</w:t>
            </w:r>
            <w:r>
              <w:rPr>
                <w:rFonts w:hint="eastAsia" w:ascii="宋体" w:hAnsi="宋体"/>
                <w:bCs/>
                <w:sz w:val="21"/>
                <w:szCs w:val="21"/>
              </w:rPr>
              <w:t>室（东莞市南城区西平东六路）</w:t>
            </w:r>
          </w:p>
          <w:p>
            <w:pPr>
              <w:tabs>
                <w:tab w:val="left" w:pos="2552"/>
              </w:tabs>
              <w:spacing w:line="300" w:lineRule="exact"/>
              <w:jc w:val="left"/>
              <w:rPr>
                <w:rFonts w:ascii="宋体" w:hAnsi="宋体"/>
                <w:b/>
                <w:sz w:val="21"/>
                <w:szCs w:val="21"/>
              </w:rPr>
            </w:pPr>
            <w:r>
              <w:rPr>
                <w:rFonts w:hint="eastAsia" w:ascii="宋体" w:hAnsi="宋体"/>
                <w:b/>
                <w:sz w:val="21"/>
                <w:szCs w:val="21"/>
              </w:rPr>
              <w:t>投标人由法定代表人或其授权代表（具有法定代表人签署的授权书）携带身份证明原件参加投标、开标仪式。</w:t>
            </w:r>
            <w:r>
              <w:rPr>
                <w:rFonts w:ascii="宋体" w:hAnsi="宋体"/>
                <w:b/>
                <w:sz w:val="21"/>
                <w:szCs w:val="21"/>
              </w:rPr>
              <w:t>投标人未参加开标会议的，视同认可开标结果。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927" w:type="dxa"/>
            <w:tcBorders>
              <w:bottom w:val="single" w:color="auto" w:sz="4" w:space="0"/>
            </w:tcBorders>
            <w:vAlign w:val="center"/>
          </w:tcPr>
          <w:p>
            <w:pPr>
              <w:numPr>
                <w:ilvl w:val="0"/>
                <w:numId w:val="5"/>
              </w:numPr>
              <w:tabs>
                <w:tab w:val="left" w:pos="2552"/>
              </w:tabs>
              <w:spacing w:line="300" w:lineRule="exact"/>
              <w:ind w:left="317" w:firstLine="0"/>
              <w:jc w:val="left"/>
              <w:rPr>
                <w:rFonts w:ascii="宋体" w:hAnsi="宋体"/>
                <w:sz w:val="21"/>
                <w:szCs w:val="21"/>
              </w:rPr>
            </w:pPr>
            <w:r>
              <w:rPr>
                <w:rFonts w:hint="eastAsia" w:ascii="宋体" w:hAnsi="宋体"/>
                <w:sz w:val="21"/>
                <w:szCs w:val="21"/>
              </w:rPr>
              <w:t>7</w:t>
            </w:r>
          </w:p>
        </w:tc>
        <w:tc>
          <w:tcPr>
            <w:tcW w:w="1097" w:type="dxa"/>
            <w:tcBorders>
              <w:bottom w:val="single" w:color="auto" w:sz="4" w:space="0"/>
            </w:tcBorders>
            <w:vAlign w:val="center"/>
          </w:tcPr>
          <w:p>
            <w:pPr>
              <w:spacing w:line="300" w:lineRule="exact"/>
              <w:jc w:val="left"/>
              <w:rPr>
                <w:rFonts w:ascii="宋体" w:hAnsi="宋体"/>
                <w:sz w:val="21"/>
                <w:szCs w:val="21"/>
              </w:rPr>
            </w:pPr>
            <w:r>
              <w:rPr>
                <w:rFonts w:hint="eastAsia" w:ascii="宋体" w:hAnsi="宋体"/>
                <w:sz w:val="21"/>
                <w:szCs w:val="21"/>
              </w:rPr>
              <w:t>演示</w:t>
            </w:r>
          </w:p>
          <w:p>
            <w:pPr>
              <w:spacing w:line="300" w:lineRule="exact"/>
              <w:jc w:val="left"/>
              <w:rPr>
                <w:rFonts w:ascii="宋体" w:hAnsi="宋体"/>
                <w:sz w:val="21"/>
                <w:szCs w:val="21"/>
              </w:rPr>
            </w:pPr>
            <w:r>
              <w:rPr>
                <w:rFonts w:hint="eastAsia" w:ascii="宋体" w:hAnsi="宋体"/>
                <w:sz w:val="21"/>
                <w:szCs w:val="21"/>
              </w:rPr>
              <w:t>与述标</w:t>
            </w:r>
          </w:p>
        </w:tc>
        <w:tc>
          <w:tcPr>
            <w:tcW w:w="7408" w:type="dxa"/>
            <w:vAlign w:val="center"/>
          </w:tcPr>
          <w:p>
            <w:pPr>
              <w:tabs>
                <w:tab w:val="left" w:pos="720"/>
              </w:tabs>
              <w:snapToGrid w:val="0"/>
              <w:spacing w:line="300" w:lineRule="exact"/>
              <w:ind w:left="5" w:leftChars="2"/>
              <w:jc w:val="left"/>
              <w:rPr>
                <w:rFonts w:ascii="宋体" w:hAnsi="宋体"/>
                <w:sz w:val="21"/>
                <w:szCs w:val="21"/>
              </w:rPr>
            </w:pPr>
            <w:r>
              <w:rPr>
                <w:rFonts w:hint="eastAsia" w:ascii="宋体" w:hAnsi="宋体"/>
                <w:sz w:val="21"/>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927" w:type="dxa"/>
            <w:tcBorders>
              <w:top w:val="single" w:color="auto" w:sz="4" w:space="0"/>
            </w:tcBorders>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tcBorders>
              <w:top w:val="single" w:color="auto" w:sz="4" w:space="0"/>
            </w:tcBorders>
            <w:vAlign w:val="center"/>
          </w:tcPr>
          <w:p>
            <w:pPr>
              <w:tabs>
                <w:tab w:val="left" w:pos="2552"/>
              </w:tabs>
              <w:spacing w:line="300" w:lineRule="exact"/>
              <w:jc w:val="left"/>
              <w:rPr>
                <w:rFonts w:ascii="宋体" w:hAnsi="宋体"/>
                <w:sz w:val="21"/>
                <w:szCs w:val="21"/>
              </w:rPr>
            </w:pPr>
            <w:r>
              <w:rPr>
                <w:rFonts w:hint="eastAsia" w:ascii="宋体" w:hAnsi="宋体"/>
                <w:sz w:val="21"/>
                <w:szCs w:val="21"/>
              </w:rPr>
              <w:t>样品</w:t>
            </w:r>
          </w:p>
        </w:tc>
        <w:tc>
          <w:tcPr>
            <w:tcW w:w="7408" w:type="dxa"/>
            <w:vAlign w:val="center"/>
          </w:tcPr>
          <w:p>
            <w:pPr>
              <w:tabs>
                <w:tab w:val="left" w:pos="2552"/>
              </w:tabs>
              <w:spacing w:line="300" w:lineRule="exact"/>
              <w:jc w:val="left"/>
              <w:rPr>
                <w:rFonts w:ascii="宋体" w:hAnsi="宋体"/>
                <w:sz w:val="21"/>
                <w:szCs w:val="21"/>
              </w:rPr>
            </w:pPr>
            <w:r>
              <w:rPr>
                <w:rFonts w:hint="eastAsia" w:ascii="宋体" w:hAnsi="宋体"/>
                <w:sz w:val="21"/>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927" w:type="dxa"/>
            <w:tcBorders>
              <w:top w:val="single" w:color="auto" w:sz="4" w:space="0"/>
            </w:tcBorders>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tcBorders>
              <w:top w:val="single" w:color="auto" w:sz="4" w:space="0"/>
            </w:tcBorders>
            <w:vAlign w:val="center"/>
          </w:tcPr>
          <w:p>
            <w:pPr>
              <w:tabs>
                <w:tab w:val="left" w:pos="2552"/>
              </w:tabs>
              <w:spacing w:line="300" w:lineRule="exact"/>
              <w:jc w:val="left"/>
              <w:rPr>
                <w:rFonts w:ascii="宋体" w:hAnsi="宋体"/>
                <w:sz w:val="21"/>
                <w:szCs w:val="21"/>
              </w:rPr>
            </w:pPr>
            <w:r>
              <w:rPr>
                <w:rFonts w:hint="eastAsia" w:ascii="宋体" w:hAnsi="宋体"/>
                <w:sz w:val="21"/>
                <w:szCs w:val="21"/>
              </w:rPr>
              <w:t>评标委员会组成</w:t>
            </w:r>
          </w:p>
        </w:tc>
        <w:tc>
          <w:tcPr>
            <w:tcW w:w="7408" w:type="dxa"/>
            <w:vAlign w:val="center"/>
          </w:tcPr>
          <w:p>
            <w:pPr>
              <w:tabs>
                <w:tab w:val="left" w:pos="2552"/>
              </w:tabs>
              <w:spacing w:line="300" w:lineRule="exact"/>
              <w:jc w:val="left"/>
              <w:rPr>
                <w:rFonts w:ascii="宋体" w:hAnsi="宋体"/>
                <w:sz w:val="21"/>
                <w:szCs w:val="21"/>
              </w:rPr>
            </w:pPr>
            <w:r>
              <w:rPr>
                <w:rFonts w:hint="eastAsia" w:ascii="宋体" w:hAnsi="宋体"/>
                <w:bCs/>
                <w:sz w:val="21"/>
                <w:szCs w:val="21"/>
              </w:rPr>
              <w:t>全部评标过程由依法组建的评标委员会负责完成，评标委员会由5名成员组成。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927" w:type="dxa"/>
            <w:vAlign w:val="center"/>
          </w:tcPr>
          <w:p>
            <w:pPr>
              <w:numPr>
                <w:ilvl w:val="0"/>
                <w:numId w:val="5"/>
              </w:numPr>
              <w:tabs>
                <w:tab w:val="left" w:pos="2552"/>
              </w:tabs>
              <w:spacing w:line="300" w:lineRule="exact"/>
              <w:ind w:left="317" w:firstLine="0"/>
              <w:jc w:val="left"/>
              <w:rPr>
                <w:rFonts w:ascii="宋体" w:hAnsi="宋体"/>
                <w:sz w:val="21"/>
                <w:szCs w:val="21"/>
              </w:rPr>
            </w:pPr>
            <w:r>
              <w:rPr>
                <w:rFonts w:hint="eastAsia" w:ascii="宋体" w:hAnsi="宋体"/>
                <w:sz w:val="21"/>
                <w:szCs w:val="21"/>
              </w:rPr>
              <w:t>8</w:t>
            </w:r>
          </w:p>
        </w:tc>
        <w:tc>
          <w:tcPr>
            <w:tcW w:w="1097" w:type="dxa"/>
            <w:vAlign w:val="center"/>
          </w:tcPr>
          <w:p>
            <w:pPr>
              <w:tabs>
                <w:tab w:val="left" w:pos="2552"/>
              </w:tabs>
              <w:spacing w:line="300" w:lineRule="exact"/>
              <w:jc w:val="left"/>
              <w:rPr>
                <w:rFonts w:ascii="宋体" w:hAnsi="宋体"/>
                <w:sz w:val="21"/>
                <w:szCs w:val="21"/>
              </w:rPr>
            </w:pPr>
            <w:r>
              <w:rPr>
                <w:rFonts w:hint="eastAsia" w:ascii="宋体" w:hAnsi="宋体"/>
                <w:sz w:val="21"/>
                <w:szCs w:val="21"/>
              </w:rPr>
              <w:t>评审方法</w:t>
            </w:r>
          </w:p>
        </w:tc>
        <w:tc>
          <w:tcPr>
            <w:tcW w:w="7408" w:type="dxa"/>
            <w:vAlign w:val="center"/>
          </w:tcPr>
          <w:p>
            <w:pPr>
              <w:autoSpaceDE w:val="0"/>
              <w:autoSpaceDN w:val="0"/>
              <w:adjustRightInd w:val="0"/>
              <w:spacing w:line="300" w:lineRule="exact"/>
              <w:jc w:val="left"/>
              <w:rPr>
                <w:rFonts w:ascii="宋体" w:hAnsi="宋体"/>
                <w:sz w:val="21"/>
                <w:szCs w:val="21"/>
              </w:rPr>
            </w:pPr>
            <w:r>
              <w:rPr>
                <w:rFonts w:hint="eastAsia" w:ascii="宋体" w:hAnsi="宋体"/>
                <w:sz w:val="21"/>
                <w:szCs w:val="21"/>
              </w:rPr>
              <w:t>综合评分法</w:t>
            </w:r>
          </w:p>
          <w:p>
            <w:pPr>
              <w:tabs>
                <w:tab w:val="left" w:pos="2552"/>
              </w:tabs>
              <w:spacing w:line="300" w:lineRule="exact"/>
              <w:jc w:val="left"/>
              <w:rPr>
                <w:rFonts w:ascii="宋体" w:hAnsi="宋体"/>
                <w:sz w:val="21"/>
                <w:szCs w:val="21"/>
              </w:rPr>
            </w:pPr>
            <w:r>
              <w:rPr>
                <w:rFonts w:hint="eastAsia" w:ascii="宋体" w:hAnsi="宋体"/>
                <w:sz w:val="21"/>
                <w:szCs w:val="21"/>
              </w:rPr>
              <w:t>技术分值55</w:t>
            </w:r>
            <w:r>
              <w:rPr>
                <w:rFonts w:ascii="宋体" w:hAnsi="宋体"/>
                <w:sz w:val="21"/>
                <w:szCs w:val="21"/>
              </w:rPr>
              <w:t>分</w:t>
            </w:r>
            <w:r>
              <w:rPr>
                <w:rFonts w:hint="eastAsia" w:ascii="宋体" w:hAnsi="宋体"/>
                <w:sz w:val="21"/>
                <w:szCs w:val="21"/>
              </w:rPr>
              <w:t>，商务分值15</w:t>
            </w:r>
            <w:r>
              <w:rPr>
                <w:rFonts w:ascii="宋体" w:hAnsi="宋体"/>
                <w:sz w:val="21"/>
                <w:szCs w:val="21"/>
              </w:rPr>
              <w:t>分</w:t>
            </w:r>
            <w:r>
              <w:rPr>
                <w:rFonts w:hint="eastAsia" w:ascii="宋体" w:hAnsi="宋体"/>
                <w:sz w:val="21"/>
                <w:szCs w:val="21"/>
              </w:rPr>
              <w:t>，价格分值</w:t>
            </w:r>
            <w:r>
              <w:rPr>
                <w:rFonts w:ascii="宋体" w:hAnsi="宋体"/>
                <w:sz w:val="21"/>
                <w:szCs w:val="21"/>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927" w:type="dxa"/>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Align w:val="center"/>
          </w:tcPr>
          <w:p>
            <w:pPr>
              <w:spacing w:line="300" w:lineRule="exact"/>
              <w:jc w:val="left"/>
              <w:rPr>
                <w:rFonts w:ascii="宋体" w:hAnsi="宋体"/>
                <w:sz w:val="21"/>
                <w:szCs w:val="21"/>
              </w:rPr>
            </w:pPr>
            <w:r>
              <w:rPr>
                <w:rFonts w:hint="eastAsia" w:ascii="宋体" w:hAnsi="宋体"/>
                <w:sz w:val="21"/>
                <w:szCs w:val="21"/>
              </w:rPr>
              <w:t>评标步骤</w:t>
            </w:r>
          </w:p>
        </w:tc>
        <w:tc>
          <w:tcPr>
            <w:tcW w:w="7408" w:type="dxa"/>
            <w:vAlign w:val="center"/>
          </w:tcPr>
          <w:p>
            <w:pPr>
              <w:spacing w:line="300" w:lineRule="exact"/>
              <w:jc w:val="left"/>
              <w:rPr>
                <w:rFonts w:ascii="宋体" w:hAnsi="宋体"/>
                <w:sz w:val="21"/>
                <w:szCs w:val="21"/>
              </w:rPr>
            </w:pPr>
            <w:r>
              <w:rPr>
                <w:rFonts w:hint="eastAsia" w:ascii="宋体" w:hAnsi="宋体"/>
                <w:sz w:val="21"/>
                <w:szCs w:val="21"/>
              </w:rPr>
              <w:t>项目开标结束后，由采购人或者采购代理机构依法对投标人的资格进行审查。评标委员会对符合资格的投标人的投标文件进行符合性审查，以确定其是否满足招标文件的实质性要求。通过资格、符合性审查的投标人即为入围投标人。评标委员会对入围投标人进行技术、商务及价格的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927" w:type="dxa"/>
            <w:vMerge w:val="restart"/>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Merge w:val="restart"/>
            <w:vAlign w:val="center"/>
          </w:tcPr>
          <w:p>
            <w:pPr>
              <w:spacing w:line="300" w:lineRule="exact"/>
              <w:jc w:val="left"/>
              <w:rPr>
                <w:rFonts w:ascii="宋体" w:hAnsi="宋体"/>
                <w:sz w:val="21"/>
                <w:szCs w:val="21"/>
              </w:rPr>
            </w:pPr>
            <w:r>
              <w:rPr>
                <w:rFonts w:hint="eastAsia" w:ascii="宋体" w:hAnsi="宋体"/>
                <w:bCs/>
                <w:sz w:val="21"/>
                <w:szCs w:val="21"/>
              </w:rPr>
              <w:t>中标候选人的推荐</w:t>
            </w:r>
          </w:p>
        </w:tc>
        <w:tc>
          <w:tcPr>
            <w:tcW w:w="7408" w:type="dxa"/>
            <w:vAlign w:val="center"/>
          </w:tcPr>
          <w:p>
            <w:pPr>
              <w:spacing w:line="300" w:lineRule="exact"/>
              <w:jc w:val="left"/>
              <w:rPr>
                <w:rFonts w:ascii="宋体" w:hAnsi="宋体"/>
                <w:bCs/>
                <w:sz w:val="21"/>
                <w:szCs w:val="21"/>
              </w:rPr>
            </w:pPr>
            <w:r>
              <w:rPr>
                <w:rFonts w:hint="eastAsia" w:ascii="宋体" w:hAnsi="宋体"/>
                <w:bCs/>
                <w:sz w:val="21"/>
                <w:szCs w:val="21"/>
              </w:rPr>
              <w:t>评标委员会结合商务文件部分、技术文件部分和价格部分进行综合评估，将商务得分、技术得分和价格得分相加得出各入围投标人的综合得分。评标委员会编写书面的评标报告，按综合得分高低次序排出名次，并推荐综合得分排名第一的投标人为第一中标候选人，排名第二的投标人为第二中标候选人。</w:t>
            </w:r>
          </w:p>
          <w:p>
            <w:pPr>
              <w:spacing w:line="300" w:lineRule="exact"/>
              <w:jc w:val="left"/>
              <w:rPr>
                <w:rFonts w:ascii="宋体" w:hAnsi="宋体"/>
                <w:bCs/>
                <w:sz w:val="21"/>
                <w:szCs w:val="21"/>
              </w:rPr>
            </w:pPr>
            <w:r>
              <w:rPr>
                <w:rFonts w:hint="eastAsia" w:ascii="宋体" w:hAnsi="宋体"/>
                <w:bCs/>
                <w:sz w:val="21"/>
                <w:szCs w:val="21"/>
              </w:rPr>
              <w:t>综合得分相同的，按下列顺序比较确定：（1）节能产品；（2）环保产品；（3）投标报价（由低到高）；（4）技术部分得分（由高到低）。</w:t>
            </w:r>
          </w:p>
          <w:p>
            <w:pPr>
              <w:spacing w:line="300" w:lineRule="exact"/>
              <w:jc w:val="left"/>
              <w:rPr>
                <w:rFonts w:ascii="宋体" w:hAnsi="宋体"/>
                <w:bCs/>
                <w:sz w:val="21"/>
                <w:szCs w:val="21"/>
              </w:rPr>
            </w:pPr>
            <w:r>
              <w:rPr>
                <w:rFonts w:hint="eastAsia" w:ascii="宋体" w:hAnsi="宋体"/>
                <w:bCs/>
                <w:sz w:val="21"/>
                <w:szCs w:val="21"/>
              </w:rPr>
              <w:t>综合得分相同、投标报价和技术评分均相同的，名次由评标委员会抽签确定。法律法规有明确规定的，以法律法规规定为准。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927" w:type="dxa"/>
            <w:vMerge w:val="continue"/>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Merge w:val="continue"/>
            <w:vAlign w:val="center"/>
          </w:tcPr>
          <w:p>
            <w:pPr>
              <w:spacing w:line="300" w:lineRule="exact"/>
              <w:jc w:val="left"/>
              <w:rPr>
                <w:rFonts w:ascii="宋体" w:hAnsi="宋体"/>
                <w:sz w:val="21"/>
                <w:szCs w:val="21"/>
              </w:rPr>
            </w:pPr>
          </w:p>
        </w:tc>
        <w:tc>
          <w:tcPr>
            <w:tcW w:w="7408" w:type="dxa"/>
            <w:vAlign w:val="center"/>
          </w:tcPr>
          <w:p>
            <w:pPr>
              <w:tabs>
                <w:tab w:val="left" w:pos="0"/>
              </w:tabs>
              <w:snapToGrid w:val="0"/>
              <w:spacing w:line="300" w:lineRule="exact"/>
              <w:jc w:val="left"/>
              <w:rPr>
                <w:rFonts w:ascii="宋体" w:hAnsi="宋体"/>
                <w:bCs/>
                <w:sz w:val="21"/>
                <w:szCs w:val="21"/>
              </w:rPr>
            </w:pPr>
            <w:r>
              <w:rPr>
                <w:rFonts w:hint="eastAsia" w:ascii="宋体" w:hAnsi="宋体"/>
                <w:sz w:val="21"/>
                <w:szCs w:val="21"/>
              </w:rPr>
              <w:t>关于同品牌产品参加同一合同项（或同一包组）投标：</w:t>
            </w:r>
          </w:p>
          <w:p>
            <w:pPr>
              <w:spacing w:line="300" w:lineRule="exact"/>
              <w:jc w:val="left"/>
              <w:rPr>
                <w:rFonts w:ascii="宋体" w:hAnsi="宋体"/>
                <w:bCs/>
                <w:sz w:val="21"/>
                <w:szCs w:val="21"/>
              </w:rPr>
            </w:pPr>
            <w:r>
              <w:rPr>
                <w:rFonts w:ascii="宋体" w:hAnsi="宋体"/>
                <w:bCs/>
                <w:sz w:val="21"/>
                <w:szCs w:val="21"/>
              </w:rPr>
              <w:t>使用综合评分法的采购项目，提供相同品牌产品且通过资格审查、符合性审查的不同投标人参加同一合同项下投标的，按一家投标人计算，评审后得分最高的同品牌投标人获得中标人推荐资格；</w:t>
            </w:r>
          </w:p>
          <w:p>
            <w:pPr>
              <w:spacing w:line="300" w:lineRule="exact"/>
              <w:jc w:val="left"/>
              <w:rPr>
                <w:rFonts w:ascii="宋体" w:hAnsi="宋体"/>
                <w:bCs/>
                <w:sz w:val="21"/>
                <w:szCs w:val="21"/>
              </w:rPr>
            </w:pPr>
            <w:r>
              <w:rPr>
                <w:rFonts w:hint="eastAsia" w:ascii="宋体" w:hAnsi="宋体"/>
                <w:bCs/>
                <w:sz w:val="21"/>
                <w:szCs w:val="21"/>
              </w:rPr>
              <w:t>综合</w:t>
            </w:r>
            <w:r>
              <w:rPr>
                <w:rFonts w:ascii="宋体" w:hAnsi="宋体"/>
                <w:bCs/>
                <w:sz w:val="21"/>
                <w:szCs w:val="21"/>
              </w:rPr>
              <w:t>得分相同的，</w:t>
            </w:r>
            <w:r>
              <w:rPr>
                <w:rFonts w:hint="eastAsia" w:ascii="宋体" w:hAnsi="宋体"/>
                <w:bCs/>
                <w:sz w:val="21"/>
                <w:szCs w:val="21"/>
              </w:rPr>
              <w:t>按下列顺序比较</w:t>
            </w:r>
            <w:r>
              <w:rPr>
                <w:rFonts w:ascii="宋体" w:hAnsi="宋体"/>
                <w:bCs/>
                <w:sz w:val="21"/>
                <w:szCs w:val="21"/>
              </w:rPr>
              <w:t>确定一个投标人获得中标人推荐资格，其他同品牌投标人不作为中标候选人。</w:t>
            </w:r>
            <w:r>
              <w:rPr>
                <w:rFonts w:hint="eastAsia" w:ascii="宋体" w:hAnsi="宋体"/>
                <w:bCs/>
                <w:sz w:val="21"/>
                <w:szCs w:val="21"/>
              </w:rPr>
              <w:t>（1）节能产品；（2）环保产品；（3）投标报价（由低到高）；（4）技术部分得分（由高到低）。</w:t>
            </w:r>
          </w:p>
          <w:p>
            <w:pPr>
              <w:tabs>
                <w:tab w:val="left" w:pos="0"/>
              </w:tabs>
              <w:snapToGrid w:val="0"/>
              <w:spacing w:line="300" w:lineRule="exact"/>
              <w:jc w:val="left"/>
              <w:rPr>
                <w:rFonts w:ascii="宋体" w:hAnsi="宋体"/>
                <w:bCs/>
                <w:sz w:val="21"/>
                <w:szCs w:val="21"/>
              </w:rPr>
            </w:pPr>
            <w:r>
              <w:rPr>
                <w:rFonts w:hint="eastAsia" w:ascii="宋体" w:hAnsi="宋体"/>
                <w:bCs/>
                <w:sz w:val="21"/>
                <w:szCs w:val="21"/>
              </w:rPr>
              <w:t>综合得分相同、投标报价和技术评分均相同的，名次由评标委员会抽签确定。法律法规有明确规定的，以法律法规规定为准。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927" w:type="dxa"/>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Align w:val="center"/>
          </w:tcPr>
          <w:p>
            <w:pPr>
              <w:spacing w:line="300" w:lineRule="exact"/>
              <w:jc w:val="left"/>
              <w:rPr>
                <w:rFonts w:ascii="宋体" w:hAnsi="宋体"/>
                <w:bCs/>
                <w:sz w:val="21"/>
                <w:szCs w:val="21"/>
              </w:rPr>
            </w:pPr>
            <w:r>
              <w:rPr>
                <w:rFonts w:hint="eastAsia" w:ascii="宋体" w:hAnsi="宋体"/>
                <w:bCs/>
                <w:sz w:val="21"/>
                <w:szCs w:val="21"/>
              </w:rPr>
              <w:t>中标候选人原件核查</w:t>
            </w:r>
          </w:p>
        </w:tc>
        <w:tc>
          <w:tcPr>
            <w:tcW w:w="7408" w:type="dxa"/>
            <w:vAlign w:val="center"/>
          </w:tcPr>
          <w:p>
            <w:pPr>
              <w:spacing w:line="300" w:lineRule="exact"/>
              <w:jc w:val="left"/>
              <w:rPr>
                <w:rFonts w:ascii="宋体" w:hAnsi="宋体"/>
                <w:bCs/>
                <w:sz w:val="21"/>
                <w:szCs w:val="21"/>
              </w:rPr>
            </w:pPr>
            <w:r>
              <w:rPr>
                <w:rFonts w:hint="eastAsia" w:ascii="宋体" w:hAnsi="宋体"/>
                <w:bCs/>
                <w:sz w:val="21"/>
                <w:szCs w:val="21"/>
              </w:rPr>
              <w:t>中标结果公示结束后3个工作日内（中</w:t>
            </w:r>
            <w:r>
              <w:rPr>
                <w:rFonts w:ascii="宋体" w:hAnsi="宋体"/>
                <w:bCs/>
                <w:sz w:val="21"/>
                <w:szCs w:val="21"/>
              </w:rPr>
              <w:t>标人</w:t>
            </w:r>
            <w:r>
              <w:rPr>
                <w:rFonts w:hint="eastAsia" w:ascii="宋体" w:hAnsi="宋体"/>
                <w:bCs/>
                <w:sz w:val="21"/>
                <w:szCs w:val="21"/>
              </w:rPr>
              <w:t>可</w:t>
            </w:r>
            <w:r>
              <w:rPr>
                <w:rFonts w:ascii="宋体" w:hAnsi="宋体"/>
                <w:bCs/>
                <w:sz w:val="21"/>
                <w:szCs w:val="21"/>
              </w:rPr>
              <w:t>根据实际情况，以书面形式</w:t>
            </w:r>
            <w:r>
              <w:rPr>
                <w:rFonts w:hint="eastAsia" w:ascii="宋体" w:hAnsi="宋体"/>
                <w:bCs/>
                <w:sz w:val="21"/>
                <w:szCs w:val="21"/>
              </w:rPr>
              <w:t>，</w:t>
            </w:r>
            <w:r>
              <w:rPr>
                <w:rFonts w:ascii="宋体" w:hAnsi="宋体"/>
                <w:bCs/>
                <w:sz w:val="21"/>
                <w:szCs w:val="21"/>
              </w:rPr>
              <w:t>提出延长时间</w:t>
            </w:r>
            <w:r>
              <w:rPr>
                <w:rFonts w:hint="eastAsia" w:ascii="宋体" w:hAnsi="宋体"/>
                <w:bCs/>
                <w:sz w:val="21"/>
                <w:szCs w:val="21"/>
              </w:rPr>
              <w:t>要</w:t>
            </w:r>
            <w:r>
              <w:rPr>
                <w:rFonts w:ascii="宋体" w:hAnsi="宋体"/>
                <w:bCs/>
                <w:sz w:val="21"/>
                <w:szCs w:val="21"/>
              </w:rPr>
              <w:t>求）</w:t>
            </w:r>
            <w:r>
              <w:rPr>
                <w:rFonts w:hint="eastAsia" w:ascii="宋体" w:hAnsi="宋体"/>
                <w:bCs/>
                <w:sz w:val="21"/>
                <w:szCs w:val="21"/>
              </w:rPr>
              <w:t>，中标单位必须提交营业执照、税务登记证、组织机构代码证、</w:t>
            </w:r>
            <w:bookmarkStart w:id="6" w:name="_Hlt129420123"/>
            <w:r>
              <w:rPr>
                <w:rFonts w:hint="eastAsia" w:ascii="宋体" w:hAnsi="宋体"/>
                <w:bCs/>
                <w:sz w:val="21"/>
                <w:szCs w:val="21"/>
              </w:rPr>
              <w:t>法定代表人（及其委托代理人）身份证</w:t>
            </w:r>
            <w:bookmarkEnd w:id="6"/>
            <w:r>
              <w:rPr>
                <w:rFonts w:hint="eastAsia" w:ascii="宋体" w:hAnsi="宋体"/>
                <w:bCs/>
                <w:sz w:val="21"/>
                <w:szCs w:val="21"/>
              </w:rPr>
              <w:t>及相关资质证明文件、业绩合同等投</w:t>
            </w:r>
            <w:r>
              <w:rPr>
                <w:rFonts w:ascii="宋体" w:hAnsi="宋体"/>
                <w:bCs/>
                <w:sz w:val="21"/>
                <w:szCs w:val="21"/>
              </w:rPr>
              <w:t>标文件中所有</w:t>
            </w:r>
            <w:r>
              <w:rPr>
                <w:rFonts w:hint="eastAsia" w:ascii="宋体" w:hAnsi="宋体"/>
                <w:bCs/>
                <w:sz w:val="21"/>
                <w:szCs w:val="21"/>
              </w:rPr>
              <w:t>证明文件原件到采购代理机构进行核对（如投标人授权其分支机构进行项目实施或提供售后服务的，需提供投标人与分支机构关系的法律证明材料），无</w:t>
            </w:r>
            <w:r>
              <w:rPr>
                <w:rFonts w:ascii="宋体" w:hAnsi="宋体"/>
                <w:bCs/>
                <w:sz w:val="21"/>
                <w:szCs w:val="21"/>
              </w:rPr>
              <w:t>法提供核对或</w:t>
            </w:r>
            <w:r>
              <w:rPr>
                <w:rFonts w:hint="eastAsia" w:ascii="宋体" w:hAnsi="宋体"/>
                <w:bCs/>
                <w:sz w:val="21"/>
                <w:szCs w:val="21"/>
              </w:rPr>
              <w:t>经核对后存</w:t>
            </w:r>
            <w:r>
              <w:rPr>
                <w:rFonts w:ascii="宋体" w:hAnsi="宋体"/>
                <w:bCs/>
                <w:sz w:val="21"/>
                <w:szCs w:val="21"/>
              </w:rPr>
              <w:t>在造假行为的，按规定上报监督部门，取消其中标资</w:t>
            </w:r>
            <w:r>
              <w:rPr>
                <w:rFonts w:hint="eastAsia" w:ascii="宋体" w:hAnsi="宋体"/>
                <w:bCs/>
                <w:sz w:val="21"/>
                <w:szCs w:val="21"/>
              </w:rPr>
              <w:t>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927" w:type="dxa"/>
            <w:vMerge w:val="restart"/>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Merge w:val="restart"/>
            <w:vAlign w:val="center"/>
          </w:tcPr>
          <w:p>
            <w:pPr>
              <w:spacing w:line="300" w:lineRule="exact"/>
              <w:jc w:val="left"/>
              <w:rPr>
                <w:rFonts w:ascii="宋体" w:hAnsi="宋体"/>
                <w:bCs/>
                <w:sz w:val="21"/>
                <w:szCs w:val="21"/>
              </w:rPr>
            </w:pPr>
            <w:r>
              <w:rPr>
                <w:rFonts w:hint="eastAsia" w:hAnsi="宋体"/>
                <w:sz w:val="21"/>
                <w:szCs w:val="21"/>
              </w:rPr>
              <w:t>招标代理服务费</w:t>
            </w:r>
          </w:p>
        </w:tc>
        <w:tc>
          <w:tcPr>
            <w:tcW w:w="7408" w:type="dxa"/>
            <w:vAlign w:val="center"/>
          </w:tcPr>
          <w:p>
            <w:pPr>
              <w:autoSpaceDE w:val="0"/>
              <w:autoSpaceDN w:val="0"/>
              <w:adjustRightInd w:val="0"/>
              <w:jc w:val="left"/>
              <w:rPr>
                <w:rFonts w:ascii="宋体" w:hAnsi="Times New Roman" w:cs="宋体"/>
                <w:kern w:val="0"/>
                <w:sz w:val="21"/>
                <w:szCs w:val="21"/>
              </w:rPr>
            </w:pPr>
            <w:r>
              <w:rPr>
                <w:rFonts w:hint="eastAsia" w:ascii="宋体" w:hAnsi="Times New Roman" w:cs="宋体"/>
                <w:kern w:val="0"/>
                <w:sz w:val="21"/>
                <w:szCs w:val="21"/>
              </w:rPr>
              <w:t>中标人须向采购代理机构按如下标准和规定缴纳招标代理服务费：</w:t>
            </w:r>
          </w:p>
          <w:p>
            <w:pPr>
              <w:autoSpaceDE w:val="0"/>
              <w:autoSpaceDN w:val="0"/>
              <w:adjustRightInd w:val="0"/>
              <w:jc w:val="left"/>
              <w:rPr>
                <w:rFonts w:ascii="宋体" w:hAnsi="Times New Roman" w:cs="宋体"/>
                <w:kern w:val="0"/>
                <w:sz w:val="21"/>
                <w:szCs w:val="21"/>
              </w:rPr>
            </w:pPr>
            <w:r>
              <w:rPr>
                <w:rFonts w:hint="eastAsia" w:ascii="宋体" w:hAnsi="Times New Roman" w:cs="宋体"/>
                <w:kern w:val="0"/>
                <w:sz w:val="21"/>
                <w:szCs w:val="21"/>
              </w:rPr>
              <w:t>（1）以项目中标金额作为招标代理服务费的计算基数；</w:t>
            </w:r>
          </w:p>
          <w:p>
            <w:pPr>
              <w:spacing w:line="300" w:lineRule="exact"/>
              <w:jc w:val="left"/>
              <w:rPr>
                <w:rFonts w:ascii="宋体" w:hAnsi="Times New Roman" w:cs="宋体"/>
                <w:kern w:val="0"/>
                <w:sz w:val="21"/>
                <w:szCs w:val="21"/>
              </w:rPr>
            </w:pPr>
            <w:r>
              <w:rPr>
                <w:rFonts w:hint="eastAsia" w:ascii="宋体" w:hAnsi="Times New Roman" w:cs="宋体"/>
                <w:kern w:val="0"/>
                <w:sz w:val="21"/>
                <w:szCs w:val="21"/>
              </w:rPr>
              <w:t>（2）招标</w:t>
            </w:r>
            <w:r>
              <w:rPr>
                <w:rFonts w:hint="eastAsia" w:hAnsi="宋体"/>
                <w:sz w:val="21"/>
                <w:szCs w:val="21"/>
              </w:rPr>
              <w:t>代理</w:t>
            </w:r>
            <w:r>
              <w:rPr>
                <w:rFonts w:hint="eastAsia" w:ascii="宋体" w:hAnsi="Times New Roman" w:cs="宋体"/>
                <w:kern w:val="0"/>
                <w:sz w:val="21"/>
                <w:szCs w:val="21"/>
              </w:rPr>
              <w:t>服务费采用差额定率累进法进行计算，按照以下标准计取：</w:t>
            </w:r>
          </w:p>
          <w:p>
            <w:pPr>
              <w:autoSpaceDE w:val="0"/>
              <w:autoSpaceDN w:val="0"/>
              <w:adjustRightInd w:val="0"/>
              <w:jc w:val="left"/>
              <w:rPr>
                <w:rFonts w:ascii="宋体" w:hAnsi="Times New Roman" w:cs="宋体"/>
                <w:kern w:val="0"/>
                <w:sz w:val="21"/>
                <w:szCs w:val="21"/>
              </w:rPr>
            </w:pPr>
            <w:r>
              <w:rPr>
                <w:rFonts w:hint="eastAsia" w:ascii="宋体" w:hAnsi="Times New Roman" w:cs="宋体"/>
                <w:kern w:val="0"/>
                <w:sz w:val="21"/>
                <w:szCs w:val="21"/>
              </w:rPr>
              <w:t>100万元以下的部分，按照1.5%计取；</w:t>
            </w:r>
          </w:p>
          <w:p>
            <w:pPr>
              <w:autoSpaceDE w:val="0"/>
              <w:autoSpaceDN w:val="0"/>
              <w:adjustRightInd w:val="0"/>
              <w:jc w:val="left"/>
              <w:rPr>
                <w:rFonts w:ascii="宋体" w:hAnsi="Times New Roman" w:cs="宋体"/>
                <w:kern w:val="0"/>
                <w:sz w:val="21"/>
                <w:szCs w:val="21"/>
              </w:rPr>
            </w:pPr>
            <w:r>
              <w:rPr>
                <w:rFonts w:hint="eastAsia" w:ascii="宋体" w:hAnsi="Times New Roman" w:cs="宋体"/>
                <w:kern w:val="0"/>
                <w:sz w:val="21"/>
                <w:szCs w:val="21"/>
              </w:rPr>
              <w:t>100-500万元的部分，按照1.1%计取；</w:t>
            </w:r>
          </w:p>
          <w:p>
            <w:pPr>
              <w:autoSpaceDE w:val="0"/>
              <w:autoSpaceDN w:val="0"/>
              <w:adjustRightInd w:val="0"/>
              <w:jc w:val="left"/>
              <w:rPr>
                <w:rFonts w:ascii="宋体" w:hAnsi="Times New Roman" w:cs="宋体"/>
                <w:kern w:val="0"/>
                <w:sz w:val="21"/>
                <w:szCs w:val="21"/>
              </w:rPr>
            </w:pPr>
            <w:r>
              <w:rPr>
                <w:rFonts w:hint="eastAsia" w:ascii="宋体" w:hAnsi="Times New Roman" w:cs="宋体"/>
                <w:kern w:val="0"/>
                <w:sz w:val="21"/>
                <w:szCs w:val="21"/>
              </w:rPr>
              <w:t>500-1000万元的部分，按照0.8%计取；</w:t>
            </w:r>
          </w:p>
          <w:p>
            <w:pPr>
              <w:autoSpaceDE w:val="0"/>
              <w:autoSpaceDN w:val="0"/>
              <w:adjustRightInd w:val="0"/>
              <w:jc w:val="left"/>
              <w:rPr>
                <w:rFonts w:ascii="宋体" w:hAnsi="Times New Roman" w:cs="宋体"/>
                <w:kern w:val="0"/>
                <w:sz w:val="21"/>
                <w:szCs w:val="21"/>
              </w:rPr>
            </w:pPr>
            <w:r>
              <w:rPr>
                <w:rFonts w:hint="eastAsia" w:ascii="宋体" w:hAnsi="Times New Roman" w:cs="宋体"/>
                <w:kern w:val="0"/>
                <w:sz w:val="21"/>
                <w:szCs w:val="21"/>
              </w:rPr>
              <w:t>1000-5000万元的部分，按照0.5%计取。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927" w:type="dxa"/>
            <w:vMerge w:val="continue"/>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Merge w:val="continue"/>
            <w:vAlign w:val="center"/>
          </w:tcPr>
          <w:p>
            <w:pPr>
              <w:spacing w:line="300" w:lineRule="exact"/>
              <w:jc w:val="left"/>
              <w:rPr>
                <w:rFonts w:ascii="宋体" w:hAnsi="宋体"/>
                <w:bCs/>
                <w:sz w:val="21"/>
                <w:szCs w:val="21"/>
              </w:rPr>
            </w:pPr>
          </w:p>
        </w:tc>
        <w:tc>
          <w:tcPr>
            <w:tcW w:w="7408" w:type="dxa"/>
            <w:vAlign w:val="center"/>
          </w:tcPr>
          <w:p>
            <w:pPr>
              <w:tabs>
                <w:tab w:val="left" w:pos="0"/>
              </w:tabs>
              <w:snapToGrid w:val="0"/>
              <w:spacing w:line="300" w:lineRule="exact"/>
              <w:jc w:val="left"/>
              <w:rPr>
                <w:rFonts w:ascii="宋体" w:hAnsi="宋体"/>
                <w:bCs/>
                <w:sz w:val="21"/>
                <w:szCs w:val="21"/>
              </w:rPr>
            </w:pPr>
            <w:r>
              <w:rPr>
                <w:rFonts w:hint="eastAsia" w:ascii="宋体" w:hAnsi="宋体"/>
                <w:bCs/>
                <w:sz w:val="21"/>
                <w:szCs w:val="21"/>
              </w:rPr>
              <w:t>中标人应在《付款通知书》发出之日起五个工作日内将招标代理服务费存入指定账户，凭已盖银行收款章的进账单、中标单位开具的证明及身份证明原件到采购代理机构领取《中标通知书》。</w:t>
            </w:r>
          </w:p>
          <w:p>
            <w:pPr>
              <w:spacing w:line="300" w:lineRule="exact"/>
              <w:jc w:val="left"/>
              <w:rPr>
                <w:rFonts w:ascii="宋体" w:hAnsi="宋体"/>
                <w:sz w:val="21"/>
                <w:szCs w:val="21"/>
              </w:rPr>
            </w:pPr>
            <w:r>
              <w:rPr>
                <w:rFonts w:hint="eastAsia" w:ascii="宋体" w:hAnsi="宋体"/>
                <w:bCs/>
                <w:sz w:val="21"/>
                <w:szCs w:val="21"/>
              </w:rPr>
              <w:t>服务费以转账或现金的形式支付，银行账号另行通知。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927" w:type="dxa"/>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Align w:val="center"/>
          </w:tcPr>
          <w:p>
            <w:pPr>
              <w:spacing w:line="300" w:lineRule="exact"/>
              <w:jc w:val="left"/>
              <w:rPr>
                <w:rFonts w:ascii="宋体" w:hAnsi="宋体"/>
                <w:bCs/>
                <w:sz w:val="21"/>
                <w:szCs w:val="21"/>
              </w:rPr>
            </w:pPr>
            <w:r>
              <w:rPr>
                <w:rFonts w:hint="eastAsia" w:ascii="宋体" w:hAnsi="宋体"/>
                <w:sz w:val="21"/>
                <w:szCs w:val="21"/>
              </w:rPr>
              <w:t>履约保证金</w:t>
            </w:r>
          </w:p>
        </w:tc>
        <w:tc>
          <w:tcPr>
            <w:tcW w:w="7408" w:type="dxa"/>
            <w:vAlign w:val="center"/>
          </w:tcPr>
          <w:p>
            <w:pPr>
              <w:tabs>
                <w:tab w:val="left" w:pos="0"/>
              </w:tabs>
              <w:snapToGrid w:val="0"/>
              <w:spacing w:line="300" w:lineRule="exact"/>
              <w:jc w:val="left"/>
              <w:rPr>
                <w:sz w:val="21"/>
                <w:szCs w:val="21"/>
              </w:rPr>
            </w:pPr>
            <w:r>
              <w:rPr>
                <w:rFonts w:hint="eastAsia"/>
                <w:sz w:val="21"/>
                <w:szCs w:val="21"/>
              </w:rPr>
              <w:t>中标金额的5%。</w:t>
            </w:r>
          </w:p>
          <w:p>
            <w:pPr>
              <w:tabs>
                <w:tab w:val="left" w:pos="0"/>
              </w:tabs>
              <w:snapToGrid w:val="0"/>
              <w:spacing w:line="300" w:lineRule="exact"/>
              <w:jc w:val="left"/>
              <w:rPr>
                <w:sz w:val="21"/>
                <w:szCs w:val="21"/>
              </w:rPr>
            </w:pPr>
            <w:r>
              <w:rPr>
                <w:rFonts w:hint="eastAsia"/>
                <w:sz w:val="21"/>
                <w:szCs w:val="21"/>
              </w:rPr>
              <w:t>中标人在收到采购代理机构的《中标通知书》后30日内，应按以上规定的金额，采用履约保证金保函或采购人可以接受的其他形式向采购人提交履约保证金。</w:t>
            </w:r>
          </w:p>
          <w:p>
            <w:pPr>
              <w:pStyle w:val="55"/>
              <w:ind w:firstLine="0" w:firstLineChars="0"/>
              <w:rPr>
                <w:sz w:val="21"/>
                <w:szCs w:val="21"/>
              </w:rPr>
            </w:pPr>
            <w:r>
              <w:rPr>
                <w:rFonts w:hint="eastAsia" w:ascii="宋体" w:hAnsi="Times New Roman" w:cs="宋体"/>
                <w:b/>
                <w:bCs/>
                <w:kern w:val="0"/>
                <w:sz w:val="21"/>
                <w:szCs w:val="21"/>
                <w:u w:val="single"/>
              </w:rPr>
              <w:t>注:保证金可使用保函形式或汇款形式提交,相应办理可咨询代理公司报名处.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927" w:type="dxa"/>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Align w:val="center"/>
          </w:tcPr>
          <w:p>
            <w:pPr>
              <w:spacing w:line="300" w:lineRule="exact"/>
              <w:jc w:val="left"/>
              <w:rPr>
                <w:rFonts w:ascii="宋体" w:hAnsi="宋体"/>
                <w:sz w:val="21"/>
                <w:szCs w:val="21"/>
              </w:rPr>
            </w:pPr>
            <w:r>
              <w:rPr>
                <w:rFonts w:hint="eastAsia" w:ascii="宋体" w:hAnsi="宋体"/>
                <w:sz w:val="21"/>
                <w:szCs w:val="21"/>
              </w:rPr>
              <w:t>关于</w:t>
            </w:r>
            <w:r>
              <w:rPr>
                <w:rFonts w:ascii="宋体" w:hAnsi="宋体"/>
                <w:sz w:val="21"/>
                <w:szCs w:val="21"/>
              </w:rPr>
              <w:t>政府采购信用担保</w:t>
            </w:r>
          </w:p>
        </w:tc>
        <w:tc>
          <w:tcPr>
            <w:tcW w:w="7408" w:type="dxa"/>
            <w:vAlign w:val="center"/>
          </w:tcPr>
          <w:p>
            <w:pPr>
              <w:tabs>
                <w:tab w:val="left" w:pos="0"/>
              </w:tabs>
              <w:snapToGrid w:val="0"/>
              <w:spacing w:line="300" w:lineRule="exact"/>
              <w:jc w:val="left"/>
              <w:rPr>
                <w:rFonts w:ascii="宋体" w:hAnsi="宋体"/>
                <w:bCs/>
                <w:sz w:val="21"/>
                <w:szCs w:val="21"/>
              </w:rPr>
            </w:pPr>
            <w:r>
              <w:rPr>
                <w:rFonts w:hint="eastAsia" w:ascii="宋体" w:hAnsi="宋体"/>
                <w:b/>
                <w:bCs/>
                <w:sz w:val="21"/>
                <w:szCs w:val="21"/>
              </w:rPr>
              <w:t>1)履约保函</w:t>
            </w:r>
            <w:r>
              <w:rPr>
                <w:rFonts w:hint="eastAsia" w:ascii="宋体" w:hAnsi="宋体"/>
                <w:bCs/>
                <w:sz w:val="21"/>
                <w:szCs w:val="21"/>
              </w:rPr>
              <w:t>应是合法经营的银行机构出具的银行保函，非东莞市范围内银行出具的履约保函必须附上当地公证部门出具的公证文件。履约保函的内容，应符合招标文件、投标响应文件和采购合同的要求。履约保函应在采购合同有效期满后28天内继续有效。</w:t>
            </w:r>
          </w:p>
          <w:p>
            <w:pPr>
              <w:tabs>
                <w:tab w:val="left" w:pos="0"/>
              </w:tabs>
              <w:snapToGrid w:val="0"/>
              <w:spacing w:line="300" w:lineRule="exact"/>
              <w:ind w:firstLine="420" w:firstLineChars="200"/>
              <w:jc w:val="left"/>
              <w:rPr>
                <w:rFonts w:ascii="宋体" w:hAnsi="宋体"/>
                <w:bCs/>
                <w:sz w:val="21"/>
                <w:szCs w:val="21"/>
              </w:rPr>
            </w:pPr>
            <w:r>
              <w:rPr>
                <w:rFonts w:ascii="宋体" w:hAnsi="宋体"/>
                <w:bCs/>
                <w:sz w:val="21"/>
                <w:szCs w:val="21"/>
              </w:rPr>
              <w:t>若中标人不按</w:t>
            </w:r>
            <w:r>
              <w:rPr>
                <w:rFonts w:hint="eastAsia" w:ascii="宋体" w:hAnsi="宋体"/>
                <w:bCs/>
                <w:sz w:val="21"/>
                <w:szCs w:val="21"/>
              </w:rPr>
              <w:t>规定提交履约保证金</w:t>
            </w:r>
            <w:r>
              <w:rPr>
                <w:rFonts w:ascii="宋体" w:hAnsi="宋体"/>
                <w:bCs/>
                <w:sz w:val="21"/>
                <w:szCs w:val="21"/>
              </w:rPr>
              <w:t>，</w:t>
            </w:r>
            <w:r>
              <w:rPr>
                <w:rFonts w:hint="eastAsia" w:ascii="宋体" w:hAnsi="宋体"/>
                <w:bCs/>
                <w:sz w:val="21"/>
                <w:szCs w:val="21"/>
              </w:rPr>
              <w:t>采购人</w:t>
            </w:r>
            <w:r>
              <w:rPr>
                <w:rFonts w:ascii="宋体" w:hAnsi="宋体"/>
                <w:bCs/>
                <w:sz w:val="21"/>
                <w:szCs w:val="21"/>
              </w:rPr>
              <w:t>将有充分的理由解除合同，给</w:t>
            </w:r>
            <w:r>
              <w:rPr>
                <w:rFonts w:hint="eastAsia" w:ascii="宋体" w:hAnsi="宋体"/>
                <w:bCs/>
                <w:sz w:val="21"/>
                <w:szCs w:val="21"/>
              </w:rPr>
              <w:t>采购人</w:t>
            </w:r>
            <w:r>
              <w:rPr>
                <w:rFonts w:ascii="宋体" w:hAnsi="宋体"/>
                <w:bCs/>
                <w:sz w:val="21"/>
                <w:szCs w:val="21"/>
              </w:rPr>
              <w:t>造成的损失，还应当予以赔偿。</w:t>
            </w:r>
          </w:p>
          <w:p>
            <w:pPr>
              <w:tabs>
                <w:tab w:val="left" w:pos="0"/>
              </w:tabs>
              <w:snapToGrid w:val="0"/>
              <w:spacing w:line="300" w:lineRule="exact"/>
              <w:jc w:val="left"/>
              <w:rPr>
                <w:rFonts w:ascii="宋体" w:hAnsi="宋体"/>
                <w:bCs/>
                <w:sz w:val="21"/>
                <w:szCs w:val="21"/>
              </w:rPr>
            </w:pPr>
            <w:r>
              <w:rPr>
                <w:rFonts w:hint="eastAsia" w:ascii="宋体" w:hAnsi="宋体"/>
                <w:b/>
                <w:bCs/>
                <w:sz w:val="21"/>
                <w:szCs w:val="21"/>
              </w:rPr>
              <w:t>2)融资担保：</w:t>
            </w:r>
            <w:r>
              <w:rPr>
                <w:rFonts w:hint="eastAsia" w:ascii="宋体" w:hAnsi="宋体"/>
                <w:bCs/>
                <w:sz w:val="21"/>
                <w:szCs w:val="21"/>
              </w:rPr>
              <w:t>根据东莞市财政局《关于进一步推进政府采购信用担保工作的通知》（东财[2018]189号）规定，中标人可以选择是否采取信用担保融资的形式为政府采购项目履约进行融资。各投标人可自主决定是否使用信用担保方式，并选择担保机构提供的任何一种信用担保品种，财政部门、采购代理机构、采购人不得进行干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927" w:type="dxa"/>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Align w:val="center"/>
          </w:tcPr>
          <w:p>
            <w:pPr>
              <w:spacing w:line="300" w:lineRule="exact"/>
              <w:jc w:val="left"/>
              <w:rPr>
                <w:rFonts w:ascii="宋体" w:hAnsi="宋体"/>
                <w:sz w:val="21"/>
                <w:szCs w:val="21"/>
              </w:rPr>
            </w:pPr>
            <w:r>
              <w:rPr>
                <w:rFonts w:hint="eastAsia" w:ascii="宋体" w:hAnsi="宋体"/>
                <w:sz w:val="21"/>
                <w:szCs w:val="21"/>
              </w:rPr>
              <w:t>关于</w:t>
            </w:r>
            <w:r>
              <w:rPr>
                <w:rFonts w:ascii="宋体" w:hAnsi="宋体"/>
                <w:sz w:val="21"/>
                <w:szCs w:val="21"/>
              </w:rPr>
              <w:t>投标人信用信息</w:t>
            </w:r>
          </w:p>
        </w:tc>
        <w:tc>
          <w:tcPr>
            <w:tcW w:w="7408" w:type="dxa"/>
            <w:vAlign w:val="center"/>
          </w:tcPr>
          <w:p>
            <w:pPr>
              <w:tabs>
                <w:tab w:val="left" w:pos="0"/>
              </w:tabs>
              <w:snapToGrid w:val="0"/>
              <w:spacing w:line="300" w:lineRule="exact"/>
              <w:jc w:val="left"/>
              <w:rPr>
                <w:rFonts w:ascii="宋体" w:hAnsi="宋体"/>
                <w:bCs/>
                <w:sz w:val="21"/>
                <w:szCs w:val="21"/>
              </w:rPr>
            </w:pPr>
            <w:r>
              <w:rPr>
                <w:rFonts w:hint="eastAsia" w:ascii="宋体" w:hAnsi="宋体"/>
                <w:bCs/>
                <w:sz w:val="21"/>
                <w:szCs w:val="21"/>
              </w:rPr>
              <w:t>采购代理机构在开标当日</w:t>
            </w:r>
            <w:r>
              <w:rPr>
                <w:rFonts w:ascii="宋体" w:hAnsi="宋体"/>
                <w:bCs/>
                <w:sz w:val="21"/>
                <w:szCs w:val="21"/>
              </w:rPr>
              <w:t>通过“信用中国”网站（www.creditchina.gov.cn）、中国政府采购网（www.ccgp.gov.cn）查询</w:t>
            </w:r>
            <w:r>
              <w:rPr>
                <w:rFonts w:hint="eastAsia" w:ascii="宋体" w:hAnsi="宋体"/>
                <w:bCs/>
                <w:sz w:val="21"/>
                <w:szCs w:val="21"/>
              </w:rPr>
              <w:t>供应商信用记录。</w:t>
            </w:r>
          </w:p>
          <w:p>
            <w:pPr>
              <w:tabs>
                <w:tab w:val="left" w:pos="0"/>
              </w:tabs>
              <w:snapToGrid w:val="0"/>
              <w:spacing w:line="300" w:lineRule="exact"/>
              <w:jc w:val="left"/>
              <w:rPr>
                <w:rFonts w:ascii="宋体" w:hAnsi="宋体"/>
                <w:bCs/>
                <w:sz w:val="21"/>
                <w:szCs w:val="21"/>
              </w:rPr>
            </w:pPr>
            <w:r>
              <w:rPr>
                <w:rFonts w:ascii="宋体" w:hAnsi="宋体"/>
                <w:bCs/>
                <w:sz w:val="21"/>
                <w:szCs w:val="21"/>
              </w:rPr>
              <w:t>对列入失信被执行人、重大税收违法案件当事人名单、政府采购严重违法失信行为记录名单</w:t>
            </w:r>
            <w:r>
              <w:rPr>
                <w:rFonts w:hint="eastAsia" w:ascii="宋体" w:hAnsi="宋体"/>
                <w:bCs/>
                <w:sz w:val="21"/>
                <w:szCs w:val="21"/>
              </w:rPr>
              <w:t>、处于禁止参加政府采购活动期间</w:t>
            </w:r>
            <w:r>
              <w:rPr>
                <w:rFonts w:ascii="宋体" w:hAnsi="宋体"/>
                <w:bCs/>
                <w:sz w:val="21"/>
                <w:szCs w:val="21"/>
              </w:rPr>
              <w:t>及其他不符合《中华人民共和国政府采购法》第二十二条规定条件的供应商，拒绝其参与政府采购活动</w:t>
            </w:r>
            <w:r>
              <w:rPr>
                <w:rFonts w:hint="eastAsia" w:ascii="宋体" w:hAnsi="宋体"/>
                <w:bCs/>
                <w:sz w:val="21"/>
                <w:szCs w:val="21"/>
              </w:rPr>
              <w:t>。（处罚期限届满的除外</w:t>
            </w:r>
            <w:r>
              <w:rPr>
                <w:rFonts w:hint="eastAsia" w:ascii="宋体" w:hAnsi="宋体" w:cs="宋体"/>
                <w:sz w:val="21"/>
                <w:szCs w:val="21"/>
              </w:rPr>
              <w:t>，如“信用中国”网站、</w:t>
            </w:r>
            <w:r>
              <w:rPr>
                <w:rFonts w:ascii="宋体" w:hAnsi="宋体"/>
                <w:bCs/>
                <w:sz w:val="21"/>
                <w:szCs w:val="21"/>
              </w:rPr>
              <w:t>中国政府采购网</w:t>
            </w:r>
            <w:r>
              <w:rPr>
                <w:rFonts w:hint="eastAsia" w:ascii="宋体" w:hAnsi="宋体"/>
                <w:bCs/>
                <w:sz w:val="21"/>
                <w:szCs w:val="21"/>
              </w:rPr>
              <w:t>网站</w:t>
            </w:r>
            <w:r>
              <w:rPr>
                <w:rFonts w:hint="eastAsia" w:ascii="宋体" w:hAnsi="宋体" w:cs="宋体"/>
                <w:sz w:val="21"/>
                <w:szCs w:val="21"/>
              </w:rPr>
              <w:t>查询结果显示“没查到您要的信息”，视为没有上述不良信用记录</w:t>
            </w:r>
            <w:r>
              <w:rPr>
                <w:rFonts w:hint="eastAsia" w:ascii="宋体" w:hAnsi="宋体"/>
                <w:bCs/>
                <w:sz w:val="21"/>
                <w:szCs w:val="21"/>
              </w:rPr>
              <w:t>）</w:t>
            </w:r>
          </w:p>
          <w:p>
            <w:pPr>
              <w:spacing w:line="300" w:lineRule="exact"/>
              <w:jc w:val="left"/>
              <w:rPr>
                <w:sz w:val="21"/>
                <w:szCs w:val="21"/>
              </w:rPr>
            </w:pPr>
            <w:r>
              <w:rPr>
                <w:rFonts w:hint="eastAsia" w:ascii="宋体" w:hAnsi="宋体"/>
                <w:bCs/>
                <w:sz w:val="21"/>
                <w:szCs w:val="21"/>
              </w:rPr>
              <w:t>采购代理机构将</w:t>
            </w:r>
            <w:r>
              <w:rPr>
                <w:rFonts w:hint="eastAsia"/>
                <w:sz w:val="21"/>
                <w:szCs w:val="21"/>
              </w:rPr>
              <w:t>信用信息查询记录和证据打印留存，信用信息查询记录及相关证据与其他采购文件一并保存。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927" w:type="dxa"/>
            <w:vAlign w:val="center"/>
          </w:tcPr>
          <w:p>
            <w:pPr>
              <w:numPr>
                <w:ilvl w:val="0"/>
                <w:numId w:val="5"/>
              </w:numPr>
              <w:tabs>
                <w:tab w:val="left" w:pos="2552"/>
              </w:tabs>
              <w:spacing w:line="300" w:lineRule="exact"/>
              <w:ind w:left="317" w:firstLine="0"/>
              <w:jc w:val="left"/>
              <w:rPr>
                <w:rFonts w:ascii="宋体" w:hAnsi="宋体"/>
                <w:sz w:val="21"/>
                <w:szCs w:val="21"/>
              </w:rPr>
            </w:pPr>
          </w:p>
        </w:tc>
        <w:tc>
          <w:tcPr>
            <w:tcW w:w="1097" w:type="dxa"/>
            <w:vAlign w:val="center"/>
          </w:tcPr>
          <w:p>
            <w:pPr>
              <w:spacing w:line="300" w:lineRule="exact"/>
              <w:jc w:val="left"/>
              <w:rPr>
                <w:rFonts w:ascii="宋体" w:hAnsi="宋体"/>
                <w:sz w:val="21"/>
                <w:szCs w:val="21"/>
              </w:rPr>
            </w:pPr>
            <w:r>
              <w:rPr>
                <w:rFonts w:hint="eastAsia" w:ascii="宋体" w:hAnsi="宋体"/>
                <w:sz w:val="21"/>
                <w:szCs w:val="21"/>
              </w:rPr>
              <w:t>其他</w:t>
            </w:r>
          </w:p>
        </w:tc>
        <w:tc>
          <w:tcPr>
            <w:tcW w:w="7408" w:type="dxa"/>
            <w:vAlign w:val="center"/>
          </w:tcPr>
          <w:p>
            <w:pPr>
              <w:tabs>
                <w:tab w:val="left" w:pos="0"/>
              </w:tabs>
              <w:snapToGrid w:val="0"/>
              <w:spacing w:line="300" w:lineRule="exact"/>
              <w:jc w:val="left"/>
              <w:rPr>
                <w:rFonts w:ascii="宋体" w:hAnsi="宋体"/>
                <w:bCs/>
                <w:sz w:val="21"/>
                <w:szCs w:val="21"/>
              </w:rPr>
            </w:pPr>
            <w:r>
              <w:rPr>
                <w:rFonts w:hint="eastAsia" w:ascii="宋体" w:hAnsi="宋体"/>
                <w:bCs/>
                <w:sz w:val="21"/>
                <w:szCs w:val="21"/>
              </w:rPr>
              <w:t>本项目不接受备选投标方案，不接受有任何选择或具有附加条件的报价，投标文件的报价只允许唯一方案报价。</w:t>
            </w:r>
          </w:p>
        </w:tc>
      </w:tr>
    </w:tbl>
    <w:p>
      <w:pPr>
        <w:spacing w:line="360" w:lineRule="auto"/>
        <w:ind w:firstLine="420" w:firstLineChars="200"/>
        <w:jc w:val="left"/>
        <w:rPr>
          <w:rFonts w:ascii="宋体" w:hAnsi="宋体"/>
          <w:sz w:val="21"/>
          <w:szCs w:val="21"/>
        </w:rPr>
      </w:pPr>
    </w:p>
    <w:p>
      <w:pPr>
        <w:spacing w:line="360" w:lineRule="auto"/>
        <w:ind w:firstLine="422" w:firstLineChars="200"/>
        <w:jc w:val="left"/>
        <w:rPr>
          <w:rFonts w:ascii="宋体" w:hAnsi="宋体"/>
          <w:b/>
          <w:sz w:val="21"/>
          <w:szCs w:val="21"/>
        </w:rPr>
      </w:pPr>
      <w:r>
        <w:rPr>
          <w:rFonts w:hint="eastAsia" w:ascii="宋体" w:hAnsi="宋体"/>
          <w:b/>
          <w:sz w:val="21"/>
          <w:szCs w:val="21"/>
        </w:rPr>
        <w:t>投标人必须认真阅读投标须知的内容，以免造成投标失败。</w:t>
      </w:r>
    </w:p>
    <w:p>
      <w:pPr>
        <w:widowControl/>
        <w:jc w:val="left"/>
        <w:rPr>
          <w:rFonts w:ascii="宋体" w:hAnsi="宋体"/>
          <w:b/>
          <w:bCs/>
          <w:sz w:val="21"/>
          <w:szCs w:val="21"/>
        </w:rPr>
      </w:pPr>
      <w:r>
        <w:rPr>
          <w:rFonts w:ascii="宋体" w:hAnsi="宋体"/>
          <w:b/>
          <w:bCs/>
          <w:sz w:val="21"/>
          <w:szCs w:val="21"/>
        </w:rPr>
        <w:br w:type="page"/>
      </w:r>
    </w:p>
    <w:p>
      <w:pPr>
        <w:numPr>
          <w:ilvl w:val="0"/>
          <w:numId w:val="11"/>
        </w:numPr>
        <w:spacing w:line="360" w:lineRule="auto"/>
        <w:jc w:val="center"/>
        <w:outlineLvl w:val="1"/>
        <w:rPr>
          <w:rFonts w:ascii="宋体" w:hAnsi="宋体"/>
          <w:b/>
          <w:bCs/>
          <w:sz w:val="21"/>
          <w:szCs w:val="21"/>
        </w:rPr>
      </w:pPr>
      <w:bookmarkStart w:id="7" w:name="_Toc368513758"/>
      <w:bookmarkStart w:id="8" w:name="_Toc14041"/>
      <w:r>
        <w:rPr>
          <w:rFonts w:hint="eastAsia" w:ascii="宋体" w:hAnsi="宋体"/>
          <w:b/>
          <w:bCs/>
          <w:sz w:val="21"/>
          <w:szCs w:val="21"/>
        </w:rPr>
        <w:t>总则</w:t>
      </w:r>
      <w:bookmarkEnd w:id="7"/>
      <w:bookmarkEnd w:id="8"/>
    </w:p>
    <w:p>
      <w:pPr>
        <w:numPr>
          <w:ilvl w:val="0"/>
          <w:numId w:val="12"/>
        </w:numPr>
        <w:snapToGrid w:val="0"/>
        <w:spacing w:line="360" w:lineRule="auto"/>
        <w:jc w:val="left"/>
        <w:outlineLvl w:val="2"/>
        <w:rPr>
          <w:rFonts w:ascii="宋体" w:hAnsi="宋体"/>
          <w:b/>
          <w:bCs/>
          <w:sz w:val="21"/>
          <w:szCs w:val="21"/>
        </w:rPr>
      </w:pPr>
      <w:bookmarkStart w:id="9" w:name="_Toc368513759"/>
      <w:bookmarkStart w:id="10" w:name="_Toc367012631"/>
      <w:r>
        <w:rPr>
          <w:rFonts w:hint="eastAsia" w:ascii="宋体" w:hAnsi="宋体"/>
          <w:b/>
          <w:bCs/>
          <w:sz w:val="21"/>
          <w:szCs w:val="21"/>
        </w:rPr>
        <w:t>适用范围</w:t>
      </w:r>
      <w:bookmarkEnd w:id="9"/>
      <w:bookmarkEnd w:id="10"/>
    </w:p>
    <w:p>
      <w:pPr>
        <w:numPr>
          <w:ilvl w:val="1"/>
          <w:numId w:val="13"/>
        </w:numPr>
        <w:tabs>
          <w:tab w:val="left" w:pos="426"/>
        </w:tabs>
        <w:snapToGrid w:val="0"/>
        <w:spacing w:line="360" w:lineRule="auto"/>
        <w:ind w:hanging="386"/>
        <w:jc w:val="left"/>
        <w:rPr>
          <w:rFonts w:ascii="宋体" w:hAnsi="宋体"/>
          <w:sz w:val="21"/>
          <w:szCs w:val="21"/>
        </w:rPr>
      </w:pPr>
      <w:r>
        <w:rPr>
          <w:rFonts w:hint="eastAsia" w:ascii="宋体" w:hAnsi="宋体"/>
          <w:sz w:val="21"/>
          <w:szCs w:val="21"/>
        </w:rPr>
        <w:t>依据</w:t>
      </w:r>
      <w:r>
        <w:rPr>
          <w:rFonts w:hint="eastAsia" w:ascii="宋体" w:hAnsi="宋体"/>
          <w:bCs/>
          <w:sz w:val="21"/>
          <w:szCs w:val="21"/>
        </w:rPr>
        <w:t>《中华人民共和国政府采购法》、《中华人民共和国政府采购法实施条例》及《</w:t>
      </w:r>
      <w:r>
        <w:rPr>
          <w:rFonts w:ascii="宋体" w:hAnsi="宋体"/>
          <w:bCs/>
          <w:sz w:val="21"/>
          <w:szCs w:val="21"/>
        </w:rPr>
        <w:t>政府采购货物和服务招标投标管理办法</w:t>
      </w:r>
      <w:r>
        <w:rPr>
          <w:rFonts w:hint="eastAsia" w:ascii="宋体" w:hAnsi="宋体"/>
          <w:bCs/>
          <w:sz w:val="21"/>
          <w:szCs w:val="21"/>
        </w:rPr>
        <w:t>》等有关规定制定本须知</w:t>
      </w:r>
      <w:r>
        <w:rPr>
          <w:rFonts w:hint="eastAsia" w:ascii="宋体" w:hAnsi="宋体"/>
          <w:sz w:val="21"/>
          <w:szCs w:val="21"/>
        </w:rPr>
        <w:t>。</w:t>
      </w:r>
    </w:p>
    <w:p>
      <w:pPr>
        <w:numPr>
          <w:ilvl w:val="1"/>
          <w:numId w:val="13"/>
        </w:numPr>
        <w:tabs>
          <w:tab w:val="left" w:pos="747"/>
        </w:tabs>
        <w:snapToGrid w:val="0"/>
        <w:spacing w:line="360" w:lineRule="auto"/>
        <w:ind w:left="748"/>
        <w:jc w:val="left"/>
        <w:rPr>
          <w:rFonts w:ascii="宋体" w:hAnsi="宋体"/>
          <w:b/>
          <w:bCs/>
          <w:sz w:val="21"/>
          <w:szCs w:val="21"/>
        </w:rPr>
      </w:pPr>
      <w:r>
        <w:rPr>
          <w:rFonts w:hint="eastAsia" w:ascii="宋体" w:hAnsi="宋体"/>
          <w:sz w:val="21"/>
          <w:szCs w:val="21"/>
        </w:rPr>
        <w:t>本项目的采购人、采购代理机构、投标人及各方当事人适用本须知。</w:t>
      </w:r>
    </w:p>
    <w:p>
      <w:pPr>
        <w:numPr>
          <w:ilvl w:val="0"/>
          <w:numId w:val="12"/>
        </w:numPr>
        <w:snapToGrid w:val="0"/>
        <w:spacing w:beforeLines="100" w:line="360" w:lineRule="auto"/>
        <w:jc w:val="left"/>
        <w:outlineLvl w:val="2"/>
        <w:rPr>
          <w:rFonts w:ascii="宋体" w:hAnsi="宋体"/>
          <w:b/>
          <w:bCs/>
          <w:sz w:val="21"/>
          <w:szCs w:val="21"/>
        </w:rPr>
      </w:pPr>
      <w:bookmarkStart w:id="11" w:name="_Toc368513760"/>
      <w:r>
        <w:rPr>
          <w:rFonts w:hint="eastAsia" w:ascii="宋体" w:hAnsi="宋体"/>
          <w:b/>
          <w:bCs/>
          <w:sz w:val="21"/>
          <w:szCs w:val="21"/>
        </w:rPr>
        <w:t>概念释义</w:t>
      </w:r>
      <w:bookmarkEnd w:id="11"/>
    </w:p>
    <w:p>
      <w:pPr>
        <w:numPr>
          <w:ilvl w:val="1"/>
          <w:numId w:val="12"/>
        </w:numPr>
        <w:tabs>
          <w:tab w:val="left" w:pos="728"/>
          <w:tab w:val="clear" w:pos="992"/>
        </w:tabs>
        <w:snapToGrid w:val="0"/>
        <w:spacing w:line="360" w:lineRule="auto"/>
        <w:ind w:left="748"/>
        <w:jc w:val="left"/>
        <w:rPr>
          <w:rFonts w:ascii="宋体" w:hAnsi="宋体"/>
          <w:sz w:val="21"/>
          <w:szCs w:val="21"/>
        </w:rPr>
      </w:pPr>
      <w:r>
        <w:rPr>
          <w:rFonts w:hint="eastAsia" w:ascii="宋体" w:hAnsi="宋体"/>
          <w:sz w:val="21"/>
          <w:szCs w:val="21"/>
        </w:rPr>
        <w:t>监管部门：指</w:t>
      </w:r>
      <w:r>
        <w:rPr>
          <w:rFonts w:hint="eastAsia" w:ascii="宋体" w:hAnsi="宋体" w:cs="宋体"/>
          <w:sz w:val="21"/>
          <w:szCs w:val="21"/>
          <w:lang w:eastAsia="zh-TW"/>
        </w:rPr>
        <w:t>同级</w:t>
      </w:r>
      <w:r>
        <w:rPr>
          <w:rFonts w:hint="eastAsia" w:ascii="宋体" w:hAnsi="宋体" w:cs="宋体"/>
          <w:sz w:val="21"/>
          <w:szCs w:val="21"/>
        </w:rPr>
        <w:t>或</w:t>
      </w:r>
      <w:r>
        <w:rPr>
          <w:rFonts w:hint="eastAsia" w:ascii="宋体" w:hAnsi="宋体" w:cs="宋体"/>
          <w:sz w:val="21"/>
          <w:szCs w:val="21"/>
          <w:lang w:eastAsia="zh-TW"/>
        </w:rPr>
        <w:t>以上人民政府财政部门</w:t>
      </w:r>
      <w:r>
        <w:rPr>
          <w:rFonts w:hint="eastAsia" w:ascii="宋体" w:hAnsi="宋体" w:cs="宋体"/>
          <w:sz w:val="21"/>
          <w:szCs w:val="21"/>
        </w:rPr>
        <w:t>。</w:t>
      </w:r>
    </w:p>
    <w:p>
      <w:pPr>
        <w:numPr>
          <w:ilvl w:val="1"/>
          <w:numId w:val="12"/>
        </w:numPr>
        <w:tabs>
          <w:tab w:val="left" w:pos="728"/>
          <w:tab w:val="clear" w:pos="992"/>
        </w:tabs>
        <w:snapToGrid w:val="0"/>
        <w:spacing w:line="360" w:lineRule="auto"/>
        <w:ind w:left="748"/>
        <w:jc w:val="left"/>
        <w:rPr>
          <w:rFonts w:ascii="宋体" w:hAnsi="宋体"/>
          <w:sz w:val="21"/>
          <w:szCs w:val="21"/>
        </w:rPr>
      </w:pPr>
      <w:r>
        <w:rPr>
          <w:rFonts w:hint="eastAsia" w:ascii="宋体" w:hAnsi="宋体"/>
          <w:sz w:val="21"/>
          <w:szCs w:val="21"/>
        </w:rPr>
        <w:t>采购人：指依法进行政府采购的国家机关、事业单位、团体组织，详见投标须知前附表第1项。在招标阶段称为采购人</w:t>
      </w:r>
      <w:r>
        <w:rPr>
          <w:rFonts w:ascii="宋体" w:hAnsi="宋体"/>
          <w:sz w:val="21"/>
          <w:szCs w:val="21"/>
        </w:rPr>
        <w:t>，</w:t>
      </w:r>
      <w:r>
        <w:rPr>
          <w:rFonts w:hint="eastAsia" w:ascii="宋体" w:hAnsi="宋体"/>
          <w:sz w:val="21"/>
          <w:szCs w:val="21"/>
        </w:rPr>
        <w:t>在合同阶段称为买方或甲方。为便于招标文件及附件直接转化为合同条款</w:t>
      </w:r>
      <w:r>
        <w:rPr>
          <w:rFonts w:ascii="宋体" w:hAnsi="宋体"/>
          <w:sz w:val="21"/>
          <w:szCs w:val="21"/>
        </w:rPr>
        <w:t>，</w:t>
      </w:r>
      <w:r>
        <w:rPr>
          <w:rFonts w:hint="eastAsia" w:ascii="宋体" w:hAnsi="宋体"/>
          <w:sz w:val="21"/>
          <w:szCs w:val="21"/>
        </w:rPr>
        <w:t>在招标文件中有时称采购人为用户、买方、甲方、招标人或业主。</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bCs/>
          <w:sz w:val="21"/>
          <w:szCs w:val="21"/>
        </w:rPr>
        <w:t>采购代理机构：</w:t>
      </w:r>
      <w:r>
        <w:rPr>
          <w:rFonts w:hint="eastAsia" w:ascii="宋体" w:hAnsi="宋体"/>
          <w:sz w:val="21"/>
          <w:szCs w:val="21"/>
        </w:rPr>
        <w:t>指</w:t>
      </w:r>
      <w:r>
        <w:rPr>
          <w:rFonts w:hint="eastAsia" w:ascii="宋体" w:hAnsi="宋体"/>
          <w:bCs/>
          <w:sz w:val="21"/>
          <w:szCs w:val="21"/>
        </w:rPr>
        <w:t>依法设立、从事招标代理业务并提供相关服务的社会中介组织</w:t>
      </w:r>
      <w:r>
        <w:rPr>
          <w:rFonts w:ascii="宋体" w:hAnsi="宋体"/>
          <w:bCs/>
          <w:sz w:val="21"/>
          <w:szCs w:val="21"/>
        </w:rPr>
        <w:t>-广东志正招标有限公司</w:t>
      </w:r>
      <w:r>
        <w:rPr>
          <w:rFonts w:hint="eastAsia" w:ascii="宋体" w:hAnsi="宋体"/>
          <w:sz w:val="21"/>
          <w:szCs w:val="21"/>
        </w:rPr>
        <w:t>。</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供应商：指向采购人提供货物、工程或者服务的法人、其他组织或者自然人。</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潜在投标人：指符合投标的基本资格条件，可能感兴趣参与投标的法人、其他组织或个人。潜在投标人一旦购买了招标文件且正式递交了投标文件，就成为投标人。</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投标人：指响应招标，参加投标竞争的法人、其他组织或个人。</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中标人：指经合法招投标程序评选出来并经</w:t>
      </w:r>
      <w:r>
        <w:rPr>
          <w:rFonts w:hint="eastAsia" w:ascii="宋体" w:hAnsi="宋体"/>
          <w:bCs/>
          <w:sz w:val="21"/>
          <w:szCs w:val="21"/>
        </w:rPr>
        <w:t>采购人确认的获得本项目中标资格的投标人。</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货物：投标人按招标文件及采购合同的规定，须向采购人提供的货物、备件、工具、手册及其它技术资料和材料等。</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服务：招标文件规定投标人须承担的服务。</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ascii="宋体" w:hAnsi="宋体"/>
          <w:sz w:val="21"/>
          <w:szCs w:val="21"/>
        </w:rPr>
        <w:t>实质性响应</w:t>
      </w:r>
      <w:r>
        <w:rPr>
          <w:rFonts w:hint="eastAsia" w:ascii="宋体" w:hAnsi="宋体"/>
          <w:sz w:val="21"/>
          <w:szCs w:val="21"/>
        </w:rPr>
        <w:t>：</w:t>
      </w:r>
      <w:r>
        <w:rPr>
          <w:rFonts w:ascii="宋体" w:hAnsi="宋体"/>
          <w:sz w:val="21"/>
          <w:szCs w:val="21"/>
        </w:rPr>
        <w:t>指投标文件所提供的有关资格证明文件、提交的投标保证金</w:t>
      </w:r>
      <w:r>
        <w:rPr>
          <w:rFonts w:hint="eastAsia" w:ascii="宋体" w:hAnsi="宋体"/>
          <w:sz w:val="21"/>
          <w:szCs w:val="21"/>
        </w:rPr>
        <w:t>、投标报价、投标有效期、投标文件签署和盖章、对招标文件中标注“★”条款的应答</w:t>
      </w:r>
      <w:r>
        <w:rPr>
          <w:rFonts w:ascii="宋体" w:hAnsi="宋体"/>
          <w:sz w:val="21"/>
          <w:szCs w:val="21"/>
        </w:rPr>
        <w:t>等与招标文件要求的条款、条件相符</w:t>
      </w:r>
      <w:r>
        <w:rPr>
          <w:rFonts w:hint="eastAsia" w:ascii="宋体" w:hAnsi="宋体"/>
          <w:sz w:val="21"/>
          <w:szCs w:val="21"/>
        </w:rPr>
        <w:t>，</w:t>
      </w:r>
      <w:r>
        <w:rPr>
          <w:rFonts w:ascii="宋体" w:hAnsi="宋体"/>
          <w:sz w:val="21"/>
          <w:szCs w:val="21"/>
        </w:rPr>
        <w:t>没有重大偏差</w:t>
      </w:r>
      <w:r>
        <w:rPr>
          <w:rFonts w:hint="eastAsia" w:ascii="宋体" w:hAnsi="宋体"/>
          <w:sz w:val="21"/>
          <w:szCs w:val="21"/>
        </w:rPr>
        <w:t>或保留</w:t>
      </w:r>
      <w:r>
        <w:rPr>
          <w:rFonts w:ascii="宋体" w:hAnsi="宋体"/>
          <w:sz w:val="21"/>
          <w:szCs w:val="21"/>
        </w:rPr>
        <w:t>。</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重大偏离或保留：指投标文件中影响到招标文件规定的货物和服务质量或限制了采购人的权利或投标人的义务的规定，而认可该等规定偏离将影响到其他投标人的公平竞争地位。</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投标保证金：指在招标投标活动中，投标人随投标文件一同提交给采购人或采购代理机构的一定形式、一定金额的投标责任担保。其主要保证投标人在递交投标文件后不得撤销投标文件，中标后无正当理由不得不与招标人订立合同，在签订合同时不得向招标人提出附加条件、或者不按照招标文件要求提交履约保证金，否则，采购人或采购代理机构有权不予返还其提交的投标保证金。</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履约保证金：指采购人为防止中标人在合同执行过程中违反合同规定或违约，弥补给采购人造成的经济损失，既不同于定金，也不同于预付款。</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ascii="宋体" w:hAnsi="宋体"/>
          <w:sz w:val="21"/>
          <w:szCs w:val="21"/>
        </w:rPr>
        <w:t>日期：指公历日</w:t>
      </w:r>
      <w:r>
        <w:rPr>
          <w:rFonts w:hint="eastAsia" w:ascii="宋体" w:hAnsi="宋体"/>
          <w:sz w:val="21"/>
          <w:szCs w:val="21"/>
        </w:rPr>
        <w:t>。</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时间：指北京时间。</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招标文件中的标题或题名仅起引导作用，不应视为对招标文件内容的理解和解释。</w:t>
      </w:r>
    </w:p>
    <w:p>
      <w:pPr>
        <w:numPr>
          <w:ilvl w:val="0"/>
          <w:numId w:val="12"/>
        </w:numPr>
        <w:snapToGrid w:val="0"/>
        <w:spacing w:beforeLines="100" w:line="360" w:lineRule="auto"/>
        <w:jc w:val="left"/>
        <w:outlineLvl w:val="2"/>
        <w:rPr>
          <w:rFonts w:ascii="宋体" w:hAnsi="宋体"/>
          <w:b/>
          <w:bCs/>
          <w:sz w:val="21"/>
          <w:szCs w:val="21"/>
        </w:rPr>
      </w:pPr>
      <w:bookmarkStart w:id="12" w:name="_Toc368513761"/>
      <w:r>
        <w:rPr>
          <w:rFonts w:hint="eastAsia" w:ascii="宋体" w:hAnsi="宋体"/>
          <w:b/>
          <w:bCs/>
          <w:sz w:val="21"/>
          <w:szCs w:val="21"/>
        </w:rPr>
        <w:t>合格的货物和服务</w:t>
      </w:r>
      <w:bookmarkEnd w:id="12"/>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投标人提供的所有货物和服务，必须是合法生产、合法来源，符合国家有关标准要求，并满足招标文件规定的规格、参数、质量、价格、有效期、售后服务及投标人须承担的运输、安装、技术支持、培训和招标文件规定的其它伴随服务等要求。</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采购人有权拒绝接受任何不合格的货物和服务，由此产生的费用及相关后果均由投标人自行承担。</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政府采购若需采购进口产品的，依据《政府采购进口产品管理办法》执行。</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进口产品是指通过中国海关报关验放进入中国境内且产自关境外的产品。</w:t>
      </w:r>
    </w:p>
    <w:p>
      <w:pPr>
        <w:numPr>
          <w:ilvl w:val="0"/>
          <w:numId w:val="12"/>
        </w:numPr>
        <w:snapToGrid w:val="0"/>
        <w:spacing w:beforeLines="100" w:line="360" w:lineRule="auto"/>
        <w:jc w:val="left"/>
        <w:outlineLvl w:val="2"/>
        <w:rPr>
          <w:rFonts w:ascii="宋体" w:hAnsi="宋体"/>
          <w:b/>
          <w:bCs/>
          <w:sz w:val="21"/>
          <w:szCs w:val="21"/>
        </w:rPr>
      </w:pPr>
      <w:bookmarkStart w:id="13" w:name="_Toc368513762"/>
      <w:r>
        <w:rPr>
          <w:rFonts w:hint="eastAsia" w:ascii="宋体" w:hAnsi="宋体"/>
          <w:b/>
          <w:bCs/>
          <w:sz w:val="21"/>
          <w:szCs w:val="21"/>
        </w:rPr>
        <w:t>招投标活动应遵循的原则</w:t>
      </w:r>
      <w:bookmarkEnd w:id="13"/>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遵循公开、公平、公正和诚实信用原则；</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坚持价格合理、质量优先、服务优质原则；</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利用法律手段强化竞争机制、贯彻统一、规范、简化、高效的要求。</w:t>
      </w:r>
    </w:p>
    <w:p>
      <w:pPr>
        <w:numPr>
          <w:ilvl w:val="0"/>
          <w:numId w:val="12"/>
        </w:numPr>
        <w:snapToGrid w:val="0"/>
        <w:spacing w:beforeLines="100" w:line="360" w:lineRule="auto"/>
        <w:jc w:val="left"/>
        <w:outlineLvl w:val="2"/>
        <w:rPr>
          <w:rFonts w:ascii="宋体" w:hAnsi="宋体"/>
          <w:b/>
          <w:bCs/>
          <w:sz w:val="21"/>
          <w:szCs w:val="21"/>
        </w:rPr>
      </w:pPr>
      <w:bookmarkStart w:id="14" w:name="_Toc368513763"/>
      <w:r>
        <w:rPr>
          <w:rFonts w:hint="eastAsia" w:ascii="宋体" w:hAnsi="宋体"/>
          <w:b/>
          <w:bCs/>
          <w:sz w:val="21"/>
          <w:szCs w:val="21"/>
        </w:rPr>
        <w:t>关于最高限价及资金来源</w:t>
      </w:r>
      <w:bookmarkEnd w:id="14"/>
    </w:p>
    <w:p>
      <w:pPr>
        <w:numPr>
          <w:ilvl w:val="1"/>
          <w:numId w:val="12"/>
        </w:numPr>
        <w:tabs>
          <w:tab w:val="left" w:pos="747"/>
        </w:tabs>
        <w:snapToGrid w:val="0"/>
        <w:spacing w:line="360" w:lineRule="auto"/>
        <w:ind w:hanging="850"/>
        <w:jc w:val="left"/>
        <w:rPr>
          <w:rFonts w:ascii="宋体" w:hAnsi="宋体"/>
          <w:sz w:val="21"/>
          <w:szCs w:val="21"/>
        </w:rPr>
      </w:pPr>
      <w:r>
        <w:rPr>
          <w:rFonts w:hint="eastAsia" w:ascii="宋体" w:hAnsi="宋体"/>
          <w:sz w:val="21"/>
          <w:szCs w:val="21"/>
        </w:rPr>
        <w:t>本项目最高限价（预算金额）, 详见投标须知前附表第1项；</w:t>
      </w:r>
    </w:p>
    <w:p>
      <w:pPr>
        <w:numPr>
          <w:ilvl w:val="1"/>
          <w:numId w:val="12"/>
        </w:numPr>
        <w:tabs>
          <w:tab w:val="left" w:pos="747"/>
        </w:tabs>
        <w:snapToGrid w:val="0"/>
        <w:spacing w:line="360" w:lineRule="auto"/>
        <w:ind w:hanging="850"/>
        <w:jc w:val="left"/>
        <w:rPr>
          <w:rFonts w:ascii="宋体" w:hAnsi="宋体"/>
          <w:sz w:val="21"/>
          <w:szCs w:val="21"/>
        </w:rPr>
      </w:pPr>
      <w:r>
        <w:rPr>
          <w:rFonts w:hint="eastAsia" w:ascii="宋体" w:hAnsi="宋体"/>
          <w:sz w:val="21"/>
          <w:szCs w:val="21"/>
        </w:rPr>
        <w:t>本项目资金来源, 详见投标须知前附表第1项。</w:t>
      </w:r>
    </w:p>
    <w:p>
      <w:pPr>
        <w:numPr>
          <w:ilvl w:val="0"/>
          <w:numId w:val="12"/>
        </w:numPr>
        <w:snapToGrid w:val="0"/>
        <w:spacing w:beforeLines="100" w:line="360" w:lineRule="auto"/>
        <w:jc w:val="left"/>
        <w:outlineLvl w:val="2"/>
        <w:rPr>
          <w:rFonts w:ascii="宋体" w:hAnsi="宋体"/>
          <w:b/>
          <w:bCs/>
          <w:sz w:val="21"/>
          <w:szCs w:val="21"/>
        </w:rPr>
      </w:pPr>
      <w:r>
        <w:rPr>
          <w:rFonts w:hint="eastAsia" w:ascii="宋体" w:hAnsi="宋体"/>
          <w:b/>
          <w:bCs/>
          <w:sz w:val="21"/>
          <w:szCs w:val="21"/>
        </w:rPr>
        <w:t>关于节能产品、环境标志产品</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节能产品、环境标志产品是属于国家行业主管部门颁布的清单目录中的产品。</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节能产品清单在中华人民共和国财政部网站（http://www.mof.gov.cn）、中国政府采购网（http://www.ccgp.gov.cn/）、国家发展改革委网站（http://hzs.ndrc.gov.cn/）和中国质量认证中心网站（http://www.cqc.com.cn/）上发布。</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环境标志产品政府采购清单在中华人民共和国财政部网站（http://www.mof.gov.cn）、中国政府采购网（http://www.ccgp.gov.cn/）、中华人民共和国环境保护部网站（http://www.zhb.gov.cn）、中国绿色采购网（http://www.cgpn.org/）上发布。</w:t>
      </w:r>
    </w:p>
    <w:p>
      <w:pPr>
        <w:numPr>
          <w:ilvl w:val="0"/>
          <w:numId w:val="12"/>
        </w:numPr>
        <w:snapToGrid w:val="0"/>
        <w:spacing w:beforeLines="100" w:line="360" w:lineRule="auto"/>
        <w:jc w:val="left"/>
        <w:outlineLvl w:val="2"/>
        <w:rPr>
          <w:rFonts w:ascii="宋体" w:hAnsi="宋体"/>
          <w:b/>
          <w:bCs/>
          <w:sz w:val="21"/>
          <w:szCs w:val="21"/>
        </w:rPr>
      </w:pPr>
      <w:bookmarkStart w:id="15" w:name="_Toc368513765"/>
      <w:r>
        <w:rPr>
          <w:rFonts w:hint="eastAsia" w:ascii="宋体" w:hAnsi="宋体"/>
          <w:b/>
          <w:bCs/>
          <w:sz w:val="21"/>
          <w:szCs w:val="21"/>
        </w:rPr>
        <w:t>关于投标费用</w:t>
      </w:r>
      <w:bookmarkEnd w:id="15"/>
    </w:p>
    <w:p>
      <w:pPr>
        <w:tabs>
          <w:tab w:val="left" w:pos="180"/>
          <w:tab w:val="left" w:pos="747"/>
        </w:tabs>
        <w:snapToGrid w:val="0"/>
        <w:spacing w:line="360" w:lineRule="auto"/>
        <w:ind w:left="424" w:leftChars="175" w:hanging="4" w:hangingChars="2"/>
        <w:jc w:val="left"/>
        <w:rPr>
          <w:rFonts w:ascii="宋体" w:hAnsi="宋体"/>
          <w:sz w:val="21"/>
          <w:szCs w:val="21"/>
        </w:rPr>
      </w:pPr>
      <w:r>
        <w:rPr>
          <w:rFonts w:hint="eastAsia" w:ascii="宋体" w:hAnsi="宋体"/>
          <w:sz w:val="21"/>
          <w:szCs w:val="21"/>
        </w:rPr>
        <w:t>投标人应承担所有与准备和参加投标有关的费用。无论投标结果如何，采购代理机构在任何情况下无义务和责任承担或分担这些费用或任何类似费用。</w:t>
      </w:r>
    </w:p>
    <w:p>
      <w:pPr>
        <w:numPr>
          <w:ilvl w:val="0"/>
          <w:numId w:val="12"/>
        </w:numPr>
        <w:snapToGrid w:val="0"/>
        <w:spacing w:beforeLines="100" w:line="360" w:lineRule="auto"/>
        <w:ind w:left="513" w:hanging="513"/>
        <w:jc w:val="left"/>
        <w:outlineLvl w:val="2"/>
        <w:rPr>
          <w:rFonts w:ascii="宋体" w:hAnsi="宋体"/>
          <w:b/>
          <w:bCs/>
          <w:sz w:val="21"/>
          <w:szCs w:val="21"/>
        </w:rPr>
      </w:pPr>
      <w:bookmarkStart w:id="16" w:name="_Toc381027666"/>
      <w:r>
        <w:rPr>
          <w:rFonts w:hint="eastAsia" w:ascii="宋体" w:hAnsi="宋体"/>
          <w:b/>
          <w:bCs/>
          <w:sz w:val="21"/>
          <w:szCs w:val="21"/>
        </w:rPr>
        <w:t>关于政府采购信用担保</w:t>
      </w:r>
      <w:bookmarkEnd w:id="16"/>
    </w:p>
    <w:p>
      <w:pPr>
        <w:numPr>
          <w:ilvl w:val="1"/>
          <w:numId w:val="12"/>
        </w:numPr>
        <w:tabs>
          <w:tab w:val="left" w:pos="747"/>
          <w:tab w:val="clear" w:pos="992"/>
        </w:tabs>
        <w:snapToGrid w:val="0"/>
        <w:spacing w:line="360" w:lineRule="auto"/>
        <w:ind w:left="748"/>
        <w:jc w:val="left"/>
        <w:rPr>
          <w:rFonts w:ascii="宋体" w:hAnsi="宋体"/>
          <w:sz w:val="21"/>
          <w:szCs w:val="21"/>
        </w:rPr>
      </w:pPr>
      <w:bookmarkStart w:id="17" w:name="_Toc315793298"/>
      <w:r>
        <w:rPr>
          <w:rFonts w:hint="eastAsia" w:ascii="宋体" w:hAnsi="宋体"/>
          <w:sz w:val="21"/>
          <w:szCs w:val="21"/>
        </w:rPr>
        <w:t>根据《财政部关于开展政府采购信用担保试点工作的通知》（财库〔2011〕124号）和广东省政府采购信用担保试点实施方案粤财采购〔2011〕15号的有关精神和要求，政府采购项目可采用的信用担保形式包括：</w:t>
      </w:r>
    </w:p>
    <w:p>
      <w:pPr>
        <w:tabs>
          <w:tab w:val="left" w:pos="747"/>
        </w:tabs>
        <w:snapToGrid w:val="0"/>
        <w:spacing w:line="360" w:lineRule="auto"/>
        <w:ind w:left="425" w:leftChars="177" w:firstLine="420" w:firstLineChars="200"/>
        <w:jc w:val="left"/>
        <w:rPr>
          <w:rFonts w:ascii="宋体" w:hAnsi="宋体"/>
          <w:sz w:val="21"/>
          <w:szCs w:val="21"/>
        </w:rPr>
      </w:pPr>
      <w:r>
        <w:rPr>
          <w:rFonts w:hint="eastAsia" w:ascii="宋体" w:hAnsi="宋体"/>
          <w:sz w:val="21"/>
          <w:szCs w:val="21"/>
        </w:rPr>
        <w:t>A、投标担保。指由专业担保机构为供应商履行支付投标保证金的义务向招标代理提供的保证担保。供应商在投标有效期内发生的撤回投标文件，或中标后因自身原因不签署政府采购合同等行为而应实际支付保证金的，由专业担保机构按照《政府采购投标担保函》的约定履行担保责任。供应商可以自愿选择是否采取《政府采购投标担保函》的形式交纳投标保证金。</w:t>
      </w:r>
    </w:p>
    <w:p>
      <w:pPr>
        <w:tabs>
          <w:tab w:val="left" w:pos="747"/>
        </w:tabs>
        <w:snapToGrid w:val="0"/>
        <w:spacing w:line="360" w:lineRule="auto"/>
        <w:ind w:left="425" w:leftChars="177" w:firstLine="420" w:firstLineChars="200"/>
        <w:jc w:val="left"/>
        <w:rPr>
          <w:rFonts w:ascii="宋体" w:hAnsi="宋体"/>
          <w:sz w:val="21"/>
          <w:szCs w:val="21"/>
        </w:rPr>
      </w:pPr>
      <w:r>
        <w:rPr>
          <w:rFonts w:hint="eastAsia" w:ascii="宋体" w:hAnsi="宋体"/>
          <w:sz w:val="21"/>
          <w:szCs w:val="21"/>
        </w:rPr>
        <w:t>B、履约担保</w:t>
      </w:r>
      <w:r>
        <w:rPr>
          <w:rFonts w:ascii="宋体" w:hAnsi="宋体"/>
          <w:sz w:val="21"/>
          <w:szCs w:val="21"/>
        </w:rPr>
        <w:t>。指由专业担保机构为供应商支付履约保证金的义务向采购人提供的保证担保。供应商未按政府采购合同履行约定义务而应实际支付保证金的，由专业担保机构按照担保函约定履行担保责任。供应商可以自行选择是否采取履约担保函的形式交纳履约保证金</w:t>
      </w:r>
      <w:r>
        <w:rPr>
          <w:rFonts w:hint="eastAsia" w:ascii="宋体" w:hAnsi="宋体"/>
          <w:sz w:val="21"/>
          <w:szCs w:val="21"/>
        </w:rPr>
        <w:t>。</w:t>
      </w:r>
    </w:p>
    <w:p>
      <w:pPr>
        <w:tabs>
          <w:tab w:val="left" w:pos="747"/>
        </w:tabs>
        <w:snapToGrid w:val="0"/>
        <w:spacing w:line="360" w:lineRule="auto"/>
        <w:ind w:left="425" w:leftChars="177" w:firstLine="420" w:firstLineChars="200"/>
        <w:jc w:val="left"/>
        <w:rPr>
          <w:rFonts w:ascii="宋体" w:hAnsi="宋体"/>
          <w:sz w:val="21"/>
          <w:szCs w:val="21"/>
        </w:rPr>
      </w:pPr>
      <w:r>
        <w:rPr>
          <w:rFonts w:hint="eastAsia" w:ascii="宋体" w:hAnsi="宋体"/>
          <w:sz w:val="21"/>
          <w:szCs w:val="21"/>
        </w:rPr>
        <w:t>C、融资担保。指由专业担保机构为供应商向银行融资提供的保证担保。</w:t>
      </w:r>
      <w:r>
        <w:rPr>
          <w:rFonts w:ascii="宋体" w:hAnsi="宋体"/>
          <w:sz w:val="21"/>
          <w:szCs w:val="21"/>
        </w:rPr>
        <w:t>供应商可以选择是否采取融资担保的形式为政府采购项目履约进行融资，</w:t>
      </w:r>
      <w:r>
        <w:rPr>
          <w:rFonts w:hint="eastAsia" w:ascii="宋体" w:hAnsi="宋体"/>
          <w:sz w:val="21"/>
          <w:szCs w:val="21"/>
        </w:rPr>
        <w:t>详情请供应商自行咨询专业担保机构。</w:t>
      </w:r>
    </w:p>
    <w:bookmarkEnd w:id="17"/>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专业担保机构的选择。详见《投标须知前附表》中的办理机构名单。</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投标人可以以投标担保函的形式缴纳投标保证金，并以《政府采购投标担保函》作为投标文件的附件。如采购人接受，投标人可以以履约担保函的形式缴纳履约保证金。</w:t>
      </w:r>
    </w:p>
    <w:p>
      <w:pPr>
        <w:numPr>
          <w:ilvl w:val="0"/>
          <w:numId w:val="12"/>
        </w:numPr>
        <w:snapToGrid w:val="0"/>
        <w:spacing w:beforeLines="100" w:line="360" w:lineRule="auto"/>
        <w:ind w:left="513" w:hanging="513"/>
        <w:jc w:val="left"/>
        <w:outlineLvl w:val="2"/>
        <w:rPr>
          <w:rFonts w:ascii="宋体" w:hAnsi="宋体"/>
          <w:b/>
          <w:bCs/>
          <w:sz w:val="21"/>
          <w:szCs w:val="21"/>
        </w:rPr>
      </w:pPr>
      <w:bookmarkStart w:id="18" w:name="_Toc368513768"/>
      <w:r>
        <w:rPr>
          <w:rFonts w:hint="eastAsia" w:ascii="宋体" w:hAnsi="宋体"/>
          <w:b/>
          <w:bCs/>
          <w:sz w:val="21"/>
          <w:szCs w:val="21"/>
        </w:rPr>
        <w:t>通知</w:t>
      </w:r>
      <w:bookmarkEnd w:id="18"/>
    </w:p>
    <w:p>
      <w:pPr>
        <w:tabs>
          <w:tab w:val="left" w:pos="747"/>
        </w:tabs>
        <w:snapToGrid w:val="0"/>
        <w:spacing w:line="360" w:lineRule="auto"/>
        <w:ind w:left="424" w:leftChars="175" w:hanging="4" w:hangingChars="2"/>
        <w:jc w:val="left"/>
        <w:rPr>
          <w:rFonts w:ascii="宋体" w:hAnsi="宋体"/>
          <w:bCs/>
          <w:sz w:val="21"/>
          <w:szCs w:val="21"/>
        </w:rPr>
      </w:pPr>
      <w:r>
        <w:rPr>
          <w:rFonts w:hint="eastAsia" w:ascii="宋体" w:hAnsi="宋体"/>
          <w:bCs/>
          <w:sz w:val="21"/>
          <w:szCs w:val="21"/>
        </w:rPr>
        <w:t>对与本项目有关的通知，采购代理机构将以书面形式（包括书面材料、信函、传真等，下同）或在本次规定的媒体上以发布公告的形式，送达所有与通知有关的已领取了招标文件的潜在投标人，传真号码以潜在投标人报名时登记的为准。潜在投标人应于收到通知的当日以书面方式予以回复确认，如在24小时之内无书面回复则视为已收到并同意通知内容，并有责任履行相应的义务。因潜在投标人登记有误或传真线路故障导致通知延迟送达或无法送达，采购代理机构不承担责任。</w:t>
      </w:r>
    </w:p>
    <w:p>
      <w:pPr>
        <w:numPr>
          <w:ilvl w:val="0"/>
          <w:numId w:val="12"/>
        </w:numPr>
        <w:snapToGrid w:val="0"/>
        <w:spacing w:beforeLines="100" w:line="360" w:lineRule="auto"/>
        <w:ind w:left="513" w:hanging="513"/>
        <w:jc w:val="left"/>
        <w:outlineLvl w:val="2"/>
        <w:rPr>
          <w:rFonts w:ascii="宋体" w:hAnsi="宋体"/>
          <w:b/>
          <w:bCs/>
          <w:sz w:val="21"/>
          <w:szCs w:val="21"/>
        </w:rPr>
      </w:pPr>
      <w:bookmarkStart w:id="19" w:name="_Toc368513769"/>
      <w:r>
        <w:rPr>
          <w:rFonts w:hint="eastAsia" w:ascii="宋体" w:hAnsi="宋体"/>
          <w:b/>
          <w:bCs/>
          <w:sz w:val="21"/>
          <w:szCs w:val="21"/>
        </w:rPr>
        <w:t>关于知识产权</w:t>
      </w:r>
      <w:bookmarkEnd w:id="19"/>
      <w:bookmarkStart w:id="20" w:name="_Toc234727578"/>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投标人必须保证，采购人在中华人民共和国境内使用投标成果、服务或其任何一部分时，不会产生因第三方提出侵犯其专利权或其它知识产权而引起的法律和经济纠纷。如投标人不拥有相应的知识产权，则在报价中必须包括合法获取该知识产权的相关费用。</w:t>
      </w:r>
    </w:p>
    <w:p>
      <w:pPr>
        <w:numPr>
          <w:ilvl w:val="1"/>
          <w:numId w:val="12"/>
        </w:numPr>
        <w:tabs>
          <w:tab w:val="left" w:pos="747"/>
          <w:tab w:val="clear" w:pos="992"/>
        </w:tabs>
        <w:snapToGrid w:val="0"/>
        <w:spacing w:line="360" w:lineRule="auto"/>
        <w:ind w:left="748"/>
        <w:jc w:val="left"/>
        <w:rPr>
          <w:rFonts w:ascii="宋体" w:hAnsi="宋体"/>
          <w:b/>
          <w:sz w:val="21"/>
          <w:szCs w:val="21"/>
        </w:rPr>
      </w:pPr>
      <w:r>
        <w:rPr>
          <w:rFonts w:hint="eastAsia" w:ascii="宋体" w:hAnsi="宋体"/>
          <w:b/>
          <w:sz w:val="21"/>
          <w:szCs w:val="21"/>
        </w:rPr>
        <w:t>如因第三方提出其专利权、商标权或其他知识产权的被侵权之诉讼，则一切法律责任由投标人承担。</w:t>
      </w:r>
    </w:p>
    <w:p>
      <w:pPr>
        <w:numPr>
          <w:ilvl w:val="0"/>
          <w:numId w:val="12"/>
        </w:numPr>
        <w:snapToGrid w:val="0"/>
        <w:spacing w:beforeLines="100" w:line="360" w:lineRule="auto"/>
        <w:ind w:left="513" w:hanging="513"/>
        <w:jc w:val="left"/>
        <w:outlineLvl w:val="2"/>
        <w:rPr>
          <w:rFonts w:ascii="宋体" w:hAnsi="宋体"/>
          <w:b/>
          <w:bCs/>
          <w:sz w:val="21"/>
          <w:szCs w:val="21"/>
        </w:rPr>
      </w:pPr>
      <w:bookmarkStart w:id="21" w:name="_Toc368513770"/>
      <w:r>
        <w:rPr>
          <w:rFonts w:hint="eastAsia" w:ascii="宋体" w:hAnsi="宋体"/>
          <w:b/>
          <w:bCs/>
          <w:sz w:val="21"/>
          <w:szCs w:val="21"/>
        </w:rPr>
        <w:t>禁止事项</w:t>
      </w:r>
      <w:bookmarkEnd w:id="20"/>
      <w:bookmarkEnd w:id="21"/>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采购人、投标人和采购代理机构不得相互串通损害国家利益，社会公共利益和其他当事人的合法权益；不得以任何手段排斥其他投标人参与竞争。</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投标人不得向采购人、采购代理机构、评标委员会的组成人员行贿或者采取其他不正当手段谋取中标。</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除投标人质疑和投诉外，从开标之时起至授予合同止，投标人不得就与其投标有关的事项主动与评标委员会、采购人以及采购代理机构接触。</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投标人不得串通作弊，以不正当的手段妨碍、排挤其他投标人，扰乱招标市场，破坏公平竞争原则。</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《中华人民共和国政府采购法》、《中华人民共和国政府采购法实施条例》及相关法律法规规定的其它禁止事项。</w:t>
      </w:r>
      <w:bookmarkStart w:id="22" w:name="_Toc234727579"/>
    </w:p>
    <w:p>
      <w:pPr>
        <w:numPr>
          <w:ilvl w:val="0"/>
          <w:numId w:val="12"/>
        </w:numPr>
        <w:snapToGrid w:val="0"/>
        <w:spacing w:beforeLines="100" w:line="360" w:lineRule="auto"/>
        <w:ind w:left="513" w:hanging="513"/>
        <w:jc w:val="left"/>
        <w:outlineLvl w:val="2"/>
        <w:rPr>
          <w:rFonts w:ascii="宋体" w:hAnsi="宋体"/>
          <w:b/>
          <w:bCs/>
          <w:sz w:val="21"/>
          <w:szCs w:val="21"/>
        </w:rPr>
      </w:pPr>
      <w:bookmarkStart w:id="23" w:name="_Toc368513771"/>
      <w:r>
        <w:rPr>
          <w:rFonts w:hint="eastAsia" w:ascii="宋体" w:hAnsi="宋体"/>
          <w:b/>
          <w:bCs/>
          <w:sz w:val="21"/>
          <w:szCs w:val="21"/>
        </w:rPr>
        <w:t>保密事项</w:t>
      </w:r>
      <w:bookmarkEnd w:id="22"/>
      <w:bookmarkEnd w:id="23"/>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凡参与招标工作的有关人员均应自觉接受有关主管部门的监督，不得向他人透露已获得招标文件的潜在投标人的名称、数量以及可能影响公平竞争的有关招标投标的其他情况。</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除投标人被要求对投标文件进行澄清外，从开标之日起至授予合同期间，投标人不得就与其投标文件有关的事项主动与评标委员会联系。</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评标工作在评标委员会内独立封闭进行。从开标之日起至授予合同期间，投标人试图在投标文件审查、澄清、比较和评价时对评标委员会施加任何影响或对采购人的授标决定进行影响，都可能导致其投标无效。</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获得本招标文件者，应对文件进行保密，不得用作本次招标以外的任何用途。若采购人有要求，开标后，投标人应归还招标文件中的保密的文件和资料。</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由采购人向投标人提供的图纸、详细资料、样品、模型、模件和所有其他资料，被视为保密资料，仅被用于它所规定的用途，除非得到采购人的同意，不能向任何第三方透露或将其用于本次投标以外的任何用途。开标完成后，若采购人有要求，投标人应归还所有从采购人处获得的保密资料，并销毁所有需保密的备份文件和资料。</w:t>
      </w:r>
    </w:p>
    <w:p>
      <w:pPr>
        <w:numPr>
          <w:ilvl w:val="1"/>
          <w:numId w:val="12"/>
        </w:numPr>
        <w:tabs>
          <w:tab w:val="left" w:pos="747"/>
          <w:tab w:val="clear" w:pos="992"/>
        </w:tabs>
        <w:snapToGrid w:val="0"/>
        <w:spacing w:line="360" w:lineRule="auto"/>
        <w:ind w:left="748"/>
        <w:jc w:val="left"/>
        <w:rPr>
          <w:rFonts w:ascii="宋体" w:hAnsi="宋体"/>
          <w:sz w:val="21"/>
          <w:szCs w:val="21"/>
        </w:rPr>
      </w:pPr>
      <w:r>
        <w:rPr>
          <w:rFonts w:hint="eastAsia" w:ascii="宋体" w:hAnsi="宋体"/>
          <w:sz w:val="21"/>
          <w:szCs w:val="21"/>
        </w:rPr>
        <w:t>因投标需要，向投标人提供的项目背景、项目内容和开展计划等相关资料，被视为保密资料不得透露的，仅被用于它所规定的用途，除非得到采购人的同意，不能向任何第三方透露，否则采购人将保留采取相应法律措施的权利。</w:t>
      </w:r>
    </w:p>
    <w:p>
      <w:pPr>
        <w:numPr>
          <w:ilvl w:val="0"/>
          <w:numId w:val="12"/>
        </w:numPr>
        <w:snapToGrid w:val="0"/>
        <w:spacing w:beforeLines="100" w:line="360" w:lineRule="auto"/>
        <w:ind w:left="513" w:hanging="513"/>
        <w:jc w:val="left"/>
        <w:outlineLvl w:val="2"/>
        <w:rPr>
          <w:rFonts w:ascii="宋体" w:hAnsi="宋体"/>
          <w:b/>
          <w:bCs/>
          <w:sz w:val="21"/>
          <w:szCs w:val="21"/>
        </w:rPr>
      </w:pPr>
      <w:bookmarkStart w:id="24" w:name="_Toc368513772"/>
      <w:r>
        <w:rPr>
          <w:rFonts w:hint="eastAsia" w:ascii="宋体" w:hAnsi="宋体"/>
          <w:b/>
          <w:bCs/>
          <w:sz w:val="21"/>
          <w:szCs w:val="21"/>
        </w:rPr>
        <w:t>招标文件的解释权</w:t>
      </w:r>
      <w:bookmarkEnd w:id="24"/>
    </w:p>
    <w:p>
      <w:pPr>
        <w:snapToGrid w:val="0"/>
        <w:spacing w:line="360" w:lineRule="auto"/>
        <w:ind w:firstLine="514" w:firstLineChars="245"/>
        <w:jc w:val="left"/>
        <w:rPr>
          <w:rFonts w:ascii="宋体" w:hAnsi="宋体"/>
          <w:sz w:val="21"/>
          <w:szCs w:val="21"/>
        </w:rPr>
      </w:pPr>
      <w:r>
        <w:rPr>
          <w:rFonts w:hint="eastAsia" w:ascii="宋体" w:hAnsi="宋体"/>
          <w:sz w:val="21"/>
          <w:szCs w:val="21"/>
        </w:rPr>
        <w:t>本招标文件的解释权归“广东志正招标有限公司”所有。</w:t>
      </w:r>
    </w:p>
    <w:p>
      <w:pPr>
        <w:spacing w:line="360" w:lineRule="auto"/>
        <w:ind w:left="748" w:hanging="567"/>
        <w:jc w:val="left"/>
        <w:rPr>
          <w:rFonts w:ascii="宋体" w:hAnsi="宋体"/>
          <w:sz w:val="21"/>
          <w:szCs w:val="21"/>
        </w:rPr>
      </w:pPr>
    </w:p>
    <w:p>
      <w:pPr>
        <w:numPr>
          <w:ilvl w:val="0"/>
          <w:numId w:val="11"/>
        </w:numPr>
        <w:spacing w:line="360" w:lineRule="auto"/>
        <w:jc w:val="center"/>
        <w:outlineLvl w:val="1"/>
        <w:rPr>
          <w:rFonts w:ascii="宋体" w:hAnsi="宋体"/>
          <w:b/>
          <w:bCs/>
          <w:sz w:val="21"/>
          <w:szCs w:val="21"/>
        </w:rPr>
      </w:pPr>
      <w:bookmarkStart w:id="25" w:name="_Toc17564"/>
      <w:bookmarkStart w:id="26" w:name="_Toc368513773"/>
      <w:r>
        <w:rPr>
          <w:rFonts w:hint="eastAsia" w:ascii="宋体" w:hAnsi="宋体"/>
          <w:b/>
          <w:bCs/>
          <w:sz w:val="21"/>
          <w:szCs w:val="21"/>
        </w:rPr>
        <w:t>关于招标文件</w:t>
      </w:r>
      <w:bookmarkEnd w:id="25"/>
      <w:bookmarkEnd w:id="26"/>
    </w:p>
    <w:p>
      <w:pPr>
        <w:numPr>
          <w:ilvl w:val="0"/>
          <w:numId w:val="14"/>
        </w:numPr>
        <w:snapToGrid w:val="0"/>
        <w:spacing w:beforeLines="100" w:line="360" w:lineRule="auto"/>
        <w:jc w:val="left"/>
        <w:outlineLvl w:val="2"/>
        <w:rPr>
          <w:rFonts w:ascii="宋体" w:hAnsi="宋体"/>
          <w:b/>
          <w:bCs/>
          <w:sz w:val="21"/>
          <w:szCs w:val="21"/>
        </w:rPr>
      </w:pPr>
      <w:bookmarkStart w:id="27" w:name="_Toc368513774"/>
      <w:r>
        <w:rPr>
          <w:rFonts w:hint="eastAsia" w:ascii="宋体" w:hAnsi="宋体"/>
          <w:b/>
          <w:bCs/>
          <w:sz w:val="21"/>
          <w:szCs w:val="21"/>
        </w:rPr>
        <w:t>招标文件的组成</w:t>
      </w:r>
      <w:bookmarkEnd w:id="27"/>
    </w:p>
    <w:p>
      <w:pPr>
        <w:numPr>
          <w:ilvl w:val="1"/>
          <w:numId w:val="15"/>
        </w:numPr>
        <w:tabs>
          <w:tab w:val="left" w:pos="720"/>
          <w:tab w:val="clear" w:pos="992"/>
        </w:tabs>
        <w:snapToGrid w:val="0"/>
        <w:spacing w:line="360" w:lineRule="auto"/>
        <w:ind w:hanging="812"/>
        <w:jc w:val="left"/>
        <w:rPr>
          <w:rFonts w:ascii="宋体" w:hAnsi="宋体"/>
          <w:sz w:val="21"/>
          <w:szCs w:val="21"/>
        </w:rPr>
      </w:pPr>
      <w:r>
        <w:rPr>
          <w:rFonts w:hint="eastAsia" w:ascii="宋体" w:hAnsi="宋体"/>
          <w:sz w:val="21"/>
          <w:szCs w:val="21"/>
        </w:rPr>
        <w:t>招标文件仅适用于本次投标邀请中所叙述的项目，由下列部分组成：</w:t>
      </w:r>
    </w:p>
    <w:p>
      <w:pPr>
        <w:numPr>
          <w:ilvl w:val="2"/>
          <w:numId w:val="16"/>
        </w:numPr>
        <w:tabs>
          <w:tab w:val="left" w:pos="840"/>
          <w:tab w:val="left" w:pos="960"/>
          <w:tab w:val="clear" w:pos="1271"/>
        </w:tabs>
        <w:snapToGrid w:val="0"/>
        <w:spacing w:line="360" w:lineRule="auto"/>
        <w:ind w:left="960"/>
        <w:jc w:val="left"/>
        <w:rPr>
          <w:rFonts w:ascii="宋体" w:hAnsi="宋体"/>
          <w:sz w:val="21"/>
          <w:szCs w:val="21"/>
        </w:rPr>
      </w:pPr>
      <w:r>
        <w:rPr>
          <w:rFonts w:hint="eastAsia" w:ascii="宋体" w:hAnsi="宋体"/>
          <w:sz w:val="21"/>
          <w:szCs w:val="21"/>
        </w:rPr>
        <w:t>投标邀请；</w:t>
      </w:r>
    </w:p>
    <w:p>
      <w:pPr>
        <w:numPr>
          <w:ilvl w:val="2"/>
          <w:numId w:val="16"/>
        </w:numPr>
        <w:tabs>
          <w:tab w:val="left" w:pos="840"/>
          <w:tab w:val="left" w:pos="960"/>
          <w:tab w:val="clear" w:pos="1271"/>
        </w:tabs>
        <w:snapToGrid w:val="0"/>
        <w:spacing w:line="360" w:lineRule="auto"/>
        <w:ind w:left="960"/>
        <w:jc w:val="left"/>
        <w:rPr>
          <w:rFonts w:ascii="宋体" w:hAnsi="宋体"/>
          <w:sz w:val="21"/>
          <w:szCs w:val="21"/>
        </w:rPr>
      </w:pPr>
      <w:r>
        <w:rPr>
          <w:rFonts w:hint="eastAsia" w:ascii="宋体" w:hAnsi="宋体"/>
          <w:sz w:val="21"/>
          <w:szCs w:val="21"/>
        </w:rPr>
        <w:t>投标须知；</w:t>
      </w:r>
    </w:p>
    <w:p>
      <w:pPr>
        <w:numPr>
          <w:ilvl w:val="2"/>
          <w:numId w:val="16"/>
        </w:numPr>
        <w:tabs>
          <w:tab w:val="left" w:pos="840"/>
          <w:tab w:val="left" w:pos="960"/>
          <w:tab w:val="clear" w:pos="1271"/>
        </w:tabs>
        <w:snapToGrid w:val="0"/>
        <w:spacing w:line="360" w:lineRule="auto"/>
        <w:ind w:left="960"/>
        <w:jc w:val="left"/>
        <w:rPr>
          <w:rFonts w:ascii="宋体" w:hAnsi="宋体"/>
          <w:sz w:val="21"/>
          <w:szCs w:val="21"/>
        </w:rPr>
      </w:pPr>
      <w:r>
        <w:rPr>
          <w:rFonts w:hint="eastAsia" w:ascii="宋体" w:hAnsi="宋体"/>
          <w:sz w:val="21"/>
          <w:szCs w:val="21"/>
        </w:rPr>
        <w:t>拟签订的合同文本；</w:t>
      </w:r>
    </w:p>
    <w:p>
      <w:pPr>
        <w:numPr>
          <w:ilvl w:val="2"/>
          <w:numId w:val="16"/>
        </w:numPr>
        <w:tabs>
          <w:tab w:val="left" w:pos="840"/>
          <w:tab w:val="left" w:pos="960"/>
          <w:tab w:val="clear" w:pos="1271"/>
        </w:tabs>
        <w:snapToGrid w:val="0"/>
        <w:spacing w:line="360" w:lineRule="auto"/>
        <w:ind w:left="960"/>
        <w:jc w:val="left"/>
        <w:rPr>
          <w:rFonts w:ascii="宋体" w:hAnsi="宋体"/>
          <w:sz w:val="21"/>
          <w:szCs w:val="21"/>
        </w:rPr>
      </w:pPr>
      <w:r>
        <w:rPr>
          <w:rFonts w:hint="eastAsia" w:ascii="宋体" w:hAnsi="宋体"/>
          <w:sz w:val="21"/>
          <w:szCs w:val="21"/>
        </w:rPr>
        <w:t>招标需求；</w:t>
      </w:r>
    </w:p>
    <w:p>
      <w:pPr>
        <w:numPr>
          <w:ilvl w:val="2"/>
          <w:numId w:val="16"/>
        </w:numPr>
        <w:tabs>
          <w:tab w:val="left" w:pos="840"/>
          <w:tab w:val="left" w:pos="960"/>
          <w:tab w:val="clear" w:pos="1271"/>
        </w:tabs>
        <w:snapToGrid w:val="0"/>
        <w:spacing w:line="360" w:lineRule="auto"/>
        <w:ind w:left="960"/>
        <w:jc w:val="left"/>
        <w:rPr>
          <w:rFonts w:ascii="宋体" w:hAnsi="宋体"/>
          <w:sz w:val="21"/>
          <w:szCs w:val="21"/>
        </w:rPr>
      </w:pPr>
      <w:r>
        <w:rPr>
          <w:rFonts w:hint="eastAsia" w:ascii="宋体" w:hAnsi="宋体"/>
          <w:sz w:val="21"/>
          <w:szCs w:val="21"/>
        </w:rPr>
        <w:t>评标办法；</w:t>
      </w:r>
    </w:p>
    <w:p>
      <w:pPr>
        <w:numPr>
          <w:ilvl w:val="2"/>
          <w:numId w:val="16"/>
        </w:numPr>
        <w:tabs>
          <w:tab w:val="left" w:pos="840"/>
          <w:tab w:val="left" w:pos="960"/>
          <w:tab w:val="clear" w:pos="1271"/>
        </w:tabs>
        <w:snapToGrid w:val="0"/>
        <w:spacing w:line="360" w:lineRule="auto"/>
        <w:ind w:left="960"/>
        <w:jc w:val="left"/>
        <w:rPr>
          <w:rFonts w:ascii="宋体" w:hAnsi="宋体"/>
          <w:sz w:val="21"/>
          <w:szCs w:val="21"/>
        </w:rPr>
      </w:pPr>
      <w:r>
        <w:rPr>
          <w:rFonts w:hint="eastAsia" w:ascii="宋体" w:hAnsi="宋体"/>
          <w:sz w:val="21"/>
          <w:szCs w:val="21"/>
        </w:rPr>
        <w:t>投标文件格式；</w:t>
      </w:r>
    </w:p>
    <w:p>
      <w:pPr>
        <w:numPr>
          <w:ilvl w:val="2"/>
          <w:numId w:val="16"/>
        </w:numPr>
        <w:tabs>
          <w:tab w:val="left" w:pos="840"/>
          <w:tab w:val="left" w:pos="960"/>
          <w:tab w:val="clear" w:pos="1271"/>
        </w:tabs>
        <w:snapToGrid w:val="0"/>
        <w:spacing w:line="360" w:lineRule="auto"/>
        <w:ind w:left="960"/>
        <w:jc w:val="left"/>
        <w:rPr>
          <w:rFonts w:ascii="宋体" w:hAnsi="宋体"/>
          <w:sz w:val="21"/>
          <w:szCs w:val="21"/>
        </w:rPr>
      </w:pPr>
      <w:r>
        <w:rPr>
          <w:rFonts w:hint="eastAsia" w:ascii="宋体" w:hAnsi="宋体"/>
          <w:sz w:val="21"/>
          <w:szCs w:val="21"/>
        </w:rPr>
        <w:t>招投标过程中发生的澄清、修改和补充文件（如有）。</w:t>
      </w:r>
    </w:p>
    <w:p>
      <w:pPr>
        <w:numPr>
          <w:ilvl w:val="1"/>
          <w:numId w:val="15"/>
        </w:numPr>
        <w:tabs>
          <w:tab w:val="left" w:pos="720"/>
          <w:tab w:val="clear" w:pos="992"/>
        </w:tabs>
        <w:snapToGrid w:val="0"/>
        <w:spacing w:line="360" w:lineRule="auto"/>
        <w:ind w:left="709"/>
        <w:jc w:val="left"/>
        <w:rPr>
          <w:rFonts w:ascii="宋体" w:hAnsi="宋体"/>
          <w:sz w:val="21"/>
          <w:szCs w:val="21"/>
        </w:rPr>
      </w:pPr>
      <w:r>
        <w:rPr>
          <w:rFonts w:hint="eastAsia" w:ascii="宋体" w:hAnsi="宋体"/>
          <w:sz w:val="21"/>
          <w:szCs w:val="21"/>
        </w:rPr>
        <w:t>投标人应认真阅读招标文件中的所有事项、格式、条款和规范等要求。如果投标人没有按照招标文件的要求提交全部资料和内容，或者投标文件没有对招标文件做出实质性响应，由此造成的风险和后果由投标人负责。</w:t>
      </w:r>
    </w:p>
    <w:p>
      <w:pPr>
        <w:numPr>
          <w:ilvl w:val="1"/>
          <w:numId w:val="15"/>
        </w:numPr>
        <w:tabs>
          <w:tab w:val="left" w:pos="720"/>
          <w:tab w:val="clear" w:pos="992"/>
        </w:tabs>
        <w:snapToGrid w:val="0"/>
        <w:spacing w:line="360" w:lineRule="auto"/>
        <w:ind w:left="709"/>
        <w:jc w:val="left"/>
        <w:rPr>
          <w:rFonts w:ascii="宋体" w:hAnsi="宋体"/>
          <w:b/>
          <w:sz w:val="21"/>
          <w:szCs w:val="21"/>
        </w:rPr>
      </w:pPr>
      <w:r>
        <w:rPr>
          <w:rFonts w:hint="eastAsia" w:ascii="宋体" w:hAnsi="宋体"/>
          <w:b/>
          <w:sz w:val="21"/>
          <w:szCs w:val="21"/>
        </w:rPr>
        <w:t>本招标文件中，凡标有“★”的地方，投标人要特别加以注意，必须对此作出一一响应。若有一项带“★”的指标未响应或不满足，将导致其废标或投标无效。</w:t>
      </w:r>
    </w:p>
    <w:p>
      <w:pPr>
        <w:numPr>
          <w:ilvl w:val="0"/>
          <w:numId w:val="14"/>
        </w:numPr>
        <w:snapToGrid w:val="0"/>
        <w:spacing w:beforeLines="100" w:line="360" w:lineRule="auto"/>
        <w:jc w:val="left"/>
        <w:outlineLvl w:val="2"/>
        <w:rPr>
          <w:rFonts w:ascii="宋体" w:hAnsi="宋体"/>
          <w:b/>
          <w:bCs/>
          <w:sz w:val="21"/>
          <w:szCs w:val="21"/>
        </w:rPr>
      </w:pPr>
      <w:bookmarkStart w:id="28" w:name="_Toc368513775"/>
      <w:r>
        <w:rPr>
          <w:rFonts w:hint="eastAsia" w:ascii="宋体" w:hAnsi="宋体"/>
          <w:b/>
          <w:bCs/>
          <w:sz w:val="21"/>
          <w:szCs w:val="21"/>
        </w:rPr>
        <w:t>招标文件的答疑会及现场考察</w:t>
      </w:r>
      <w:bookmarkEnd w:id="28"/>
    </w:p>
    <w:p>
      <w:pPr>
        <w:tabs>
          <w:tab w:val="left" w:pos="540"/>
        </w:tabs>
        <w:snapToGrid w:val="0"/>
        <w:spacing w:line="360" w:lineRule="auto"/>
        <w:ind w:left="425"/>
        <w:jc w:val="left"/>
        <w:rPr>
          <w:rFonts w:ascii="宋体" w:hAnsi="宋体"/>
          <w:sz w:val="21"/>
          <w:szCs w:val="21"/>
        </w:rPr>
      </w:pPr>
      <w:r>
        <w:rPr>
          <w:rFonts w:hint="eastAsia" w:ascii="宋体" w:hAnsi="宋体"/>
          <w:sz w:val="21"/>
          <w:szCs w:val="21"/>
        </w:rPr>
        <w:t>详见投标须知前附表第2项。</w:t>
      </w:r>
    </w:p>
    <w:p>
      <w:pPr>
        <w:numPr>
          <w:ilvl w:val="0"/>
          <w:numId w:val="14"/>
        </w:numPr>
        <w:snapToGrid w:val="0"/>
        <w:spacing w:beforeLines="100" w:line="360" w:lineRule="auto"/>
        <w:jc w:val="left"/>
        <w:outlineLvl w:val="2"/>
        <w:rPr>
          <w:rFonts w:ascii="宋体" w:hAnsi="宋体"/>
          <w:b/>
          <w:bCs/>
          <w:sz w:val="21"/>
          <w:szCs w:val="21"/>
        </w:rPr>
      </w:pPr>
      <w:bookmarkStart w:id="29" w:name="_Toc368513776"/>
      <w:r>
        <w:rPr>
          <w:rFonts w:hint="eastAsia" w:ascii="宋体" w:hAnsi="宋体"/>
          <w:b/>
          <w:bCs/>
          <w:sz w:val="21"/>
          <w:szCs w:val="21"/>
        </w:rPr>
        <w:t>招标文件的补充、修改、澄清及质疑等</w:t>
      </w:r>
      <w:bookmarkEnd w:id="29"/>
    </w:p>
    <w:p>
      <w:pPr>
        <w:pStyle w:val="201"/>
        <w:numPr>
          <w:ilvl w:val="0"/>
          <w:numId w:val="17"/>
        </w:numPr>
        <w:tabs>
          <w:tab w:val="left" w:pos="720"/>
        </w:tabs>
        <w:snapToGrid w:val="0"/>
        <w:spacing w:line="360" w:lineRule="auto"/>
        <w:ind w:firstLineChars="0"/>
        <w:jc w:val="left"/>
        <w:rPr>
          <w:rFonts w:ascii="宋体" w:hAnsi="宋体"/>
          <w:vanish/>
          <w:sz w:val="21"/>
          <w:szCs w:val="21"/>
        </w:rPr>
      </w:pPr>
    </w:p>
    <w:p>
      <w:pPr>
        <w:pStyle w:val="201"/>
        <w:numPr>
          <w:ilvl w:val="0"/>
          <w:numId w:val="17"/>
        </w:numPr>
        <w:tabs>
          <w:tab w:val="left" w:pos="720"/>
        </w:tabs>
        <w:snapToGrid w:val="0"/>
        <w:spacing w:line="360" w:lineRule="auto"/>
        <w:ind w:firstLineChars="0"/>
        <w:jc w:val="left"/>
        <w:rPr>
          <w:rFonts w:ascii="宋体" w:hAnsi="宋体"/>
          <w:vanish/>
          <w:sz w:val="21"/>
          <w:szCs w:val="21"/>
        </w:rPr>
      </w:pPr>
    </w:p>
    <w:p>
      <w:pPr>
        <w:pStyle w:val="201"/>
        <w:numPr>
          <w:ilvl w:val="0"/>
          <w:numId w:val="17"/>
        </w:numPr>
        <w:tabs>
          <w:tab w:val="left" w:pos="720"/>
        </w:tabs>
        <w:snapToGrid w:val="0"/>
        <w:spacing w:line="360" w:lineRule="auto"/>
        <w:ind w:firstLineChars="0"/>
        <w:jc w:val="left"/>
        <w:rPr>
          <w:rFonts w:ascii="宋体" w:hAnsi="宋体"/>
          <w:vanish/>
          <w:sz w:val="21"/>
          <w:szCs w:val="21"/>
        </w:rPr>
      </w:pPr>
    </w:p>
    <w:p>
      <w:pPr>
        <w:numPr>
          <w:ilvl w:val="1"/>
          <w:numId w:val="17"/>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在投标截止时间15日以前的任何时候，无论出于何种原因，采购代理机构可主动地或在解答潜在投标人提出的疑问时对招标文件进行补充或修改。采购代理机构将在相关媒体发布该补充或更正公告，并书面通知已购买招标文件的所有潜在投标人。潜在投标人</w:t>
      </w:r>
      <w:r>
        <w:rPr>
          <w:rFonts w:ascii="宋体" w:hAnsi="宋体"/>
          <w:sz w:val="21"/>
          <w:szCs w:val="21"/>
        </w:rPr>
        <w:t>在收到该</w:t>
      </w:r>
      <w:r>
        <w:rPr>
          <w:rFonts w:hint="eastAsia" w:ascii="宋体" w:hAnsi="宋体"/>
          <w:sz w:val="21"/>
          <w:szCs w:val="21"/>
        </w:rPr>
        <w:t>补充或更正文件</w:t>
      </w:r>
      <w:r>
        <w:rPr>
          <w:rFonts w:ascii="宋体" w:hAnsi="宋体"/>
          <w:sz w:val="21"/>
          <w:szCs w:val="21"/>
        </w:rPr>
        <w:t>后应立即以</w:t>
      </w:r>
      <w:r>
        <w:rPr>
          <w:rFonts w:hint="eastAsia" w:ascii="宋体" w:hAnsi="宋体"/>
          <w:sz w:val="21"/>
          <w:szCs w:val="21"/>
        </w:rPr>
        <w:t>传真或邮件</w:t>
      </w:r>
      <w:r>
        <w:rPr>
          <w:rFonts w:ascii="宋体" w:hAnsi="宋体"/>
          <w:sz w:val="21"/>
          <w:szCs w:val="21"/>
        </w:rPr>
        <w:t>的形式</w:t>
      </w:r>
      <w:r>
        <w:rPr>
          <w:rFonts w:hint="eastAsia" w:ascii="宋体" w:hAnsi="宋体"/>
          <w:sz w:val="21"/>
          <w:szCs w:val="21"/>
        </w:rPr>
        <w:t>回传采购代理机构</w:t>
      </w:r>
      <w:r>
        <w:rPr>
          <w:rFonts w:ascii="宋体" w:hAnsi="宋体"/>
          <w:sz w:val="21"/>
          <w:szCs w:val="21"/>
        </w:rPr>
        <w:t>予以确认</w:t>
      </w:r>
      <w:r>
        <w:rPr>
          <w:rFonts w:hint="eastAsia" w:ascii="宋体" w:hAnsi="宋体"/>
          <w:sz w:val="21"/>
          <w:szCs w:val="21"/>
        </w:rPr>
        <w:t>。如在24小时内无书面回复则被视为同意补充和更正文件内容。该补充和更正文件的内容将作为招标文件的有效组成部分。</w:t>
      </w:r>
    </w:p>
    <w:p>
      <w:pPr>
        <w:numPr>
          <w:ilvl w:val="1"/>
          <w:numId w:val="17"/>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潜在投标人如果要求对招标文件作进一步澄清，应按招标文件所给出的采购代理机构通信地址以书面或电报方式（以下电报一词均视为电子数据交换，电传或传真）在投标截止时间15日以前通知采购代理机构。采购代理机构将组织采购人对潜在投标人所要求澄清的内容均以书面形式予以答复，</w:t>
      </w:r>
      <w:r>
        <w:rPr>
          <w:rFonts w:ascii="宋体" w:hAnsi="宋体"/>
          <w:sz w:val="21"/>
          <w:szCs w:val="21"/>
        </w:rPr>
        <w:t>同时在</w:t>
      </w:r>
      <w:r>
        <w:rPr>
          <w:rFonts w:hint="eastAsia" w:ascii="宋体" w:hAnsi="宋体"/>
          <w:sz w:val="21"/>
          <w:szCs w:val="21"/>
        </w:rPr>
        <w:t>相关媒体</w:t>
      </w:r>
      <w:r>
        <w:rPr>
          <w:rFonts w:ascii="宋体" w:hAnsi="宋体"/>
          <w:sz w:val="21"/>
          <w:szCs w:val="21"/>
        </w:rPr>
        <w:t>上公布</w:t>
      </w:r>
      <w:r>
        <w:rPr>
          <w:rFonts w:hint="eastAsia" w:ascii="宋体" w:hAnsi="宋体"/>
          <w:sz w:val="21"/>
          <w:szCs w:val="21"/>
        </w:rPr>
        <w:t>澄清公告；必要时，采购代理机构将组织答疑会，并将会议内容以书面形式发给每个购买招标文件的潜在投标人，答复中不包括问题的来源。潜在投标人</w:t>
      </w:r>
      <w:r>
        <w:rPr>
          <w:rFonts w:ascii="宋体" w:hAnsi="宋体"/>
          <w:sz w:val="21"/>
          <w:szCs w:val="21"/>
        </w:rPr>
        <w:t>在收到该</w:t>
      </w:r>
      <w:r>
        <w:rPr>
          <w:rFonts w:hint="eastAsia" w:ascii="宋体" w:hAnsi="宋体"/>
          <w:sz w:val="21"/>
          <w:szCs w:val="21"/>
        </w:rPr>
        <w:t>澄清文件</w:t>
      </w:r>
      <w:r>
        <w:rPr>
          <w:rFonts w:ascii="宋体" w:hAnsi="宋体"/>
          <w:sz w:val="21"/>
          <w:szCs w:val="21"/>
        </w:rPr>
        <w:t>后应立即以</w:t>
      </w:r>
      <w:r>
        <w:rPr>
          <w:rFonts w:hint="eastAsia" w:ascii="宋体" w:hAnsi="宋体"/>
          <w:sz w:val="21"/>
          <w:szCs w:val="21"/>
        </w:rPr>
        <w:t>传真或邮件</w:t>
      </w:r>
      <w:r>
        <w:rPr>
          <w:rFonts w:ascii="宋体" w:hAnsi="宋体"/>
          <w:sz w:val="21"/>
          <w:szCs w:val="21"/>
        </w:rPr>
        <w:t>的形式</w:t>
      </w:r>
      <w:r>
        <w:rPr>
          <w:rFonts w:hint="eastAsia" w:ascii="宋体" w:hAnsi="宋体"/>
          <w:sz w:val="21"/>
          <w:szCs w:val="21"/>
        </w:rPr>
        <w:t>回传采购代理机构</w:t>
      </w:r>
      <w:r>
        <w:rPr>
          <w:rFonts w:ascii="宋体" w:hAnsi="宋体"/>
          <w:sz w:val="21"/>
          <w:szCs w:val="21"/>
        </w:rPr>
        <w:t>予以确认。</w:t>
      </w:r>
      <w:r>
        <w:rPr>
          <w:rFonts w:hint="eastAsia" w:ascii="宋体" w:hAnsi="宋体"/>
          <w:sz w:val="21"/>
          <w:szCs w:val="21"/>
        </w:rPr>
        <w:t>如在24小时内无书面回复则被视为同意澄清文件内容，并有责任履行相应的义务。该澄清文件的内容将作为招标文件的有效组成部分。潜在投标人如在规定的时间内未对招标文件提出澄清或疑问的，采购代理机构将视其为无异议。</w:t>
      </w:r>
    </w:p>
    <w:p>
      <w:pPr>
        <w:numPr>
          <w:ilvl w:val="1"/>
          <w:numId w:val="17"/>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招标文件的补充、修改、澄清公告发布之日距投标截止时间不足15日时，采购代理机构可酌情推迟投标截止日期和开标时间，并以书面形式通知已购买招标文件的每一潜在投标人。如采购代理机构在征得所有已购买招标文件的潜在投标人同意并书面确认后，可以不改变投标截止时间和开标时间。</w:t>
      </w:r>
    </w:p>
    <w:p>
      <w:pPr>
        <w:numPr>
          <w:ilvl w:val="1"/>
          <w:numId w:val="17"/>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根据《中华人民共和国政府采购法》及《中华人民共和国政府采购法实施条例》的规定，供应商认为采购文件的内容损害其权益的，应在项目报名之日起七个工作日内或采购文件公示期间（指招标公告期限—五个工作日）或公示届满之日起七个工作日内将质疑书以书面原件形式（加盖单位公章）当面递交至采购人或采购代理机构，电话咨询或传真或电邮形式无效，逾期质疑无效。质疑书应包括的内容：具体的质疑事项、事实依据及相关确凿的证明材料、明确的请求、投标人名称及地址、授权代表姓名及其联系电话、质疑时间。质疑书应当署名并由法定代表人或授权代表签字并加盖公章。投标人递交质疑书时需提供质疑书原件、法定代表人授权委托书（应载明委托代理的具体权限及事项）及授权代表身份证复印件。未在规定的时间内提出质疑的则视为投标人已充分认识和理解了任何与本项目有关的影响事项和困难、风险等情况，并愿意按照本招标文件的所有条款执行。</w:t>
      </w:r>
    </w:p>
    <w:p>
      <w:pPr>
        <w:tabs>
          <w:tab w:val="left" w:pos="1265"/>
        </w:tabs>
        <w:snapToGrid w:val="0"/>
        <w:spacing w:line="360" w:lineRule="auto"/>
        <w:ind w:left="181"/>
        <w:jc w:val="left"/>
        <w:rPr>
          <w:rFonts w:ascii="宋体" w:hAnsi="宋体"/>
          <w:sz w:val="21"/>
          <w:szCs w:val="21"/>
        </w:rPr>
      </w:pPr>
    </w:p>
    <w:p>
      <w:pPr>
        <w:numPr>
          <w:ilvl w:val="0"/>
          <w:numId w:val="11"/>
        </w:numPr>
        <w:spacing w:line="360" w:lineRule="auto"/>
        <w:jc w:val="center"/>
        <w:outlineLvl w:val="1"/>
        <w:rPr>
          <w:rFonts w:ascii="宋体" w:hAnsi="宋体"/>
          <w:b/>
          <w:bCs/>
          <w:sz w:val="21"/>
          <w:szCs w:val="21"/>
        </w:rPr>
      </w:pPr>
      <w:bookmarkStart w:id="30" w:name="_Toc368513777"/>
      <w:bookmarkStart w:id="31" w:name="_Toc18978"/>
      <w:r>
        <w:rPr>
          <w:rFonts w:hint="eastAsia" w:ascii="宋体" w:hAnsi="宋体"/>
          <w:b/>
          <w:bCs/>
          <w:sz w:val="21"/>
          <w:szCs w:val="21"/>
        </w:rPr>
        <w:t>关于投标人</w:t>
      </w:r>
      <w:bookmarkEnd w:id="30"/>
      <w:bookmarkEnd w:id="31"/>
    </w:p>
    <w:p>
      <w:pPr>
        <w:numPr>
          <w:ilvl w:val="0"/>
          <w:numId w:val="18"/>
        </w:numPr>
        <w:snapToGrid w:val="0"/>
        <w:spacing w:line="360" w:lineRule="auto"/>
        <w:jc w:val="left"/>
        <w:outlineLvl w:val="2"/>
        <w:rPr>
          <w:rFonts w:ascii="宋体" w:hAnsi="宋体"/>
          <w:b/>
          <w:bCs/>
          <w:sz w:val="21"/>
          <w:szCs w:val="21"/>
        </w:rPr>
      </w:pPr>
      <w:bookmarkStart w:id="32" w:name="_Toc368513778"/>
      <w:r>
        <w:rPr>
          <w:rFonts w:hint="eastAsia" w:ascii="宋体" w:hAnsi="宋体"/>
          <w:b/>
          <w:bCs/>
          <w:sz w:val="21"/>
          <w:szCs w:val="21"/>
        </w:rPr>
        <w:t>对投标人的要求</w:t>
      </w:r>
      <w:bookmarkEnd w:id="32"/>
    </w:p>
    <w:p>
      <w:pPr>
        <w:numPr>
          <w:ilvl w:val="1"/>
          <w:numId w:val="18"/>
        </w:numPr>
        <w:tabs>
          <w:tab w:val="left" w:pos="720"/>
        </w:tabs>
        <w:snapToGrid w:val="0"/>
        <w:spacing w:line="360" w:lineRule="auto"/>
        <w:ind w:hanging="812"/>
        <w:jc w:val="left"/>
        <w:rPr>
          <w:rFonts w:ascii="宋体" w:hAnsi="宋体"/>
          <w:sz w:val="21"/>
          <w:szCs w:val="21"/>
        </w:rPr>
      </w:pPr>
      <w:r>
        <w:rPr>
          <w:rFonts w:hint="eastAsia" w:ascii="宋体" w:hAnsi="宋体"/>
          <w:sz w:val="21"/>
          <w:szCs w:val="21"/>
        </w:rPr>
        <w:t>对投标人的资格要求：详见投标邀请中的“供应商资格”部分。</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投标人必须保证所提供的全部资料的真实性，并保证愿意接受由采购人对其所提供材料的真实性的调查和考证。</w:t>
      </w:r>
    </w:p>
    <w:p>
      <w:pPr>
        <w:numPr>
          <w:ilvl w:val="0"/>
          <w:numId w:val="18"/>
        </w:numPr>
        <w:snapToGrid w:val="0"/>
        <w:spacing w:beforeLines="100" w:line="360" w:lineRule="auto"/>
        <w:jc w:val="left"/>
        <w:outlineLvl w:val="2"/>
        <w:rPr>
          <w:rFonts w:ascii="宋体" w:hAnsi="宋体"/>
          <w:b/>
          <w:bCs/>
          <w:sz w:val="21"/>
          <w:szCs w:val="21"/>
        </w:rPr>
      </w:pPr>
      <w:bookmarkStart w:id="33" w:name="_Toc368513779"/>
      <w:bookmarkStart w:id="34" w:name="_Toc357161069"/>
      <w:r>
        <w:rPr>
          <w:rFonts w:hint="eastAsia" w:ascii="宋体" w:hAnsi="宋体"/>
          <w:b/>
          <w:bCs/>
          <w:sz w:val="21"/>
          <w:szCs w:val="21"/>
        </w:rPr>
        <w:t>对于联合投标的规定</w:t>
      </w:r>
      <w:bookmarkEnd w:id="33"/>
      <w:bookmarkEnd w:id="34"/>
    </w:p>
    <w:p>
      <w:pPr>
        <w:snapToGrid w:val="0"/>
        <w:spacing w:line="360" w:lineRule="auto"/>
        <w:ind w:firstLine="420" w:firstLineChars="200"/>
        <w:jc w:val="left"/>
        <w:rPr>
          <w:rFonts w:ascii="宋体" w:hAnsi="宋体"/>
          <w:sz w:val="21"/>
          <w:szCs w:val="21"/>
        </w:rPr>
      </w:pPr>
      <w:r>
        <w:rPr>
          <w:rFonts w:hint="eastAsia" w:ascii="宋体" w:hAnsi="宋体"/>
          <w:sz w:val="21"/>
          <w:szCs w:val="21"/>
        </w:rPr>
        <w:t>除非投标邀请中另有规定，不接受联合体投标。如果投标邀请中规定允许联合体投标的，则必须满足：</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两个以上供应商可以组成一个投标联合体，以一个投标人的身份投标。</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采购人根据采购项目的特殊性规定投标人特定条件的，联合体各方中至少应当有一方符合采购人规定的特定条件。</w:t>
      </w:r>
    </w:p>
    <w:p>
      <w:pPr>
        <w:numPr>
          <w:ilvl w:val="1"/>
          <w:numId w:val="18"/>
        </w:numPr>
        <w:tabs>
          <w:tab w:val="left" w:pos="720"/>
        </w:tabs>
        <w:snapToGrid w:val="0"/>
        <w:spacing w:line="360" w:lineRule="auto"/>
        <w:ind w:left="720" w:hanging="540"/>
        <w:jc w:val="left"/>
        <w:rPr>
          <w:rFonts w:ascii="宋体" w:hAnsi="宋体" w:cs="宋体"/>
          <w:sz w:val="21"/>
          <w:szCs w:val="21"/>
        </w:rPr>
      </w:pPr>
      <w:r>
        <w:rPr>
          <w:rFonts w:hint="eastAsia" w:ascii="宋体" w:hAnsi="宋体" w:cs="宋体"/>
          <w:sz w:val="21"/>
          <w:szCs w:val="21"/>
        </w:rPr>
        <w:t>联合体各方之间应当签订共同投标协议，明确约定联合体各方承担的工作和相应的责任，并将共同投标协议连同投标文件一并提交采购人或采购代理机构。联合体各方签订共同投标协议后，不得再以自己名义单独在同一项目中投标，也不得组成新的联合体参加同一项目投标。</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以联合体形式参加投标的，投标人应提交联合体各方的资格证明文件、共同投标协议并注明主体方及各方拟承担的工作和责任。联合体投标文件由联合体各方或主体方盖章，否则，将导致其投标无效。</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两个以上的自然人、法人或者其他组织组成一个联合体，以一个供应商的身份共同参加政府采购活动的，采购人或者采购代理机构对所有联合体成员进行信用记录查询，联合体成员存在不良信用记录的，视同联合体存在不良信用记录。</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cs="宋体"/>
          <w:sz w:val="21"/>
          <w:szCs w:val="21"/>
        </w:rPr>
        <w:t>联合体投标的，可以由联合体中的一方或者共同提交投标保证金，以一方名义提交投标保证金的，对联合体各方均具有约束力。</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联合体中标的，联合体各方应当共同与采购人签订合同。</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若招标文件另有详细规定的遵从其规定。</w:t>
      </w:r>
    </w:p>
    <w:p>
      <w:pPr>
        <w:numPr>
          <w:ilvl w:val="0"/>
          <w:numId w:val="18"/>
        </w:numPr>
        <w:snapToGrid w:val="0"/>
        <w:spacing w:beforeLines="100" w:line="360" w:lineRule="auto"/>
        <w:jc w:val="left"/>
        <w:outlineLvl w:val="2"/>
        <w:rPr>
          <w:rFonts w:ascii="宋体" w:hAnsi="宋体"/>
          <w:b/>
          <w:bCs/>
          <w:sz w:val="21"/>
          <w:szCs w:val="21"/>
        </w:rPr>
      </w:pPr>
      <w:bookmarkStart w:id="35" w:name="_Toc339965351"/>
      <w:bookmarkStart w:id="36" w:name="_Toc368513780"/>
      <w:r>
        <w:rPr>
          <w:rFonts w:hint="eastAsia" w:ascii="宋体" w:hAnsi="宋体"/>
          <w:b/>
          <w:bCs/>
          <w:sz w:val="21"/>
          <w:szCs w:val="21"/>
        </w:rPr>
        <w:t>对中型、小型、微型企业的说明</w:t>
      </w:r>
      <w:bookmarkEnd w:id="35"/>
      <w:bookmarkEnd w:id="36"/>
    </w:p>
    <w:p>
      <w:pPr>
        <w:tabs>
          <w:tab w:val="left" w:pos="720"/>
          <w:tab w:val="left" w:pos="992"/>
        </w:tabs>
        <w:snapToGrid w:val="0"/>
        <w:spacing w:line="360" w:lineRule="auto"/>
        <w:ind w:left="425" w:leftChars="177" w:firstLine="420" w:firstLineChars="200"/>
        <w:jc w:val="left"/>
        <w:rPr>
          <w:rFonts w:ascii="宋体" w:hAnsi="宋体"/>
          <w:b/>
          <w:bCs/>
          <w:sz w:val="21"/>
          <w:szCs w:val="21"/>
        </w:rPr>
      </w:pPr>
      <w:r>
        <w:rPr>
          <w:rFonts w:hint="eastAsia" w:ascii="宋体" w:hAnsi="宋体"/>
          <w:sz w:val="21"/>
          <w:szCs w:val="21"/>
        </w:rPr>
        <w:t>根据财政部、工业和信息化部印发的《政府采购促进中小企业发展暂行办法》（财库[2011]181号）的规定，对小型和微型企业产品的价格给予6%-10%的扣除，用扣除后的价格参与评审；投标产品中仅有部分小型和微型企业产品的，则按所投小型和微型企业产品的价格予以扣除。</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《政府采购促进中小企业发展暂行办法》所称中小企业（含中型、小型、微型企业，下同）应当同时符合以下条件：</w:t>
      </w:r>
    </w:p>
    <w:p>
      <w:pPr>
        <w:snapToGrid w:val="0"/>
        <w:spacing w:line="360" w:lineRule="auto"/>
        <w:ind w:left="851"/>
        <w:jc w:val="left"/>
        <w:rPr>
          <w:rFonts w:ascii="宋体" w:hAnsi="宋体"/>
          <w:b/>
          <w:bCs/>
          <w:sz w:val="21"/>
          <w:szCs w:val="21"/>
        </w:rPr>
      </w:pPr>
      <w:r>
        <w:rPr>
          <w:rFonts w:hint="eastAsia" w:ascii="宋体" w:hAnsi="宋体"/>
          <w:sz w:val="21"/>
          <w:szCs w:val="21"/>
        </w:rPr>
        <w:t>3.1.1　符合中小企业划分标准；</w:t>
      </w:r>
    </w:p>
    <w:p>
      <w:pPr>
        <w:snapToGrid w:val="0"/>
        <w:spacing w:line="360" w:lineRule="auto"/>
        <w:ind w:left="851"/>
        <w:jc w:val="left"/>
        <w:rPr>
          <w:rFonts w:ascii="宋体" w:hAnsi="宋体"/>
          <w:b/>
          <w:bCs/>
          <w:sz w:val="21"/>
          <w:szCs w:val="21"/>
        </w:rPr>
      </w:pPr>
      <w:r>
        <w:rPr>
          <w:rFonts w:hint="eastAsia" w:ascii="宋体" w:hAnsi="宋体"/>
          <w:sz w:val="21"/>
          <w:szCs w:val="21"/>
        </w:rPr>
        <w:t>3.1.2　提供本企业制造的货物、承担的工程或者服务，或者提供其他中小企业制造的货物。本项所称货物不包括使用大型企业注册商标的货物。</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《政府采购促进中小企业发展暂行办法》所称中小企业划分标准，是指国务院有关部门根据企业从业人员、营业收入、资产总额等指标制定的中小企业划型标准。</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小型、微型企业提供中型企业制造的货物的，视同为中型企业。</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中小微企业投标应提供《中小微企业声明函》。</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提供由省级以上监狱管理局、戒毒管理局(含新疆生产建设兵团)出具的属于监狱企业的证明文件，不再提供《中小微企业声明函》。</w:t>
      </w:r>
    </w:p>
    <w:p>
      <w:pPr>
        <w:numPr>
          <w:ilvl w:val="1"/>
          <w:numId w:val="18"/>
        </w:numPr>
        <w:tabs>
          <w:tab w:val="left" w:pos="720"/>
        </w:tabs>
        <w:snapToGrid w:val="0"/>
        <w:spacing w:line="360" w:lineRule="auto"/>
        <w:ind w:left="720" w:hanging="540"/>
        <w:jc w:val="left"/>
        <w:rPr>
          <w:rFonts w:ascii="宋体" w:hAnsi="宋体"/>
          <w:sz w:val="21"/>
          <w:szCs w:val="21"/>
        </w:rPr>
      </w:pPr>
      <w:r>
        <w:rPr>
          <w:rFonts w:hint="eastAsia" w:ascii="宋体" w:hAnsi="宋体"/>
          <w:sz w:val="21"/>
          <w:szCs w:val="21"/>
        </w:rPr>
        <w:t>根据</w:t>
      </w:r>
      <w:bookmarkStart w:id="37" w:name="sendNo"/>
      <w:r>
        <w:rPr>
          <w:rFonts w:hint="eastAsia" w:ascii="宋体" w:hAnsi="宋体"/>
          <w:sz w:val="21"/>
          <w:szCs w:val="21"/>
        </w:rPr>
        <w:t>财库〔</w:t>
      </w:r>
      <w:bookmarkEnd w:id="37"/>
      <w:r>
        <w:rPr>
          <w:rFonts w:hint="eastAsia" w:ascii="宋体" w:hAnsi="宋体"/>
          <w:sz w:val="21"/>
          <w:szCs w:val="21"/>
        </w:rPr>
        <w:t>2017〕141号《</w:t>
      </w:r>
      <w:r>
        <w:rPr>
          <w:rFonts w:ascii="宋体" w:hAnsi="宋体"/>
          <w:sz w:val="21"/>
          <w:szCs w:val="21"/>
        </w:rPr>
        <w:t>三部门联合发布关于促进残疾人就业政府采购政策的通知</w:t>
      </w:r>
      <w:r>
        <w:rPr>
          <w:rFonts w:hint="eastAsia" w:ascii="宋体" w:hAnsi="宋体"/>
          <w:sz w:val="21"/>
          <w:szCs w:val="21"/>
        </w:rPr>
        <w:t>》，符合条件的残疾人福利性单位在参加政府采购活动时，应当提供《残疾人福利性单位声明函》，并对声明的真实性负责。残疾人福利性单位视同小型、微型企业，享受评审中价格扣除的政府采购政策。中标供应商为残疾人福利性单位的，采购人或者其委托的采购代理机构应当随中标、成交结果同时公告其《残疾人福利性单位声明函》，接受社会监督。</w:t>
      </w:r>
    </w:p>
    <w:p>
      <w:pPr>
        <w:numPr>
          <w:ilvl w:val="0"/>
          <w:numId w:val="18"/>
        </w:numPr>
        <w:snapToGrid w:val="0"/>
        <w:spacing w:beforeLines="100" w:line="360" w:lineRule="auto"/>
        <w:jc w:val="left"/>
        <w:outlineLvl w:val="2"/>
        <w:rPr>
          <w:rFonts w:ascii="宋体" w:hAnsi="宋体"/>
          <w:b/>
          <w:bCs/>
          <w:sz w:val="21"/>
          <w:szCs w:val="21"/>
        </w:rPr>
      </w:pPr>
      <w:r>
        <w:rPr>
          <w:rFonts w:hint="eastAsia" w:ascii="宋体" w:hAnsi="宋体"/>
          <w:b/>
          <w:bCs/>
          <w:sz w:val="21"/>
          <w:szCs w:val="21"/>
        </w:rPr>
        <w:t>关于分公司投标(暂只适用于特定项目)</w:t>
      </w:r>
    </w:p>
    <w:p>
      <w:pPr>
        <w:numPr>
          <w:ilvl w:val="1"/>
          <w:numId w:val="18"/>
        </w:numPr>
        <w:tabs>
          <w:tab w:val="left" w:pos="720"/>
        </w:tabs>
        <w:snapToGrid w:val="0"/>
        <w:spacing w:line="360" w:lineRule="auto"/>
        <w:jc w:val="left"/>
        <w:rPr>
          <w:rFonts w:ascii="宋体" w:hAnsi="宋体"/>
          <w:sz w:val="21"/>
          <w:szCs w:val="21"/>
        </w:rPr>
      </w:pPr>
      <w:r>
        <w:rPr>
          <w:rFonts w:hint="eastAsia" w:ascii="宋体" w:hAnsi="宋体"/>
          <w:sz w:val="21"/>
          <w:szCs w:val="21"/>
        </w:rPr>
        <w:t>分公司作为投标人的，需提供具有法人资格的总公司的营业执照副本复印件及授权书。总公司可就本项目或此类项目在一定范围或时间内出具唯一的投标授权书。已由总公司授权的，总公司取得的相关资质证书对分公司有效，但总公司及总公司下属其他分公司的人员及业绩不作为投标人的人员或业绩进行评分；若招标文件另有详细规定的遵从其规定。</w:t>
      </w:r>
    </w:p>
    <w:p>
      <w:pPr>
        <w:numPr>
          <w:ilvl w:val="1"/>
          <w:numId w:val="18"/>
        </w:numPr>
        <w:tabs>
          <w:tab w:val="left" w:pos="720"/>
        </w:tabs>
        <w:snapToGrid w:val="0"/>
        <w:spacing w:line="360" w:lineRule="auto"/>
        <w:jc w:val="left"/>
        <w:rPr>
          <w:rFonts w:ascii="宋体" w:hAnsi="宋体"/>
          <w:sz w:val="21"/>
          <w:szCs w:val="21"/>
        </w:rPr>
      </w:pPr>
      <w:r>
        <w:rPr>
          <w:rFonts w:hint="eastAsia" w:ascii="宋体" w:hAnsi="宋体"/>
          <w:sz w:val="21"/>
          <w:szCs w:val="21"/>
        </w:rPr>
        <w:t>总公司作为投标人参与，但授权分公司进行投标活动的，需由总公司对分公司出具唯一的授权授章书进行投标。</w:t>
      </w:r>
    </w:p>
    <w:p>
      <w:pPr>
        <w:numPr>
          <w:ilvl w:val="0"/>
          <w:numId w:val="18"/>
        </w:numPr>
        <w:snapToGrid w:val="0"/>
        <w:spacing w:beforeLines="100" w:line="360" w:lineRule="auto"/>
        <w:jc w:val="left"/>
        <w:outlineLvl w:val="2"/>
        <w:rPr>
          <w:rFonts w:ascii="宋体" w:hAnsi="宋体"/>
          <w:b/>
          <w:bCs/>
          <w:sz w:val="21"/>
          <w:szCs w:val="21"/>
        </w:rPr>
      </w:pPr>
      <w:r>
        <w:rPr>
          <w:rFonts w:hint="eastAsia" w:ascii="宋体" w:hAnsi="宋体"/>
          <w:b/>
          <w:bCs/>
          <w:sz w:val="21"/>
          <w:szCs w:val="21"/>
        </w:rPr>
        <w:t>不得参与同一采购项目竞争的供应商</w:t>
      </w:r>
    </w:p>
    <w:p>
      <w:pPr>
        <w:numPr>
          <w:ilvl w:val="1"/>
          <w:numId w:val="18"/>
        </w:numPr>
        <w:tabs>
          <w:tab w:val="left" w:pos="720"/>
        </w:tabs>
        <w:snapToGrid w:val="0"/>
        <w:spacing w:line="360" w:lineRule="auto"/>
        <w:jc w:val="left"/>
        <w:rPr>
          <w:rFonts w:ascii="宋体" w:hAnsi="宋体"/>
          <w:sz w:val="21"/>
          <w:szCs w:val="21"/>
        </w:rPr>
      </w:pPr>
      <w:r>
        <w:rPr>
          <w:rFonts w:ascii="宋体" w:hAnsi="宋体"/>
          <w:sz w:val="21"/>
          <w:szCs w:val="21"/>
        </w:rPr>
        <w:t>单位负责人为同一人或者存在直接控股、管理关系的不同供应商，</w:t>
      </w:r>
      <w:r>
        <w:rPr>
          <w:rFonts w:hint="eastAsia" w:ascii="宋体" w:hAnsi="宋体"/>
          <w:sz w:val="21"/>
          <w:szCs w:val="21"/>
        </w:rPr>
        <w:t>不得参加同一包组投标或者未划分包组的同一招标项目的</w:t>
      </w:r>
      <w:r>
        <w:rPr>
          <w:rFonts w:ascii="宋体" w:hAnsi="宋体"/>
          <w:sz w:val="21"/>
          <w:szCs w:val="21"/>
        </w:rPr>
        <w:t>政府采购活动</w:t>
      </w:r>
      <w:r>
        <w:rPr>
          <w:rFonts w:hint="eastAsia" w:ascii="宋体" w:hAnsi="宋体"/>
          <w:sz w:val="21"/>
          <w:szCs w:val="21"/>
        </w:rPr>
        <w:t>。如同时参加，则评审时均作无效投标处理。</w:t>
      </w:r>
    </w:p>
    <w:p>
      <w:pPr>
        <w:numPr>
          <w:ilvl w:val="1"/>
          <w:numId w:val="18"/>
        </w:numPr>
        <w:tabs>
          <w:tab w:val="left" w:pos="720"/>
        </w:tabs>
        <w:snapToGrid w:val="0"/>
        <w:spacing w:line="360" w:lineRule="auto"/>
        <w:jc w:val="left"/>
        <w:rPr>
          <w:rFonts w:ascii="宋体" w:hAnsi="宋体"/>
          <w:sz w:val="21"/>
          <w:szCs w:val="21"/>
        </w:rPr>
      </w:pPr>
      <w:r>
        <w:rPr>
          <w:rFonts w:ascii="宋体" w:hAnsi="宋体"/>
          <w:sz w:val="21"/>
          <w:szCs w:val="21"/>
        </w:rPr>
        <w:t>为采购项目提供整体设计、规范编制或者项目管理、监理、检测等服务的供应商，不得再参加该采购项目的其他采购活动。</w:t>
      </w:r>
    </w:p>
    <w:p>
      <w:pPr>
        <w:tabs>
          <w:tab w:val="left" w:pos="720"/>
        </w:tabs>
        <w:snapToGrid w:val="0"/>
        <w:spacing w:line="360" w:lineRule="auto"/>
        <w:ind w:left="992"/>
        <w:jc w:val="left"/>
        <w:rPr>
          <w:rFonts w:ascii="宋体" w:hAnsi="宋体"/>
          <w:sz w:val="21"/>
          <w:szCs w:val="21"/>
        </w:rPr>
      </w:pPr>
    </w:p>
    <w:p>
      <w:pPr>
        <w:numPr>
          <w:ilvl w:val="0"/>
          <w:numId w:val="11"/>
        </w:numPr>
        <w:spacing w:line="360" w:lineRule="auto"/>
        <w:jc w:val="center"/>
        <w:outlineLvl w:val="1"/>
        <w:rPr>
          <w:rFonts w:ascii="宋体" w:hAnsi="宋体"/>
          <w:b/>
          <w:bCs/>
          <w:sz w:val="21"/>
          <w:szCs w:val="21"/>
        </w:rPr>
      </w:pPr>
      <w:bookmarkStart w:id="38" w:name="_Toc17875"/>
      <w:bookmarkStart w:id="39" w:name="_Toc368513781"/>
      <w:r>
        <w:rPr>
          <w:rFonts w:hint="eastAsia" w:ascii="宋体" w:hAnsi="宋体"/>
          <w:b/>
          <w:bCs/>
          <w:sz w:val="21"/>
          <w:szCs w:val="21"/>
        </w:rPr>
        <w:t>关于投标文件</w:t>
      </w:r>
      <w:bookmarkEnd w:id="38"/>
      <w:bookmarkEnd w:id="39"/>
    </w:p>
    <w:p>
      <w:pPr>
        <w:numPr>
          <w:ilvl w:val="0"/>
          <w:numId w:val="19"/>
        </w:numPr>
        <w:snapToGrid w:val="0"/>
        <w:spacing w:beforeLines="100" w:line="360" w:lineRule="auto"/>
        <w:jc w:val="left"/>
        <w:outlineLvl w:val="2"/>
        <w:rPr>
          <w:rFonts w:ascii="宋体" w:hAnsi="宋体"/>
          <w:b/>
          <w:bCs/>
          <w:sz w:val="21"/>
          <w:szCs w:val="21"/>
        </w:rPr>
      </w:pPr>
      <w:bookmarkStart w:id="40" w:name="_Toc368513782"/>
      <w:r>
        <w:rPr>
          <w:rFonts w:hint="eastAsia" w:ascii="宋体" w:hAnsi="宋体"/>
          <w:b/>
          <w:bCs/>
          <w:sz w:val="21"/>
          <w:szCs w:val="21"/>
        </w:rPr>
        <w:t>投标文件的编写原则</w:t>
      </w:r>
      <w:bookmarkEnd w:id="40"/>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投标语言：投标人和采购代理机构与投标有关的所有文件和来往函电，应以中文书写。投标人提供的支持文件、技术资料和已印刷的文献可以用其他语言，但相应内容须附有中文翻译本，并以中文翻译本为准。</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计量单位：除在招标文件的技术规格中另有规定外，计量单位应使用中华人民共和国法定计量单位</w:t>
      </w:r>
      <w:r>
        <w:rPr>
          <w:rFonts w:ascii="宋体" w:hAnsi="宋体"/>
          <w:sz w:val="21"/>
          <w:szCs w:val="21"/>
        </w:rPr>
        <w:t>(国际单位制和国家选定的其他计量单位)。</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投标人应保证所提供的所有资料的真实性、准确性、完整性。</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投标人在招投标采购过程中提供不真实的材料，无论其材料是否重要，采购人均有权拒绝，并取消投标人的投标资格，投标人需承担相应的后果及法律责任。</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本项目概不接受电报、电话、电子邮件、邮寄或传真形式的投标文件。</w:t>
      </w:r>
    </w:p>
    <w:p>
      <w:pPr>
        <w:numPr>
          <w:ilvl w:val="0"/>
          <w:numId w:val="19"/>
        </w:numPr>
        <w:snapToGrid w:val="0"/>
        <w:spacing w:beforeLines="100" w:line="360" w:lineRule="auto"/>
        <w:jc w:val="left"/>
        <w:outlineLvl w:val="2"/>
        <w:rPr>
          <w:rFonts w:ascii="宋体" w:hAnsi="宋体"/>
          <w:b/>
          <w:bCs/>
          <w:sz w:val="21"/>
          <w:szCs w:val="21"/>
        </w:rPr>
      </w:pPr>
      <w:bookmarkStart w:id="41" w:name="_Toc368513783"/>
      <w:r>
        <w:rPr>
          <w:rFonts w:hint="eastAsia" w:ascii="宋体" w:hAnsi="宋体"/>
          <w:b/>
          <w:bCs/>
          <w:sz w:val="21"/>
          <w:szCs w:val="21"/>
        </w:rPr>
        <w:t>投标文件编制要求</w:t>
      </w:r>
      <w:bookmarkEnd w:id="41"/>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应仔细阅读招标文件的所有内容，按招标文件规定及要求编写，必须对招标文件提出的实质性要求做出响应，并提交完整的投标文件。投标人应对投标货物和服务提供完整详细的技术说明，如投标人对指定的技术要求不能完全响应，应在投标文件中清楚地注明。投标人对本招标文件的每一项要求所给予的响应必须是唯一的，否则将视为不响应。</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应当对投标文件进行装订，对未经装订的投标文件可能发生的文件散落或缺损，由此造成的后果和责任由投标人承担。若项目含有多个包组，且投标人对多个包组进行投标的，建议其投标文件的编制按每个包组的要求分别装订和封装。</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除投标须知前附表第17项另有规定外，本项目不接受备选投标方案，投标文件的报价只允许有一个报价。采购代理机构不接受有任何选择或具有附加条件的报价。</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投标文件需按照招标文件规定的目录顺序，统一排序编码装订。</w:t>
      </w:r>
    </w:p>
    <w:p>
      <w:pPr>
        <w:numPr>
          <w:ilvl w:val="0"/>
          <w:numId w:val="19"/>
        </w:numPr>
        <w:snapToGrid w:val="0"/>
        <w:spacing w:beforeLines="100" w:line="360" w:lineRule="auto"/>
        <w:jc w:val="left"/>
        <w:outlineLvl w:val="2"/>
        <w:rPr>
          <w:rFonts w:ascii="宋体" w:hAnsi="宋体"/>
          <w:sz w:val="21"/>
          <w:szCs w:val="21"/>
        </w:rPr>
      </w:pPr>
      <w:bookmarkStart w:id="42" w:name="_Toc368513784"/>
      <w:r>
        <w:rPr>
          <w:rFonts w:hint="eastAsia" w:ascii="宋体" w:hAnsi="宋体"/>
          <w:b/>
          <w:bCs/>
          <w:sz w:val="21"/>
          <w:szCs w:val="21"/>
        </w:rPr>
        <w:t>投标报价说明</w:t>
      </w:r>
      <w:bookmarkEnd w:id="42"/>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投标人应以人民币报价。</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投标人应按招标文件要求填写详细报价表。</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投标人所报的投标价在合同执行期间是固定不变的，不得以任何理由予以变更。投标价不是固定价的投标文件将作为非响应性投标而予以拒绝。</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投标报价应为所投项目的最终报价，包含一切税费；投标人应自行增加正常运行及使用所必需但招标文件没有包含的所有部件、工具、版权、专利等一切费用，如果投标人在中标并签署合同后，在实施过程中有任何遗漏，均由中标人免费提供，买方将不再支付任何费用。</w:t>
      </w:r>
    </w:p>
    <w:p>
      <w:pPr>
        <w:numPr>
          <w:ilvl w:val="0"/>
          <w:numId w:val="19"/>
        </w:numPr>
        <w:snapToGrid w:val="0"/>
        <w:spacing w:beforeLines="100" w:line="360" w:lineRule="auto"/>
        <w:jc w:val="left"/>
        <w:outlineLvl w:val="2"/>
        <w:rPr>
          <w:rFonts w:ascii="宋体" w:hAnsi="宋体"/>
          <w:b/>
          <w:bCs/>
          <w:sz w:val="21"/>
          <w:szCs w:val="21"/>
        </w:rPr>
      </w:pPr>
      <w:bookmarkStart w:id="43" w:name="_Toc368513785"/>
      <w:r>
        <w:rPr>
          <w:rFonts w:hint="eastAsia" w:ascii="宋体" w:hAnsi="宋体"/>
          <w:b/>
          <w:bCs/>
          <w:sz w:val="21"/>
          <w:szCs w:val="21"/>
        </w:rPr>
        <w:t>投标文件的组成和格式</w:t>
      </w:r>
      <w:bookmarkEnd w:id="43"/>
    </w:p>
    <w:p>
      <w:pPr>
        <w:tabs>
          <w:tab w:val="left" w:pos="720"/>
        </w:tabs>
        <w:snapToGrid w:val="0"/>
        <w:spacing w:line="360" w:lineRule="auto"/>
        <w:ind w:left="424" w:leftChars="175" w:hanging="4" w:hangingChars="2"/>
        <w:jc w:val="left"/>
        <w:rPr>
          <w:rFonts w:ascii="宋体" w:hAnsi="宋体"/>
          <w:sz w:val="21"/>
          <w:szCs w:val="21"/>
        </w:rPr>
      </w:pPr>
      <w:r>
        <w:rPr>
          <w:rFonts w:hint="eastAsia" w:ascii="宋体" w:hAnsi="宋体"/>
          <w:sz w:val="21"/>
          <w:szCs w:val="21"/>
        </w:rPr>
        <w:t>投标文件应包括商务文件和技术文件，价格文件，编排顺序参见投标文件格式。商务文件部分指投标人提交的证明其有资格参加投标和中标后有能力履行合同的文件。技术方案说明部分是能够证明投标人提供的货物及服务符合招标文件规定的文件。投标人应按规定提交商务文件部分、技术文件部分。</w:t>
      </w:r>
    </w:p>
    <w:p>
      <w:pPr>
        <w:numPr>
          <w:ilvl w:val="0"/>
          <w:numId w:val="19"/>
        </w:numPr>
        <w:snapToGrid w:val="0"/>
        <w:spacing w:beforeLines="100" w:line="360" w:lineRule="auto"/>
        <w:jc w:val="left"/>
        <w:outlineLvl w:val="2"/>
        <w:rPr>
          <w:rFonts w:ascii="宋体" w:hAnsi="宋体"/>
          <w:b/>
          <w:bCs/>
          <w:sz w:val="21"/>
          <w:szCs w:val="21"/>
        </w:rPr>
      </w:pPr>
      <w:bookmarkStart w:id="44" w:name="_Toc368513786"/>
      <w:r>
        <w:rPr>
          <w:rFonts w:hint="eastAsia" w:ascii="宋体" w:hAnsi="宋体"/>
          <w:b/>
          <w:bCs/>
          <w:sz w:val="21"/>
          <w:szCs w:val="21"/>
        </w:rPr>
        <w:t>投标文件的式样和签署</w:t>
      </w:r>
      <w:bookmarkEnd w:id="44"/>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文件正本用A4规格（特殊规格的图纸除外）纸打印。投标文件要求签名的均必须用不褪色墨水填写，并由投标人法定代表人或其正式的授权代表在正本上要求的地方签名或印鉴。投标人授权代表须以书面形式出具“法定代表人授权委托书”附在投标文件中。副本可以通过正本复印，与正本具有同等法律效力。</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投标文件除签字外必须是印刷形式。其中不许有插字、涂改或增删，否则必须由投标人法定代表人或其授权代表在修改处签名或加盖投标人公章。</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ascii="宋体" w:hAnsi="宋体"/>
          <w:sz w:val="21"/>
          <w:szCs w:val="21"/>
        </w:rPr>
        <w:t>投标文件资料应为</w:t>
      </w:r>
      <w:r>
        <w:rPr>
          <w:rFonts w:hint="eastAsia" w:ascii="宋体" w:hAnsi="宋体"/>
          <w:sz w:val="21"/>
          <w:szCs w:val="21"/>
        </w:rPr>
        <w:t>双面打印或复印。</w:t>
      </w:r>
    </w:p>
    <w:p>
      <w:pPr>
        <w:numPr>
          <w:ilvl w:val="0"/>
          <w:numId w:val="19"/>
        </w:numPr>
        <w:snapToGrid w:val="0"/>
        <w:spacing w:beforeLines="100" w:line="360" w:lineRule="auto"/>
        <w:jc w:val="left"/>
        <w:outlineLvl w:val="2"/>
        <w:rPr>
          <w:rFonts w:ascii="宋体" w:hAnsi="宋体"/>
          <w:bCs/>
          <w:sz w:val="21"/>
          <w:szCs w:val="21"/>
        </w:rPr>
      </w:pPr>
      <w:bookmarkStart w:id="45" w:name="_Toc368513787"/>
      <w:r>
        <w:rPr>
          <w:rFonts w:hint="eastAsia" w:ascii="宋体" w:hAnsi="宋体"/>
          <w:b/>
          <w:bCs/>
          <w:sz w:val="21"/>
          <w:szCs w:val="21"/>
        </w:rPr>
        <w:t>投标文件的密封和标记</w:t>
      </w:r>
      <w:bookmarkEnd w:id="45"/>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投标人应按投标须知前附表第5项准备投标文件正本，副本和不作任何加密的电子标书（光刻盘或U盘，封面注明投标人名称、项目名称、项目编号），电子标书的文件格式要求用</w:t>
      </w:r>
      <w:r>
        <w:rPr>
          <w:rFonts w:ascii="宋体" w:hAnsi="宋体"/>
          <w:sz w:val="21"/>
          <w:szCs w:val="21"/>
        </w:rPr>
        <w:t>MS WORD/EXCEL简体中文版</w:t>
      </w:r>
      <w:r>
        <w:rPr>
          <w:rFonts w:hint="eastAsia" w:ascii="宋体" w:hAnsi="宋体"/>
          <w:sz w:val="21"/>
          <w:szCs w:val="21"/>
        </w:rPr>
        <w:t>。在每一份投标文件上要明确注明“正本”或“副本”字样。一旦正本和副本内容有差异，以正本为准。</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投标人应按投标须知前附表第5项密封和标记所有的投标文件，在每一封口处加盖公章，并在封套上标明：</w:t>
      </w:r>
    </w:p>
    <w:p>
      <w:pPr>
        <w:tabs>
          <w:tab w:val="left" w:pos="720"/>
        </w:tabs>
        <w:snapToGrid w:val="0"/>
        <w:spacing w:line="360" w:lineRule="auto"/>
        <w:ind w:left="425" w:firstLine="707" w:firstLineChars="337"/>
        <w:jc w:val="left"/>
        <w:rPr>
          <w:rFonts w:ascii="宋体" w:hAnsi="宋体"/>
          <w:sz w:val="21"/>
          <w:szCs w:val="21"/>
        </w:rPr>
      </w:pPr>
      <w:r>
        <w:rPr>
          <w:rFonts w:hint="eastAsia" w:ascii="宋体" w:hAnsi="宋体"/>
          <w:sz w:val="21"/>
          <w:szCs w:val="21"/>
        </w:rPr>
        <w:t>投标人名称：</w:t>
      </w:r>
    </w:p>
    <w:p>
      <w:pPr>
        <w:tabs>
          <w:tab w:val="left" w:pos="720"/>
        </w:tabs>
        <w:snapToGrid w:val="0"/>
        <w:spacing w:line="360" w:lineRule="auto"/>
        <w:ind w:left="425" w:firstLine="707" w:firstLineChars="337"/>
        <w:jc w:val="left"/>
        <w:rPr>
          <w:rFonts w:ascii="宋体" w:hAnsi="宋体"/>
          <w:sz w:val="21"/>
          <w:szCs w:val="21"/>
        </w:rPr>
      </w:pPr>
      <w:r>
        <w:rPr>
          <w:rFonts w:hint="eastAsia" w:ascii="宋体" w:hAnsi="宋体"/>
          <w:sz w:val="21"/>
          <w:szCs w:val="21"/>
        </w:rPr>
        <w:t>投标人地址：</w:t>
      </w:r>
    </w:p>
    <w:p>
      <w:pPr>
        <w:tabs>
          <w:tab w:val="left" w:pos="720"/>
        </w:tabs>
        <w:snapToGrid w:val="0"/>
        <w:spacing w:line="360" w:lineRule="auto"/>
        <w:ind w:left="425" w:firstLine="707" w:firstLineChars="337"/>
        <w:jc w:val="left"/>
        <w:rPr>
          <w:rFonts w:ascii="宋体" w:hAnsi="宋体"/>
          <w:sz w:val="21"/>
          <w:szCs w:val="21"/>
        </w:rPr>
      </w:pPr>
      <w:r>
        <w:rPr>
          <w:rFonts w:hint="eastAsia" w:ascii="宋体" w:hAnsi="宋体"/>
          <w:sz w:val="21"/>
          <w:szCs w:val="21"/>
        </w:rPr>
        <w:t>项目名称：</w:t>
      </w:r>
    </w:p>
    <w:p>
      <w:pPr>
        <w:tabs>
          <w:tab w:val="left" w:pos="720"/>
        </w:tabs>
        <w:snapToGrid w:val="0"/>
        <w:spacing w:line="360" w:lineRule="auto"/>
        <w:ind w:left="425" w:firstLine="707" w:firstLineChars="337"/>
        <w:jc w:val="left"/>
        <w:rPr>
          <w:rFonts w:ascii="宋体" w:hAnsi="宋体"/>
          <w:sz w:val="21"/>
          <w:szCs w:val="21"/>
        </w:rPr>
      </w:pPr>
      <w:r>
        <w:rPr>
          <w:rFonts w:hint="eastAsia" w:ascii="宋体" w:hAnsi="宋体"/>
          <w:sz w:val="21"/>
          <w:szCs w:val="21"/>
        </w:rPr>
        <w:t>项目编号：</w:t>
      </w:r>
    </w:p>
    <w:p>
      <w:pPr>
        <w:tabs>
          <w:tab w:val="left" w:pos="720"/>
        </w:tabs>
        <w:snapToGrid w:val="0"/>
        <w:spacing w:line="360" w:lineRule="auto"/>
        <w:ind w:left="425" w:firstLine="707" w:firstLineChars="337"/>
        <w:jc w:val="left"/>
        <w:rPr>
          <w:rFonts w:ascii="宋体" w:hAnsi="宋体"/>
          <w:sz w:val="21"/>
          <w:szCs w:val="21"/>
        </w:rPr>
      </w:pPr>
      <w:r>
        <w:rPr>
          <w:rFonts w:hint="eastAsia" w:ascii="宋体" w:hAnsi="宋体"/>
          <w:sz w:val="21"/>
          <w:szCs w:val="21"/>
        </w:rPr>
        <w:t>包组号：（无分包项目可不填）</w:t>
      </w:r>
    </w:p>
    <w:p>
      <w:pPr>
        <w:tabs>
          <w:tab w:val="left" w:pos="720"/>
        </w:tabs>
        <w:snapToGrid w:val="0"/>
        <w:spacing w:line="360" w:lineRule="auto"/>
        <w:ind w:left="425" w:firstLine="707" w:firstLineChars="337"/>
        <w:jc w:val="left"/>
        <w:rPr>
          <w:rFonts w:ascii="宋体" w:hAnsi="宋体"/>
          <w:sz w:val="21"/>
          <w:szCs w:val="21"/>
        </w:rPr>
      </w:pPr>
      <w:r>
        <w:rPr>
          <w:rFonts w:hint="eastAsia" w:ascii="宋体" w:hAnsi="宋体"/>
          <w:sz w:val="21"/>
          <w:szCs w:val="21"/>
        </w:rPr>
        <w:t>收件人名称：广东志正招标有限公司</w:t>
      </w:r>
    </w:p>
    <w:p>
      <w:pPr>
        <w:tabs>
          <w:tab w:val="left" w:pos="720"/>
        </w:tabs>
        <w:snapToGrid w:val="0"/>
        <w:spacing w:line="360" w:lineRule="auto"/>
        <w:ind w:left="425" w:firstLine="707" w:firstLineChars="337"/>
        <w:jc w:val="left"/>
        <w:rPr>
          <w:rFonts w:ascii="宋体" w:hAnsi="宋体"/>
          <w:sz w:val="21"/>
          <w:szCs w:val="21"/>
        </w:rPr>
      </w:pPr>
      <w:r>
        <w:rPr>
          <w:rFonts w:hint="eastAsia" w:ascii="宋体" w:hAnsi="宋体"/>
          <w:sz w:val="21"/>
          <w:szCs w:val="21"/>
        </w:rPr>
        <w:t>在规定的</w:t>
      </w:r>
      <w:r>
        <w:rPr>
          <w:rFonts w:hint="eastAsia" w:ascii="宋体" w:hAnsi="宋体"/>
          <w:sz w:val="21"/>
          <w:szCs w:val="21"/>
          <w:u w:val="single"/>
        </w:rPr>
        <w:t xml:space="preserve">           （投标截止时间）      之</w:t>
      </w:r>
      <w:r>
        <w:rPr>
          <w:rFonts w:hint="eastAsia" w:ascii="宋体" w:hAnsi="宋体"/>
          <w:sz w:val="21"/>
          <w:szCs w:val="21"/>
        </w:rPr>
        <w:t>前不得启封</w:t>
      </w:r>
    </w:p>
    <w:p>
      <w:pPr>
        <w:numPr>
          <w:ilvl w:val="1"/>
          <w:numId w:val="19"/>
        </w:numPr>
        <w:tabs>
          <w:tab w:val="left" w:pos="720"/>
          <w:tab w:val="clear" w:pos="992"/>
        </w:tabs>
        <w:snapToGrid w:val="0"/>
        <w:spacing w:line="360" w:lineRule="auto"/>
        <w:ind w:left="720" w:hanging="540"/>
        <w:jc w:val="left"/>
        <w:rPr>
          <w:rFonts w:ascii="宋体" w:hAnsi="宋体"/>
          <w:b/>
          <w:sz w:val="21"/>
          <w:szCs w:val="21"/>
        </w:rPr>
      </w:pPr>
      <w:r>
        <w:rPr>
          <w:rFonts w:ascii="宋体" w:hAnsi="宋体"/>
          <w:b/>
          <w:bCs/>
          <w:sz w:val="21"/>
          <w:szCs w:val="21"/>
          <w:lang w:val="zh-CN"/>
        </w:rPr>
        <w:t>如</w:t>
      </w:r>
      <w:r>
        <w:rPr>
          <w:rFonts w:hint="eastAsia" w:ascii="宋体" w:hAnsi="宋体"/>
          <w:b/>
          <w:bCs/>
          <w:sz w:val="21"/>
          <w:szCs w:val="21"/>
          <w:lang w:val="zh-CN"/>
        </w:rPr>
        <w:t>因</w:t>
      </w:r>
      <w:r>
        <w:rPr>
          <w:rFonts w:ascii="宋体" w:hAnsi="宋体"/>
          <w:b/>
          <w:bCs/>
          <w:sz w:val="21"/>
          <w:szCs w:val="21"/>
          <w:lang w:val="zh-CN"/>
        </w:rPr>
        <w:t>密封不严导致投标文件非人为因素过早启封的，</w:t>
      </w:r>
      <w:r>
        <w:rPr>
          <w:rFonts w:hint="eastAsia" w:ascii="宋体" w:hAnsi="宋体"/>
          <w:b/>
          <w:bCs/>
          <w:sz w:val="21"/>
          <w:szCs w:val="21"/>
          <w:lang w:val="zh-CN"/>
        </w:rPr>
        <w:t>采购代理机构</w:t>
      </w:r>
      <w:r>
        <w:rPr>
          <w:rFonts w:ascii="宋体" w:hAnsi="宋体"/>
          <w:b/>
          <w:bCs/>
          <w:sz w:val="21"/>
          <w:szCs w:val="21"/>
          <w:lang w:val="zh-CN"/>
        </w:rPr>
        <w:t>概不负责，并将该文件退还给投标人</w:t>
      </w:r>
      <w:r>
        <w:rPr>
          <w:rFonts w:hint="eastAsia" w:ascii="宋体" w:hAnsi="宋体"/>
          <w:b/>
          <w:bCs/>
          <w:sz w:val="21"/>
          <w:szCs w:val="21"/>
          <w:lang w:val="zh-CN"/>
        </w:rPr>
        <w:t>。</w:t>
      </w:r>
    </w:p>
    <w:p>
      <w:pPr>
        <w:numPr>
          <w:ilvl w:val="0"/>
          <w:numId w:val="19"/>
        </w:numPr>
        <w:snapToGrid w:val="0"/>
        <w:spacing w:beforeLines="100" w:line="360" w:lineRule="auto"/>
        <w:jc w:val="left"/>
        <w:outlineLvl w:val="2"/>
        <w:rPr>
          <w:rFonts w:ascii="宋体" w:hAnsi="宋体"/>
          <w:b/>
          <w:bCs/>
          <w:sz w:val="21"/>
          <w:szCs w:val="21"/>
        </w:rPr>
      </w:pPr>
      <w:bookmarkStart w:id="46" w:name="_Toc368513788"/>
      <w:r>
        <w:rPr>
          <w:rFonts w:hint="eastAsia" w:ascii="宋体" w:hAnsi="宋体"/>
          <w:b/>
          <w:bCs/>
          <w:sz w:val="21"/>
          <w:szCs w:val="21"/>
        </w:rPr>
        <w:t>投标文件的递交</w:t>
      </w:r>
      <w:bookmarkEnd w:id="46"/>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投标人将投标文件按上述规定进行密封和标记后，按投标邀请注明的地址在投标截止时间之前专人送至开标地点。</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ascii="宋体" w:hAnsi="宋体"/>
          <w:sz w:val="21"/>
          <w:szCs w:val="21"/>
        </w:rPr>
        <w:t>逾期送达或者未按照招标文件要求密封的投标文件，采购人、采购代理机构应当拒收</w:t>
      </w:r>
      <w:r>
        <w:rPr>
          <w:rFonts w:hint="eastAsia" w:ascii="宋体" w:hAnsi="宋体"/>
          <w:sz w:val="21"/>
          <w:szCs w:val="21"/>
        </w:rPr>
        <w:t>。</w:t>
      </w:r>
    </w:p>
    <w:p>
      <w:pPr>
        <w:numPr>
          <w:ilvl w:val="0"/>
          <w:numId w:val="19"/>
        </w:numPr>
        <w:snapToGrid w:val="0"/>
        <w:spacing w:beforeLines="100" w:line="360" w:lineRule="auto"/>
        <w:jc w:val="left"/>
        <w:outlineLvl w:val="2"/>
        <w:rPr>
          <w:rFonts w:ascii="宋体" w:hAnsi="宋体"/>
          <w:b/>
          <w:bCs/>
          <w:sz w:val="21"/>
          <w:szCs w:val="21"/>
        </w:rPr>
      </w:pPr>
      <w:bookmarkStart w:id="47" w:name="_Toc368513789"/>
      <w:r>
        <w:rPr>
          <w:rFonts w:hint="eastAsia" w:ascii="宋体" w:hAnsi="宋体"/>
          <w:b/>
          <w:bCs/>
          <w:sz w:val="21"/>
          <w:szCs w:val="21"/>
        </w:rPr>
        <w:t>投标文件的修改和撤回</w:t>
      </w:r>
      <w:bookmarkEnd w:id="47"/>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在投标截止时间前，可以修改或撤回其投标文件。但投标人必须在规定的投标截止时间之前向采购代理机构发出书面通知。修改后的投标文件须按招标文件对投标文件投递的要求在投标截止时间之前重新递交，否则，采购代理机构将拒绝接受修改后的投标文件。修改的内容应当按招标文件要求签署、盖章，并作为投标文件的组成部分。</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在投标截止时间之后，投标人不得对其投标文件做任何修改。从投标截止时间起至投标有效期结束前，投标人不得撤回其投标，否则采购人或采购代理机构不退还其投标保证金。</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采购人和采购代理机构对不可抗力所造成投标文件的损坏、丢失、迟交等一切事项不承担任何责任。</w:t>
      </w:r>
    </w:p>
    <w:p>
      <w:pPr>
        <w:numPr>
          <w:ilvl w:val="0"/>
          <w:numId w:val="19"/>
        </w:numPr>
        <w:snapToGrid w:val="0"/>
        <w:spacing w:beforeLines="100" w:line="360" w:lineRule="auto"/>
        <w:jc w:val="left"/>
        <w:outlineLvl w:val="2"/>
        <w:rPr>
          <w:rFonts w:ascii="宋体" w:hAnsi="宋体"/>
          <w:b/>
          <w:bCs/>
          <w:sz w:val="21"/>
          <w:szCs w:val="21"/>
        </w:rPr>
      </w:pPr>
      <w:bookmarkStart w:id="48" w:name="_Toc368513790"/>
      <w:r>
        <w:rPr>
          <w:rFonts w:hint="eastAsia" w:ascii="宋体" w:hAnsi="宋体"/>
          <w:b/>
          <w:bCs/>
          <w:sz w:val="21"/>
          <w:szCs w:val="21"/>
        </w:rPr>
        <w:t>投标有效期</w:t>
      </w:r>
      <w:bookmarkEnd w:id="48"/>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有效期详见投标须知前附表第3项。中标供应商的投标有效期自动延长至合同终止为止。在特殊情况下，采购代理机构可于投标有效期期满之前要求投标人同意延长有效期，要求与答复均应以书面形式进行。投标人可以拒绝上述延长投标有效期的要求，其投标保证金将被无息退还；同意延期的投标人，其权利及责任相应从原截止期延至新的截止期</w:t>
      </w:r>
      <w:r>
        <w:rPr>
          <w:rFonts w:ascii="宋体" w:hAnsi="宋体"/>
          <w:sz w:val="21"/>
          <w:szCs w:val="21"/>
        </w:rPr>
        <w:t>。</w:t>
      </w:r>
    </w:p>
    <w:p>
      <w:pPr>
        <w:numPr>
          <w:ilvl w:val="0"/>
          <w:numId w:val="19"/>
        </w:numPr>
        <w:snapToGrid w:val="0"/>
        <w:spacing w:beforeLines="100" w:line="360" w:lineRule="auto"/>
        <w:jc w:val="left"/>
        <w:outlineLvl w:val="2"/>
        <w:rPr>
          <w:rFonts w:ascii="宋体" w:hAnsi="宋体"/>
          <w:b/>
          <w:bCs/>
          <w:sz w:val="21"/>
          <w:szCs w:val="21"/>
        </w:rPr>
      </w:pPr>
      <w:bookmarkStart w:id="49" w:name="_Toc368513791"/>
      <w:r>
        <w:rPr>
          <w:rFonts w:hint="eastAsia" w:ascii="宋体" w:hAnsi="宋体"/>
          <w:b/>
          <w:bCs/>
          <w:sz w:val="21"/>
          <w:szCs w:val="21"/>
        </w:rPr>
        <w:t>投标保证金</w:t>
      </w:r>
      <w:bookmarkEnd w:id="49"/>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投标保证金作为投标文件的组成部分，</w:t>
      </w:r>
      <w:r>
        <w:rPr>
          <w:rFonts w:hint="eastAsia" w:ascii="宋体" w:hAnsi="宋体"/>
          <w:b/>
          <w:sz w:val="21"/>
          <w:szCs w:val="21"/>
        </w:rPr>
        <w:t>应在有关单据上注明项目编号</w:t>
      </w:r>
      <w:r>
        <w:rPr>
          <w:rFonts w:ascii="宋体" w:hAnsi="宋体"/>
          <w:sz w:val="21"/>
          <w:szCs w:val="21"/>
        </w:rPr>
        <w:t>。</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投标保证金用于保护本次招标免受投标人的行为而引起的风险。</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投标人须按照投标须知前附表第4项的规定向采购代理机构交纳投标保证金。</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投标保证金以银行转账方式、电汇或以保函形式提交。</w:t>
      </w:r>
    </w:p>
    <w:p>
      <w:pPr>
        <w:tabs>
          <w:tab w:val="left" w:pos="851"/>
        </w:tabs>
        <w:snapToGrid w:val="0"/>
        <w:spacing w:line="360" w:lineRule="auto"/>
        <w:ind w:left="706" w:leftChars="294"/>
        <w:jc w:val="left"/>
        <w:rPr>
          <w:rFonts w:ascii="宋体" w:hAnsi="宋体"/>
          <w:b/>
          <w:sz w:val="21"/>
          <w:szCs w:val="21"/>
        </w:rPr>
      </w:pPr>
      <w:r>
        <w:rPr>
          <w:rFonts w:hint="eastAsia" w:ascii="宋体" w:hAnsi="宋体"/>
          <w:sz w:val="21"/>
          <w:szCs w:val="21"/>
        </w:rPr>
        <w:t>10.4.1以银行转账方式提交的，将投标保证金存进以下广东志正招标有限公司东莞分公司指定银行账户，并</w:t>
      </w:r>
      <w:r>
        <w:rPr>
          <w:rFonts w:hint="eastAsia" w:ascii="宋体" w:hAnsi="宋体"/>
          <w:b/>
          <w:sz w:val="21"/>
          <w:szCs w:val="21"/>
        </w:rPr>
        <w:t>必须按照投标须知前附表第4项规定的时间到达指定账户</w:t>
      </w:r>
      <w:r>
        <w:rPr>
          <w:rFonts w:hint="eastAsia" w:ascii="宋体" w:hAnsi="宋体"/>
          <w:sz w:val="21"/>
          <w:szCs w:val="21"/>
        </w:rPr>
        <w:t>，以到达指定账户的时间为准。</w:t>
      </w:r>
      <w:r>
        <w:rPr>
          <w:rFonts w:hint="eastAsia" w:ascii="宋体" w:hAnsi="宋体"/>
          <w:b/>
          <w:sz w:val="21"/>
          <w:szCs w:val="21"/>
        </w:rPr>
        <w:t>并在递交投标文件时，递交银行划款单复印件（复印件加盖公章），</w:t>
      </w:r>
      <w:r>
        <w:rPr>
          <w:rFonts w:hint="eastAsia" w:ascii="宋体" w:hAnsi="宋体"/>
          <w:b/>
          <w:sz w:val="21"/>
          <w:szCs w:val="21"/>
          <w:lang w:val="zh-CN"/>
        </w:rPr>
        <w:t>同时在银行转账单据上写上项目编号</w:t>
      </w:r>
      <w:r>
        <w:rPr>
          <w:rFonts w:hint="eastAsia" w:ascii="宋体" w:hAnsi="宋体"/>
          <w:b/>
          <w:sz w:val="21"/>
          <w:szCs w:val="21"/>
        </w:rPr>
        <w:t>。</w:t>
      </w:r>
    </w:p>
    <w:p>
      <w:pPr>
        <w:spacing w:line="360" w:lineRule="auto"/>
        <w:ind w:left="744" w:leftChars="310" w:firstLine="210" w:firstLineChars="100"/>
        <w:jc w:val="left"/>
        <w:rPr>
          <w:rFonts w:ascii="宋体" w:hAnsi="宋体"/>
          <w:sz w:val="21"/>
          <w:szCs w:val="21"/>
        </w:rPr>
      </w:pPr>
      <w:r>
        <w:rPr>
          <w:rFonts w:hint="eastAsia" w:ascii="宋体" w:hAnsi="宋体"/>
          <w:sz w:val="21"/>
          <w:szCs w:val="21"/>
        </w:rPr>
        <w:t>收款单位：广东志正招标有限公司东莞分公司；</w:t>
      </w:r>
    </w:p>
    <w:p>
      <w:pPr>
        <w:spacing w:line="360" w:lineRule="auto"/>
        <w:ind w:left="744" w:leftChars="310" w:firstLine="210" w:firstLineChars="100"/>
        <w:jc w:val="left"/>
        <w:rPr>
          <w:rFonts w:ascii="宋体" w:hAnsi="宋体"/>
          <w:sz w:val="21"/>
          <w:szCs w:val="21"/>
        </w:rPr>
      </w:pPr>
      <w:r>
        <w:rPr>
          <w:rFonts w:hint="eastAsia" w:ascii="宋体" w:hAnsi="宋体"/>
          <w:sz w:val="21"/>
          <w:szCs w:val="21"/>
        </w:rPr>
        <w:t>开户银行：招商银行东莞分行东城支行；</w:t>
      </w:r>
    </w:p>
    <w:p>
      <w:pPr>
        <w:spacing w:line="360" w:lineRule="auto"/>
        <w:ind w:left="744" w:leftChars="310" w:firstLine="210" w:firstLineChars="100"/>
        <w:jc w:val="left"/>
        <w:rPr>
          <w:rFonts w:ascii="宋体" w:hAnsi="宋体"/>
          <w:sz w:val="21"/>
          <w:szCs w:val="21"/>
        </w:rPr>
      </w:pPr>
      <w:r>
        <w:rPr>
          <w:rFonts w:hint="eastAsia" w:ascii="宋体" w:hAnsi="宋体"/>
          <w:sz w:val="21"/>
          <w:szCs w:val="21"/>
        </w:rPr>
        <w:t>账号：7699 0427 1810 788</w:t>
      </w:r>
      <w:r>
        <w:rPr>
          <w:rFonts w:ascii="宋体" w:hAnsi="宋体"/>
          <w:sz w:val="21"/>
          <w:szCs w:val="21"/>
        </w:rPr>
        <w:t>；</w:t>
      </w:r>
    </w:p>
    <w:p>
      <w:pPr>
        <w:spacing w:line="360" w:lineRule="auto"/>
        <w:ind w:left="744" w:leftChars="310" w:firstLine="210" w:firstLineChars="100"/>
        <w:jc w:val="left"/>
        <w:rPr>
          <w:rFonts w:ascii="宋体" w:hAnsi="宋体"/>
          <w:sz w:val="21"/>
          <w:szCs w:val="21"/>
        </w:rPr>
      </w:pPr>
      <w:r>
        <w:rPr>
          <w:rFonts w:hint="eastAsia" w:ascii="宋体" w:hAnsi="宋体"/>
          <w:sz w:val="21"/>
          <w:szCs w:val="21"/>
        </w:rPr>
        <w:t>保证金相关事宜联系人：彭小姐               联系电话：0769-22306832</w:t>
      </w:r>
    </w:p>
    <w:p>
      <w:pPr>
        <w:spacing w:line="360" w:lineRule="auto"/>
        <w:ind w:firstLine="735" w:firstLineChars="350"/>
        <w:jc w:val="left"/>
        <w:rPr>
          <w:rFonts w:ascii="宋体" w:hAnsi="宋体"/>
          <w:sz w:val="21"/>
          <w:szCs w:val="21"/>
        </w:rPr>
      </w:pPr>
      <w:r>
        <w:rPr>
          <w:rFonts w:hint="eastAsia" w:ascii="宋体" w:hAnsi="宋体"/>
          <w:sz w:val="21"/>
          <w:szCs w:val="21"/>
        </w:rPr>
        <w:t xml:space="preserve">10.4.2 </w:t>
      </w:r>
      <w:r>
        <w:rPr>
          <w:rFonts w:hint="eastAsia" w:hAnsi="宋体"/>
          <w:sz w:val="21"/>
          <w:szCs w:val="21"/>
        </w:rPr>
        <w:t>采用银行保函提交的：</w:t>
      </w:r>
    </w:p>
    <w:p>
      <w:pPr>
        <w:numPr>
          <w:ilvl w:val="1"/>
          <w:numId w:val="20"/>
        </w:numPr>
        <w:tabs>
          <w:tab w:val="left" w:pos="1276"/>
          <w:tab w:val="clear" w:pos="780"/>
        </w:tabs>
        <w:spacing w:line="360" w:lineRule="auto"/>
        <w:ind w:left="1276" w:hanging="425"/>
        <w:jc w:val="left"/>
        <w:rPr>
          <w:rFonts w:hAnsi="宋体"/>
          <w:sz w:val="21"/>
          <w:szCs w:val="21"/>
        </w:rPr>
      </w:pPr>
      <w:r>
        <w:rPr>
          <w:rFonts w:hint="eastAsia" w:hAnsi="宋体"/>
          <w:sz w:val="21"/>
          <w:szCs w:val="21"/>
        </w:rPr>
        <w:t>采用招标文件提供的格式或采购人接受的其他格式；</w:t>
      </w:r>
    </w:p>
    <w:p>
      <w:pPr>
        <w:numPr>
          <w:ilvl w:val="1"/>
          <w:numId w:val="20"/>
        </w:numPr>
        <w:tabs>
          <w:tab w:val="left" w:pos="1276"/>
          <w:tab w:val="clear" w:pos="780"/>
        </w:tabs>
        <w:spacing w:line="360" w:lineRule="auto"/>
        <w:ind w:left="1276" w:hanging="425"/>
        <w:jc w:val="left"/>
        <w:rPr>
          <w:rFonts w:hAnsi="宋体"/>
          <w:sz w:val="21"/>
          <w:szCs w:val="21"/>
        </w:rPr>
      </w:pPr>
      <w:r>
        <w:rPr>
          <w:rFonts w:hint="eastAsia" w:hAnsi="宋体"/>
          <w:sz w:val="21"/>
          <w:szCs w:val="21"/>
        </w:rPr>
        <w:t>由中华人民共和国境内的银行出具的银行保函；</w:t>
      </w:r>
    </w:p>
    <w:p>
      <w:pPr>
        <w:numPr>
          <w:ilvl w:val="1"/>
          <w:numId w:val="20"/>
        </w:numPr>
        <w:tabs>
          <w:tab w:val="left" w:pos="1276"/>
          <w:tab w:val="clear" w:pos="780"/>
        </w:tabs>
        <w:spacing w:line="360" w:lineRule="auto"/>
        <w:ind w:left="1276" w:hanging="425"/>
        <w:jc w:val="left"/>
        <w:rPr>
          <w:rFonts w:hAnsi="宋体"/>
          <w:sz w:val="21"/>
          <w:szCs w:val="21"/>
        </w:rPr>
      </w:pPr>
      <w:r>
        <w:rPr>
          <w:rFonts w:hint="eastAsia" w:hAnsi="宋体"/>
          <w:sz w:val="21"/>
          <w:szCs w:val="21"/>
        </w:rPr>
        <w:t>有效期超过投标有效期30天。</w:t>
      </w:r>
    </w:p>
    <w:p>
      <w:pPr>
        <w:pStyle w:val="22"/>
        <w:tabs>
          <w:tab w:val="left" w:pos="851"/>
        </w:tabs>
        <w:adjustRightInd w:val="0"/>
        <w:snapToGrid w:val="0"/>
        <w:ind w:left="908" w:leftChars="290" w:hanging="212" w:hangingChars="101"/>
        <w:jc w:val="left"/>
        <w:rPr>
          <w:rFonts w:ascii="Tahoma" w:hAnsi="宋体"/>
          <w:sz w:val="21"/>
        </w:rPr>
      </w:pPr>
      <w:r>
        <w:rPr>
          <w:rFonts w:hint="eastAsia" w:hAnsi="宋体"/>
          <w:sz w:val="21"/>
        </w:rPr>
        <w:t>10.4.3</w:t>
      </w:r>
      <w:r>
        <w:rPr>
          <w:rFonts w:hint="eastAsia" w:ascii="Tahoma" w:hAnsi="宋体"/>
          <w:sz w:val="21"/>
        </w:rPr>
        <w:t>采用政府采购投标担保函提交的：</w:t>
      </w:r>
    </w:p>
    <w:p>
      <w:pPr>
        <w:numPr>
          <w:ilvl w:val="1"/>
          <w:numId w:val="21"/>
        </w:numPr>
        <w:tabs>
          <w:tab w:val="left" w:pos="780"/>
          <w:tab w:val="left" w:pos="1276"/>
        </w:tabs>
        <w:spacing w:line="360" w:lineRule="auto"/>
        <w:ind w:left="1276" w:hanging="425"/>
        <w:jc w:val="left"/>
        <w:rPr>
          <w:rFonts w:hAnsi="宋体"/>
          <w:sz w:val="21"/>
          <w:szCs w:val="21"/>
        </w:rPr>
      </w:pPr>
      <w:r>
        <w:rPr>
          <w:rFonts w:hint="eastAsia" w:hAnsi="宋体"/>
          <w:sz w:val="21"/>
          <w:szCs w:val="21"/>
        </w:rPr>
        <w:t>采用采购文件提供的格式或采购人接受的其他格式；</w:t>
      </w:r>
    </w:p>
    <w:p>
      <w:pPr>
        <w:numPr>
          <w:ilvl w:val="1"/>
          <w:numId w:val="21"/>
        </w:numPr>
        <w:tabs>
          <w:tab w:val="left" w:pos="780"/>
          <w:tab w:val="left" w:pos="1276"/>
        </w:tabs>
        <w:spacing w:line="360" w:lineRule="auto"/>
        <w:ind w:left="1276" w:hanging="425"/>
        <w:jc w:val="left"/>
        <w:rPr>
          <w:rFonts w:hAnsi="宋体"/>
          <w:sz w:val="21"/>
          <w:szCs w:val="21"/>
        </w:rPr>
      </w:pPr>
      <w:r>
        <w:rPr>
          <w:rFonts w:hint="eastAsia" w:hAnsi="宋体"/>
          <w:sz w:val="21"/>
          <w:szCs w:val="21"/>
        </w:rPr>
        <w:t>由专业担保机构出具的政府采购投标担保函；</w:t>
      </w:r>
    </w:p>
    <w:p>
      <w:pPr>
        <w:numPr>
          <w:ilvl w:val="1"/>
          <w:numId w:val="21"/>
        </w:numPr>
        <w:tabs>
          <w:tab w:val="left" w:pos="780"/>
          <w:tab w:val="left" w:pos="1276"/>
        </w:tabs>
        <w:spacing w:line="360" w:lineRule="auto"/>
        <w:ind w:left="1276" w:hanging="425"/>
        <w:jc w:val="left"/>
        <w:rPr>
          <w:rFonts w:hAnsi="宋体"/>
          <w:sz w:val="21"/>
          <w:szCs w:val="21"/>
        </w:rPr>
      </w:pPr>
      <w:r>
        <w:rPr>
          <w:rFonts w:hint="eastAsia" w:hAnsi="宋体"/>
          <w:sz w:val="21"/>
          <w:szCs w:val="21"/>
        </w:rPr>
        <w:t>有效期超过投标有效期30天。</w:t>
      </w:r>
    </w:p>
    <w:p>
      <w:pPr>
        <w:numPr>
          <w:ilvl w:val="1"/>
          <w:numId w:val="19"/>
        </w:numPr>
        <w:tabs>
          <w:tab w:val="left" w:pos="720"/>
          <w:tab w:val="clear" w:pos="992"/>
        </w:tabs>
        <w:snapToGrid w:val="0"/>
        <w:spacing w:line="360" w:lineRule="auto"/>
        <w:ind w:left="720" w:hanging="540"/>
        <w:jc w:val="left"/>
        <w:rPr>
          <w:rFonts w:ascii="宋体" w:hAnsi="宋体"/>
          <w:b/>
          <w:sz w:val="21"/>
          <w:szCs w:val="21"/>
        </w:rPr>
      </w:pPr>
      <w:r>
        <w:rPr>
          <w:rFonts w:hint="eastAsia" w:ascii="宋体" w:hAnsi="宋体"/>
          <w:b/>
          <w:sz w:val="21"/>
          <w:szCs w:val="21"/>
        </w:rPr>
        <w:t>投标保证金退还条件</w:t>
      </w:r>
    </w:p>
    <w:p>
      <w:pPr>
        <w:numPr>
          <w:ilvl w:val="0"/>
          <w:numId w:val="22"/>
        </w:numPr>
        <w:tabs>
          <w:tab w:val="left" w:pos="900"/>
          <w:tab w:val="clear" w:pos="845"/>
        </w:tabs>
        <w:snapToGrid w:val="0"/>
        <w:spacing w:line="360" w:lineRule="auto"/>
        <w:ind w:left="900"/>
        <w:jc w:val="left"/>
        <w:rPr>
          <w:rFonts w:ascii="宋体" w:hAnsi="宋体"/>
          <w:sz w:val="21"/>
          <w:szCs w:val="21"/>
        </w:rPr>
      </w:pPr>
      <w:r>
        <w:rPr>
          <w:rFonts w:hint="eastAsia" w:ascii="宋体" w:hAnsi="宋体"/>
          <w:sz w:val="21"/>
          <w:szCs w:val="21"/>
        </w:rPr>
        <w:t>未中标的投标人的投标保证金，在该采购项目的结果通知书发出后按《投标保证金退还说明》的要求在五个工作日内无息全额退回</w:t>
      </w:r>
      <w:r>
        <w:rPr>
          <w:rFonts w:ascii="宋体" w:hAnsi="宋体"/>
          <w:sz w:val="21"/>
          <w:szCs w:val="21"/>
        </w:rPr>
        <w:t>。</w:t>
      </w:r>
    </w:p>
    <w:p>
      <w:pPr>
        <w:numPr>
          <w:ilvl w:val="0"/>
          <w:numId w:val="22"/>
        </w:numPr>
        <w:tabs>
          <w:tab w:val="left" w:pos="900"/>
          <w:tab w:val="clear" w:pos="845"/>
        </w:tabs>
        <w:snapToGrid w:val="0"/>
        <w:spacing w:line="360" w:lineRule="auto"/>
        <w:ind w:left="900"/>
        <w:jc w:val="left"/>
        <w:rPr>
          <w:rFonts w:ascii="宋体" w:hAnsi="宋体"/>
          <w:sz w:val="21"/>
          <w:szCs w:val="21"/>
        </w:rPr>
      </w:pPr>
      <w:r>
        <w:rPr>
          <w:rFonts w:hint="eastAsia" w:ascii="宋体" w:hAnsi="宋体"/>
          <w:sz w:val="21"/>
          <w:szCs w:val="21"/>
        </w:rPr>
        <w:t>中标的投标人，其投标保证金将保持全部的约束力，</w:t>
      </w:r>
      <w:r>
        <w:rPr>
          <w:rFonts w:hint="eastAsia" w:ascii="宋体" w:hAnsi="宋体"/>
          <w:b/>
          <w:sz w:val="21"/>
          <w:szCs w:val="21"/>
        </w:rPr>
        <w:t>直至中标人与采购人签订采购合同并将合同原件交采购代理机构备案后</w:t>
      </w:r>
      <w:r>
        <w:rPr>
          <w:rFonts w:hint="eastAsia" w:ascii="宋体" w:hAnsi="宋体"/>
          <w:sz w:val="21"/>
          <w:szCs w:val="21"/>
        </w:rPr>
        <w:t>，按《</w:t>
      </w:r>
      <w:r>
        <w:rPr>
          <w:rFonts w:ascii="宋体" w:hAnsi="宋体"/>
          <w:sz w:val="21"/>
          <w:szCs w:val="21"/>
        </w:rPr>
        <w:t>投标保证金退还说明</w:t>
      </w:r>
      <w:r>
        <w:rPr>
          <w:rFonts w:hint="eastAsia" w:ascii="宋体" w:hAnsi="宋体"/>
          <w:sz w:val="21"/>
          <w:szCs w:val="21"/>
        </w:rPr>
        <w:t>》的要求在五个工作日内无息全额退回</w:t>
      </w:r>
      <w:r>
        <w:rPr>
          <w:rFonts w:ascii="宋体" w:hAnsi="宋体"/>
          <w:sz w:val="21"/>
          <w:szCs w:val="21"/>
        </w:rPr>
        <w:t>。</w:t>
      </w:r>
    </w:p>
    <w:p>
      <w:pPr>
        <w:numPr>
          <w:ilvl w:val="0"/>
          <w:numId w:val="22"/>
        </w:numPr>
        <w:tabs>
          <w:tab w:val="left" w:pos="900"/>
          <w:tab w:val="clear" w:pos="845"/>
        </w:tabs>
        <w:snapToGrid w:val="0"/>
        <w:spacing w:line="360" w:lineRule="auto"/>
        <w:ind w:left="900"/>
        <w:jc w:val="left"/>
        <w:rPr>
          <w:rFonts w:ascii="宋体" w:hAnsi="宋体"/>
          <w:sz w:val="21"/>
          <w:szCs w:val="21"/>
        </w:rPr>
      </w:pPr>
      <w:r>
        <w:rPr>
          <w:rFonts w:hint="eastAsia" w:ascii="宋体" w:hAnsi="宋体"/>
          <w:sz w:val="21"/>
          <w:szCs w:val="21"/>
        </w:rPr>
        <w:t>在投标有效期内因质疑和投诉等原因不能确定中标人的，招标代理单位将在质疑和投诉处理完毕后或在投标有效期满后五个工作日内，不计利息原额退回所有投标人的投标保证金。</w:t>
      </w:r>
    </w:p>
    <w:p>
      <w:pPr>
        <w:numPr>
          <w:ilvl w:val="1"/>
          <w:numId w:val="19"/>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请投标人按《</w:t>
      </w:r>
      <w:r>
        <w:rPr>
          <w:rFonts w:ascii="宋体" w:hAnsi="宋体"/>
          <w:sz w:val="21"/>
          <w:szCs w:val="21"/>
        </w:rPr>
        <w:t>投标保证金退还说明</w:t>
      </w:r>
      <w:r>
        <w:rPr>
          <w:rFonts w:hint="eastAsia" w:ascii="宋体" w:hAnsi="宋体"/>
          <w:sz w:val="21"/>
          <w:szCs w:val="21"/>
        </w:rPr>
        <w:t>》</w:t>
      </w:r>
      <w:r>
        <w:rPr>
          <w:rFonts w:ascii="宋体" w:hAnsi="宋体"/>
          <w:sz w:val="21"/>
          <w:szCs w:val="21"/>
        </w:rPr>
        <w:t>填写投标保证金退还申请，采购代理机构将据此退还投标保证金。</w:t>
      </w:r>
    </w:p>
    <w:p>
      <w:pPr>
        <w:numPr>
          <w:ilvl w:val="1"/>
          <w:numId w:val="19"/>
        </w:numPr>
        <w:tabs>
          <w:tab w:val="left" w:pos="720"/>
          <w:tab w:val="clear" w:pos="992"/>
        </w:tabs>
        <w:snapToGrid w:val="0"/>
        <w:spacing w:line="360" w:lineRule="auto"/>
        <w:ind w:left="720" w:hanging="540"/>
        <w:jc w:val="left"/>
        <w:rPr>
          <w:rFonts w:ascii="宋体" w:hAnsi="宋体"/>
          <w:b/>
          <w:sz w:val="21"/>
          <w:szCs w:val="21"/>
        </w:rPr>
      </w:pPr>
      <w:r>
        <w:rPr>
          <w:rFonts w:hint="eastAsia" w:ascii="宋体" w:hAnsi="宋体"/>
          <w:b/>
          <w:sz w:val="21"/>
          <w:szCs w:val="21"/>
        </w:rPr>
        <w:t>在下列情况下投标保证金将不予退还,</w:t>
      </w:r>
      <w:r>
        <w:rPr>
          <w:rFonts w:ascii="宋体" w:hAnsi="宋体"/>
          <w:b/>
          <w:sz w:val="21"/>
          <w:szCs w:val="21"/>
        </w:rPr>
        <w:t xml:space="preserve"> 情节严重的，由财政部门将其列入不良行为记录名单，在一至三年内禁止参加政府采购活动，并予以通报</w:t>
      </w:r>
      <w:r>
        <w:rPr>
          <w:rFonts w:hint="eastAsia" w:ascii="宋体" w:hAnsi="宋体"/>
          <w:b/>
          <w:sz w:val="21"/>
          <w:szCs w:val="21"/>
        </w:rPr>
        <w:t>：</w:t>
      </w:r>
    </w:p>
    <w:p>
      <w:pPr>
        <w:numPr>
          <w:ilvl w:val="0"/>
          <w:numId w:val="23"/>
        </w:numPr>
        <w:snapToGrid w:val="0"/>
        <w:spacing w:line="360" w:lineRule="auto"/>
        <w:jc w:val="left"/>
        <w:rPr>
          <w:rFonts w:ascii="宋体" w:hAnsi="宋体"/>
          <w:sz w:val="21"/>
          <w:szCs w:val="21"/>
        </w:rPr>
      </w:pPr>
      <w:r>
        <w:rPr>
          <w:rFonts w:hint="eastAsia" w:ascii="宋体" w:hAnsi="宋体"/>
          <w:sz w:val="21"/>
          <w:szCs w:val="21"/>
        </w:rPr>
        <w:t>投标人已递交投标文件，并在投标截止时间之后，投标文件有效期满之前，撤回其投标文件。</w:t>
      </w:r>
    </w:p>
    <w:p>
      <w:pPr>
        <w:numPr>
          <w:ilvl w:val="0"/>
          <w:numId w:val="23"/>
        </w:numPr>
        <w:snapToGrid w:val="0"/>
        <w:spacing w:line="360" w:lineRule="auto"/>
        <w:jc w:val="left"/>
        <w:rPr>
          <w:rFonts w:ascii="宋体" w:hAnsi="宋体"/>
          <w:sz w:val="21"/>
          <w:szCs w:val="21"/>
        </w:rPr>
      </w:pPr>
      <w:r>
        <w:rPr>
          <w:rFonts w:hint="eastAsia" w:ascii="宋体" w:hAnsi="宋体"/>
          <w:sz w:val="21"/>
          <w:szCs w:val="21"/>
        </w:rPr>
        <w:t>中标后，中标人无正当理由放弃中标或中标人不按招标文件要求和中标的投标文件签订合同。</w:t>
      </w:r>
    </w:p>
    <w:p>
      <w:pPr>
        <w:numPr>
          <w:ilvl w:val="0"/>
          <w:numId w:val="23"/>
        </w:numPr>
        <w:snapToGrid w:val="0"/>
        <w:spacing w:line="360" w:lineRule="auto"/>
        <w:jc w:val="left"/>
        <w:rPr>
          <w:rFonts w:ascii="宋体" w:hAnsi="宋体"/>
          <w:sz w:val="21"/>
          <w:szCs w:val="21"/>
        </w:rPr>
      </w:pPr>
      <w:r>
        <w:rPr>
          <w:rFonts w:hint="eastAsia" w:ascii="宋体" w:hAnsi="宋体"/>
          <w:sz w:val="21"/>
          <w:szCs w:val="21"/>
        </w:rPr>
        <w:t>在招标期间用不正当手段影响评标结果，</w:t>
      </w:r>
      <w:r>
        <w:rPr>
          <w:rFonts w:ascii="宋体" w:hAnsi="宋体"/>
          <w:sz w:val="21"/>
          <w:szCs w:val="21"/>
        </w:rPr>
        <w:t>违反有关法律法规及</w:t>
      </w:r>
      <w:r>
        <w:rPr>
          <w:rFonts w:hint="eastAsia" w:ascii="宋体" w:hAnsi="宋体"/>
          <w:sz w:val="21"/>
          <w:szCs w:val="21"/>
        </w:rPr>
        <w:t>东莞市</w:t>
      </w:r>
      <w:r>
        <w:rPr>
          <w:rFonts w:ascii="宋体" w:hAnsi="宋体"/>
          <w:sz w:val="21"/>
          <w:szCs w:val="21"/>
        </w:rPr>
        <w:t>政府采购管理部门规定的</w:t>
      </w:r>
      <w:r>
        <w:rPr>
          <w:rFonts w:hint="eastAsia" w:ascii="宋体" w:hAnsi="宋体"/>
          <w:sz w:val="21"/>
          <w:szCs w:val="21"/>
        </w:rPr>
        <w:t>。</w:t>
      </w:r>
    </w:p>
    <w:p>
      <w:pPr>
        <w:numPr>
          <w:ilvl w:val="0"/>
          <w:numId w:val="23"/>
        </w:numPr>
        <w:snapToGrid w:val="0"/>
        <w:spacing w:line="360" w:lineRule="auto"/>
        <w:jc w:val="left"/>
        <w:rPr>
          <w:rFonts w:ascii="宋体" w:hAnsi="宋体"/>
          <w:sz w:val="21"/>
          <w:szCs w:val="21"/>
        </w:rPr>
      </w:pPr>
      <w:r>
        <w:rPr>
          <w:rFonts w:ascii="宋体" w:hAnsi="宋体"/>
          <w:sz w:val="21"/>
          <w:szCs w:val="21"/>
        </w:rPr>
        <w:t>中标人将中标项目转让给他人，或者在投标文件中未明确，且未经采购人同意，将中标项目分包给他人的</w:t>
      </w:r>
      <w:r>
        <w:rPr>
          <w:rFonts w:hint="eastAsia" w:ascii="宋体" w:hAnsi="宋体"/>
          <w:sz w:val="21"/>
          <w:szCs w:val="21"/>
        </w:rPr>
        <w:t>。</w:t>
      </w:r>
    </w:p>
    <w:p>
      <w:pPr>
        <w:snapToGrid w:val="0"/>
        <w:spacing w:line="360" w:lineRule="auto"/>
        <w:ind w:left="845"/>
        <w:jc w:val="left"/>
        <w:rPr>
          <w:rFonts w:ascii="宋体" w:hAnsi="宋体"/>
          <w:sz w:val="21"/>
          <w:szCs w:val="21"/>
        </w:rPr>
      </w:pPr>
    </w:p>
    <w:p>
      <w:pPr>
        <w:numPr>
          <w:ilvl w:val="0"/>
          <w:numId w:val="11"/>
        </w:numPr>
        <w:spacing w:line="360" w:lineRule="auto"/>
        <w:jc w:val="center"/>
        <w:outlineLvl w:val="1"/>
        <w:rPr>
          <w:rFonts w:ascii="宋体" w:hAnsi="宋体"/>
          <w:b/>
          <w:bCs/>
          <w:sz w:val="21"/>
          <w:szCs w:val="21"/>
        </w:rPr>
      </w:pPr>
      <w:bookmarkStart w:id="50" w:name="_Toc9185"/>
      <w:bookmarkStart w:id="51" w:name="_Toc368513792"/>
      <w:r>
        <w:rPr>
          <w:rFonts w:hint="eastAsia" w:ascii="宋体" w:hAnsi="宋体"/>
          <w:b/>
          <w:bCs/>
          <w:sz w:val="21"/>
          <w:szCs w:val="21"/>
        </w:rPr>
        <w:t>关于开标</w:t>
      </w:r>
      <w:bookmarkEnd w:id="50"/>
      <w:bookmarkEnd w:id="51"/>
    </w:p>
    <w:p>
      <w:pPr>
        <w:numPr>
          <w:ilvl w:val="0"/>
          <w:numId w:val="24"/>
        </w:numPr>
        <w:snapToGrid w:val="0"/>
        <w:spacing w:beforeLines="100" w:line="360" w:lineRule="auto"/>
        <w:jc w:val="left"/>
        <w:outlineLvl w:val="2"/>
        <w:rPr>
          <w:rFonts w:ascii="宋体" w:hAnsi="宋体"/>
          <w:b/>
          <w:bCs/>
          <w:sz w:val="21"/>
          <w:szCs w:val="21"/>
        </w:rPr>
      </w:pPr>
      <w:bookmarkStart w:id="52" w:name="_Toc368513793"/>
      <w:r>
        <w:rPr>
          <w:rFonts w:hint="eastAsia" w:ascii="宋体" w:hAnsi="宋体"/>
          <w:b/>
          <w:bCs/>
          <w:sz w:val="21"/>
          <w:szCs w:val="21"/>
        </w:rPr>
        <w:t>开标时间和地点</w:t>
      </w:r>
      <w:bookmarkEnd w:id="52"/>
    </w:p>
    <w:p>
      <w:pPr>
        <w:tabs>
          <w:tab w:val="left" w:pos="540"/>
        </w:tabs>
        <w:snapToGrid w:val="0"/>
        <w:spacing w:line="360" w:lineRule="auto"/>
        <w:ind w:left="425"/>
        <w:jc w:val="left"/>
        <w:rPr>
          <w:rFonts w:ascii="宋体" w:hAnsi="宋体"/>
          <w:sz w:val="21"/>
          <w:szCs w:val="21"/>
        </w:rPr>
      </w:pPr>
      <w:r>
        <w:rPr>
          <w:rFonts w:hint="eastAsia" w:ascii="宋体" w:hAnsi="宋体"/>
          <w:sz w:val="21"/>
          <w:szCs w:val="21"/>
        </w:rPr>
        <w:t>开标在招标文件确定的提交投标文件截止时间的同一时间公开进行，采购人因修改招标文件，可酌情延长投标截止时间。在此情况下，采购代理机构和投标人受投标截止时间制约的所有权利和义务均延长至新的投标截止时间。开标地点为招标文件预先确定的地点。</w:t>
      </w:r>
    </w:p>
    <w:p>
      <w:pPr>
        <w:numPr>
          <w:ilvl w:val="0"/>
          <w:numId w:val="24"/>
        </w:numPr>
        <w:snapToGrid w:val="0"/>
        <w:spacing w:beforeLines="100" w:line="360" w:lineRule="auto"/>
        <w:jc w:val="left"/>
        <w:outlineLvl w:val="2"/>
        <w:rPr>
          <w:rFonts w:ascii="宋体" w:hAnsi="宋体"/>
          <w:b/>
          <w:bCs/>
          <w:sz w:val="21"/>
          <w:szCs w:val="21"/>
        </w:rPr>
      </w:pPr>
      <w:bookmarkStart w:id="53" w:name="_Toc368513794"/>
      <w:r>
        <w:rPr>
          <w:rFonts w:hint="eastAsia" w:ascii="宋体" w:hAnsi="宋体"/>
          <w:b/>
          <w:bCs/>
          <w:sz w:val="21"/>
          <w:szCs w:val="21"/>
        </w:rPr>
        <w:t>开标程序</w:t>
      </w:r>
      <w:bookmarkEnd w:id="53"/>
    </w:p>
    <w:p>
      <w:pPr>
        <w:pStyle w:val="201"/>
        <w:numPr>
          <w:ilvl w:val="0"/>
          <w:numId w:val="25"/>
        </w:numPr>
        <w:tabs>
          <w:tab w:val="left" w:pos="720"/>
        </w:tabs>
        <w:snapToGrid w:val="0"/>
        <w:spacing w:line="360" w:lineRule="auto"/>
        <w:ind w:firstLineChars="0"/>
        <w:jc w:val="left"/>
        <w:rPr>
          <w:rFonts w:ascii="宋体" w:hAnsi="宋体"/>
          <w:vanish/>
          <w:sz w:val="21"/>
          <w:szCs w:val="21"/>
        </w:rPr>
      </w:pPr>
    </w:p>
    <w:p>
      <w:pPr>
        <w:pStyle w:val="201"/>
        <w:numPr>
          <w:ilvl w:val="0"/>
          <w:numId w:val="25"/>
        </w:numPr>
        <w:tabs>
          <w:tab w:val="left" w:pos="720"/>
        </w:tabs>
        <w:snapToGrid w:val="0"/>
        <w:spacing w:line="360" w:lineRule="auto"/>
        <w:ind w:firstLineChars="0"/>
        <w:jc w:val="left"/>
        <w:rPr>
          <w:rFonts w:ascii="宋体" w:hAnsi="宋体"/>
          <w:vanish/>
          <w:sz w:val="21"/>
          <w:szCs w:val="21"/>
        </w:rPr>
      </w:pPr>
    </w:p>
    <w:p>
      <w:pPr>
        <w:numPr>
          <w:ilvl w:val="1"/>
          <w:numId w:val="25"/>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开标由采购代理机构主持，采购人、投标人和有关方面代表参加。开标过程由采购代理机构指定专人负责记录，并存档。</w:t>
      </w:r>
    </w:p>
    <w:p>
      <w:pPr>
        <w:numPr>
          <w:ilvl w:val="1"/>
          <w:numId w:val="25"/>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人需由法定代表人或其授权代表（具有法定代表人签署的授权书）携带身份证明原件参加投标、开标仪式，签到证明其出席开标会议。若法定代表人或其授权代表未出席开标会，视为其自动放弃参加开标的权利，认可所有开标结果。</w:t>
      </w:r>
    </w:p>
    <w:p>
      <w:pPr>
        <w:numPr>
          <w:ilvl w:val="1"/>
          <w:numId w:val="25"/>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采购人和采购代理机构将拒绝接收在规定的投标截止时间后递交的任何投标文件。</w:t>
      </w:r>
    </w:p>
    <w:p>
      <w:pPr>
        <w:numPr>
          <w:ilvl w:val="1"/>
          <w:numId w:val="25"/>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开标时，由全体投标人代表或者按签到顺序递交投标文件的前三名投标人代表作为全体投标人推选代表检查在递交投标文件的截止时间前收到的所有投标文件的密封情况，确认无误后采购代理机构当众予以拆封。主持人宣读投标人名称、投标报价等。</w:t>
      </w:r>
      <w:r>
        <w:rPr>
          <w:rFonts w:ascii="宋体" w:hAnsi="宋体"/>
          <w:sz w:val="21"/>
          <w:szCs w:val="21"/>
        </w:rPr>
        <w:t>现场记录人员编制开标记录</w:t>
      </w:r>
      <w:r>
        <w:rPr>
          <w:rFonts w:hint="eastAsia" w:ascii="宋体" w:hAnsi="宋体"/>
          <w:sz w:val="21"/>
          <w:szCs w:val="21"/>
        </w:rPr>
        <w:t>，</w:t>
      </w:r>
      <w:r>
        <w:rPr>
          <w:rFonts w:ascii="宋体" w:hAnsi="宋体"/>
          <w:sz w:val="21"/>
          <w:szCs w:val="21"/>
        </w:rPr>
        <w:t>并打印出纸质文件给各</w:t>
      </w:r>
      <w:r>
        <w:rPr>
          <w:rFonts w:hint="eastAsia" w:ascii="宋体" w:hAnsi="宋体"/>
          <w:sz w:val="21"/>
          <w:szCs w:val="21"/>
        </w:rPr>
        <w:t>投标人法定代表人或其授权代表、相关与会代表、唱标人</w:t>
      </w:r>
      <w:r>
        <w:rPr>
          <w:rFonts w:ascii="宋体" w:hAnsi="宋体"/>
          <w:sz w:val="21"/>
          <w:szCs w:val="21"/>
        </w:rPr>
        <w:t>签名确认</w:t>
      </w:r>
      <w:r>
        <w:rPr>
          <w:rFonts w:hint="eastAsia" w:ascii="宋体" w:hAnsi="宋体"/>
          <w:sz w:val="21"/>
          <w:szCs w:val="21"/>
        </w:rPr>
        <w:t>。</w:t>
      </w:r>
      <w:r>
        <w:rPr>
          <w:rFonts w:ascii="宋体" w:hAnsi="宋体"/>
          <w:sz w:val="21"/>
          <w:szCs w:val="21"/>
        </w:rPr>
        <w:t>各</w:t>
      </w:r>
      <w:r>
        <w:rPr>
          <w:rFonts w:hint="eastAsia" w:ascii="宋体" w:hAnsi="宋体"/>
          <w:sz w:val="21"/>
          <w:szCs w:val="21"/>
        </w:rPr>
        <w:t>投标人法定代表人或授权代表应对唱标内容及记录结果当场进行核对，如有异议应当场提出，否则视为无异议。在开标时，未宣读的投标价格、价格折扣和招标文件允许提供的备选投标方案等实质内容，评标时不予承认。</w:t>
      </w:r>
    </w:p>
    <w:p>
      <w:pPr>
        <w:numPr>
          <w:ilvl w:val="1"/>
          <w:numId w:val="25"/>
        </w:numPr>
        <w:tabs>
          <w:tab w:val="left" w:pos="720"/>
          <w:tab w:val="clear" w:pos="992"/>
        </w:tabs>
        <w:snapToGrid w:val="0"/>
        <w:spacing w:line="360" w:lineRule="auto"/>
        <w:ind w:left="720" w:hanging="540"/>
        <w:jc w:val="left"/>
        <w:rPr>
          <w:rFonts w:ascii="宋体" w:hAnsi="宋体"/>
          <w:sz w:val="21"/>
          <w:szCs w:val="21"/>
        </w:rPr>
      </w:pPr>
      <w:r>
        <w:rPr>
          <w:rFonts w:hint="eastAsia" w:ascii="宋体" w:hAnsi="宋体"/>
          <w:sz w:val="21"/>
          <w:szCs w:val="21"/>
        </w:rPr>
        <w:t>投标文件报价出现前后不一致的，按照下列规定修正：</w:t>
      </w:r>
    </w:p>
    <w:p>
      <w:pPr>
        <w:numPr>
          <w:ilvl w:val="2"/>
          <w:numId w:val="26"/>
        </w:numPr>
        <w:snapToGrid w:val="0"/>
        <w:spacing w:line="360" w:lineRule="auto"/>
        <w:ind w:left="748" w:hanging="28"/>
        <w:jc w:val="left"/>
        <w:rPr>
          <w:rFonts w:ascii="宋体" w:hAnsi="宋体"/>
          <w:bCs/>
          <w:sz w:val="21"/>
          <w:szCs w:val="21"/>
        </w:rPr>
      </w:pPr>
      <w:r>
        <w:rPr>
          <w:rFonts w:hint="eastAsia" w:ascii="宋体" w:hAnsi="宋体"/>
          <w:bCs/>
          <w:sz w:val="21"/>
          <w:szCs w:val="21"/>
        </w:rPr>
        <w:t>投标文件中开标一览表内容与投标文件中相应内容不一致的，以开标一览表为准；</w:t>
      </w:r>
    </w:p>
    <w:p>
      <w:pPr>
        <w:numPr>
          <w:ilvl w:val="2"/>
          <w:numId w:val="26"/>
        </w:numPr>
        <w:snapToGrid w:val="0"/>
        <w:spacing w:line="360" w:lineRule="auto"/>
        <w:ind w:left="748" w:hanging="28"/>
        <w:jc w:val="left"/>
        <w:rPr>
          <w:rFonts w:ascii="宋体" w:hAnsi="宋体"/>
          <w:bCs/>
          <w:sz w:val="21"/>
          <w:szCs w:val="21"/>
        </w:rPr>
      </w:pPr>
      <w:r>
        <w:rPr>
          <w:rFonts w:hint="eastAsia" w:ascii="宋体" w:hAnsi="宋体"/>
          <w:bCs/>
          <w:sz w:val="21"/>
          <w:szCs w:val="21"/>
        </w:rPr>
        <w:t>大写金额和小写金额不一致的，以大写金额为准；</w:t>
      </w:r>
    </w:p>
    <w:p>
      <w:pPr>
        <w:numPr>
          <w:ilvl w:val="2"/>
          <w:numId w:val="26"/>
        </w:numPr>
        <w:snapToGrid w:val="0"/>
        <w:spacing w:line="360" w:lineRule="auto"/>
        <w:ind w:left="748" w:hanging="28"/>
        <w:jc w:val="left"/>
        <w:rPr>
          <w:rFonts w:ascii="宋体" w:hAnsi="宋体"/>
          <w:bCs/>
          <w:sz w:val="21"/>
          <w:szCs w:val="21"/>
        </w:rPr>
      </w:pPr>
      <w:r>
        <w:rPr>
          <w:rFonts w:hint="eastAsia" w:ascii="宋体" w:hAnsi="宋体"/>
          <w:bCs/>
          <w:sz w:val="21"/>
          <w:szCs w:val="21"/>
        </w:rPr>
        <w:t>单价金额小数点或者百分比有明显错位的，以开标一览表的总价为准，并修改单价；</w:t>
      </w:r>
    </w:p>
    <w:p>
      <w:pPr>
        <w:numPr>
          <w:ilvl w:val="2"/>
          <w:numId w:val="26"/>
        </w:numPr>
        <w:snapToGrid w:val="0"/>
        <w:spacing w:line="360" w:lineRule="auto"/>
        <w:ind w:left="748" w:hanging="28"/>
        <w:jc w:val="left"/>
        <w:rPr>
          <w:rFonts w:ascii="宋体" w:hAnsi="宋体"/>
          <w:bCs/>
          <w:sz w:val="21"/>
          <w:szCs w:val="21"/>
        </w:rPr>
      </w:pPr>
      <w:r>
        <w:rPr>
          <w:rFonts w:hint="eastAsia" w:ascii="宋体" w:hAnsi="宋体"/>
          <w:bCs/>
          <w:sz w:val="21"/>
          <w:szCs w:val="21"/>
        </w:rPr>
        <w:t>总价金额与按单价汇总金额不一致的，以单价金额计算结果为准。</w:t>
      </w:r>
    </w:p>
    <w:p>
      <w:pPr>
        <w:tabs>
          <w:tab w:val="left" w:pos="720"/>
        </w:tabs>
        <w:snapToGrid w:val="0"/>
        <w:spacing w:line="360" w:lineRule="auto"/>
        <w:ind w:left="425" w:leftChars="177" w:firstLine="420" w:firstLineChars="200"/>
        <w:jc w:val="left"/>
        <w:rPr>
          <w:rFonts w:ascii="宋体" w:hAnsi="宋体"/>
          <w:sz w:val="21"/>
          <w:szCs w:val="21"/>
        </w:rPr>
      </w:pPr>
      <w:r>
        <w:rPr>
          <w:rFonts w:hint="eastAsia" w:ascii="宋体" w:hAnsi="宋体"/>
          <w:sz w:val="21"/>
          <w:szCs w:val="21"/>
        </w:rPr>
        <w:t>同时出现两种以上不一致的，按照前款规定的顺序修正。对不同文字文本投标文件的解释发生异议的，以中文文本为准。如果投标人不接受对其错误的更正，其投标将被视为无效投标。</w:t>
      </w:r>
    </w:p>
    <w:p>
      <w:pPr>
        <w:numPr>
          <w:ilvl w:val="0"/>
          <w:numId w:val="27"/>
        </w:numPr>
        <w:snapToGrid w:val="0"/>
        <w:spacing w:line="360" w:lineRule="auto"/>
        <w:jc w:val="left"/>
        <w:rPr>
          <w:rFonts w:ascii="宋体" w:hAnsi="宋体"/>
          <w:b/>
          <w:sz w:val="21"/>
          <w:szCs w:val="21"/>
        </w:rPr>
      </w:pPr>
      <w:r>
        <w:rPr>
          <w:rFonts w:hint="eastAsia" w:ascii="宋体" w:hAnsi="宋体"/>
          <w:bCs/>
          <w:sz w:val="21"/>
          <w:szCs w:val="21"/>
        </w:rPr>
        <w:t>当</w:t>
      </w:r>
      <w:r>
        <w:rPr>
          <w:rFonts w:ascii="宋体" w:hAnsi="宋体"/>
          <w:bCs/>
          <w:sz w:val="21"/>
          <w:szCs w:val="21"/>
        </w:rPr>
        <w:t>在</w:t>
      </w:r>
      <w:r>
        <w:rPr>
          <w:rFonts w:hint="eastAsia" w:ascii="宋体" w:hAnsi="宋体"/>
          <w:bCs/>
          <w:sz w:val="21"/>
          <w:szCs w:val="21"/>
        </w:rPr>
        <w:t>招标文件</w:t>
      </w:r>
      <w:r>
        <w:rPr>
          <w:rFonts w:ascii="宋体" w:hAnsi="宋体"/>
          <w:bCs/>
          <w:sz w:val="21"/>
          <w:szCs w:val="21"/>
        </w:rPr>
        <w:t>要求</w:t>
      </w:r>
      <w:r>
        <w:rPr>
          <w:rFonts w:hint="eastAsia" w:ascii="宋体" w:hAnsi="宋体"/>
          <w:bCs/>
          <w:sz w:val="21"/>
          <w:szCs w:val="21"/>
        </w:rPr>
        <w:t>的</w:t>
      </w:r>
      <w:r>
        <w:rPr>
          <w:rFonts w:ascii="宋体" w:hAnsi="宋体"/>
          <w:bCs/>
          <w:sz w:val="21"/>
          <w:szCs w:val="21"/>
        </w:rPr>
        <w:t>投标截止时间</w:t>
      </w:r>
      <w:r>
        <w:rPr>
          <w:rFonts w:hint="eastAsia" w:ascii="宋体" w:hAnsi="宋体"/>
          <w:bCs/>
          <w:sz w:val="21"/>
          <w:szCs w:val="21"/>
        </w:rPr>
        <w:t>结束后提交有效投标文件的投标人不足三家时，停止开标，并将投标文件退还给投标人，本项目</w:t>
      </w:r>
      <w:r>
        <w:rPr>
          <w:rFonts w:ascii="宋体" w:hAnsi="宋体"/>
          <w:bCs/>
          <w:sz w:val="21"/>
          <w:szCs w:val="21"/>
        </w:rPr>
        <w:t>将视为</w:t>
      </w:r>
      <w:r>
        <w:rPr>
          <w:rFonts w:hint="eastAsia" w:ascii="宋体" w:hAnsi="宋体"/>
          <w:bCs/>
          <w:sz w:val="21"/>
          <w:szCs w:val="21"/>
        </w:rPr>
        <w:t>招标失败。除采购任务取消外，采购代理机构将重新招标。</w:t>
      </w:r>
    </w:p>
    <w:p>
      <w:pPr>
        <w:numPr>
          <w:ilvl w:val="0"/>
          <w:numId w:val="27"/>
        </w:numPr>
        <w:snapToGrid w:val="0"/>
        <w:spacing w:line="360" w:lineRule="auto"/>
        <w:jc w:val="left"/>
        <w:rPr>
          <w:rFonts w:ascii="宋体" w:hAnsi="宋体"/>
          <w:b/>
          <w:sz w:val="21"/>
          <w:szCs w:val="21"/>
        </w:rPr>
      </w:pPr>
      <w:r>
        <w:rPr>
          <w:rFonts w:hint="eastAsia" w:ascii="宋体" w:hAnsi="宋体"/>
          <w:b/>
          <w:sz w:val="21"/>
          <w:szCs w:val="21"/>
        </w:rPr>
        <w:t>关于演示述标或样品要求，详见投标须知前附表第7、8项。</w:t>
      </w:r>
    </w:p>
    <w:p>
      <w:pPr>
        <w:spacing w:line="360" w:lineRule="auto"/>
        <w:ind w:left="210"/>
        <w:jc w:val="left"/>
        <w:rPr>
          <w:rFonts w:ascii="宋体" w:hAnsi="宋体"/>
          <w:b/>
          <w:bCs/>
          <w:sz w:val="21"/>
          <w:szCs w:val="21"/>
        </w:rPr>
      </w:pPr>
    </w:p>
    <w:p>
      <w:pPr>
        <w:numPr>
          <w:ilvl w:val="0"/>
          <w:numId w:val="11"/>
        </w:numPr>
        <w:spacing w:line="360" w:lineRule="auto"/>
        <w:jc w:val="center"/>
        <w:outlineLvl w:val="1"/>
        <w:rPr>
          <w:rFonts w:ascii="宋体" w:hAnsi="宋体"/>
          <w:b/>
          <w:bCs/>
          <w:sz w:val="21"/>
          <w:szCs w:val="21"/>
        </w:rPr>
      </w:pPr>
      <w:bookmarkStart w:id="54" w:name="_Toc368513795"/>
      <w:bookmarkStart w:id="55" w:name="_Toc29827"/>
      <w:r>
        <w:rPr>
          <w:rFonts w:hint="eastAsia" w:ascii="宋体" w:hAnsi="宋体"/>
          <w:b/>
          <w:bCs/>
          <w:sz w:val="21"/>
          <w:szCs w:val="21"/>
        </w:rPr>
        <w:t>关于评标</w:t>
      </w:r>
      <w:bookmarkEnd w:id="54"/>
      <w:bookmarkEnd w:id="55"/>
    </w:p>
    <w:p>
      <w:pPr>
        <w:numPr>
          <w:ilvl w:val="0"/>
          <w:numId w:val="28"/>
        </w:numPr>
        <w:snapToGrid w:val="0"/>
        <w:spacing w:beforeLines="100" w:line="360" w:lineRule="auto"/>
        <w:jc w:val="left"/>
        <w:outlineLvl w:val="2"/>
        <w:rPr>
          <w:rFonts w:ascii="宋体" w:hAnsi="宋体"/>
          <w:b/>
          <w:bCs/>
          <w:sz w:val="21"/>
          <w:szCs w:val="21"/>
        </w:rPr>
      </w:pPr>
      <w:bookmarkStart w:id="56" w:name="_Toc368513796"/>
      <w:r>
        <w:rPr>
          <w:rFonts w:hint="eastAsia" w:ascii="宋体" w:hAnsi="宋体"/>
          <w:b/>
          <w:bCs/>
          <w:sz w:val="21"/>
          <w:szCs w:val="21"/>
        </w:rPr>
        <w:t>评标原则</w:t>
      </w:r>
      <w:bookmarkEnd w:id="56"/>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评标遵循公平、公正、科学、择优的原则。</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评标委员会将按照规定只对通过资格、符合性审查的投标文件进行详细评价和比较。</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能够最大限度满足招标文件中规定的各项综合评价标准。价格合理，质量优先，不保证最低投标报价中标，同时对评标过程的保密，对中标结果不作任何解释的权利。</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评标委员会经评审，认为所有投标都不符合招标文件要求的，可以否决所有投标。</w:t>
      </w:r>
    </w:p>
    <w:p>
      <w:pPr>
        <w:numPr>
          <w:ilvl w:val="0"/>
          <w:numId w:val="28"/>
        </w:numPr>
        <w:snapToGrid w:val="0"/>
        <w:spacing w:beforeLines="100" w:line="360" w:lineRule="auto"/>
        <w:jc w:val="left"/>
        <w:outlineLvl w:val="2"/>
        <w:rPr>
          <w:rFonts w:ascii="宋体" w:hAnsi="宋体"/>
          <w:b/>
          <w:bCs/>
          <w:sz w:val="21"/>
          <w:szCs w:val="21"/>
        </w:rPr>
      </w:pPr>
      <w:bookmarkStart w:id="57" w:name="_Toc368513797"/>
      <w:r>
        <w:rPr>
          <w:rFonts w:hint="eastAsia" w:ascii="宋体" w:hAnsi="宋体"/>
          <w:b/>
          <w:bCs/>
          <w:sz w:val="21"/>
          <w:szCs w:val="21"/>
        </w:rPr>
        <w:t>评标过程的保密性和公正性</w:t>
      </w:r>
      <w:bookmarkEnd w:id="57"/>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从公开开标到签订采购合同，凡与审查、澄清、评审和投标有关的资料以及定标意见相关的事项，参与招投标的有关人员均不得向投标人及与评标无关的其他人透露。</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采购人和采购代理机构应采取必要的措施，保证评标在严格保密的情况下进行。任何单位和个人不得非法干预、影响评标的过程和结果。</w:t>
      </w:r>
    </w:p>
    <w:p>
      <w:pPr>
        <w:numPr>
          <w:ilvl w:val="1"/>
          <w:numId w:val="28"/>
        </w:numPr>
        <w:tabs>
          <w:tab w:val="left" w:pos="720"/>
        </w:tabs>
        <w:snapToGrid w:val="0"/>
        <w:spacing w:line="360" w:lineRule="auto"/>
        <w:ind w:left="748"/>
        <w:jc w:val="left"/>
        <w:rPr>
          <w:rFonts w:ascii="宋体" w:hAnsi="宋体"/>
          <w:bCs/>
          <w:sz w:val="21"/>
          <w:szCs w:val="21"/>
        </w:rPr>
      </w:pPr>
      <w:r>
        <w:rPr>
          <w:rFonts w:ascii="宋体" w:hAnsi="宋体"/>
          <w:bCs/>
          <w:sz w:val="21"/>
          <w:szCs w:val="21"/>
        </w:rPr>
        <w:t>评标委员会将本着以上评标原则严格按照法律法规和</w:t>
      </w:r>
      <w:r>
        <w:rPr>
          <w:rFonts w:hint="eastAsia" w:ascii="宋体" w:hAnsi="宋体"/>
          <w:bCs/>
          <w:sz w:val="21"/>
          <w:szCs w:val="21"/>
        </w:rPr>
        <w:t>招标文件</w:t>
      </w:r>
      <w:r>
        <w:rPr>
          <w:rFonts w:ascii="宋体" w:hAnsi="宋体"/>
          <w:bCs/>
          <w:sz w:val="21"/>
          <w:szCs w:val="21"/>
        </w:rPr>
        <w:t>要求进行评标。如发现评标委员会的工作明显偏离</w:t>
      </w:r>
      <w:r>
        <w:rPr>
          <w:rFonts w:hint="eastAsia" w:ascii="宋体" w:hAnsi="宋体"/>
          <w:bCs/>
          <w:sz w:val="21"/>
          <w:szCs w:val="21"/>
        </w:rPr>
        <w:t>招标文件</w:t>
      </w:r>
      <w:r>
        <w:rPr>
          <w:rFonts w:ascii="宋体" w:hAnsi="宋体"/>
          <w:bCs/>
          <w:sz w:val="21"/>
          <w:szCs w:val="21"/>
        </w:rPr>
        <w:t>的要求，或明显违反国家法律法规，</w:t>
      </w:r>
      <w:r>
        <w:rPr>
          <w:rFonts w:hint="eastAsia" w:ascii="宋体" w:hAnsi="宋体"/>
          <w:bCs/>
          <w:sz w:val="21"/>
          <w:szCs w:val="21"/>
        </w:rPr>
        <w:t>由采购监督管理部门依据有关法律法规进行处理。</w:t>
      </w:r>
    </w:p>
    <w:p>
      <w:pPr>
        <w:numPr>
          <w:ilvl w:val="1"/>
          <w:numId w:val="28"/>
        </w:numPr>
        <w:tabs>
          <w:tab w:val="left" w:pos="720"/>
        </w:tabs>
        <w:snapToGrid w:val="0"/>
        <w:spacing w:line="360" w:lineRule="auto"/>
        <w:jc w:val="left"/>
        <w:rPr>
          <w:rFonts w:ascii="宋体" w:hAnsi="宋体"/>
          <w:bCs/>
          <w:sz w:val="21"/>
          <w:szCs w:val="21"/>
        </w:rPr>
      </w:pPr>
      <w:r>
        <w:rPr>
          <w:rFonts w:ascii="宋体" w:hAnsi="宋体"/>
          <w:bCs/>
          <w:sz w:val="21"/>
          <w:szCs w:val="21"/>
        </w:rPr>
        <w:t>评标工作在评标委员会内独立进行，</w:t>
      </w:r>
      <w:r>
        <w:rPr>
          <w:rFonts w:hint="eastAsia" w:ascii="宋体" w:hAnsi="宋体"/>
          <w:bCs/>
          <w:sz w:val="21"/>
          <w:szCs w:val="21"/>
        </w:rPr>
        <w:t>评标委员会成员</w:t>
      </w:r>
      <w:r>
        <w:rPr>
          <w:rFonts w:ascii="宋体" w:hAnsi="宋体"/>
          <w:bCs/>
          <w:sz w:val="21"/>
          <w:szCs w:val="21"/>
        </w:rPr>
        <w:t>不得与投标人私下交换意见，不得私下向外透露评标中的情况，</w:t>
      </w:r>
      <w:r>
        <w:rPr>
          <w:rFonts w:hint="eastAsia" w:ascii="宋体" w:hAnsi="宋体"/>
          <w:bCs/>
          <w:sz w:val="21"/>
          <w:szCs w:val="21"/>
        </w:rPr>
        <w:t>参加评标会议的所有工作人员应当对评标过程和结果保密</w:t>
      </w:r>
      <w:r>
        <w:rPr>
          <w:rFonts w:ascii="宋体" w:hAnsi="宋体"/>
          <w:bCs/>
          <w:sz w:val="21"/>
          <w:szCs w:val="21"/>
        </w:rPr>
        <w:t>，不得将评标情况</w:t>
      </w:r>
      <w:r>
        <w:rPr>
          <w:rFonts w:hint="eastAsia" w:ascii="宋体" w:hAnsi="宋体"/>
          <w:bCs/>
          <w:sz w:val="21"/>
          <w:szCs w:val="21"/>
        </w:rPr>
        <w:t>和结果透露</w:t>
      </w:r>
      <w:r>
        <w:rPr>
          <w:rFonts w:ascii="宋体" w:hAnsi="宋体"/>
          <w:bCs/>
          <w:sz w:val="21"/>
          <w:szCs w:val="21"/>
        </w:rPr>
        <w:t>与评标无关的人员。</w:t>
      </w:r>
    </w:p>
    <w:p>
      <w:pPr>
        <w:numPr>
          <w:ilvl w:val="1"/>
          <w:numId w:val="28"/>
        </w:numPr>
        <w:tabs>
          <w:tab w:val="left" w:pos="720"/>
        </w:tabs>
        <w:snapToGrid w:val="0"/>
        <w:spacing w:line="360" w:lineRule="auto"/>
        <w:ind w:left="748"/>
        <w:jc w:val="left"/>
        <w:rPr>
          <w:rFonts w:ascii="宋体" w:hAnsi="宋体"/>
          <w:bCs/>
          <w:sz w:val="21"/>
          <w:szCs w:val="21"/>
        </w:rPr>
      </w:pPr>
      <w:r>
        <w:rPr>
          <w:rFonts w:ascii="宋体" w:hAnsi="宋体"/>
          <w:bCs/>
          <w:sz w:val="21"/>
          <w:szCs w:val="21"/>
        </w:rPr>
        <w:t>评标委员会</w:t>
      </w:r>
      <w:r>
        <w:rPr>
          <w:rFonts w:hint="eastAsia" w:ascii="宋体" w:hAnsi="宋体"/>
          <w:bCs/>
          <w:sz w:val="21"/>
          <w:szCs w:val="21"/>
        </w:rPr>
        <w:t>成员</w:t>
      </w:r>
      <w:r>
        <w:rPr>
          <w:rFonts w:ascii="宋体" w:hAnsi="宋体"/>
          <w:bCs/>
          <w:sz w:val="21"/>
          <w:szCs w:val="21"/>
        </w:rPr>
        <w:t>应关闭通讯工具或设置为振动状态，统一交由工作人员保管。</w:t>
      </w:r>
    </w:p>
    <w:p>
      <w:pPr>
        <w:numPr>
          <w:ilvl w:val="1"/>
          <w:numId w:val="28"/>
        </w:numPr>
        <w:tabs>
          <w:tab w:val="left" w:pos="720"/>
        </w:tabs>
        <w:snapToGrid w:val="0"/>
        <w:spacing w:line="360" w:lineRule="auto"/>
        <w:ind w:left="748"/>
        <w:jc w:val="left"/>
        <w:rPr>
          <w:rFonts w:ascii="宋体" w:hAnsi="宋体"/>
          <w:bCs/>
          <w:sz w:val="21"/>
          <w:szCs w:val="21"/>
        </w:rPr>
      </w:pPr>
      <w:r>
        <w:rPr>
          <w:rFonts w:ascii="宋体" w:hAnsi="宋体"/>
          <w:bCs/>
          <w:sz w:val="21"/>
          <w:szCs w:val="21"/>
        </w:rPr>
        <w:t>评标委员会不向</w:t>
      </w:r>
      <w:r>
        <w:rPr>
          <w:rFonts w:hint="eastAsia" w:ascii="宋体" w:hAnsi="宋体"/>
          <w:bCs/>
          <w:sz w:val="21"/>
          <w:szCs w:val="21"/>
        </w:rPr>
        <w:t>未中标的投</w:t>
      </w:r>
      <w:r>
        <w:rPr>
          <w:rFonts w:ascii="宋体" w:hAnsi="宋体"/>
          <w:bCs/>
          <w:sz w:val="21"/>
          <w:szCs w:val="21"/>
        </w:rPr>
        <w:t>标人解释</w:t>
      </w:r>
      <w:r>
        <w:rPr>
          <w:rFonts w:hint="eastAsia" w:ascii="宋体" w:hAnsi="宋体"/>
          <w:bCs/>
          <w:sz w:val="21"/>
          <w:szCs w:val="21"/>
        </w:rPr>
        <w:t>未中标</w:t>
      </w:r>
      <w:r>
        <w:rPr>
          <w:rFonts w:ascii="宋体" w:hAnsi="宋体"/>
          <w:bCs/>
          <w:sz w:val="21"/>
          <w:szCs w:val="21"/>
        </w:rPr>
        <w:t>原因，不退还其投标文件。</w:t>
      </w:r>
    </w:p>
    <w:p>
      <w:pPr>
        <w:numPr>
          <w:ilvl w:val="1"/>
          <w:numId w:val="28"/>
        </w:numPr>
        <w:tabs>
          <w:tab w:val="left" w:pos="720"/>
        </w:tabs>
        <w:snapToGrid w:val="0"/>
        <w:spacing w:line="360" w:lineRule="auto"/>
        <w:ind w:left="748"/>
        <w:jc w:val="left"/>
        <w:rPr>
          <w:rFonts w:ascii="宋体" w:hAnsi="宋体"/>
          <w:bCs/>
          <w:sz w:val="21"/>
          <w:szCs w:val="21"/>
        </w:rPr>
      </w:pPr>
      <w:r>
        <w:rPr>
          <w:rFonts w:ascii="宋体" w:hAnsi="宋体"/>
          <w:bCs/>
          <w:sz w:val="21"/>
          <w:szCs w:val="21"/>
        </w:rPr>
        <w:t>任何违反招标投标相关法规的行为，一经发现，将追究相关人员</w:t>
      </w:r>
      <w:r>
        <w:rPr>
          <w:rFonts w:hint="eastAsia" w:ascii="宋体" w:hAnsi="宋体"/>
          <w:bCs/>
          <w:sz w:val="21"/>
          <w:szCs w:val="21"/>
        </w:rPr>
        <w:t>的法律</w:t>
      </w:r>
      <w:r>
        <w:rPr>
          <w:rFonts w:ascii="宋体" w:hAnsi="宋体"/>
          <w:bCs/>
          <w:sz w:val="21"/>
          <w:szCs w:val="21"/>
        </w:rPr>
        <w:t>责任。</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评标委员会成员和与评标活动有关的工作人员不得透露对投标文件的评审和比较、中标候选人的推荐情况以及评标有关的其他情况。</w:t>
      </w:r>
    </w:p>
    <w:p>
      <w:pPr>
        <w:numPr>
          <w:ilvl w:val="0"/>
          <w:numId w:val="28"/>
        </w:numPr>
        <w:snapToGrid w:val="0"/>
        <w:spacing w:beforeLines="100" w:line="360" w:lineRule="auto"/>
        <w:jc w:val="left"/>
        <w:outlineLvl w:val="2"/>
        <w:rPr>
          <w:rFonts w:ascii="宋体" w:hAnsi="宋体"/>
          <w:sz w:val="21"/>
          <w:szCs w:val="21"/>
        </w:rPr>
      </w:pPr>
      <w:bookmarkStart w:id="58" w:name="_Toc368513798"/>
      <w:r>
        <w:rPr>
          <w:rFonts w:hint="eastAsia" w:ascii="宋体" w:hAnsi="宋体"/>
          <w:b/>
          <w:bCs/>
          <w:sz w:val="21"/>
          <w:szCs w:val="21"/>
        </w:rPr>
        <w:t>投标文件的澄清</w:t>
      </w:r>
      <w:bookmarkEnd w:id="58"/>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评标委员会将按照招标文件确定的评标方法进行评标。对招标文件中描述有歧义或前后不一致的地方，评标委员会有权按法律法规的规定进行评判，但对同一条款的评判应适用于每个投标供应商。</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在评标期间，评标委员会应当以书面形式（由评标委员会成员签字）要求投标人对投标文件中含义不明确、同类问题表述不一致或者有明显文字和计算错误的内容作必要的澄清、说明或纠正。澄清的内容不得超出投标文件的范围或者改变投标文件的实质性内容。投标人的有关澄清、说明或者补正必须以书面形式提交，同时应当由法定代表人或其授权代表签字或者加盖公章。经评标委员会认可后，并将作为投标文件的有效组成部分。</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如需要澄清的问题较多，评标委员会可召开会议邀请投标人代表到会予以澄清。澄清内容须作出书面记录，并由评标委员会和投标人代表签名确认。</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如有必要，评标委员会将书面要求投标供应商修正投标文件中不构成实质性偏离的、微小的、非正规的、不一致的或不规则的地方，这些修正不应影响评标的公平公正。</w:t>
      </w:r>
    </w:p>
    <w:p>
      <w:pPr>
        <w:numPr>
          <w:ilvl w:val="0"/>
          <w:numId w:val="28"/>
        </w:numPr>
        <w:snapToGrid w:val="0"/>
        <w:spacing w:beforeLines="100" w:line="360" w:lineRule="auto"/>
        <w:jc w:val="left"/>
        <w:outlineLvl w:val="2"/>
        <w:rPr>
          <w:rFonts w:ascii="宋体" w:hAnsi="宋体"/>
          <w:b/>
          <w:bCs/>
          <w:sz w:val="21"/>
          <w:szCs w:val="21"/>
        </w:rPr>
      </w:pPr>
      <w:bookmarkStart w:id="59" w:name="_Toc368513799"/>
      <w:r>
        <w:rPr>
          <w:rFonts w:hint="eastAsia" w:ascii="宋体" w:hAnsi="宋体"/>
          <w:b/>
          <w:bCs/>
          <w:sz w:val="21"/>
          <w:szCs w:val="21"/>
        </w:rPr>
        <w:t>评标委员会</w:t>
      </w:r>
      <w:bookmarkEnd w:id="59"/>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全部评标过程由依法组建的评标委员会负责完成，评标委员会组成详见投标须知前附表第9项。</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评标委员会名单在评审结果确定前保密。</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评标委员会成员（不含采购人代表）有下列情形之一的，受到邀请应主动提出回避，采购当事人也可以要求该评审专家回避：</w:t>
      </w:r>
    </w:p>
    <w:p>
      <w:pPr>
        <w:numPr>
          <w:ilvl w:val="2"/>
          <w:numId w:val="28"/>
        </w:numPr>
        <w:snapToGrid w:val="0"/>
        <w:spacing w:line="360" w:lineRule="auto"/>
        <w:ind w:left="748" w:hanging="28"/>
        <w:jc w:val="left"/>
        <w:rPr>
          <w:rFonts w:ascii="宋体" w:hAnsi="宋体"/>
          <w:bCs/>
          <w:sz w:val="21"/>
          <w:szCs w:val="21"/>
        </w:rPr>
      </w:pPr>
      <w:r>
        <w:rPr>
          <w:rFonts w:hint="eastAsia" w:ascii="宋体" w:hAnsi="宋体"/>
          <w:bCs/>
          <w:sz w:val="21"/>
          <w:szCs w:val="21"/>
        </w:rPr>
        <w:t>与参加该采购项目供应商发生过法律纠纷的；</w:t>
      </w:r>
    </w:p>
    <w:p>
      <w:pPr>
        <w:numPr>
          <w:ilvl w:val="2"/>
          <w:numId w:val="28"/>
        </w:numPr>
        <w:snapToGrid w:val="0"/>
        <w:spacing w:line="360" w:lineRule="auto"/>
        <w:ind w:left="748" w:hanging="28"/>
        <w:jc w:val="left"/>
        <w:rPr>
          <w:rFonts w:ascii="宋体" w:hAnsi="宋体"/>
          <w:bCs/>
          <w:sz w:val="21"/>
          <w:szCs w:val="21"/>
        </w:rPr>
      </w:pPr>
      <w:r>
        <w:rPr>
          <w:rFonts w:hint="eastAsia" w:ascii="宋体" w:hAnsi="宋体"/>
          <w:bCs/>
          <w:sz w:val="21"/>
          <w:szCs w:val="21"/>
        </w:rPr>
        <w:t>评标委员会中，同一任职单位评审专家超过二名的；</w:t>
      </w:r>
    </w:p>
    <w:p>
      <w:pPr>
        <w:numPr>
          <w:ilvl w:val="2"/>
          <w:numId w:val="28"/>
        </w:numPr>
        <w:snapToGrid w:val="0"/>
        <w:spacing w:line="360" w:lineRule="auto"/>
        <w:ind w:left="748" w:hanging="28"/>
        <w:jc w:val="left"/>
        <w:rPr>
          <w:rFonts w:ascii="宋体" w:hAnsi="宋体"/>
          <w:bCs/>
          <w:sz w:val="21"/>
          <w:szCs w:val="21"/>
        </w:rPr>
      </w:pPr>
      <w:r>
        <w:rPr>
          <w:rFonts w:hint="eastAsia" w:ascii="宋体" w:hAnsi="宋体"/>
          <w:bCs/>
          <w:sz w:val="21"/>
          <w:szCs w:val="21"/>
        </w:rPr>
        <w:t>参与招标文件论证的；</w:t>
      </w:r>
    </w:p>
    <w:p>
      <w:pPr>
        <w:numPr>
          <w:ilvl w:val="2"/>
          <w:numId w:val="28"/>
        </w:numPr>
        <w:snapToGrid w:val="0"/>
        <w:spacing w:line="360" w:lineRule="auto"/>
        <w:ind w:left="748" w:hanging="28"/>
        <w:jc w:val="left"/>
        <w:rPr>
          <w:rFonts w:ascii="宋体" w:hAnsi="宋体"/>
          <w:bCs/>
          <w:sz w:val="21"/>
          <w:szCs w:val="21"/>
        </w:rPr>
      </w:pPr>
      <w:r>
        <w:rPr>
          <w:rFonts w:hint="eastAsia" w:ascii="宋体" w:hAnsi="宋体"/>
          <w:bCs/>
          <w:sz w:val="21"/>
          <w:szCs w:val="21"/>
        </w:rPr>
        <w:t>参加采购活动前3年内与供应商存在劳动关系；</w:t>
      </w:r>
    </w:p>
    <w:p>
      <w:pPr>
        <w:numPr>
          <w:ilvl w:val="2"/>
          <w:numId w:val="28"/>
        </w:numPr>
        <w:snapToGrid w:val="0"/>
        <w:spacing w:line="360" w:lineRule="auto"/>
        <w:ind w:left="748" w:hanging="28"/>
        <w:jc w:val="left"/>
        <w:rPr>
          <w:rFonts w:ascii="宋体" w:hAnsi="宋体"/>
          <w:bCs/>
          <w:sz w:val="21"/>
          <w:szCs w:val="21"/>
        </w:rPr>
      </w:pPr>
      <w:r>
        <w:rPr>
          <w:rFonts w:hint="eastAsia" w:ascii="宋体" w:hAnsi="宋体"/>
          <w:bCs/>
          <w:sz w:val="21"/>
          <w:szCs w:val="21"/>
        </w:rPr>
        <w:t>参加采购活动前3年内担任供应商的董事、监事；</w:t>
      </w:r>
    </w:p>
    <w:p>
      <w:pPr>
        <w:numPr>
          <w:ilvl w:val="2"/>
          <w:numId w:val="28"/>
        </w:numPr>
        <w:snapToGrid w:val="0"/>
        <w:spacing w:line="360" w:lineRule="auto"/>
        <w:ind w:left="748" w:hanging="28"/>
        <w:jc w:val="left"/>
        <w:rPr>
          <w:rFonts w:ascii="宋体" w:hAnsi="宋体"/>
          <w:bCs/>
          <w:sz w:val="21"/>
          <w:szCs w:val="21"/>
        </w:rPr>
      </w:pPr>
      <w:r>
        <w:rPr>
          <w:rFonts w:hint="eastAsia" w:ascii="宋体" w:hAnsi="宋体"/>
          <w:bCs/>
          <w:sz w:val="21"/>
          <w:szCs w:val="21"/>
        </w:rPr>
        <w:t>参加采购活动前3年内是供应商的控股股东或者实际控制人；</w:t>
      </w:r>
    </w:p>
    <w:p>
      <w:pPr>
        <w:numPr>
          <w:ilvl w:val="2"/>
          <w:numId w:val="28"/>
        </w:numPr>
        <w:snapToGrid w:val="0"/>
        <w:spacing w:line="360" w:lineRule="auto"/>
        <w:ind w:left="748" w:hanging="28"/>
        <w:jc w:val="left"/>
        <w:rPr>
          <w:rFonts w:ascii="宋体" w:hAnsi="宋体"/>
          <w:bCs/>
          <w:sz w:val="21"/>
          <w:szCs w:val="21"/>
        </w:rPr>
      </w:pPr>
      <w:r>
        <w:rPr>
          <w:rFonts w:hint="eastAsia" w:ascii="宋体" w:hAnsi="宋体"/>
          <w:bCs/>
          <w:sz w:val="21"/>
          <w:szCs w:val="21"/>
        </w:rPr>
        <w:t>与供应商的法定代表人或者负责人有夫妻、直系血亲、三代以内旁系血亲或者近姻亲关系；</w:t>
      </w:r>
    </w:p>
    <w:p>
      <w:pPr>
        <w:numPr>
          <w:ilvl w:val="2"/>
          <w:numId w:val="28"/>
        </w:numPr>
        <w:snapToGrid w:val="0"/>
        <w:spacing w:line="360" w:lineRule="auto"/>
        <w:ind w:left="748" w:hanging="28"/>
        <w:jc w:val="left"/>
        <w:rPr>
          <w:rFonts w:ascii="宋体" w:hAnsi="宋体"/>
          <w:bCs/>
          <w:sz w:val="21"/>
          <w:szCs w:val="21"/>
        </w:rPr>
      </w:pPr>
      <w:r>
        <w:rPr>
          <w:rFonts w:hint="eastAsia" w:ascii="宋体" w:hAnsi="宋体"/>
          <w:bCs/>
          <w:sz w:val="21"/>
          <w:szCs w:val="21"/>
        </w:rPr>
        <w:t>与供应商有其他可能影响政府采购活动公平、公正进行的关系。</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评标委员会成员和参与评标的有关工作人员不得透露对投标文件的评审和比较以及与评标有关的其他情况。</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评标委员会决定投标文件的响应性只根据投标文件本身的内容，而不寻找外部的证据，但投标有不真实不正确的内容时除外。对是否实质性响应招标文件的要求有争议的投标，评标委员会将以记名方式表决，得票超过半数的投标人有资格进入下一阶段的评审，否则将被视为无效投标。实质性响应的投标文件应该是与招标文件要求的关键条款、条件和规格相符或优于，没有实质偏离的投标文件。</w:t>
      </w:r>
    </w:p>
    <w:p>
      <w:pPr>
        <w:numPr>
          <w:ilvl w:val="1"/>
          <w:numId w:val="28"/>
        </w:numPr>
        <w:tabs>
          <w:tab w:val="left" w:pos="720"/>
        </w:tabs>
        <w:snapToGrid w:val="0"/>
        <w:spacing w:line="360" w:lineRule="auto"/>
        <w:ind w:left="748"/>
        <w:jc w:val="left"/>
        <w:rPr>
          <w:rFonts w:ascii="宋体" w:hAnsi="宋体"/>
          <w:bCs/>
          <w:sz w:val="21"/>
          <w:szCs w:val="21"/>
        </w:rPr>
      </w:pPr>
      <w:r>
        <w:rPr>
          <w:rFonts w:hint="eastAsia" w:ascii="宋体" w:hAnsi="宋体"/>
          <w:bCs/>
          <w:sz w:val="21"/>
          <w:szCs w:val="21"/>
        </w:rPr>
        <w:t>在符合性检查时，未能通过符合性审查被认定为无效投标，具体条款详见招标文件《符合性审查表》。</w:t>
      </w:r>
    </w:p>
    <w:p>
      <w:pPr>
        <w:numPr>
          <w:ilvl w:val="1"/>
          <w:numId w:val="28"/>
        </w:numPr>
        <w:tabs>
          <w:tab w:val="left" w:pos="720"/>
        </w:tabs>
        <w:snapToGrid w:val="0"/>
        <w:spacing w:line="360" w:lineRule="auto"/>
        <w:ind w:left="748"/>
        <w:jc w:val="left"/>
        <w:rPr>
          <w:rFonts w:ascii="宋体" w:hAnsi="宋体"/>
          <w:b/>
          <w:bCs/>
          <w:sz w:val="21"/>
          <w:szCs w:val="21"/>
        </w:rPr>
      </w:pPr>
      <w:r>
        <w:rPr>
          <w:rFonts w:hint="eastAsia" w:ascii="宋体" w:hAnsi="宋体"/>
          <w:bCs/>
          <w:sz w:val="21"/>
          <w:szCs w:val="21"/>
        </w:rPr>
        <w:t>当通过资格审查、符合性检查的投标人不少于三家时，按照评标程序的规定和依据评分标准，各评委单独对每个投标人进行评审和比较。</w:t>
      </w:r>
      <w:bookmarkStart w:id="60" w:name="_Toc368513800"/>
      <w:bookmarkStart w:id="61" w:name="_Toc26800381"/>
      <w:bookmarkStart w:id="62" w:name="_Toc37496261"/>
      <w:bookmarkStart w:id="63" w:name="_Toc43264551"/>
    </w:p>
    <w:p>
      <w:pPr>
        <w:numPr>
          <w:ilvl w:val="0"/>
          <w:numId w:val="28"/>
        </w:numPr>
        <w:snapToGrid w:val="0"/>
        <w:spacing w:beforeLines="100" w:line="360" w:lineRule="auto"/>
        <w:jc w:val="left"/>
        <w:outlineLvl w:val="2"/>
        <w:rPr>
          <w:rFonts w:ascii="宋体" w:hAnsi="宋体"/>
          <w:b/>
          <w:bCs/>
          <w:sz w:val="21"/>
          <w:szCs w:val="21"/>
        </w:rPr>
      </w:pPr>
      <w:r>
        <w:rPr>
          <w:rFonts w:hint="eastAsia" w:ascii="宋体" w:hAnsi="宋体"/>
          <w:b/>
          <w:bCs/>
          <w:sz w:val="21"/>
          <w:szCs w:val="21"/>
        </w:rPr>
        <w:t>关于同品牌产品参加同一合同项（或同一包组）投标</w:t>
      </w:r>
    </w:p>
    <w:p>
      <w:pPr>
        <w:numPr>
          <w:ilvl w:val="1"/>
          <w:numId w:val="28"/>
        </w:numPr>
        <w:tabs>
          <w:tab w:val="left" w:pos="720"/>
        </w:tabs>
        <w:snapToGrid w:val="0"/>
        <w:spacing w:line="360" w:lineRule="auto"/>
        <w:ind w:left="748"/>
        <w:jc w:val="left"/>
        <w:rPr>
          <w:rFonts w:ascii="宋体" w:hAnsi="宋体"/>
          <w:bCs/>
          <w:sz w:val="21"/>
          <w:szCs w:val="21"/>
        </w:rPr>
      </w:pPr>
      <w:r>
        <w:rPr>
          <w:rFonts w:ascii="宋体" w:hAnsi="宋体"/>
          <w:bCs/>
          <w:sz w:val="21"/>
          <w:szCs w:val="21"/>
        </w:rPr>
        <w:t>采用最低评标价法的采购项目，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numPr>
          <w:ilvl w:val="1"/>
          <w:numId w:val="28"/>
        </w:numPr>
        <w:tabs>
          <w:tab w:val="left" w:pos="720"/>
        </w:tabs>
        <w:snapToGrid w:val="0"/>
        <w:spacing w:line="360" w:lineRule="auto"/>
        <w:ind w:left="748"/>
        <w:jc w:val="left"/>
        <w:rPr>
          <w:rFonts w:ascii="宋体" w:hAnsi="宋体"/>
          <w:bCs/>
          <w:sz w:val="21"/>
          <w:szCs w:val="21"/>
        </w:rPr>
      </w:pPr>
      <w:r>
        <w:rPr>
          <w:rFonts w:ascii="宋体" w:hAnsi="宋体"/>
          <w:bCs/>
          <w:sz w:val="21"/>
          <w:szCs w:val="21"/>
        </w:rPr>
        <w:t>使用综合评分法的采购项目，提供相同品牌产品且通过资格审查、符合性审查的不同投标人参加同一合同项下投标的，按一家投标人计算，评审后得分最高的同品牌投标人获得中标人推荐资格。</w:t>
      </w:r>
      <w:r>
        <w:rPr>
          <w:rFonts w:hint="eastAsia" w:ascii="宋体" w:hAnsi="宋体"/>
          <w:bCs/>
          <w:sz w:val="21"/>
          <w:szCs w:val="21"/>
        </w:rPr>
        <w:t>综合</w:t>
      </w:r>
      <w:r>
        <w:rPr>
          <w:rFonts w:ascii="宋体" w:hAnsi="宋体"/>
          <w:bCs/>
          <w:sz w:val="21"/>
          <w:szCs w:val="21"/>
        </w:rPr>
        <w:t>得分相同的，</w:t>
      </w:r>
      <w:r>
        <w:rPr>
          <w:rFonts w:hint="eastAsia" w:ascii="宋体" w:hAnsi="宋体"/>
          <w:bCs/>
          <w:sz w:val="21"/>
          <w:szCs w:val="21"/>
        </w:rPr>
        <w:t>按下列顺序比较</w:t>
      </w:r>
      <w:r>
        <w:rPr>
          <w:rFonts w:ascii="宋体" w:hAnsi="宋体"/>
          <w:bCs/>
          <w:sz w:val="21"/>
          <w:szCs w:val="21"/>
        </w:rPr>
        <w:t>确定一个投标人获得中标人推荐资格，其他同品牌投标人不作为中标候选人。</w:t>
      </w:r>
      <w:r>
        <w:rPr>
          <w:rFonts w:hint="eastAsia" w:ascii="宋体" w:hAnsi="宋体"/>
          <w:bCs/>
          <w:sz w:val="21"/>
          <w:szCs w:val="21"/>
        </w:rPr>
        <w:t>（1）节能产品；（2）环保产品；（3）投标报价（由低到高）；（4）技术部分得分（由高到低）。综合得分相同、投标报价和技术评分均相同的，名次由评标委员会抽签确定。法律法规有明确规定的，以法律法规规定为准。</w:t>
      </w:r>
    </w:p>
    <w:p>
      <w:pPr>
        <w:numPr>
          <w:ilvl w:val="1"/>
          <w:numId w:val="28"/>
        </w:numPr>
        <w:tabs>
          <w:tab w:val="left" w:pos="720"/>
        </w:tabs>
        <w:snapToGrid w:val="0"/>
        <w:spacing w:line="360" w:lineRule="auto"/>
        <w:ind w:left="748"/>
        <w:jc w:val="left"/>
        <w:rPr>
          <w:rFonts w:ascii="宋体" w:hAnsi="宋体"/>
          <w:bCs/>
          <w:sz w:val="21"/>
          <w:szCs w:val="21"/>
        </w:rPr>
      </w:pPr>
      <w:r>
        <w:rPr>
          <w:rFonts w:ascii="宋体" w:hAnsi="宋体"/>
          <w:bCs/>
          <w:sz w:val="21"/>
          <w:szCs w:val="21"/>
        </w:rPr>
        <w:t>非单一产品采购项目，采购人应当根据采购项目技术构成、产品价格比重等合理确定核心产品，并在招标文件中载明。多家投标人提供的核心产品品牌相同的，按前两款规定处理。</w:t>
      </w:r>
    </w:p>
    <w:p>
      <w:pPr>
        <w:numPr>
          <w:ilvl w:val="0"/>
          <w:numId w:val="11"/>
        </w:numPr>
        <w:spacing w:line="360" w:lineRule="auto"/>
        <w:jc w:val="center"/>
        <w:outlineLvl w:val="1"/>
        <w:rPr>
          <w:rFonts w:ascii="宋体" w:hAnsi="宋体"/>
          <w:b/>
          <w:bCs/>
          <w:sz w:val="21"/>
          <w:szCs w:val="21"/>
        </w:rPr>
      </w:pPr>
      <w:bookmarkStart w:id="64" w:name="_Toc26542"/>
      <w:r>
        <w:rPr>
          <w:rFonts w:hint="eastAsia" w:ascii="宋体" w:hAnsi="宋体"/>
          <w:b/>
          <w:bCs/>
          <w:sz w:val="21"/>
          <w:szCs w:val="21"/>
        </w:rPr>
        <w:t>关于定标</w:t>
      </w:r>
      <w:bookmarkEnd w:id="60"/>
      <w:bookmarkEnd w:id="61"/>
      <w:bookmarkEnd w:id="62"/>
      <w:bookmarkEnd w:id="63"/>
      <w:bookmarkEnd w:id="64"/>
    </w:p>
    <w:p>
      <w:pPr>
        <w:numPr>
          <w:ilvl w:val="0"/>
          <w:numId w:val="29"/>
        </w:numPr>
        <w:snapToGrid w:val="0"/>
        <w:spacing w:beforeLines="100" w:line="360" w:lineRule="auto"/>
        <w:jc w:val="left"/>
        <w:outlineLvl w:val="2"/>
        <w:rPr>
          <w:rFonts w:ascii="宋体" w:hAnsi="宋体"/>
          <w:b/>
          <w:bCs/>
          <w:sz w:val="21"/>
          <w:szCs w:val="21"/>
        </w:rPr>
      </w:pPr>
      <w:bookmarkStart w:id="65" w:name="_Toc368513801"/>
      <w:r>
        <w:rPr>
          <w:rFonts w:hint="eastAsia" w:ascii="宋体" w:hAnsi="宋体"/>
          <w:b/>
          <w:bCs/>
          <w:sz w:val="21"/>
          <w:szCs w:val="21"/>
        </w:rPr>
        <w:t>中标候选人的推荐</w:t>
      </w:r>
      <w:bookmarkEnd w:id="65"/>
    </w:p>
    <w:p>
      <w:pPr>
        <w:numPr>
          <w:ilvl w:val="1"/>
          <w:numId w:val="29"/>
        </w:numPr>
        <w:tabs>
          <w:tab w:val="clear" w:pos="992"/>
        </w:tabs>
        <w:snapToGrid w:val="0"/>
        <w:spacing w:line="360" w:lineRule="auto"/>
        <w:ind w:left="748"/>
        <w:jc w:val="left"/>
        <w:rPr>
          <w:rFonts w:ascii="宋体" w:hAnsi="宋体"/>
          <w:bCs/>
          <w:sz w:val="21"/>
          <w:szCs w:val="21"/>
        </w:rPr>
      </w:pPr>
      <w:r>
        <w:rPr>
          <w:rFonts w:hint="eastAsia" w:ascii="宋体" w:hAnsi="宋体"/>
          <w:bCs/>
          <w:sz w:val="21"/>
          <w:szCs w:val="21"/>
        </w:rPr>
        <w:t>除</w:t>
      </w:r>
      <w:r>
        <w:rPr>
          <w:rFonts w:hint="eastAsia" w:ascii="宋体" w:hAnsi="宋体"/>
          <w:sz w:val="21"/>
          <w:szCs w:val="21"/>
        </w:rPr>
        <w:t>投标须知前附表第11、12项另有规定外，</w:t>
      </w:r>
      <w:r>
        <w:rPr>
          <w:rFonts w:hint="eastAsia" w:ascii="宋体" w:hAnsi="宋体"/>
          <w:bCs/>
          <w:sz w:val="21"/>
          <w:szCs w:val="21"/>
        </w:rPr>
        <w:t>评标委员会结合商务部分、技术部分和价格部分的评估结果进行综合评估，编写书面的评标报告，按顺序推荐综合得分第一名的投标人为第一中标候选人，得分第二名的投标人为第二中标候选人，依此原则类推。</w:t>
      </w:r>
    </w:p>
    <w:p>
      <w:pPr>
        <w:numPr>
          <w:ilvl w:val="1"/>
          <w:numId w:val="29"/>
        </w:numPr>
        <w:tabs>
          <w:tab w:val="clear" w:pos="992"/>
        </w:tabs>
        <w:snapToGrid w:val="0"/>
        <w:spacing w:line="360" w:lineRule="auto"/>
        <w:ind w:left="748"/>
        <w:jc w:val="left"/>
        <w:rPr>
          <w:rFonts w:ascii="宋体" w:hAnsi="宋体"/>
          <w:bCs/>
          <w:sz w:val="21"/>
          <w:szCs w:val="21"/>
        </w:rPr>
      </w:pPr>
      <w:r>
        <w:rPr>
          <w:rFonts w:hint="eastAsia" w:ascii="宋体" w:hAnsi="宋体"/>
          <w:bCs/>
          <w:sz w:val="21"/>
          <w:szCs w:val="21"/>
        </w:rPr>
        <w:t>综合得分相同的，按下列顺序比较确定：（1）节能产品；（2）环保产品；（3）投标报价（由低到高）；（4）技术部分得分（由高到低）。综合得分相同、投标报价和技术评分均相同的，名次由评标委员会抽签确定。法律法规有明确规定的，以法律法规规定为准。</w:t>
      </w:r>
    </w:p>
    <w:p>
      <w:pPr>
        <w:numPr>
          <w:ilvl w:val="0"/>
          <w:numId w:val="29"/>
        </w:numPr>
        <w:snapToGrid w:val="0"/>
        <w:spacing w:beforeLines="100" w:line="360" w:lineRule="auto"/>
        <w:jc w:val="left"/>
        <w:outlineLvl w:val="2"/>
        <w:rPr>
          <w:rFonts w:ascii="宋体" w:hAnsi="宋体"/>
          <w:b/>
          <w:bCs/>
          <w:sz w:val="21"/>
          <w:szCs w:val="21"/>
        </w:rPr>
      </w:pPr>
      <w:bookmarkStart w:id="66" w:name="_Toc368513802"/>
      <w:r>
        <w:rPr>
          <w:rFonts w:hint="eastAsia" w:ascii="宋体" w:hAnsi="宋体"/>
          <w:b/>
          <w:bCs/>
          <w:sz w:val="21"/>
          <w:szCs w:val="21"/>
        </w:rPr>
        <w:t>招标结果</w:t>
      </w:r>
      <w:bookmarkEnd w:id="66"/>
    </w:p>
    <w:p>
      <w:pPr>
        <w:numPr>
          <w:ilvl w:val="1"/>
          <w:numId w:val="29"/>
        </w:numPr>
        <w:tabs>
          <w:tab w:val="clear" w:pos="992"/>
        </w:tabs>
        <w:snapToGrid w:val="0"/>
        <w:spacing w:line="360" w:lineRule="auto"/>
        <w:ind w:left="748"/>
        <w:jc w:val="left"/>
        <w:rPr>
          <w:rFonts w:ascii="宋体" w:hAnsi="宋体"/>
          <w:bCs/>
          <w:sz w:val="21"/>
          <w:szCs w:val="21"/>
        </w:rPr>
      </w:pPr>
      <w:r>
        <w:rPr>
          <w:rFonts w:hint="eastAsia" w:ascii="宋体" w:hAnsi="宋体"/>
          <w:bCs/>
          <w:sz w:val="21"/>
          <w:szCs w:val="21"/>
        </w:rPr>
        <w:t>采购代理机构自评审结束之日起2个工作日内将评标报告</w:t>
      </w:r>
      <w:r>
        <w:rPr>
          <w:rFonts w:ascii="宋体" w:hAnsi="宋体"/>
          <w:bCs/>
          <w:sz w:val="21"/>
          <w:szCs w:val="21"/>
        </w:rPr>
        <w:t>和推荐中标意见</w:t>
      </w:r>
      <w:r>
        <w:rPr>
          <w:rFonts w:hint="eastAsia" w:ascii="宋体" w:hAnsi="宋体"/>
          <w:bCs/>
          <w:sz w:val="21"/>
          <w:szCs w:val="21"/>
        </w:rPr>
        <w:t>送交采购人。采购人自收到评标报告之日起5个工作日内在评标报告推荐的中标候选人中按顺序确定中标供应商，也可以事先授权评标委员会直接确定中标人。经采购人确认后，采购代理机构在2个工作日内将中标公告在投标邀请规定的</w:t>
      </w:r>
      <w:r>
        <w:rPr>
          <w:rFonts w:ascii="宋体" w:hAnsi="宋体"/>
          <w:bCs/>
          <w:sz w:val="21"/>
          <w:szCs w:val="21"/>
        </w:rPr>
        <w:t>媒体上</w:t>
      </w:r>
      <w:r>
        <w:rPr>
          <w:rFonts w:hint="eastAsia" w:ascii="宋体" w:hAnsi="宋体"/>
          <w:bCs/>
          <w:sz w:val="21"/>
          <w:szCs w:val="21"/>
        </w:rPr>
        <w:t>进行发布。</w:t>
      </w:r>
    </w:p>
    <w:p>
      <w:pPr>
        <w:numPr>
          <w:ilvl w:val="1"/>
          <w:numId w:val="29"/>
        </w:numPr>
        <w:tabs>
          <w:tab w:val="clear" w:pos="992"/>
        </w:tabs>
        <w:snapToGrid w:val="0"/>
        <w:spacing w:line="360" w:lineRule="auto"/>
        <w:ind w:left="748"/>
        <w:jc w:val="left"/>
        <w:rPr>
          <w:rFonts w:ascii="宋体" w:hAnsi="宋体"/>
          <w:bCs/>
          <w:sz w:val="21"/>
          <w:szCs w:val="21"/>
        </w:rPr>
      </w:pPr>
      <w:r>
        <w:rPr>
          <w:rFonts w:hint="eastAsia" w:ascii="宋体" w:hAnsi="宋体"/>
          <w:bCs/>
          <w:sz w:val="21"/>
          <w:szCs w:val="21"/>
        </w:rPr>
        <w:t>中标结果公示结束后将通知评标委员会推荐的第一中标候选人在3个工作日内，按投标文件中已附的所有相关证件、证明文件、合同和其他文件的原件送采购人或采购代理机构核对与投标人投标文件中的复印件是否一致。在接到原件之日起</w:t>
      </w:r>
      <w:r>
        <w:rPr>
          <w:rFonts w:ascii="宋体" w:hAnsi="宋体"/>
          <w:bCs/>
          <w:sz w:val="21"/>
          <w:szCs w:val="21"/>
        </w:rPr>
        <w:t>3</w:t>
      </w:r>
      <w:r>
        <w:rPr>
          <w:rFonts w:hint="eastAsia" w:ascii="宋体" w:hAnsi="宋体"/>
          <w:bCs/>
          <w:sz w:val="21"/>
          <w:szCs w:val="21"/>
        </w:rPr>
        <w:t>个工作日内，核对没有不一致的，可向中标人发出中标通知书；核对发现有不一致或第一中标候选人没有按约定提交原件的，报监管部门核实后按虚假应标处理。</w:t>
      </w:r>
    </w:p>
    <w:p>
      <w:pPr>
        <w:numPr>
          <w:ilvl w:val="0"/>
          <w:numId w:val="29"/>
        </w:numPr>
        <w:snapToGrid w:val="0"/>
        <w:spacing w:beforeLines="100" w:line="360" w:lineRule="auto"/>
        <w:jc w:val="left"/>
        <w:outlineLvl w:val="2"/>
        <w:rPr>
          <w:rFonts w:ascii="宋体" w:hAnsi="宋体"/>
          <w:b/>
          <w:bCs/>
          <w:sz w:val="21"/>
          <w:szCs w:val="21"/>
        </w:rPr>
      </w:pPr>
      <w:bookmarkStart w:id="67" w:name="_Toc368513803"/>
      <w:r>
        <w:rPr>
          <w:rFonts w:hint="eastAsia" w:ascii="宋体" w:hAnsi="宋体"/>
          <w:b/>
          <w:bCs/>
          <w:sz w:val="21"/>
          <w:szCs w:val="21"/>
        </w:rPr>
        <w:t>中标通知书</w:t>
      </w:r>
      <w:bookmarkEnd w:id="67"/>
    </w:p>
    <w:p>
      <w:pPr>
        <w:numPr>
          <w:ilvl w:val="1"/>
          <w:numId w:val="29"/>
        </w:numPr>
        <w:tabs>
          <w:tab w:val="clear" w:pos="992"/>
        </w:tabs>
        <w:snapToGrid w:val="0"/>
        <w:spacing w:line="360" w:lineRule="auto"/>
        <w:ind w:left="748"/>
        <w:jc w:val="left"/>
        <w:rPr>
          <w:rFonts w:ascii="宋体" w:hAnsi="宋体"/>
          <w:bCs/>
          <w:sz w:val="21"/>
          <w:szCs w:val="21"/>
        </w:rPr>
      </w:pPr>
      <w:r>
        <w:rPr>
          <w:rFonts w:ascii="宋体" w:hAnsi="宋体"/>
          <w:bCs/>
          <w:sz w:val="21"/>
          <w:szCs w:val="21"/>
        </w:rPr>
        <w:t>采购代理机构</w:t>
      </w:r>
      <w:r>
        <w:rPr>
          <w:rFonts w:hint="eastAsia" w:ascii="宋体" w:hAnsi="宋体"/>
          <w:bCs/>
          <w:sz w:val="21"/>
          <w:szCs w:val="21"/>
        </w:rPr>
        <w:t>在规定的</w:t>
      </w:r>
      <w:r>
        <w:rPr>
          <w:rFonts w:ascii="宋体" w:hAnsi="宋体"/>
          <w:bCs/>
          <w:sz w:val="21"/>
          <w:szCs w:val="21"/>
        </w:rPr>
        <w:t>媒体上</w:t>
      </w:r>
      <w:r>
        <w:rPr>
          <w:rFonts w:hint="eastAsia" w:ascii="宋体" w:hAnsi="宋体"/>
          <w:bCs/>
          <w:sz w:val="21"/>
          <w:szCs w:val="21"/>
        </w:rPr>
        <w:t>发布中标公告的同时，</w:t>
      </w:r>
      <w:r>
        <w:rPr>
          <w:rFonts w:ascii="宋体" w:hAnsi="宋体"/>
          <w:bCs/>
          <w:sz w:val="21"/>
          <w:szCs w:val="21"/>
        </w:rPr>
        <w:t>以书面形式向中标人发出《中标通知书》，向未中标人发出《招标结果通知书》。</w:t>
      </w:r>
    </w:p>
    <w:p>
      <w:pPr>
        <w:numPr>
          <w:ilvl w:val="1"/>
          <w:numId w:val="29"/>
        </w:numPr>
        <w:tabs>
          <w:tab w:val="clear" w:pos="992"/>
        </w:tabs>
        <w:snapToGrid w:val="0"/>
        <w:spacing w:line="360" w:lineRule="auto"/>
        <w:ind w:left="748"/>
        <w:jc w:val="left"/>
        <w:rPr>
          <w:rFonts w:ascii="宋体" w:hAnsi="宋体"/>
          <w:bCs/>
          <w:sz w:val="21"/>
          <w:szCs w:val="21"/>
        </w:rPr>
      </w:pPr>
      <w:r>
        <w:rPr>
          <w:rFonts w:hint="eastAsia" w:ascii="宋体" w:hAnsi="宋体"/>
          <w:bCs/>
          <w:sz w:val="21"/>
          <w:szCs w:val="21"/>
        </w:rPr>
        <w:t>《中标通知书》是该项目中标确认合同的法定组成部分，对采购人和中标人具有法律效力。《中标通知书》发出后，采购人改变中标结果的，或者中标人放弃中标的，应当依法承担法律责任。</w:t>
      </w:r>
    </w:p>
    <w:p>
      <w:pPr>
        <w:numPr>
          <w:ilvl w:val="0"/>
          <w:numId w:val="11"/>
        </w:numPr>
        <w:spacing w:line="360" w:lineRule="auto"/>
        <w:jc w:val="center"/>
        <w:outlineLvl w:val="1"/>
        <w:rPr>
          <w:rFonts w:ascii="宋体" w:hAnsi="宋体"/>
          <w:b/>
          <w:bCs/>
          <w:sz w:val="21"/>
          <w:szCs w:val="21"/>
        </w:rPr>
      </w:pPr>
      <w:bookmarkStart w:id="68" w:name="_Toc11949"/>
      <w:r>
        <w:rPr>
          <w:rFonts w:hint="eastAsia" w:ascii="宋体" w:hAnsi="宋体"/>
          <w:b/>
          <w:bCs/>
          <w:sz w:val="21"/>
          <w:szCs w:val="21"/>
        </w:rPr>
        <w:t>关于无效投标的认定和废标</w:t>
      </w:r>
      <w:bookmarkEnd w:id="68"/>
    </w:p>
    <w:p>
      <w:pPr>
        <w:numPr>
          <w:ilvl w:val="0"/>
          <w:numId w:val="30"/>
        </w:numPr>
        <w:tabs>
          <w:tab w:val="left" w:pos="720"/>
        </w:tabs>
        <w:snapToGrid w:val="0"/>
        <w:spacing w:beforeLines="100" w:line="360" w:lineRule="auto"/>
        <w:jc w:val="left"/>
        <w:outlineLvl w:val="2"/>
        <w:rPr>
          <w:rFonts w:ascii="宋体" w:hAnsi="宋体"/>
          <w:b/>
          <w:bCs/>
          <w:sz w:val="21"/>
          <w:szCs w:val="21"/>
        </w:rPr>
      </w:pPr>
      <w:r>
        <w:rPr>
          <w:rFonts w:hint="eastAsia" w:ascii="宋体" w:hAnsi="宋体"/>
          <w:b/>
          <w:bCs/>
          <w:sz w:val="21"/>
          <w:szCs w:val="21"/>
        </w:rPr>
        <w:t>投标文件属下列情况之一的，应当按照无效投标处理：</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ascii="宋体" w:hAnsi="宋体"/>
          <w:bCs/>
          <w:sz w:val="21"/>
          <w:szCs w:val="21"/>
        </w:rPr>
        <w:t>未按照招标文件的规定提交投标保证金的</w:t>
      </w:r>
      <w:r>
        <w:rPr>
          <w:rFonts w:hint="eastAsia" w:ascii="宋体" w:hAnsi="宋体"/>
          <w:bCs/>
          <w:sz w:val="21"/>
          <w:szCs w:val="21"/>
        </w:rPr>
        <w:t>。</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ascii="宋体" w:hAnsi="宋体"/>
          <w:bCs/>
          <w:sz w:val="21"/>
          <w:szCs w:val="21"/>
        </w:rPr>
        <w:t>投标文件</w:t>
      </w:r>
      <w:r>
        <w:rPr>
          <w:rFonts w:hint="eastAsia" w:ascii="宋体" w:hAnsi="宋体"/>
          <w:bCs/>
          <w:sz w:val="21"/>
          <w:szCs w:val="21"/>
        </w:rPr>
        <w:t>未按照招标文件规定要求签署、盖章。</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不具备招标文件中规定的资格要求。</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投标有效期不足的。</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投标价不是固定价或者投标方案不是唯一的。</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投标人的报价存在明显低于成本价或超过了采购预算，采购人不能支付的。</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投标文件的产品技术指标没有实质响应招标文件要求的。</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投标报价超出最高限价。</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不满足招标文件中标注“★”的条款。</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ascii="宋体" w:hAnsi="宋体"/>
          <w:bCs/>
          <w:sz w:val="21"/>
          <w:szCs w:val="21"/>
        </w:rPr>
        <w:t>投标文件含有采购人不能接受的附加条件</w:t>
      </w:r>
      <w:r>
        <w:rPr>
          <w:rFonts w:hint="eastAsia" w:ascii="宋体" w:hAnsi="宋体"/>
          <w:bCs/>
          <w:sz w:val="21"/>
          <w:szCs w:val="21"/>
        </w:rPr>
        <w:t>。</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单价与总价不相符，又不接受评标委员会修正的投标总价或投标价明显低于其他投标价而投标人不能合理说明的；</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有虚假、谎报等造假现象。</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ascii="宋体" w:hAnsi="宋体"/>
          <w:bCs/>
          <w:sz w:val="21"/>
          <w:szCs w:val="21"/>
        </w:rPr>
        <w:t>法律、法规和招标文件规定的其他无效情形。</w:t>
      </w:r>
    </w:p>
    <w:p>
      <w:pPr>
        <w:numPr>
          <w:ilvl w:val="0"/>
          <w:numId w:val="30"/>
        </w:numPr>
        <w:tabs>
          <w:tab w:val="left" w:pos="720"/>
        </w:tabs>
        <w:snapToGrid w:val="0"/>
        <w:spacing w:beforeLines="100" w:line="360" w:lineRule="auto"/>
        <w:jc w:val="left"/>
        <w:outlineLvl w:val="2"/>
        <w:rPr>
          <w:rFonts w:ascii="宋体" w:hAnsi="宋体"/>
          <w:b/>
          <w:bCs/>
          <w:sz w:val="21"/>
          <w:szCs w:val="21"/>
        </w:rPr>
      </w:pPr>
      <w:r>
        <w:rPr>
          <w:rFonts w:hint="eastAsia" w:ascii="宋体" w:hAnsi="宋体"/>
          <w:b/>
          <w:bCs/>
          <w:sz w:val="21"/>
          <w:szCs w:val="21"/>
        </w:rPr>
        <w:t>有下列情况之一出现，将视为招标失败或废标：</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符合专业条件的供应商或者对招标文件作实质响应的供应商不足三家的；</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出现影响采购公正的违法、违规行为的；</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hint="eastAsia" w:ascii="宋体" w:hAnsi="宋体"/>
          <w:bCs/>
          <w:sz w:val="21"/>
          <w:szCs w:val="21"/>
        </w:rPr>
        <w:t>因重大变故，采购任务取消的。</w:t>
      </w:r>
    </w:p>
    <w:p>
      <w:pPr>
        <w:numPr>
          <w:ilvl w:val="0"/>
          <w:numId w:val="30"/>
        </w:numPr>
        <w:tabs>
          <w:tab w:val="left" w:pos="720"/>
        </w:tabs>
        <w:snapToGrid w:val="0"/>
        <w:spacing w:beforeLines="100" w:line="360" w:lineRule="auto"/>
        <w:jc w:val="left"/>
        <w:outlineLvl w:val="2"/>
        <w:rPr>
          <w:rFonts w:ascii="宋体" w:hAnsi="宋体"/>
          <w:b/>
          <w:bCs/>
          <w:sz w:val="21"/>
          <w:szCs w:val="21"/>
        </w:rPr>
      </w:pPr>
      <w:r>
        <w:rPr>
          <w:rFonts w:ascii="宋体" w:hAnsi="宋体"/>
          <w:b/>
          <w:bCs/>
          <w:sz w:val="21"/>
          <w:szCs w:val="21"/>
        </w:rPr>
        <w:t>有下列情形之一的，视为投标人串通投标，其投标无效：</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ascii="宋体" w:hAnsi="宋体"/>
          <w:bCs/>
          <w:sz w:val="21"/>
          <w:szCs w:val="21"/>
        </w:rPr>
        <w:t>不同投标人的投标文件由同一单位或者个人编制；</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ascii="宋体" w:hAnsi="宋体"/>
          <w:bCs/>
          <w:sz w:val="21"/>
          <w:szCs w:val="21"/>
        </w:rPr>
        <w:t>不同投标人委托同一单位或者个人办理投标事宜；</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ascii="宋体" w:hAnsi="宋体"/>
          <w:bCs/>
          <w:sz w:val="21"/>
          <w:szCs w:val="21"/>
        </w:rPr>
        <w:t>不同投标人的投标文件载明的项目管理成员或者联系人员为同一人；</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ascii="宋体" w:hAnsi="宋体"/>
          <w:bCs/>
          <w:sz w:val="21"/>
          <w:szCs w:val="21"/>
        </w:rPr>
        <w:t>不同投标人的投标文件异常一致或者投标报价呈规律性差异；</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ascii="宋体" w:hAnsi="宋体"/>
          <w:bCs/>
          <w:sz w:val="21"/>
          <w:szCs w:val="21"/>
        </w:rPr>
        <w:t>不同投标人的投标文件相互混装；</w:t>
      </w:r>
    </w:p>
    <w:p>
      <w:pPr>
        <w:numPr>
          <w:ilvl w:val="1"/>
          <w:numId w:val="30"/>
        </w:numPr>
        <w:tabs>
          <w:tab w:val="left" w:pos="720"/>
          <w:tab w:val="clear" w:pos="993"/>
        </w:tabs>
        <w:snapToGrid w:val="0"/>
        <w:spacing w:line="360" w:lineRule="auto"/>
        <w:ind w:left="748"/>
        <w:jc w:val="left"/>
        <w:rPr>
          <w:rFonts w:ascii="宋体" w:hAnsi="宋体"/>
          <w:bCs/>
          <w:sz w:val="21"/>
          <w:szCs w:val="21"/>
        </w:rPr>
      </w:pPr>
      <w:r>
        <w:rPr>
          <w:rFonts w:ascii="宋体" w:hAnsi="宋体"/>
          <w:bCs/>
          <w:sz w:val="21"/>
          <w:szCs w:val="21"/>
        </w:rPr>
        <w:t>不同投标人的投标保证金从同一单位或者个人的账户转出。</w:t>
      </w:r>
    </w:p>
    <w:p>
      <w:pPr>
        <w:numPr>
          <w:ilvl w:val="0"/>
          <w:numId w:val="11"/>
        </w:numPr>
        <w:spacing w:line="360" w:lineRule="auto"/>
        <w:jc w:val="center"/>
        <w:outlineLvl w:val="1"/>
        <w:rPr>
          <w:rFonts w:ascii="宋体" w:hAnsi="宋体"/>
          <w:b/>
          <w:bCs/>
          <w:sz w:val="21"/>
          <w:szCs w:val="21"/>
        </w:rPr>
      </w:pPr>
      <w:bookmarkStart w:id="69" w:name="_Toc18721"/>
      <w:r>
        <w:rPr>
          <w:rFonts w:hint="eastAsia" w:ascii="宋体" w:hAnsi="宋体"/>
          <w:b/>
          <w:bCs/>
          <w:sz w:val="21"/>
          <w:szCs w:val="21"/>
        </w:rPr>
        <w:t>关于</w:t>
      </w:r>
      <w:r>
        <w:rPr>
          <w:rFonts w:ascii="宋体" w:hAnsi="宋体"/>
          <w:b/>
          <w:bCs/>
          <w:sz w:val="21"/>
          <w:szCs w:val="21"/>
        </w:rPr>
        <w:t>合同</w:t>
      </w:r>
      <w:bookmarkEnd w:id="69"/>
    </w:p>
    <w:p>
      <w:pPr>
        <w:numPr>
          <w:ilvl w:val="0"/>
          <w:numId w:val="31"/>
        </w:numPr>
        <w:snapToGrid w:val="0"/>
        <w:spacing w:beforeLines="100" w:line="360" w:lineRule="auto"/>
        <w:ind w:left="513" w:hanging="513"/>
        <w:jc w:val="left"/>
        <w:outlineLvl w:val="2"/>
        <w:rPr>
          <w:rFonts w:ascii="宋体" w:hAnsi="宋体"/>
          <w:b/>
          <w:bCs/>
          <w:sz w:val="21"/>
          <w:szCs w:val="21"/>
        </w:rPr>
      </w:pPr>
      <w:r>
        <w:rPr>
          <w:rFonts w:hint="eastAsia" w:ascii="宋体" w:hAnsi="宋体"/>
          <w:b/>
          <w:bCs/>
          <w:sz w:val="21"/>
          <w:szCs w:val="21"/>
        </w:rPr>
        <w:t>合同的订立</w:t>
      </w:r>
    </w:p>
    <w:p>
      <w:pPr>
        <w:numPr>
          <w:ilvl w:val="1"/>
          <w:numId w:val="31"/>
        </w:numPr>
        <w:tabs>
          <w:tab w:val="left" w:pos="720"/>
        </w:tabs>
        <w:snapToGrid w:val="0"/>
        <w:spacing w:line="360" w:lineRule="auto"/>
        <w:jc w:val="left"/>
        <w:rPr>
          <w:rFonts w:ascii="宋体" w:hAnsi="宋体"/>
          <w:bCs/>
          <w:sz w:val="21"/>
          <w:szCs w:val="21"/>
        </w:rPr>
      </w:pPr>
      <w:r>
        <w:rPr>
          <w:rFonts w:hint="eastAsia" w:ascii="宋体" w:hAnsi="宋体"/>
          <w:bCs/>
          <w:sz w:val="21"/>
          <w:szCs w:val="21"/>
        </w:rPr>
        <w:t>中标人应当自中标通知书发出之日起三十日内，提供本项目厂家授权书，按照招标文件和中标供应商投标文件的约定，如遇其它设备更换双方需协商在签定合同，不能协商甲方有权拒签，派遣其授权代表携带采购代理机构发出的《中标通知书》，前往与采购人签署合同，并向采购代理机构递交一份合同原件备案。《中标通知书》将作为授予合同资格的合法依据。</w:t>
      </w:r>
    </w:p>
    <w:p>
      <w:pPr>
        <w:numPr>
          <w:ilvl w:val="1"/>
          <w:numId w:val="31"/>
        </w:numPr>
        <w:tabs>
          <w:tab w:val="left" w:pos="720"/>
        </w:tabs>
        <w:snapToGrid w:val="0"/>
        <w:spacing w:line="360" w:lineRule="auto"/>
        <w:jc w:val="left"/>
        <w:rPr>
          <w:rFonts w:ascii="宋体" w:hAnsi="宋体"/>
          <w:bCs/>
          <w:sz w:val="21"/>
          <w:szCs w:val="21"/>
        </w:rPr>
      </w:pPr>
      <w:r>
        <w:rPr>
          <w:rFonts w:hint="eastAsia" w:ascii="宋体" w:hAnsi="宋体"/>
          <w:bCs/>
          <w:sz w:val="21"/>
          <w:szCs w:val="21"/>
        </w:rPr>
        <w:t>采购人或采购代理机构不得向中标人提出任何不合理的要求，作为签订合同的条件，不得与中标人私下订立背离合同实质性内容的协议。</w:t>
      </w:r>
    </w:p>
    <w:p>
      <w:pPr>
        <w:numPr>
          <w:ilvl w:val="1"/>
          <w:numId w:val="31"/>
        </w:numPr>
        <w:tabs>
          <w:tab w:val="left" w:pos="720"/>
        </w:tabs>
        <w:snapToGrid w:val="0"/>
        <w:spacing w:line="360" w:lineRule="auto"/>
        <w:jc w:val="left"/>
        <w:rPr>
          <w:rFonts w:ascii="宋体" w:hAnsi="宋体"/>
          <w:bCs/>
          <w:sz w:val="21"/>
          <w:szCs w:val="21"/>
        </w:rPr>
      </w:pPr>
      <w:r>
        <w:rPr>
          <w:rFonts w:hint="eastAsia" w:ascii="宋体" w:hAnsi="宋体"/>
          <w:bCs/>
          <w:sz w:val="21"/>
          <w:szCs w:val="21"/>
        </w:rPr>
        <w:t>自政府采购合同签订之日起2个工作日内，采购人应将政府采购合同在省级以上人民政府财政部门指定的媒体上公告，但政府采购合同中涉及国家秘密、商业秘密的内容除外。</w:t>
      </w:r>
    </w:p>
    <w:p>
      <w:pPr>
        <w:numPr>
          <w:ilvl w:val="1"/>
          <w:numId w:val="31"/>
        </w:numPr>
        <w:tabs>
          <w:tab w:val="left" w:pos="720"/>
        </w:tabs>
        <w:snapToGrid w:val="0"/>
        <w:spacing w:line="360" w:lineRule="auto"/>
        <w:jc w:val="left"/>
        <w:rPr>
          <w:rFonts w:ascii="宋体" w:hAnsi="宋体"/>
          <w:bCs/>
          <w:sz w:val="21"/>
          <w:szCs w:val="21"/>
        </w:rPr>
      </w:pPr>
      <w:r>
        <w:rPr>
          <w:rFonts w:hint="eastAsia" w:ascii="宋体" w:hAnsi="宋体"/>
          <w:bCs/>
          <w:sz w:val="21"/>
          <w:szCs w:val="21"/>
        </w:rPr>
        <w:t>政府采购合同签订之日起七个工作日内，采购人应将政府采购合同副本报同级监管部门备案和有关部门备案。</w:t>
      </w:r>
    </w:p>
    <w:p>
      <w:pPr>
        <w:numPr>
          <w:ilvl w:val="0"/>
          <w:numId w:val="31"/>
        </w:numPr>
        <w:snapToGrid w:val="0"/>
        <w:spacing w:beforeLines="100" w:line="360" w:lineRule="auto"/>
        <w:ind w:left="513" w:hanging="513"/>
        <w:jc w:val="left"/>
        <w:outlineLvl w:val="2"/>
        <w:rPr>
          <w:rFonts w:ascii="宋体" w:hAnsi="宋体"/>
          <w:b/>
          <w:bCs/>
          <w:sz w:val="21"/>
          <w:szCs w:val="21"/>
        </w:rPr>
      </w:pPr>
      <w:r>
        <w:rPr>
          <w:rFonts w:hint="eastAsia" w:ascii="宋体" w:hAnsi="宋体"/>
          <w:b/>
          <w:bCs/>
          <w:sz w:val="21"/>
          <w:szCs w:val="21"/>
        </w:rPr>
        <w:t>合同的履行</w:t>
      </w:r>
    </w:p>
    <w:p>
      <w:pPr>
        <w:numPr>
          <w:ilvl w:val="1"/>
          <w:numId w:val="31"/>
        </w:numPr>
        <w:tabs>
          <w:tab w:val="left" w:pos="720"/>
        </w:tabs>
        <w:snapToGrid w:val="0"/>
        <w:spacing w:line="360" w:lineRule="auto"/>
        <w:jc w:val="left"/>
        <w:rPr>
          <w:rFonts w:ascii="宋体" w:hAnsi="宋体"/>
          <w:bCs/>
          <w:sz w:val="21"/>
          <w:szCs w:val="21"/>
        </w:rPr>
      </w:pPr>
      <w:r>
        <w:rPr>
          <w:rFonts w:hint="eastAsia" w:ascii="宋体" w:hAnsi="宋体"/>
          <w:bCs/>
          <w:sz w:val="21"/>
          <w:szCs w:val="21"/>
        </w:rPr>
        <w:t>在投标和签订合同过程中，如发现中标人以他人名义投标或者以其他方式弄虚作假，骗取中标的，采购人有权取消其中标资格，并将第二的中标候选人确定为中标人, 以此类推，或者重新组织招标。</w:t>
      </w:r>
    </w:p>
    <w:p>
      <w:pPr>
        <w:numPr>
          <w:ilvl w:val="1"/>
          <w:numId w:val="31"/>
        </w:numPr>
        <w:tabs>
          <w:tab w:val="left" w:pos="720"/>
        </w:tabs>
        <w:snapToGrid w:val="0"/>
        <w:spacing w:line="360" w:lineRule="auto"/>
        <w:jc w:val="left"/>
        <w:rPr>
          <w:rFonts w:ascii="宋体" w:hAnsi="宋体"/>
          <w:bCs/>
          <w:sz w:val="21"/>
          <w:szCs w:val="21"/>
        </w:rPr>
      </w:pPr>
      <w:r>
        <w:rPr>
          <w:rFonts w:hint="eastAsia" w:ascii="宋体" w:hAnsi="宋体"/>
          <w:bCs/>
          <w:sz w:val="21"/>
          <w:szCs w:val="21"/>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1"/>
        </w:numPr>
        <w:tabs>
          <w:tab w:val="left" w:pos="720"/>
        </w:tabs>
        <w:snapToGrid w:val="0"/>
        <w:spacing w:line="360" w:lineRule="auto"/>
        <w:jc w:val="left"/>
        <w:rPr>
          <w:rFonts w:ascii="宋体" w:hAnsi="宋体"/>
          <w:bCs/>
          <w:sz w:val="21"/>
          <w:szCs w:val="21"/>
        </w:rPr>
      </w:pPr>
      <w:r>
        <w:rPr>
          <w:rFonts w:hint="eastAsia" w:ascii="宋体" w:hAnsi="宋体"/>
          <w:bCs/>
          <w:sz w:val="21"/>
          <w:szCs w:val="21"/>
        </w:rPr>
        <w:t>政府采购合同履行中，采购人需追加与合同标的相同的货物、工程或者服务的，在不改变合同其他条款的前提下，可以与供应商签订补充合同，但所补充合同的采购金额不得超过原合同采购金额的百分之十。签订补充合同的必须按规定备案。</w:t>
      </w:r>
    </w:p>
    <w:p>
      <w:pPr>
        <w:numPr>
          <w:ilvl w:val="1"/>
          <w:numId w:val="31"/>
        </w:numPr>
        <w:tabs>
          <w:tab w:val="left" w:pos="720"/>
        </w:tabs>
        <w:snapToGrid w:val="0"/>
        <w:spacing w:line="360" w:lineRule="auto"/>
        <w:jc w:val="left"/>
        <w:rPr>
          <w:rFonts w:ascii="宋体" w:hAnsi="宋体"/>
          <w:bCs/>
          <w:sz w:val="21"/>
          <w:szCs w:val="21"/>
        </w:rPr>
      </w:pPr>
      <w:r>
        <w:rPr>
          <w:rFonts w:hint="eastAsia" w:ascii="宋体" w:hAnsi="宋体"/>
          <w:bCs/>
          <w:sz w:val="21"/>
          <w:szCs w:val="21"/>
        </w:rPr>
        <w:t>中标人放弃中标、不按要求与采购人签订采购合同、因不可抗拒力或自身原因不能履行采购合同、不按采购文件要求提交履约保证金，或者被查实存在影响中标结果的违法行为等情况，不符合中标条件的，采购人可以与排位在中标人之后第一位的中标候选人签订政府采购合同，也可以重新开展政府采购活动。</w:t>
      </w:r>
    </w:p>
    <w:p>
      <w:pPr>
        <w:numPr>
          <w:ilvl w:val="0"/>
          <w:numId w:val="31"/>
        </w:numPr>
        <w:snapToGrid w:val="0"/>
        <w:spacing w:beforeLines="100" w:line="360" w:lineRule="auto"/>
        <w:ind w:left="513" w:hanging="513"/>
        <w:jc w:val="left"/>
        <w:outlineLvl w:val="2"/>
        <w:rPr>
          <w:rFonts w:ascii="宋体" w:hAnsi="宋体"/>
          <w:b/>
          <w:bCs/>
          <w:sz w:val="21"/>
          <w:szCs w:val="21"/>
        </w:rPr>
      </w:pPr>
      <w:r>
        <w:rPr>
          <w:rFonts w:hint="eastAsia" w:ascii="宋体" w:hAnsi="宋体"/>
          <w:b/>
          <w:bCs/>
          <w:sz w:val="21"/>
          <w:szCs w:val="21"/>
        </w:rPr>
        <w:t>履约保证金</w:t>
      </w:r>
    </w:p>
    <w:p>
      <w:pPr>
        <w:tabs>
          <w:tab w:val="left" w:pos="720"/>
        </w:tabs>
        <w:snapToGrid w:val="0"/>
        <w:spacing w:line="360" w:lineRule="auto"/>
        <w:ind w:left="425" w:leftChars="177" w:firstLine="420" w:firstLineChars="200"/>
        <w:jc w:val="left"/>
        <w:rPr>
          <w:rFonts w:ascii="宋体" w:hAnsi="宋体"/>
          <w:bCs/>
          <w:sz w:val="21"/>
          <w:szCs w:val="21"/>
        </w:rPr>
      </w:pPr>
      <w:r>
        <w:rPr>
          <w:rFonts w:hint="eastAsia" w:ascii="宋体" w:hAnsi="宋体"/>
          <w:bCs/>
          <w:sz w:val="21"/>
          <w:szCs w:val="21"/>
        </w:rPr>
        <w:t>中标人应按照投标须知前附表规定的金额，采用招标文件中提供的履约保证金保函格式或采购人可以接受的其他形式向采购人提交履约保证金。</w:t>
      </w:r>
    </w:p>
    <w:p>
      <w:pPr>
        <w:numPr>
          <w:ilvl w:val="0"/>
          <w:numId w:val="31"/>
        </w:numPr>
        <w:snapToGrid w:val="0"/>
        <w:spacing w:beforeLines="100" w:line="360" w:lineRule="auto"/>
        <w:ind w:left="513" w:hanging="513"/>
        <w:jc w:val="left"/>
        <w:outlineLvl w:val="2"/>
        <w:rPr>
          <w:rFonts w:ascii="宋体" w:hAnsi="宋体"/>
          <w:b/>
          <w:bCs/>
          <w:sz w:val="21"/>
          <w:szCs w:val="21"/>
        </w:rPr>
      </w:pPr>
      <w:r>
        <w:rPr>
          <w:rFonts w:hint="eastAsia" w:ascii="宋体" w:hAnsi="宋体"/>
          <w:b/>
          <w:bCs/>
          <w:sz w:val="21"/>
          <w:szCs w:val="21"/>
        </w:rPr>
        <w:t>关于分包</w:t>
      </w:r>
    </w:p>
    <w:p>
      <w:pPr>
        <w:tabs>
          <w:tab w:val="left" w:pos="720"/>
        </w:tabs>
        <w:snapToGrid w:val="0"/>
        <w:spacing w:line="360" w:lineRule="auto"/>
        <w:ind w:left="425" w:leftChars="177" w:firstLine="420" w:firstLineChars="200"/>
        <w:jc w:val="left"/>
        <w:rPr>
          <w:rFonts w:ascii="宋体" w:hAnsi="宋体"/>
          <w:bCs/>
          <w:sz w:val="21"/>
          <w:szCs w:val="21"/>
        </w:rPr>
      </w:pPr>
      <w:r>
        <w:rPr>
          <w:rFonts w:ascii="宋体" w:hAnsi="宋体"/>
          <w:bCs/>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未载明分包承担主体及工作的</w:t>
      </w:r>
      <w:r>
        <w:rPr>
          <w:rFonts w:hint="eastAsia" w:ascii="宋体" w:hAnsi="宋体"/>
          <w:bCs/>
          <w:sz w:val="21"/>
          <w:szCs w:val="21"/>
        </w:rPr>
        <w:t>，</w:t>
      </w:r>
      <w:r>
        <w:rPr>
          <w:rFonts w:ascii="宋体" w:hAnsi="宋体"/>
          <w:bCs/>
          <w:sz w:val="21"/>
          <w:szCs w:val="21"/>
        </w:rPr>
        <w:t>不得分包</w:t>
      </w:r>
      <w:r>
        <w:rPr>
          <w:rFonts w:hint="eastAsia" w:ascii="宋体" w:hAnsi="宋体"/>
          <w:bCs/>
          <w:sz w:val="21"/>
          <w:szCs w:val="21"/>
        </w:rPr>
        <w:t>。</w:t>
      </w:r>
      <w:r>
        <w:rPr>
          <w:rFonts w:ascii="宋体" w:hAnsi="宋体"/>
          <w:bCs/>
          <w:sz w:val="21"/>
          <w:szCs w:val="21"/>
        </w:rPr>
        <w:t>中标项目的主体、关键性工作不得分包</w:t>
      </w:r>
      <w:r>
        <w:rPr>
          <w:rFonts w:hint="eastAsia" w:ascii="宋体" w:hAnsi="宋体"/>
          <w:bCs/>
          <w:sz w:val="21"/>
          <w:szCs w:val="21"/>
        </w:rPr>
        <w:t>。</w:t>
      </w:r>
    </w:p>
    <w:p>
      <w:pPr>
        <w:numPr>
          <w:ilvl w:val="0"/>
          <w:numId w:val="11"/>
        </w:numPr>
        <w:spacing w:line="360" w:lineRule="auto"/>
        <w:jc w:val="center"/>
        <w:outlineLvl w:val="1"/>
        <w:rPr>
          <w:rFonts w:ascii="宋体" w:hAnsi="宋体"/>
          <w:b/>
          <w:bCs/>
          <w:sz w:val="21"/>
          <w:szCs w:val="21"/>
        </w:rPr>
      </w:pPr>
      <w:bookmarkStart w:id="70" w:name="_Toc368513808"/>
      <w:bookmarkStart w:id="71" w:name="_Toc30880"/>
      <w:r>
        <w:rPr>
          <w:rFonts w:hint="eastAsia" w:ascii="宋体" w:hAnsi="宋体"/>
          <w:b/>
          <w:bCs/>
          <w:sz w:val="21"/>
          <w:szCs w:val="21"/>
        </w:rPr>
        <w:t>关于招标代理服务费</w:t>
      </w:r>
      <w:bookmarkEnd w:id="70"/>
      <w:bookmarkEnd w:id="71"/>
    </w:p>
    <w:p>
      <w:pPr>
        <w:numPr>
          <w:ilvl w:val="0"/>
          <w:numId w:val="32"/>
        </w:numPr>
        <w:snapToGrid w:val="0"/>
        <w:spacing w:beforeLines="100" w:line="360" w:lineRule="auto"/>
        <w:jc w:val="left"/>
        <w:outlineLvl w:val="2"/>
        <w:rPr>
          <w:rFonts w:ascii="宋体" w:hAnsi="宋体"/>
          <w:b/>
          <w:bCs/>
          <w:sz w:val="21"/>
          <w:szCs w:val="21"/>
        </w:rPr>
      </w:pPr>
      <w:bookmarkStart w:id="72" w:name="_Toc368513809"/>
      <w:r>
        <w:rPr>
          <w:rFonts w:hint="eastAsia" w:ascii="宋体" w:hAnsi="宋体"/>
          <w:b/>
          <w:bCs/>
          <w:sz w:val="21"/>
          <w:szCs w:val="21"/>
        </w:rPr>
        <w:t>收费标准</w:t>
      </w:r>
      <w:bookmarkEnd w:id="72"/>
    </w:p>
    <w:p>
      <w:pPr>
        <w:tabs>
          <w:tab w:val="left" w:pos="709"/>
          <w:tab w:val="left" w:pos="851"/>
        </w:tabs>
        <w:snapToGrid w:val="0"/>
        <w:spacing w:line="360" w:lineRule="auto"/>
        <w:ind w:left="142" w:leftChars="59" w:firstLine="420" w:firstLineChars="200"/>
        <w:jc w:val="left"/>
        <w:rPr>
          <w:rFonts w:ascii="宋体" w:hAnsi="宋体"/>
          <w:bCs/>
          <w:sz w:val="21"/>
          <w:szCs w:val="21"/>
        </w:rPr>
      </w:pPr>
      <w:r>
        <w:rPr>
          <w:rFonts w:hint="eastAsia" w:ascii="宋体" w:hAnsi="宋体"/>
          <w:bCs/>
          <w:sz w:val="21"/>
          <w:szCs w:val="21"/>
        </w:rPr>
        <w:t>本次招标代理服务费按</w:t>
      </w:r>
      <w:r>
        <w:rPr>
          <w:rFonts w:hint="eastAsia" w:ascii="宋体" w:hAnsi="宋体"/>
          <w:sz w:val="21"/>
          <w:szCs w:val="21"/>
        </w:rPr>
        <w:t>投标须知前附表第13项</w:t>
      </w:r>
      <w:r>
        <w:rPr>
          <w:rFonts w:hint="eastAsia" w:ascii="宋体" w:hAnsi="宋体"/>
          <w:bCs/>
          <w:sz w:val="21"/>
          <w:szCs w:val="21"/>
        </w:rPr>
        <w:t>规定收取。</w:t>
      </w:r>
    </w:p>
    <w:p>
      <w:pPr>
        <w:numPr>
          <w:ilvl w:val="0"/>
          <w:numId w:val="11"/>
        </w:numPr>
        <w:spacing w:line="360" w:lineRule="auto"/>
        <w:jc w:val="center"/>
        <w:outlineLvl w:val="1"/>
        <w:rPr>
          <w:rFonts w:ascii="宋体" w:hAnsi="宋体"/>
          <w:b/>
          <w:bCs/>
          <w:sz w:val="21"/>
          <w:szCs w:val="21"/>
        </w:rPr>
      </w:pPr>
      <w:bookmarkStart w:id="73" w:name="_Toc368513811"/>
      <w:bookmarkStart w:id="74" w:name="_Toc17919"/>
      <w:bookmarkStart w:id="75" w:name="_Toc234727576"/>
      <w:r>
        <w:rPr>
          <w:rFonts w:hint="eastAsia" w:ascii="宋体" w:hAnsi="宋体"/>
          <w:b/>
          <w:bCs/>
          <w:sz w:val="21"/>
          <w:szCs w:val="21"/>
        </w:rPr>
        <w:t>关于询问、质疑</w:t>
      </w:r>
      <w:bookmarkEnd w:id="73"/>
      <w:bookmarkEnd w:id="74"/>
      <w:bookmarkEnd w:id="75"/>
    </w:p>
    <w:p>
      <w:pPr>
        <w:numPr>
          <w:ilvl w:val="1"/>
          <w:numId w:val="11"/>
        </w:numPr>
        <w:tabs>
          <w:tab w:val="left" w:pos="360"/>
          <w:tab w:val="clear" w:pos="840"/>
        </w:tabs>
        <w:snapToGrid w:val="0"/>
        <w:spacing w:beforeLines="100" w:line="360" w:lineRule="auto"/>
        <w:ind w:left="357" w:hanging="357"/>
        <w:jc w:val="left"/>
        <w:rPr>
          <w:rFonts w:ascii="宋体"/>
          <w:b/>
          <w:bCs/>
          <w:sz w:val="21"/>
          <w:szCs w:val="21"/>
        </w:rPr>
      </w:pPr>
      <w:r>
        <w:rPr>
          <w:rFonts w:hint="eastAsia" w:ascii="宋体"/>
          <w:b/>
          <w:bCs/>
          <w:sz w:val="21"/>
          <w:szCs w:val="21"/>
        </w:rPr>
        <w:t>询问</w:t>
      </w:r>
    </w:p>
    <w:p>
      <w:pPr>
        <w:numPr>
          <w:ilvl w:val="1"/>
          <w:numId w:val="33"/>
        </w:numPr>
        <w:tabs>
          <w:tab w:val="left" w:pos="720"/>
        </w:tabs>
        <w:snapToGrid w:val="0"/>
        <w:spacing w:line="360" w:lineRule="auto"/>
        <w:jc w:val="left"/>
        <w:rPr>
          <w:rFonts w:ascii="宋体" w:hAnsi="宋体"/>
          <w:bCs/>
          <w:sz w:val="21"/>
          <w:szCs w:val="21"/>
        </w:rPr>
      </w:pPr>
      <w:r>
        <w:rPr>
          <w:rFonts w:hint="eastAsia" w:ascii="宋体" w:hAnsi="宋体"/>
          <w:bCs/>
          <w:sz w:val="21"/>
          <w:szCs w:val="21"/>
        </w:rPr>
        <w:t>投标供应商对政府采购活动事项（招标文件、采购过程和中标结果）有疑问的，可以向采购人或采购代理机构提出询问，采购人或采购代理机构将作出答复。询问可以口头方式提出，也可以书面方式提出。</w:t>
      </w:r>
    </w:p>
    <w:p>
      <w:pPr>
        <w:numPr>
          <w:ilvl w:val="1"/>
          <w:numId w:val="33"/>
        </w:numPr>
        <w:tabs>
          <w:tab w:val="left" w:pos="720"/>
        </w:tabs>
        <w:snapToGrid w:val="0"/>
        <w:spacing w:line="360" w:lineRule="auto"/>
        <w:jc w:val="left"/>
        <w:rPr>
          <w:rFonts w:ascii="宋体" w:hAnsi="宋体"/>
          <w:bCs/>
          <w:sz w:val="21"/>
          <w:szCs w:val="21"/>
        </w:rPr>
      </w:pPr>
      <w:r>
        <w:rPr>
          <w:rFonts w:hint="eastAsia" w:ascii="宋体" w:hAnsi="宋体"/>
          <w:bCs/>
          <w:sz w:val="21"/>
          <w:szCs w:val="21"/>
        </w:rPr>
        <w:t>如采用书面方式提出询问：</w:t>
      </w:r>
    </w:p>
    <w:p>
      <w:pPr>
        <w:tabs>
          <w:tab w:val="left" w:pos="720"/>
        </w:tabs>
        <w:snapToGrid w:val="0"/>
        <w:spacing w:line="360" w:lineRule="auto"/>
        <w:ind w:left="992"/>
        <w:jc w:val="left"/>
        <w:rPr>
          <w:rFonts w:ascii="宋体" w:hAnsi="宋体"/>
          <w:bCs/>
          <w:sz w:val="21"/>
          <w:szCs w:val="21"/>
        </w:rPr>
      </w:pPr>
      <w:r>
        <w:rPr>
          <w:rFonts w:ascii="宋体" w:hAnsi="宋体"/>
          <w:bCs/>
          <w:sz w:val="21"/>
          <w:szCs w:val="21"/>
        </w:rPr>
        <w:t>供应商为自然人的，应当由本人签字；供应商为法人或者其他组织的，应当由法定代表人、主要负责人，或者其授权代表签字或者盖章，并加盖公章。</w:t>
      </w:r>
    </w:p>
    <w:p>
      <w:pPr>
        <w:tabs>
          <w:tab w:val="left" w:pos="720"/>
        </w:tabs>
        <w:snapToGrid w:val="0"/>
        <w:spacing w:line="360" w:lineRule="auto"/>
        <w:ind w:left="992"/>
        <w:jc w:val="left"/>
        <w:rPr>
          <w:rFonts w:ascii="宋体" w:hAnsi="宋体"/>
          <w:bCs/>
          <w:sz w:val="21"/>
          <w:szCs w:val="21"/>
        </w:rPr>
      </w:pPr>
      <w:r>
        <w:rPr>
          <w:rFonts w:hint="eastAsia" w:ascii="宋体" w:hAnsi="宋体"/>
          <w:bCs/>
          <w:sz w:val="21"/>
          <w:szCs w:val="21"/>
        </w:rPr>
        <w:t>供应商递交询问函时，非法定代表人（投标人为法人时）或主要负责人（投标人为其他组织时 ）亲自办理的需提供授权委托书（应载明授权代表的姓名或者名称、代理事项、具体权限、期限和相关事项）及授权代表身份证复印件。</w:t>
      </w:r>
    </w:p>
    <w:p>
      <w:pPr>
        <w:snapToGrid w:val="0"/>
        <w:spacing w:line="360" w:lineRule="auto"/>
        <w:ind w:firstLine="420" w:firstLineChars="200"/>
        <w:jc w:val="left"/>
        <w:rPr>
          <w:rFonts w:ascii="宋体"/>
          <w:bCs/>
          <w:sz w:val="21"/>
          <w:szCs w:val="21"/>
        </w:rPr>
      </w:pPr>
    </w:p>
    <w:p>
      <w:pPr>
        <w:numPr>
          <w:ilvl w:val="0"/>
          <w:numId w:val="33"/>
        </w:numPr>
        <w:snapToGrid w:val="0"/>
        <w:spacing w:beforeLines="100" w:line="360" w:lineRule="auto"/>
        <w:jc w:val="left"/>
        <w:outlineLvl w:val="2"/>
        <w:rPr>
          <w:rFonts w:ascii="宋体" w:hAnsi="宋体"/>
          <w:b/>
          <w:bCs/>
          <w:sz w:val="21"/>
          <w:szCs w:val="21"/>
        </w:rPr>
      </w:pPr>
      <w:r>
        <w:rPr>
          <w:rFonts w:hint="eastAsia" w:ascii="宋体" w:hAnsi="宋体"/>
          <w:b/>
          <w:bCs/>
          <w:sz w:val="21"/>
          <w:szCs w:val="21"/>
        </w:rPr>
        <w:t>质疑</w:t>
      </w:r>
    </w:p>
    <w:p>
      <w:pPr>
        <w:numPr>
          <w:ilvl w:val="1"/>
          <w:numId w:val="33"/>
        </w:numPr>
        <w:tabs>
          <w:tab w:val="left" w:pos="720"/>
        </w:tabs>
        <w:snapToGrid w:val="0"/>
        <w:spacing w:line="360" w:lineRule="auto"/>
        <w:jc w:val="left"/>
        <w:rPr>
          <w:rFonts w:ascii="宋体" w:hAnsi="宋体"/>
          <w:b/>
          <w:bCs/>
          <w:sz w:val="21"/>
          <w:szCs w:val="21"/>
        </w:rPr>
      </w:pPr>
      <w:r>
        <w:rPr>
          <w:rFonts w:hint="eastAsia" w:ascii="宋体" w:hAnsi="宋体"/>
          <w:b/>
          <w:bCs/>
          <w:sz w:val="21"/>
          <w:szCs w:val="21"/>
        </w:rPr>
        <w:t>质疑期限</w:t>
      </w:r>
    </w:p>
    <w:p>
      <w:pPr>
        <w:tabs>
          <w:tab w:val="left" w:pos="720"/>
        </w:tabs>
        <w:snapToGrid w:val="0"/>
        <w:spacing w:line="360" w:lineRule="auto"/>
        <w:ind w:left="992"/>
        <w:jc w:val="left"/>
        <w:rPr>
          <w:rFonts w:ascii="宋体" w:hAnsi="宋体"/>
          <w:bCs/>
          <w:sz w:val="21"/>
          <w:szCs w:val="21"/>
        </w:rPr>
      </w:pPr>
      <w:r>
        <w:rPr>
          <w:rFonts w:hint="eastAsia" w:ascii="宋体" w:hAnsi="宋体"/>
          <w:bCs/>
          <w:sz w:val="21"/>
          <w:szCs w:val="21"/>
        </w:rPr>
        <w:t>供应商认为招标文件的内容损害其权益的，应在收到招标文件之日或者招标文件公告期届满之日起七个工作日内。（注：供应商购买招标文件之日早于招标文件公告期限届满之日的，则以供应商购买招标文件之日为质疑时效期间的起算日期；否则，以招标文件公告期限届满之日为质疑时效期间的起算日期）</w:t>
      </w:r>
    </w:p>
    <w:p>
      <w:pPr>
        <w:tabs>
          <w:tab w:val="left" w:pos="720"/>
        </w:tabs>
        <w:snapToGrid w:val="0"/>
        <w:spacing w:line="360" w:lineRule="auto"/>
        <w:ind w:left="992"/>
        <w:jc w:val="left"/>
        <w:rPr>
          <w:rFonts w:ascii="宋体" w:hAnsi="宋体"/>
          <w:bCs/>
          <w:sz w:val="21"/>
          <w:szCs w:val="21"/>
        </w:rPr>
      </w:pPr>
      <w:r>
        <w:rPr>
          <w:rFonts w:hint="eastAsia" w:ascii="宋体" w:hAnsi="宋体"/>
          <w:bCs/>
          <w:sz w:val="21"/>
          <w:szCs w:val="21"/>
        </w:rPr>
        <w:t>供应商认为采购过程损害其权益的，应在各采购程序环节结束之日起七个工作日内。</w:t>
      </w:r>
    </w:p>
    <w:p>
      <w:pPr>
        <w:tabs>
          <w:tab w:val="left" w:pos="720"/>
        </w:tabs>
        <w:snapToGrid w:val="0"/>
        <w:spacing w:line="360" w:lineRule="auto"/>
        <w:ind w:left="992"/>
        <w:jc w:val="left"/>
        <w:rPr>
          <w:rFonts w:ascii="宋体" w:hAnsi="宋体"/>
          <w:bCs/>
          <w:sz w:val="21"/>
          <w:szCs w:val="21"/>
        </w:rPr>
      </w:pPr>
      <w:r>
        <w:rPr>
          <w:rFonts w:hint="eastAsia" w:ascii="宋体" w:hAnsi="宋体"/>
          <w:bCs/>
          <w:sz w:val="21"/>
          <w:szCs w:val="21"/>
        </w:rPr>
        <w:t>供应商认为中标或者成交结果损害其权益的，应在中标或者成交结果公告期限届满之日起七个工作日内。</w:t>
      </w:r>
    </w:p>
    <w:p>
      <w:pPr>
        <w:numPr>
          <w:ilvl w:val="1"/>
          <w:numId w:val="33"/>
        </w:numPr>
        <w:tabs>
          <w:tab w:val="left" w:pos="720"/>
        </w:tabs>
        <w:snapToGrid w:val="0"/>
        <w:spacing w:line="360" w:lineRule="auto"/>
        <w:jc w:val="left"/>
        <w:rPr>
          <w:rFonts w:ascii="宋体" w:hAnsi="宋体"/>
          <w:b/>
          <w:bCs/>
          <w:sz w:val="21"/>
          <w:szCs w:val="21"/>
        </w:rPr>
      </w:pPr>
      <w:r>
        <w:rPr>
          <w:rFonts w:hint="eastAsia" w:ascii="宋体" w:hAnsi="宋体"/>
          <w:b/>
          <w:bCs/>
          <w:sz w:val="21"/>
          <w:szCs w:val="21"/>
        </w:rPr>
        <w:t>提交要求</w:t>
      </w:r>
    </w:p>
    <w:p>
      <w:pPr>
        <w:tabs>
          <w:tab w:val="left" w:pos="720"/>
        </w:tabs>
        <w:snapToGrid w:val="0"/>
        <w:spacing w:line="360" w:lineRule="auto"/>
        <w:ind w:left="992"/>
        <w:jc w:val="left"/>
        <w:rPr>
          <w:rFonts w:ascii="宋体" w:hAnsi="宋体"/>
          <w:bCs/>
          <w:sz w:val="21"/>
          <w:szCs w:val="21"/>
        </w:rPr>
      </w:pPr>
      <w:r>
        <w:rPr>
          <w:rFonts w:hint="eastAsia" w:ascii="宋体" w:hAnsi="宋体"/>
          <w:bCs/>
          <w:sz w:val="21"/>
          <w:szCs w:val="21"/>
        </w:rPr>
        <w:t>以书面形式向采购人或者采购代理机构一次性提出针对同一采购程序环节的质疑。</w:t>
      </w:r>
    </w:p>
    <w:p>
      <w:pPr>
        <w:tabs>
          <w:tab w:val="left" w:pos="720"/>
        </w:tabs>
        <w:snapToGrid w:val="0"/>
        <w:spacing w:line="360" w:lineRule="auto"/>
        <w:ind w:left="992"/>
        <w:jc w:val="left"/>
        <w:rPr>
          <w:rFonts w:ascii="宋体" w:hAnsi="宋体"/>
          <w:bCs/>
          <w:sz w:val="21"/>
          <w:szCs w:val="21"/>
        </w:rPr>
      </w:pPr>
      <w:r>
        <w:rPr>
          <w:rFonts w:hint="eastAsia" w:ascii="宋体" w:hAnsi="宋体"/>
          <w:bCs/>
          <w:sz w:val="21"/>
          <w:szCs w:val="21"/>
        </w:rPr>
        <w:t>以联合体形式参加政府采购活动的，其质疑应当由组成联合体的所有供应商共同提出。</w:t>
      </w:r>
    </w:p>
    <w:p>
      <w:pPr>
        <w:numPr>
          <w:ilvl w:val="1"/>
          <w:numId w:val="33"/>
        </w:numPr>
        <w:tabs>
          <w:tab w:val="left" w:pos="720"/>
        </w:tabs>
        <w:snapToGrid w:val="0"/>
        <w:spacing w:line="360" w:lineRule="auto"/>
        <w:jc w:val="left"/>
        <w:rPr>
          <w:rFonts w:ascii="宋体" w:hAnsi="宋体"/>
          <w:b/>
          <w:bCs/>
          <w:sz w:val="21"/>
          <w:szCs w:val="21"/>
        </w:rPr>
      </w:pPr>
      <w:r>
        <w:rPr>
          <w:rFonts w:hint="eastAsia" w:ascii="宋体" w:hAnsi="宋体"/>
          <w:b/>
          <w:bCs/>
          <w:sz w:val="21"/>
          <w:szCs w:val="21"/>
        </w:rPr>
        <w:t>质疑函内容</w:t>
      </w:r>
    </w:p>
    <w:p>
      <w:pPr>
        <w:tabs>
          <w:tab w:val="left" w:pos="720"/>
        </w:tabs>
        <w:snapToGrid w:val="0"/>
        <w:spacing w:line="360" w:lineRule="auto"/>
        <w:ind w:left="992"/>
        <w:jc w:val="left"/>
        <w:rPr>
          <w:rFonts w:ascii="宋体" w:hAnsi="宋体"/>
          <w:bCs/>
          <w:sz w:val="21"/>
          <w:szCs w:val="21"/>
        </w:rPr>
      </w:pPr>
      <w:r>
        <w:rPr>
          <w:rFonts w:hint="eastAsia" w:ascii="宋体" w:hAnsi="宋体"/>
          <w:bCs/>
          <w:sz w:val="21"/>
          <w:szCs w:val="21"/>
        </w:rPr>
        <w:t>质疑函应包括供应商的姓名或者名称、地址、邮编、联系人及联系电话、质疑项目的名称及编号、具体且明确的质疑事项和与质疑事项相关的请求、事实依据、必要的法律依据、提出质疑的日期（详见财政部国库司发布的《政府采购供应商质疑函范本》）。</w:t>
      </w:r>
      <w:r>
        <w:rPr>
          <w:rFonts w:ascii="宋体" w:hAnsi="宋体"/>
          <w:bCs/>
          <w:sz w:val="21"/>
          <w:szCs w:val="21"/>
        </w:rPr>
        <w:t>供应商为自然人的，应当由本人签字；供应商为法人或者其他组织的，应当由法定代表人、主要负责人，或者其授权代表签字或者盖章，并加盖公章。</w:t>
      </w:r>
    </w:p>
    <w:p>
      <w:pPr>
        <w:tabs>
          <w:tab w:val="left" w:pos="720"/>
        </w:tabs>
        <w:snapToGrid w:val="0"/>
        <w:spacing w:line="360" w:lineRule="auto"/>
        <w:ind w:left="992"/>
        <w:jc w:val="left"/>
        <w:rPr>
          <w:rFonts w:ascii="宋体" w:hAnsi="宋体"/>
          <w:bCs/>
          <w:sz w:val="21"/>
          <w:szCs w:val="21"/>
        </w:rPr>
      </w:pPr>
      <w:r>
        <w:rPr>
          <w:rFonts w:hint="eastAsia" w:ascii="宋体" w:hAnsi="宋体"/>
          <w:bCs/>
          <w:sz w:val="21"/>
          <w:szCs w:val="21"/>
        </w:rPr>
        <w:t>供应商递交质疑函时，非法定代表人（投标人为法人时）或主要负责人（投标人为其他组织时 ）亲自办理的，需提供授权委托书（应载明授权代表的姓名或者名称、代理事项、具体权限、期限和相关事项）及授权代表身份证复印件。</w:t>
      </w:r>
    </w:p>
    <w:p>
      <w:pPr>
        <w:numPr>
          <w:ilvl w:val="1"/>
          <w:numId w:val="33"/>
        </w:numPr>
        <w:tabs>
          <w:tab w:val="left" w:pos="720"/>
        </w:tabs>
        <w:snapToGrid w:val="0"/>
        <w:spacing w:line="360" w:lineRule="auto"/>
        <w:jc w:val="left"/>
        <w:rPr>
          <w:rFonts w:ascii="宋体" w:hAnsi="宋体"/>
          <w:bCs/>
          <w:sz w:val="21"/>
          <w:szCs w:val="21"/>
        </w:rPr>
      </w:pPr>
      <w:r>
        <w:rPr>
          <w:rFonts w:hint="eastAsia" w:ascii="宋体" w:hAnsi="宋体"/>
          <w:bCs/>
          <w:sz w:val="21"/>
          <w:szCs w:val="21"/>
        </w:rPr>
        <w:t>供应商捏造事实、提供虚假材料或者以非法手段取得证明材料不能作为质疑的证明材料。</w:t>
      </w:r>
    </w:p>
    <w:p>
      <w:pPr>
        <w:numPr>
          <w:ilvl w:val="1"/>
          <w:numId w:val="33"/>
        </w:numPr>
        <w:tabs>
          <w:tab w:val="left" w:pos="720"/>
        </w:tabs>
        <w:snapToGrid w:val="0"/>
        <w:spacing w:line="360" w:lineRule="auto"/>
        <w:jc w:val="left"/>
        <w:rPr>
          <w:rFonts w:ascii="宋体" w:hAnsi="宋体"/>
          <w:bCs/>
          <w:sz w:val="21"/>
          <w:szCs w:val="21"/>
        </w:rPr>
      </w:pPr>
      <w:r>
        <w:rPr>
          <w:rFonts w:hint="eastAsia" w:ascii="宋体" w:hAnsi="宋体"/>
          <w:bCs/>
          <w:sz w:val="21"/>
          <w:szCs w:val="21"/>
        </w:rPr>
        <w:t>采购人或者采购代理机构在收到投标人的书面质疑后7个工作日内作出答复，并以书面形式通知质疑投标人和其他有关投标人，但答复内容不涉及商业秘密。</w:t>
      </w:r>
    </w:p>
    <w:p>
      <w:pPr>
        <w:numPr>
          <w:ilvl w:val="1"/>
          <w:numId w:val="33"/>
        </w:numPr>
        <w:tabs>
          <w:tab w:val="left" w:pos="720"/>
        </w:tabs>
        <w:snapToGrid w:val="0"/>
        <w:spacing w:line="360" w:lineRule="auto"/>
        <w:jc w:val="left"/>
        <w:rPr>
          <w:rFonts w:ascii="宋体"/>
          <w:bCs/>
          <w:sz w:val="21"/>
          <w:szCs w:val="21"/>
        </w:rPr>
      </w:pPr>
      <w:r>
        <w:rPr>
          <w:rFonts w:hint="eastAsia" w:ascii="宋体" w:hAnsi="宋体"/>
          <w:bCs/>
          <w:sz w:val="21"/>
          <w:szCs w:val="21"/>
        </w:rPr>
        <w:t>采购人或采购代理机构接收以书面形式递交的质疑函。</w:t>
      </w:r>
    </w:p>
    <w:p>
      <w:pPr>
        <w:numPr>
          <w:ilvl w:val="1"/>
          <w:numId w:val="33"/>
        </w:numPr>
        <w:tabs>
          <w:tab w:val="left" w:pos="720"/>
        </w:tabs>
        <w:snapToGrid w:val="0"/>
        <w:spacing w:line="360" w:lineRule="auto"/>
        <w:jc w:val="left"/>
        <w:rPr>
          <w:rFonts w:ascii="宋体" w:hAnsi="宋体"/>
          <w:bCs/>
          <w:sz w:val="21"/>
          <w:szCs w:val="21"/>
        </w:rPr>
      </w:pPr>
      <w:r>
        <w:rPr>
          <w:rFonts w:hint="eastAsia" w:ascii="宋体"/>
          <w:bCs/>
          <w:sz w:val="21"/>
          <w:szCs w:val="21"/>
        </w:rPr>
        <w:t>质疑</w:t>
      </w:r>
      <w:r>
        <w:rPr>
          <w:rFonts w:hint="eastAsia" w:ascii="宋体" w:hAnsi="宋体"/>
          <w:bCs/>
          <w:sz w:val="21"/>
          <w:szCs w:val="21"/>
        </w:rPr>
        <w:t>联系方式</w:t>
      </w:r>
    </w:p>
    <w:p>
      <w:pPr>
        <w:snapToGrid w:val="0"/>
        <w:spacing w:line="360" w:lineRule="auto"/>
        <w:ind w:firstLine="420" w:firstLineChars="200"/>
        <w:jc w:val="left"/>
        <w:rPr>
          <w:rFonts w:ascii="宋体"/>
          <w:bCs/>
          <w:sz w:val="21"/>
          <w:szCs w:val="21"/>
        </w:rPr>
      </w:pPr>
      <w:bookmarkStart w:id="76" w:name="_Toc360607080"/>
      <w:r>
        <w:rPr>
          <w:rFonts w:hint="eastAsia" w:ascii="宋体"/>
          <w:bCs/>
          <w:sz w:val="21"/>
          <w:szCs w:val="21"/>
        </w:rPr>
        <w:t>受理机构：广东志正招标有限公司东莞分公司</w:t>
      </w:r>
    </w:p>
    <w:p>
      <w:pPr>
        <w:snapToGrid w:val="0"/>
        <w:spacing w:line="360" w:lineRule="auto"/>
        <w:ind w:firstLine="420" w:firstLineChars="200"/>
        <w:jc w:val="left"/>
        <w:rPr>
          <w:rFonts w:ascii="宋体"/>
          <w:bCs/>
          <w:sz w:val="21"/>
          <w:szCs w:val="21"/>
        </w:rPr>
      </w:pPr>
      <w:r>
        <w:rPr>
          <w:rFonts w:hint="eastAsia" w:ascii="宋体"/>
          <w:bCs/>
          <w:sz w:val="21"/>
          <w:szCs w:val="21"/>
        </w:rPr>
        <w:t>质疑地址：广东省东莞市旗峰路190号城市花园商贸中心903室</w:t>
      </w:r>
    </w:p>
    <w:p>
      <w:pPr>
        <w:snapToGrid w:val="0"/>
        <w:spacing w:line="360" w:lineRule="auto"/>
        <w:ind w:firstLine="420" w:firstLineChars="200"/>
        <w:jc w:val="left"/>
        <w:rPr>
          <w:rFonts w:ascii="宋体"/>
          <w:bCs/>
          <w:sz w:val="21"/>
          <w:szCs w:val="21"/>
        </w:rPr>
      </w:pPr>
      <w:r>
        <w:rPr>
          <w:rFonts w:hint="eastAsia" w:ascii="宋体"/>
          <w:bCs/>
          <w:sz w:val="21"/>
          <w:szCs w:val="21"/>
        </w:rPr>
        <w:t>质疑电话：0769-22306832</w:t>
      </w:r>
    </w:p>
    <w:p>
      <w:pPr>
        <w:snapToGrid w:val="0"/>
        <w:spacing w:line="360" w:lineRule="auto"/>
        <w:ind w:firstLine="420" w:firstLineChars="200"/>
        <w:jc w:val="left"/>
        <w:rPr>
          <w:rFonts w:ascii="宋体"/>
          <w:bCs/>
          <w:sz w:val="21"/>
          <w:szCs w:val="21"/>
        </w:rPr>
      </w:pPr>
      <w:r>
        <w:rPr>
          <w:rFonts w:hint="eastAsia" w:ascii="宋体"/>
          <w:bCs/>
          <w:sz w:val="21"/>
          <w:szCs w:val="21"/>
        </w:rPr>
        <w:t>传真：0769-22306832</w:t>
      </w:r>
    </w:p>
    <w:p>
      <w:pPr>
        <w:snapToGrid w:val="0"/>
        <w:spacing w:line="360" w:lineRule="auto"/>
        <w:ind w:firstLine="420" w:firstLineChars="200"/>
        <w:jc w:val="left"/>
        <w:rPr>
          <w:rFonts w:ascii="宋体"/>
          <w:bCs/>
          <w:sz w:val="21"/>
          <w:szCs w:val="21"/>
        </w:rPr>
      </w:pPr>
      <w:r>
        <w:rPr>
          <w:rFonts w:hint="eastAsia" w:ascii="宋体"/>
          <w:bCs/>
          <w:sz w:val="21"/>
          <w:szCs w:val="21"/>
        </w:rPr>
        <w:t>e-mail：</w:t>
      </w:r>
      <w:r>
        <w:fldChar w:fldCharType="begin"/>
      </w:r>
      <w:r>
        <w:instrText xml:space="preserve"> HYPERLINK "mailto:546797358@qq.com" </w:instrText>
      </w:r>
      <w:r>
        <w:fldChar w:fldCharType="separate"/>
      </w:r>
      <w:r>
        <w:rPr>
          <w:rStyle w:val="53"/>
          <w:rFonts w:hint="eastAsia" w:ascii="宋体"/>
          <w:bCs/>
          <w:color w:val="auto"/>
          <w:sz w:val="21"/>
          <w:szCs w:val="21"/>
        </w:rPr>
        <w:t>546797358@</w:t>
      </w:r>
      <w:r>
        <w:rPr>
          <w:rStyle w:val="53"/>
          <w:rFonts w:ascii="宋体"/>
          <w:bCs/>
          <w:color w:val="auto"/>
          <w:sz w:val="21"/>
          <w:szCs w:val="21"/>
        </w:rPr>
        <w:t>qq.com</w:t>
      </w:r>
      <w:r>
        <w:rPr>
          <w:rStyle w:val="53"/>
          <w:rFonts w:ascii="宋体"/>
          <w:bCs/>
          <w:color w:val="auto"/>
          <w:sz w:val="21"/>
          <w:szCs w:val="21"/>
        </w:rPr>
        <w:fldChar w:fldCharType="end"/>
      </w:r>
    </w:p>
    <w:p>
      <w:pPr>
        <w:snapToGrid w:val="0"/>
        <w:spacing w:line="360" w:lineRule="auto"/>
        <w:ind w:firstLine="420" w:firstLineChars="200"/>
        <w:jc w:val="left"/>
        <w:rPr>
          <w:rFonts w:ascii="宋体"/>
          <w:bCs/>
          <w:sz w:val="21"/>
          <w:szCs w:val="21"/>
        </w:rPr>
      </w:pPr>
      <w:r>
        <w:rPr>
          <w:rFonts w:hint="eastAsia" w:ascii="宋体"/>
          <w:bCs/>
          <w:sz w:val="21"/>
          <w:szCs w:val="21"/>
        </w:rPr>
        <w:t>联系人：唐小姐</w:t>
      </w:r>
    </w:p>
    <w:p>
      <w:pPr>
        <w:numPr>
          <w:ilvl w:val="0"/>
          <w:numId w:val="11"/>
        </w:numPr>
        <w:spacing w:line="360" w:lineRule="auto"/>
        <w:jc w:val="center"/>
        <w:outlineLvl w:val="1"/>
        <w:rPr>
          <w:rFonts w:ascii="宋体" w:hAnsi="宋体"/>
          <w:b/>
          <w:bCs/>
          <w:sz w:val="21"/>
          <w:szCs w:val="21"/>
        </w:rPr>
      </w:pPr>
      <w:bookmarkStart w:id="77" w:name="_Toc249"/>
      <w:r>
        <w:rPr>
          <w:rFonts w:hint="eastAsia" w:ascii="宋体" w:hAnsi="宋体"/>
          <w:b/>
          <w:bCs/>
          <w:sz w:val="21"/>
          <w:szCs w:val="21"/>
        </w:rPr>
        <w:t>关于投诉</w:t>
      </w:r>
      <w:bookmarkEnd w:id="76"/>
      <w:bookmarkEnd w:id="77"/>
    </w:p>
    <w:p>
      <w:pPr>
        <w:numPr>
          <w:ilvl w:val="1"/>
          <w:numId w:val="34"/>
        </w:numPr>
        <w:tabs>
          <w:tab w:val="left" w:pos="360"/>
          <w:tab w:val="left" w:pos="840"/>
        </w:tabs>
        <w:snapToGrid w:val="0"/>
        <w:spacing w:beforeLines="100" w:line="360" w:lineRule="auto"/>
        <w:ind w:left="357" w:hanging="357"/>
        <w:jc w:val="left"/>
        <w:rPr>
          <w:rFonts w:ascii="宋体"/>
          <w:b/>
          <w:bCs/>
          <w:sz w:val="21"/>
          <w:szCs w:val="21"/>
        </w:rPr>
      </w:pPr>
      <w:r>
        <w:rPr>
          <w:rFonts w:hint="eastAsia" w:ascii="宋体"/>
          <w:b/>
          <w:bCs/>
          <w:sz w:val="21"/>
          <w:szCs w:val="21"/>
        </w:rPr>
        <w:t>投诉形式</w:t>
      </w:r>
    </w:p>
    <w:p>
      <w:pPr>
        <w:snapToGrid w:val="0"/>
        <w:spacing w:line="360" w:lineRule="auto"/>
        <w:ind w:firstLine="420" w:firstLineChars="200"/>
        <w:jc w:val="left"/>
        <w:rPr>
          <w:rFonts w:ascii="宋体"/>
          <w:bCs/>
          <w:sz w:val="21"/>
          <w:szCs w:val="21"/>
        </w:rPr>
      </w:pPr>
      <w:r>
        <w:rPr>
          <w:rFonts w:hint="eastAsia" w:ascii="宋体"/>
          <w:bCs/>
          <w:sz w:val="21"/>
          <w:szCs w:val="21"/>
        </w:rPr>
        <w:t>质疑供应商对采购人、采购代理机构的质疑答复不满意，或者采购人、采购代理机构未在规定期限内作出答复的，可以在答复期满后15个工作日内向采购人的同级政府采购监督管理部门提起投诉。投诉时，应以书面形式。</w:t>
      </w:r>
    </w:p>
    <w:p>
      <w:pPr>
        <w:snapToGrid w:val="0"/>
        <w:spacing w:line="360" w:lineRule="auto"/>
        <w:ind w:firstLine="420" w:firstLineChars="200"/>
        <w:jc w:val="left"/>
        <w:rPr>
          <w:rFonts w:ascii="宋体"/>
          <w:bCs/>
          <w:sz w:val="21"/>
          <w:szCs w:val="21"/>
        </w:rPr>
      </w:pPr>
    </w:p>
    <w:p>
      <w:pPr>
        <w:numPr>
          <w:ilvl w:val="1"/>
          <w:numId w:val="34"/>
        </w:numPr>
        <w:tabs>
          <w:tab w:val="left" w:pos="360"/>
          <w:tab w:val="left" w:pos="840"/>
        </w:tabs>
        <w:snapToGrid w:val="0"/>
        <w:spacing w:beforeLines="100" w:line="360" w:lineRule="auto"/>
        <w:ind w:left="357" w:hanging="357"/>
        <w:jc w:val="left"/>
        <w:rPr>
          <w:rFonts w:ascii="宋体"/>
          <w:b/>
          <w:bCs/>
          <w:sz w:val="21"/>
          <w:szCs w:val="21"/>
        </w:rPr>
      </w:pPr>
      <w:r>
        <w:rPr>
          <w:rFonts w:hint="eastAsia" w:ascii="宋体"/>
          <w:b/>
          <w:bCs/>
          <w:sz w:val="21"/>
          <w:szCs w:val="21"/>
        </w:rPr>
        <w:t>投诉联系方式</w:t>
      </w:r>
    </w:p>
    <w:p>
      <w:pPr>
        <w:snapToGrid w:val="0"/>
        <w:spacing w:line="360" w:lineRule="auto"/>
        <w:ind w:firstLine="420" w:firstLineChars="200"/>
        <w:jc w:val="left"/>
        <w:rPr>
          <w:rFonts w:ascii="宋体"/>
          <w:bCs/>
          <w:sz w:val="21"/>
          <w:szCs w:val="21"/>
        </w:rPr>
      </w:pPr>
      <w:r>
        <w:rPr>
          <w:rFonts w:hint="eastAsia" w:ascii="宋体"/>
          <w:bCs/>
          <w:sz w:val="21"/>
          <w:szCs w:val="21"/>
        </w:rPr>
        <w:t>受理机构：东莞市政府采购监管科</w:t>
      </w:r>
    </w:p>
    <w:p>
      <w:pPr>
        <w:pStyle w:val="3"/>
        <w:spacing w:line="400" w:lineRule="exact"/>
        <w:jc w:val="center"/>
        <w:rPr>
          <w:rFonts w:ascii="宋体" w:hAnsi="宋体"/>
          <w:b/>
          <w:bCs/>
          <w:sz w:val="32"/>
          <w:szCs w:val="32"/>
        </w:rPr>
      </w:pPr>
      <w:r>
        <w:rPr>
          <w:rFonts w:ascii="宋体" w:hAnsi="宋体"/>
          <w:b/>
          <w:bCs/>
          <w:sz w:val="21"/>
          <w:szCs w:val="21"/>
        </w:rPr>
        <w:br w:type="page"/>
      </w:r>
      <w:bookmarkStart w:id="78" w:name="_Toc368513812"/>
      <w:bookmarkStart w:id="79" w:name="_Toc698"/>
      <w:r>
        <w:rPr>
          <w:rFonts w:hint="eastAsia" w:ascii="宋体" w:hAnsi="宋体"/>
          <w:b/>
          <w:bCs/>
          <w:sz w:val="32"/>
          <w:szCs w:val="32"/>
        </w:rPr>
        <w:t>第二部分拟签订的合同文本</w:t>
      </w:r>
      <w:bookmarkEnd w:id="78"/>
      <w:bookmarkEnd w:id="79"/>
    </w:p>
    <w:p>
      <w:pPr>
        <w:adjustRightInd w:val="0"/>
        <w:snapToGrid w:val="0"/>
        <w:spacing w:line="360" w:lineRule="auto"/>
        <w:jc w:val="left"/>
        <w:rPr>
          <w:rFonts w:ascii="宋体" w:hAnsi="宋体"/>
          <w:b/>
          <w:spacing w:val="20"/>
          <w:sz w:val="21"/>
          <w:szCs w:val="21"/>
        </w:rPr>
      </w:pPr>
    </w:p>
    <w:p>
      <w:pPr>
        <w:adjustRightInd w:val="0"/>
        <w:snapToGrid w:val="0"/>
        <w:spacing w:line="360" w:lineRule="auto"/>
        <w:jc w:val="center"/>
        <w:rPr>
          <w:rFonts w:ascii="宋体" w:hAnsi="宋体"/>
          <w:b/>
          <w:spacing w:val="20"/>
          <w:sz w:val="21"/>
          <w:szCs w:val="21"/>
        </w:rPr>
      </w:pPr>
    </w:p>
    <w:p>
      <w:pPr>
        <w:pStyle w:val="55"/>
        <w:ind w:firstLine="963"/>
        <w:jc w:val="center"/>
        <w:rPr>
          <w:rFonts w:hint="eastAsia" w:ascii="宋体" w:hAnsi="宋体" w:eastAsia="宋体"/>
          <w:b/>
          <w:spacing w:val="20"/>
          <w:sz w:val="44"/>
          <w:szCs w:val="44"/>
          <w:lang w:val="en-US" w:eastAsia="zh-CN"/>
        </w:rPr>
      </w:pPr>
      <w:r>
        <w:rPr>
          <w:rFonts w:hint="eastAsia" w:ascii="宋体" w:hAnsi="宋体"/>
          <w:b/>
          <w:spacing w:val="20"/>
          <w:sz w:val="44"/>
          <w:szCs w:val="44"/>
          <w:lang w:val="en-US"/>
        </w:rPr>
        <w:t>气相色谱-质谱联用仪离子色谱仪</w:t>
      </w:r>
      <w:r>
        <w:rPr>
          <w:rFonts w:hint="eastAsia" w:ascii="宋体" w:hAnsi="宋体"/>
          <w:b/>
          <w:spacing w:val="20"/>
          <w:sz w:val="44"/>
          <w:szCs w:val="44"/>
          <w:lang w:val="en-US" w:eastAsia="zh-CN"/>
        </w:rPr>
        <w:t>等仪器设备采购(重新采购)</w:t>
      </w:r>
    </w:p>
    <w:p>
      <w:pPr>
        <w:pStyle w:val="55"/>
        <w:ind w:firstLine="0" w:firstLineChars="0"/>
        <w:rPr>
          <w:rFonts w:ascii="宋体" w:hAnsi="宋体"/>
          <w:b/>
          <w:spacing w:val="20"/>
          <w:sz w:val="44"/>
          <w:szCs w:val="44"/>
        </w:rPr>
      </w:pPr>
    </w:p>
    <w:p>
      <w:pPr>
        <w:pStyle w:val="55"/>
        <w:ind w:firstLine="420"/>
        <w:jc w:val="left"/>
        <w:rPr>
          <w:sz w:val="21"/>
          <w:szCs w:val="21"/>
          <w:lang w:val="en-US"/>
        </w:rPr>
      </w:pPr>
    </w:p>
    <w:p>
      <w:pPr>
        <w:jc w:val="center"/>
        <w:rPr>
          <w:rFonts w:ascii="宋体" w:hAnsi="宋体"/>
          <w:b/>
          <w:spacing w:val="20"/>
          <w:sz w:val="44"/>
          <w:szCs w:val="44"/>
        </w:rPr>
      </w:pPr>
      <w:r>
        <w:rPr>
          <w:rFonts w:hint="eastAsia" w:ascii="宋体" w:hAnsi="宋体"/>
          <w:b/>
          <w:spacing w:val="20"/>
          <w:sz w:val="44"/>
          <w:szCs w:val="44"/>
        </w:rPr>
        <w:t>合同书</w:t>
      </w:r>
    </w:p>
    <w:p>
      <w:pPr>
        <w:adjustRightInd w:val="0"/>
        <w:snapToGrid w:val="0"/>
        <w:spacing w:line="360" w:lineRule="auto"/>
        <w:jc w:val="left"/>
        <w:rPr>
          <w:rFonts w:ascii="宋体" w:hAnsi="宋体"/>
          <w:b/>
          <w:sz w:val="21"/>
          <w:szCs w:val="21"/>
        </w:rPr>
      </w:pPr>
    </w:p>
    <w:p>
      <w:pPr>
        <w:adjustRightInd w:val="0"/>
        <w:snapToGrid w:val="0"/>
        <w:spacing w:line="360" w:lineRule="auto"/>
        <w:jc w:val="left"/>
        <w:rPr>
          <w:rFonts w:ascii="宋体" w:hAnsi="宋体"/>
          <w:b/>
          <w:sz w:val="21"/>
          <w:szCs w:val="21"/>
        </w:rPr>
      </w:pPr>
    </w:p>
    <w:p>
      <w:pPr>
        <w:pStyle w:val="55"/>
      </w:pPr>
    </w:p>
    <w:p>
      <w:pPr>
        <w:adjustRightInd w:val="0"/>
        <w:snapToGrid w:val="0"/>
        <w:spacing w:line="360" w:lineRule="auto"/>
        <w:ind w:left="1680"/>
        <w:rPr>
          <w:rFonts w:ascii="宋体" w:hAnsi="宋体"/>
          <w:b/>
          <w:sz w:val="28"/>
        </w:rPr>
      </w:pPr>
      <w:r>
        <w:rPr>
          <w:rFonts w:hint="eastAsia" w:ascii="宋体" w:hAnsi="宋体"/>
          <w:b/>
          <w:sz w:val="28"/>
        </w:rPr>
        <w:t>项目名称：</w:t>
      </w:r>
    </w:p>
    <w:p>
      <w:pPr>
        <w:adjustRightInd w:val="0"/>
        <w:snapToGrid w:val="0"/>
        <w:spacing w:line="360" w:lineRule="auto"/>
        <w:ind w:left="1680"/>
        <w:rPr>
          <w:rFonts w:ascii="宋体" w:hAnsi="宋体"/>
          <w:b/>
          <w:sz w:val="28"/>
        </w:rPr>
      </w:pPr>
      <w:r>
        <w:rPr>
          <w:rFonts w:hint="eastAsia" w:ascii="宋体" w:hAnsi="宋体"/>
          <w:b/>
          <w:sz w:val="28"/>
        </w:rPr>
        <w:t>合同编号：</w:t>
      </w:r>
    </w:p>
    <w:p>
      <w:pPr>
        <w:adjustRightInd w:val="0"/>
        <w:snapToGrid w:val="0"/>
        <w:spacing w:line="360" w:lineRule="auto"/>
        <w:ind w:left="1680"/>
        <w:rPr>
          <w:rFonts w:ascii="宋体" w:hAnsi="宋体"/>
          <w:b/>
          <w:sz w:val="28"/>
        </w:rPr>
      </w:pPr>
      <w:r>
        <w:rPr>
          <w:rFonts w:hint="eastAsia" w:ascii="宋体" w:hAnsi="宋体"/>
          <w:b/>
          <w:sz w:val="28"/>
        </w:rPr>
        <w:t>签约地点：</w:t>
      </w:r>
    </w:p>
    <w:p>
      <w:pPr>
        <w:adjustRightInd w:val="0"/>
        <w:snapToGrid w:val="0"/>
        <w:spacing w:line="360" w:lineRule="auto"/>
        <w:ind w:left="1680"/>
        <w:rPr>
          <w:rFonts w:ascii="宋体" w:hAnsi="宋体"/>
          <w:b/>
          <w:sz w:val="28"/>
        </w:rPr>
      </w:pPr>
      <w:r>
        <w:rPr>
          <w:rFonts w:hint="eastAsia" w:ascii="宋体" w:hAnsi="宋体"/>
          <w:b/>
          <w:sz w:val="28"/>
        </w:rPr>
        <w:t>签订日期：       年    月     日</w:t>
      </w:r>
    </w:p>
    <w:p>
      <w:pPr>
        <w:spacing w:line="360" w:lineRule="auto"/>
        <w:jc w:val="left"/>
        <w:rPr>
          <w:rFonts w:ascii="宋体" w:hAnsi="宋体"/>
          <w:sz w:val="21"/>
          <w:szCs w:val="21"/>
        </w:rPr>
      </w:pPr>
    </w:p>
    <w:p>
      <w:pPr>
        <w:spacing w:line="360" w:lineRule="auto"/>
        <w:jc w:val="left"/>
        <w:rPr>
          <w:rFonts w:ascii="宋体" w:hAnsi="宋体"/>
          <w:sz w:val="21"/>
          <w:szCs w:val="21"/>
        </w:rPr>
      </w:pPr>
    </w:p>
    <w:p>
      <w:pPr>
        <w:spacing w:line="360" w:lineRule="auto"/>
        <w:jc w:val="left"/>
        <w:rPr>
          <w:rFonts w:ascii="宋体" w:hAnsi="宋体"/>
          <w:sz w:val="21"/>
          <w:szCs w:val="21"/>
        </w:rPr>
      </w:pPr>
    </w:p>
    <w:p>
      <w:pPr>
        <w:tabs>
          <w:tab w:val="left" w:pos="720"/>
        </w:tabs>
        <w:spacing w:line="360" w:lineRule="auto"/>
        <w:jc w:val="left"/>
        <w:rPr>
          <w:rFonts w:ascii="宋体" w:hAnsi="宋体"/>
          <w:b/>
          <w:sz w:val="21"/>
          <w:szCs w:val="21"/>
        </w:rPr>
      </w:pPr>
      <w:r>
        <w:rPr>
          <w:rFonts w:ascii="宋体"/>
          <w:bCs/>
          <w:sz w:val="21"/>
          <w:szCs w:val="21"/>
        </w:rPr>
        <w:br w:type="page"/>
      </w:r>
      <w:r>
        <w:rPr>
          <w:rFonts w:hint="eastAsia" w:ascii="宋体" w:hAnsi="宋体"/>
          <w:b/>
          <w:sz w:val="21"/>
          <w:szCs w:val="21"/>
        </w:rPr>
        <w:t>甲    方：</w:t>
      </w:r>
      <w:r>
        <w:rPr>
          <w:rFonts w:hint="eastAsia" w:ascii="宋体" w:hAnsi="宋体"/>
          <w:b/>
          <w:sz w:val="21"/>
          <w:szCs w:val="21"/>
          <w:u w:val="single"/>
        </w:rPr>
        <w:t>东莞市环境监测中心站</w:t>
      </w:r>
    </w:p>
    <w:p>
      <w:pPr>
        <w:spacing w:line="360" w:lineRule="auto"/>
        <w:jc w:val="left"/>
        <w:rPr>
          <w:rFonts w:ascii="宋体" w:hAnsi="宋体"/>
          <w:sz w:val="21"/>
          <w:szCs w:val="21"/>
        </w:rPr>
      </w:pPr>
      <w:r>
        <w:rPr>
          <w:rFonts w:hint="eastAsia" w:ascii="宋体" w:hAnsi="宋体"/>
          <w:sz w:val="21"/>
          <w:szCs w:val="21"/>
        </w:rPr>
        <w:t>电    话：           　   传  真：           地  址：</w:t>
      </w:r>
    </w:p>
    <w:p>
      <w:pPr>
        <w:spacing w:line="360" w:lineRule="auto"/>
        <w:jc w:val="left"/>
        <w:rPr>
          <w:rFonts w:ascii="宋体" w:hAnsi="宋体"/>
          <w:sz w:val="21"/>
          <w:szCs w:val="21"/>
        </w:rPr>
      </w:pPr>
      <w:r>
        <w:rPr>
          <w:rFonts w:hint="eastAsia" w:ascii="宋体" w:hAnsi="宋体"/>
          <w:b/>
          <w:sz w:val="21"/>
          <w:szCs w:val="21"/>
        </w:rPr>
        <w:t>乙    方：</w:t>
      </w:r>
      <w:r>
        <w:rPr>
          <w:rFonts w:hint="eastAsia" w:ascii="宋体" w:hAnsi="宋体"/>
          <w:b/>
          <w:sz w:val="21"/>
          <w:szCs w:val="21"/>
        </w:rPr>
        <w:br w:type="textWrapping"/>
      </w:r>
      <w:r>
        <w:rPr>
          <w:rFonts w:hint="eastAsia" w:ascii="宋体" w:hAnsi="宋体"/>
          <w:sz w:val="21"/>
          <w:szCs w:val="21"/>
        </w:rPr>
        <w:t>电    话：                传  真：           地  址：</w:t>
      </w:r>
    </w:p>
    <w:p>
      <w:pPr>
        <w:spacing w:line="360" w:lineRule="auto"/>
        <w:jc w:val="left"/>
        <w:rPr>
          <w:rFonts w:ascii="宋体" w:hAnsi="宋体"/>
          <w:sz w:val="21"/>
          <w:szCs w:val="21"/>
        </w:rPr>
      </w:pPr>
    </w:p>
    <w:p>
      <w:pPr>
        <w:spacing w:line="360" w:lineRule="auto"/>
        <w:ind w:firstLine="420" w:firstLineChars="200"/>
        <w:jc w:val="left"/>
        <w:rPr>
          <w:rFonts w:ascii="宋体" w:hAnsi="宋体"/>
          <w:sz w:val="21"/>
          <w:szCs w:val="21"/>
        </w:rPr>
      </w:pPr>
      <w:r>
        <w:rPr>
          <w:rFonts w:hint="eastAsia" w:ascii="宋体" w:hAnsi="宋体"/>
          <w:sz w:val="21"/>
          <w:szCs w:val="21"/>
        </w:rPr>
        <w:t xml:space="preserve">根据 </w:t>
      </w:r>
      <w:r>
        <w:rPr>
          <w:rFonts w:hint="eastAsia" w:ascii="宋体" w:hAnsi="宋体"/>
          <w:sz w:val="21"/>
          <w:szCs w:val="21"/>
          <w:u w:val="single"/>
        </w:rPr>
        <w:t xml:space="preserve"> 气相色谱-质谱联用仪离子色谱仪</w:t>
      </w:r>
      <w:r>
        <w:rPr>
          <w:rFonts w:hint="eastAsia" w:ascii="宋体" w:hAnsi="宋体"/>
          <w:sz w:val="21"/>
          <w:szCs w:val="21"/>
          <w:u w:val="single"/>
          <w:lang w:eastAsia="zh-CN"/>
        </w:rPr>
        <w:t>等仪器设备采购(重新采购)</w:t>
      </w:r>
      <w:r>
        <w:rPr>
          <w:rFonts w:hint="eastAsia" w:ascii="宋体" w:hAnsi="宋体"/>
          <w:sz w:val="21"/>
          <w:szCs w:val="21"/>
        </w:rPr>
        <w:t>的采购结果，按照《中华人民共和国政府采购法》、《中华人民共和国政府采购法实施条例》、《合同法》的规定，</w:t>
      </w:r>
      <w:r>
        <w:rPr>
          <w:rFonts w:hint="eastAsia" w:ascii="宋体" w:hAnsi="宋体"/>
          <w:kern w:val="28"/>
          <w:sz w:val="21"/>
          <w:szCs w:val="21"/>
        </w:rPr>
        <w:t>经双方协商，</w:t>
      </w:r>
      <w:r>
        <w:rPr>
          <w:rFonts w:hint="eastAsia" w:ascii="宋体" w:hAnsi="宋体"/>
          <w:sz w:val="21"/>
          <w:szCs w:val="21"/>
        </w:rPr>
        <w:t>本着平等互利和诚实信用的原则，</w:t>
      </w:r>
      <w:r>
        <w:rPr>
          <w:rFonts w:hint="eastAsia" w:ascii="宋体" w:hAnsi="宋体"/>
          <w:kern w:val="28"/>
          <w:sz w:val="21"/>
          <w:szCs w:val="21"/>
        </w:rPr>
        <w:t>一致同意签订本合同如下</w:t>
      </w:r>
      <w:r>
        <w:rPr>
          <w:rFonts w:hint="eastAsia" w:ascii="宋体" w:hAnsi="宋体"/>
          <w:sz w:val="21"/>
          <w:szCs w:val="21"/>
        </w:rPr>
        <w:t>。</w:t>
      </w:r>
    </w:p>
    <w:p>
      <w:pPr>
        <w:numPr>
          <w:ilvl w:val="0"/>
          <w:numId w:val="35"/>
        </w:numPr>
        <w:tabs>
          <w:tab w:val="left" w:pos="851"/>
          <w:tab w:val="clear" w:pos="960"/>
        </w:tabs>
        <w:spacing w:line="360" w:lineRule="auto"/>
        <w:ind w:left="850" w:hanging="850" w:hangingChars="403"/>
        <w:jc w:val="left"/>
        <w:rPr>
          <w:rFonts w:ascii="宋体" w:hAnsi="宋体"/>
          <w:b/>
          <w:sz w:val="21"/>
          <w:szCs w:val="21"/>
        </w:rPr>
      </w:pPr>
      <w:r>
        <w:rPr>
          <w:rFonts w:hint="eastAsia" w:ascii="宋体" w:hAnsi="宋体"/>
          <w:b/>
          <w:sz w:val="21"/>
          <w:szCs w:val="21"/>
        </w:rPr>
        <w:t>项目建设清单</w:t>
      </w:r>
    </w:p>
    <w:tbl>
      <w:tblPr>
        <w:tblStyle w:val="4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3510"/>
        <w:gridCol w:w="90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序号</w:t>
            </w:r>
          </w:p>
        </w:tc>
        <w:tc>
          <w:tcPr>
            <w:tcW w:w="1155" w:type="dxa"/>
            <w:tcBorders>
              <w:left w:val="single" w:color="auto" w:sz="8"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商品名称</w:t>
            </w:r>
          </w:p>
        </w:tc>
        <w:tc>
          <w:tcPr>
            <w:tcW w:w="3510" w:type="dxa"/>
            <w:tcBorders>
              <w:left w:val="single" w:color="auto" w:sz="4" w:space="0"/>
              <w:bottom w:val="single" w:color="auto" w:sz="8"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品牌、规格型号、配置（性能参数）</w:t>
            </w:r>
          </w:p>
        </w:tc>
        <w:tc>
          <w:tcPr>
            <w:tcW w:w="900" w:type="dxa"/>
            <w:tcBorders>
              <w:left w:val="single" w:color="auto" w:sz="4" w:space="0"/>
              <w:bottom w:val="single" w:color="auto" w:sz="8"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产地</w:t>
            </w:r>
          </w:p>
        </w:tc>
        <w:tc>
          <w:tcPr>
            <w:tcW w:w="900" w:type="dxa"/>
            <w:tcBorders>
              <w:left w:val="single" w:color="auto" w:sz="4" w:space="0"/>
              <w:bottom w:val="single" w:color="auto" w:sz="8"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数量</w:t>
            </w:r>
          </w:p>
        </w:tc>
        <w:tc>
          <w:tcPr>
            <w:tcW w:w="1080" w:type="dxa"/>
            <w:tcBorders>
              <w:left w:val="single" w:color="auto" w:sz="4" w:space="0"/>
              <w:bottom w:val="nil"/>
              <w:right w:val="single" w:color="auto" w:sz="8" w:space="0"/>
            </w:tcBorders>
            <w:vAlign w:val="center"/>
          </w:tcPr>
          <w:p>
            <w:pPr>
              <w:spacing w:line="360" w:lineRule="auto"/>
              <w:jc w:val="center"/>
              <w:rPr>
                <w:rFonts w:ascii="宋体" w:hAnsi="宋体"/>
                <w:sz w:val="21"/>
                <w:szCs w:val="21"/>
              </w:rPr>
            </w:pPr>
            <w:r>
              <w:rPr>
                <w:rFonts w:hint="eastAsia" w:ascii="宋体" w:hAnsi="宋体"/>
                <w:sz w:val="21"/>
                <w:szCs w:val="21"/>
              </w:rPr>
              <w:t>单价(元)</w:t>
            </w:r>
          </w:p>
        </w:tc>
        <w:tc>
          <w:tcPr>
            <w:tcW w:w="900" w:type="dxa"/>
            <w:tcBorders>
              <w:left w:val="single" w:color="auto" w:sz="4" w:space="0"/>
              <w:bottom w:val="nil"/>
              <w:right w:val="single" w:color="auto" w:sz="8" w:space="0"/>
            </w:tcBorders>
            <w:vAlign w:val="center"/>
          </w:tcPr>
          <w:p>
            <w:pPr>
              <w:spacing w:line="360" w:lineRule="auto"/>
              <w:jc w:val="center"/>
              <w:rPr>
                <w:rFonts w:ascii="宋体" w:hAnsi="宋体"/>
                <w:sz w:val="21"/>
                <w:szCs w:val="21"/>
              </w:rPr>
            </w:pPr>
            <w:r>
              <w:rPr>
                <w:rFonts w:hint="eastAsia" w:ascii="宋体" w:hAnsi="宋体"/>
                <w:sz w:val="21"/>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1155" w:type="dxa"/>
            <w:tcBorders>
              <w:left w:val="single" w:color="auto" w:sz="8" w:space="0"/>
              <w:right w:val="single" w:color="auto" w:sz="4" w:space="0"/>
            </w:tcBorders>
            <w:vAlign w:val="center"/>
          </w:tcPr>
          <w:p>
            <w:pPr>
              <w:spacing w:line="360" w:lineRule="auto"/>
              <w:jc w:val="left"/>
              <w:rPr>
                <w:rFonts w:ascii="宋体" w:hAnsi="宋体"/>
                <w:sz w:val="21"/>
                <w:szCs w:val="21"/>
              </w:rPr>
            </w:pPr>
          </w:p>
        </w:tc>
        <w:tc>
          <w:tcPr>
            <w:tcW w:w="3510" w:type="dxa"/>
            <w:tcBorders>
              <w:left w:val="single" w:color="auto" w:sz="4" w:space="0"/>
              <w:right w:val="single" w:color="auto" w:sz="4" w:space="0"/>
            </w:tcBorders>
            <w:vAlign w:val="center"/>
          </w:tcPr>
          <w:p>
            <w:pPr>
              <w:spacing w:line="360" w:lineRule="auto"/>
              <w:jc w:val="left"/>
              <w:rPr>
                <w:rFonts w:ascii="宋体" w:hAnsi="宋体"/>
                <w:sz w:val="21"/>
                <w:szCs w:val="21"/>
              </w:rPr>
            </w:pPr>
          </w:p>
        </w:tc>
        <w:tc>
          <w:tcPr>
            <w:tcW w:w="900" w:type="dxa"/>
            <w:tcBorders>
              <w:left w:val="single" w:color="auto" w:sz="4" w:space="0"/>
              <w:bottom w:val="single" w:color="auto" w:sz="8" w:space="0"/>
              <w:right w:val="single" w:color="auto" w:sz="4" w:space="0"/>
            </w:tcBorders>
            <w:vAlign w:val="center"/>
          </w:tcPr>
          <w:p>
            <w:pPr>
              <w:spacing w:line="360" w:lineRule="auto"/>
              <w:jc w:val="left"/>
              <w:rPr>
                <w:rFonts w:ascii="宋体" w:hAnsi="宋体"/>
                <w:sz w:val="21"/>
                <w:szCs w:val="21"/>
              </w:rPr>
            </w:pPr>
          </w:p>
        </w:tc>
        <w:tc>
          <w:tcPr>
            <w:tcW w:w="900" w:type="dxa"/>
            <w:tcBorders>
              <w:left w:val="single" w:color="auto" w:sz="4" w:space="0"/>
              <w:bottom w:val="single" w:color="auto" w:sz="8" w:space="0"/>
              <w:right w:val="single" w:color="auto" w:sz="4" w:space="0"/>
            </w:tcBorders>
            <w:vAlign w:val="center"/>
          </w:tcPr>
          <w:p>
            <w:pPr>
              <w:spacing w:line="360" w:lineRule="auto"/>
              <w:jc w:val="left"/>
              <w:rPr>
                <w:rFonts w:ascii="宋体" w:hAnsi="宋体"/>
                <w:sz w:val="21"/>
                <w:szCs w:val="21"/>
              </w:rPr>
            </w:pPr>
          </w:p>
        </w:tc>
        <w:tc>
          <w:tcPr>
            <w:tcW w:w="1080" w:type="dxa"/>
            <w:tcBorders>
              <w:left w:val="single" w:color="auto" w:sz="4" w:space="0"/>
              <w:bottom w:val="nil"/>
              <w:right w:val="single" w:color="auto" w:sz="8" w:space="0"/>
            </w:tcBorders>
            <w:vAlign w:val="center"/>
          </w:tcPr>
          <w:p>
            <w:pPr>
              <w:spacing w:line="360" w:lineRule="auto"/>
              <w:jc w:val="left"/>
              <w:rPr>
                <w:rFonts w:ascii="宋体" w:hAnsi="宋体"/>
                <w:sz w:val="21"/>
                <w:szCs w:val="21"/>
              </w:rPr>
            </w:pPr>
          </w:p>
        </w:tc>
        <w:tc>
          <w:tcPr>
            <w:tcW w:w="900" w:type="dxa"/>
            <w:tcBorders>
              <w:left w:val="single" w:color="auto" w:sz="4" w:space="0"/>
              <w:bottom w:val="nil"/>
              <w:right w:val="single" w:color="auto" w:sz="8" w:space="0"/>
            </w:tcBorders>
            <w:vAlign w:val="center"/>
          </w:tcPr>
          <w:p>
            <w:pPr>
              <w:spacing w:line="360" w:lineRule="auto"/>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1155" w:type="dxa"/>
            <w:tcBorders>
              <w:left w:val="single" w:color="auto" w:sz="8" w:space="0"/>
              <w:right w:val="single" w:color="auto" w:sz="4" w:space="0"/>
            </w:tcBorders>
            <w:vAlign w:val="center"/>
          </w:tcPr>
          <w:p>
            <w:pPr>
              <w:spacing w:line="360" w:lineRule="auto"/>
              <w:jc w:val="left"/>
              <w:rPr>
                <w:rFonts w:ascii="宋体" w:hAnsi="宋体"/>
                <w:sz w:val="21"/>
                <w:szCs w:val="21"/>
              </w:rPr>
            </w:pPr>
          </w:p>
        </w:tc>
        <w:tc>
          <w:tcPr>
            <w:tcW w:w="3510" w:type="dxa"/>
            <w:tcBorders>
              <w:left w:val="single" w:color="auto" w:sz="4" w:space="0"/>
              <w:right w:val="single" w:color="auto" w:sz="4" w:space="0"/>
            </w:tcBorders>
            <w:vAlign w:val="center"/>
          </w:tcPr>
          <w:p>
            <w:pPr>
              <w:spacing w:line="360" w:lineRule="auto"/>
              <w:jc w:val="left"/>
              <w:rPr>
                <w:rFonts w:ascii="宋体" w:hAnsi="宋体"/>
                <w:sz w:val="21"/>
                <w:szCs w:val="21"/>
              </w:rPr>
            </w:pPr>
          </w:p>
        </w:tc>
        <w:tc>
          <w:tcPr>
            <w:tcW w:w="900" w:type="dxa"/>
            <w:tcBorders>
              <w:left w:val="single" w:color="auto" w:sz="4" w:space="0"/>
              <w:bottom w:val="single" w:color="auto" w:sz="8" w:space="0"/>
              <w:right w:val="single" w:color="auto" w:sz="4" w:space="0"/>
            </w:tcBorders>
            <w:vAlign w:val="center"/>
          </w:tcPr>
          <w:p>
            <w:pPr>
              <w:spacing w:line="360" w:lineRule="auto"/>
              <w:jc w:val="left"/>
              <w:rPr>
                <w:rFonts w:ascii="宋体" w:hAnsi="宋体"/>
                <w:sz w:val="21"/>
                <w:szCs w:val="21"/>
              </w:rPr>
            </w:pPr>
          </w:p>
        </w:tc>
        <w:tc>
          <w:tcPr>
            <w:tcW w:w="900" w:type="dxa"/>
            <w:tcBorders>
              <w:left w:val="single" w:color="auto" w:sz="4" w:space="0"/>
              <w:bottom w:val="single" w:color="auto" w:sz="8" w:space="0"/>
              <w:right w:val="single" w:color="auto" w:sz="4" w:space="0"/>
            </w:tcBorders>
            <w:vAlign w:val="center"/>
          </w:tcPr>
          <w:p>
            <w:pPr>
              <w:spacing w:line="360" w:lineRule="auto"/>
              <w:jc w:val="left"/>
              <w:rPr>
                <w:rFonts w:ascii="宋体" w:hAnsi="宋体"/>
                <w:sz w:val="21"/>
                <w:szCs w:val="21"/>
              </w:rPr>
            </w:pPr>
          </w:p>
        </w:tc>
        <w:tc>
          <w:tcPr>
            <w:tcW w:w="1080" w:type="dxa"/>
            <w:tcBorders>
              <w:left w:val="single" w:color="auto" w:sz="4" w:space="0"/>
              <w:bottom w:val="nil"/>
              <w:right w:val="single" w:color="auto" w:sz="8" w:space="0"/>
            </w:tcBorders>
            <w:vAlign w:val="center"/>
          </w:tcPr>
          <w:p>
            <w:pPr>
              <w:spacing w:line="360" w:lineRule="auto"/>
              <w:jc w:val="left"/>
              <w:rPr>
                <w:rFonts w:ascii="宋体" w:hAnsi="宋体"/>
                <w:sz w:val="21"/>
                <w:szCs w:val="21"/>
              </w:rPr>
            </w:pPr>
          </w:p>
        </w:tc>
        <w:tc>
          <w:tcPr>
            <w:tcW w:w="900" w:type="dxa"/>
            <w:tcBorders>
              <w:left w:val="single" w:color="auto" w:sz="4" w:space="0"/>
              <w:bottom w:val="nil"/>
              <w:right w:val="single" w:color="auto" w:sz="8" w:space="0"/>
            </w:tcBorders>
            <w:vAlign w:val="center"/>
          </w:tcPr>
          <w:p>
            <w:pPr>
              <w:spacing w:line="360" w:lineRule="auto"/>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w:t>
            </w:r>
          </w:p>
        </w:tc>
        <w:tc>
          <w:tcPr>
            <w:tcW w:w="1155" w:type="dxa"/>
            <w:tcBorders>
              <w:left w:val="single" w:color="auto" w:sz="8" w:space="0"/>
              <w:right w:val="single" w:color="auto" w:sz="4" w:space="0"/>
            </w:tcBorders>
            <w:vAlign w:val="center"/>
          </w:tcPr>
          <w:p>
            <w:pPr>
              <w:spacing w:line="360" w:lineRule="auto"/>
              <w:jc w:val="left"/>
              <w:rPr>
                <w:rFonts w:ascii="宋体" w:hAnsi="宋体"/>
                <w:sz w:val="21"/>
                <w:szCs w:val="21"/>
              </w:rPr>
            </w:pPr>
          </w:p>
        </w:tc>
        <w:tc>
          <w:tcPr>
            <w:tcW w:w="3510" w:type="dxa"/>
            <w:tcBorders>
              <w:left w:val="single" w:color="auto" w:sz="4" w:space="0"/>
              <w:right w:val="single" w:color="auto" w:sz="4" w:space="0"/>
            </w:tcBorders>
            <w:vAlign w:val="center"/>
          </w:tcPr>
          <w:p>
            <w:pPr>
              <w:spacing w:line="360" w:lineRule="auto"/>
              <w:jc w:val="left"/>
              <w:rPr>
                <w:rFonts w:ascii="宋体" w:hAnsi="宋体"/>
                <w:sz w:val="21"/>
                <w:szCs w:val="21"/>
              </w:rPr>
            </w:pPr>
          </w:p>
        </w:tc>
        <w:tc>
          <w:tcPr>
            <w:tcW w:w="900" w:type="dxa"/>
            <w:tcBorders>
              <w:left w:val="single" w:color="auto" w:sz="4" w:space="0"/>
              <w:bottom w:val="single" w:color="auto" w:sz="8" w:space="0"/>
              <w:right w:val="single" w:color="auto" w:sz="4" w:space="0"/>
            </w:tcBorders>
            <w:vAlign w:val="center"/>
          </w:tcPr>
          <w:p>
            <w:pPr>
              <w:spacing w:line="360" w:lineRule="auto"/>
              <w:jc w:val="left"/>
              <w:rPr>
                <w:rFonts w:ascii="宋体" w:hAnsi="宋体"/>
                <w:sz w:val="21"/>
                <w:szCs w:val="21"/>
              </w:rPr>
            </w:pPr>
          </w:p>
        </w:tc>
        <w:tc>
          <w:tcPr>
            <w:tcW w:w="900" w:type="dxa"/>
            <w:tcBorders>
              <w:left w:val="single" w:color="auto" w:sz="4" w:space="0"/>
              <w:bottom w:val="single" w:color="auto" w:sz="8" w:space="0"/>
              <w:right w:val="single" w:color="auto" w:sz="4" w:space="0"/>
            </w:tcBorders>
            <w:vAlign w:val="center"/>
          </w:tcPr>
          <w:p>
            <w:pPr>
              <w:spacing w:line="360" w:lineRule="auto"/>
              <w:jc w:val="left"/>
              <w:rPr>
                <w:rFonts w:ascii="宋体" w:hAnsi="宋体"/>
                <w:sz w:val="21"/>
                <w:szCs w:val="21"/>
              </w:rPr>
            </w:pPr>
          </w:p>
        </w:tc>
        <w:tc>
          <w:tcPr>
            <w:tcW w:w="1080" w:type="dxa"/>
            <w:tcBorders>
              <w:left w:val="single" w:color="auto" w:sz="4" w:space="0"/>
              <w:bottom w:val="nil"/>
              <w:right w:val="single" w:color="auto" w:sz="8" w:space="0"/>
            </w:tcBorders>
            <w:vAlign w:val="center"/>
          </w:tcPr>
          <w:p>
            <w:pPr>
              <w:spacing w:line="360" w:lineRule="auto"/>
              <w:jc w:val="left"/>
              <w:rPr>
                <w:rFonts w:ascii="宋体" w:hAnsi="宋体"/>
                <w:sz w:val="21"/>
                <w:szCs w:val="21"/>
              </w:rPr>
            </w:pPr>
          </w:p>
        </w:tc>
        <w:tc>
          <w:tcPr>
            <w:tcW w:w="900" w:type="dxa"/>
            <w:tcBorders>
              <w:left w:val="single" w:color="auto" w:sz="4" w:space="0"/>
              <w:bottom w:val="nil"/>
              <w:right w:val="single" w:color="auto" w:sz="8" w:space="0"/>
            </w:tcBorders>
            <w:vAlign w:val="center"/>
          </w:tcPr>
          <w:p>
            <w:pPr>
              <w:spacing w:line="360" w:lineRule="auto"/>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4</w:t>
            </w:r>
          </w:p>
        </w:tc>
        <w:tc>
          <w:tcPr>
            <w:tcW w:w="1155" w:type="dxa"/>
            <w:tcBorders>
              <w:left w:val="single" w:color="auto" w:sz="8" w:space="0"/>
              <w:right w:val="single" w:color="auto" w:sz="4" w:space="0"/>
            </w:tcBorders>
            <w:vAlign w:val="center"/>
          </w:tcPr>
          <w:p>
            <w:pPr>
              <w:spacing w:line="360" w:lineRule="auto"/>
              <w:jc w:val="left"/>
              <w:rPr>
                <w:rFonts w:ascii="宋体" w:hAnsi="宋体"/>
                <w:sz w:val="21"/>
                <w:szCs w:val="21"/>
              </w:rPr>
            </w:pPr>
          </w:p>
        </w:tc>
        <w:tc>
          <w:tcPr>
            <w:tcW w:w="3510" w:type="dxa"/>
            <w:tcBorders>
              <w:left w:val="single" w:color="auto" w:sz="4" w:space="0"/>
              <w:right w:val="single" w:color="auto" w:sz="4" w:space="0"/>
            </w:tcBorders>
            <w:vAlign w:val="center"/>
          </w:tcPr>
          <w:p>
            <w:pPr>
              <w:spacing w:line="360" w:lineRule="auto"/>
              <w:jc w:val="left"/>
              <w:rPr>
                <w:rFonts w:ascii="宋体" w:hAnsi="宋体"/>
                <w:sz w:val="21"/>
                <w:szCs w:val="21"/>
              </w:rPr>
            </w:pPr>
          </w:p>
        </w:tc>
        <w:tc>
          <w:tcPr>
            <w:tcW w:w="900" w:type="dxa"/>
            <w:tcBorders>
              <w:left w:val="single" w:color="auto" w:sz="4" w:space="0"/>
              <w:bottom w:val="single" w:color="auto" w:sz="8" w:space="0"/>
              <w:right w:val="single" w:color="auto" w:sz="4" w:space="0"/>
            </w:tcBorders>
            <w:vAlign w:val="center"/>
          </w:tcPr>
          <w:p>
            <w:pPr>
              <w:spacing w:line="360" w:lineRule="auto"/>
              <w:jc w:val="left"/>
              <w:rPr>
                <w:rFonts w:ascii="宋体" w:hAnsi="宋体"/>
                <w:sz w:val="21"/>
                <w:szCs w:val="21"/>
              </w:rPr>
            </w:pPr>
          </w:p>
        </w:tc>
        <w:tc>
          <w:tcPr>
            <w:tcW w:w="900" w:type="dxa"/>
            <w:tcBorders>
              <w:left w:val="single" w:color="auto" w:sz="4" w:space="0"/>
              <w:bottom w:val="single" w:color="auto" w:sz="8" w:space="0"/>
              <w:right w:val="single" w:color="auto" w:sz="4" w:space="0"/>
            </w:tcBorders>
            <w:vAlign w:val="center"/>
          </w:tcPr>
          <w:p>
            <w:pPr>
              <w:spacing w:line="360" w:lineRule="auto"/>
              <w:jc w:val="left"/>
              <w:rPr>
                <w:rFonts w:ascii="宋体" w:hAnsi="宋体"/>
                <w:sz w:val="21"/>
                <w:szCs w:val="21"/>
              </w:rPr>
            </w:pPr>
          </w:p>
        </w:tc>
        <w:tc>
          <w:tcPr>
            <w:tcW w:w="1080" w:type="dxa"/>
            <w:tcBorders>
              <w:left w:val="single" w:color="auto" w:sz="4" w:space="0"/>
              <w:bottom w:val="nil"/>
              <w:right w:val="single" w:color="auto" w:sz="8" w:space="0"/>
            </w:tcBorders>
            <w:vAlign w:val="center"/>
          </w:tcPr>
          <w:p>
            <w:pPr>
              <w:spacing w:line="360" w:lineRule="auto"/>
              <w:jc w:val="left"/>
              <w:rPr>
                <w:rFonts w:ascii="宋体" w:hAnsi="宋体"/>
                <w:sz w:val="21"/>
                <w:szCs w:val="21"/>
              </w:rPr>
            </w:pPr>
          </w:p>
        </w:tc>
        <w:tc>
          <w:tcPr>
            <w:tcW w:w="900" w:type="dxa"/>
            <w:tcBorders>
              <w:left w:val="single" w:color="auto" w:sz="4" w:space="0"/>
              <w:bottom w:val="nil"/>
              <w:right w:val="single" w:color="auto" w:sz="8" w:space="0"/>
            </w:tcBorders>
            <w:vAlign w:val="center"/>
          </w:tcPr>
          <w:p>
            <w:pPr>
              <w:spacing w:line="360" w:lineRule="auto"/>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180" w:type="dxa"/>
            <w:gridSpan w:val="7"/>
            <w:tcBorders>
              <w:left w:val="single" w:color="auto" w:sz="8" w:space="0"/>
              <w:right w:val="single" w:color="auto" w:sz="8" w:space="0"/>
            </w:tcBorders>
            <w:vAlign w:val="center"/>
          </w:tcPr>
          <w:p>
            <w:pPr>
              <w:spacing w:line="360" w:lineRule="auto"/>
              <w:jc w:val="left"/>
              <w:rPr>
                <w:rFonts w:ascii="宋体" w:hAnsi="宋体"/>
                <w:sz w:val="21"/>
                <w:szCs w:val="21"/>
              </w:rPr>
            </w:pPr>
            <w:r>
              <w:rPr>
                <w:rFonts w:hint="eastAsia" w:ascii="宋体" w:hAnsi="宋体"/>
                <w:sz w:val="21"/>
                <w:szCs w:val="21"/>
              </w:rPr>
              <w:t>合计总额：￥；    大写：</w:t>
            </w:r>
          </w:p>
        </w:tc>
      </w:tr>
    </w:tbl>
    <w:p>
      <w:pPr>
        <w:spacing w:line="360" w:lineRule="auto"/>
        <w:ind w:firstLine="420" w:firstLineChars="200"/>
        <w:jc w:val="left"/>
        <w:rPr>
          <w:rFonts w:ascii="宋体" w:hAnsi="宋体"/>
          <w:sz w:val="21"/>
          <w:szCs w:val="21"/>
        </w:rPr>
      </w:pPr>
    </w:p>
    <w:p>
      <w:pPr>
        <w:spacing w:line="360" w:lineRule="auto"/>
        <w:ind w:firstLine="420" w:firstLineChars="200"/>
        <w:jc w:val="left"/>
        <w:rPr>
          <w:rFonts w:ascii="宋体" w:hAnsi="宋体"/>
          <w:sz w:val="21"/>
          <w:szCs w:val="21"/>
        </w:rPr>
      </w:pPr>
      <w:r>
        <w:rPr>
          <w:rFonts w:hint="eastAsia" w:ascii="宋体" w:hAnsi="宋体"/>
          <w:sz w:val="21"/>
          <w:szCs w:val="21"/>
        </w:rPr>
        <w:t>合同总额包括乙方设计（如有）、购置、安装、随机零配件、标配工具、运输保险、装卸、调试、培训辅导、质保期售后服务、全额含税发票、雇员费用、合同实施过程中应预见和不可预见费用等。</w:t>
      </w:r>
    </w:p>
    <w:p>
      <w:pPr>
        <w:spacing w:line="360" w:lineRule="auto"/>
        <w:ind w:firstLine="420" w:firstLineChars="200"/>
        <w:jc w:val="left"/>
        <w:rPr>
          <w:rFonts w:ascii="宋体" w:hAnsi="宋体"/>
          <w:sz w:val="21"/>
          <w:szCs w:val="21"/>
        </w:rPr>
      </w:pPr>
      <w:r>
        <w:rPr>
          <w:rFonts w:hint="eastAsia" w:ascii="宋体" w:hAnsi="宋体"/>
          <w:sz w:val="21"/>
          <w:szCs w:val="21"/>
        </w:rPr>
        <w:t>注：货物名称内容必须与投标文件中货物名称内容一致。</w:t>
      </w:r>
    </w:p>
    <w:p>
      <w:pPr>
        <w:numPr>
          <w:ilvl w:val="0"/>
          <w:numId w:val="35"/>
        </w:numPr>
        <w:tabs>
          <w:tab w:val="left" w:pos="851"/>
          <w:tab w:val="clear" w:pos="960"/>
        </w:tabs>
        <w:spacing w:line="360" w:lineRule="auto"/>
        <w:ind w:left="850" w:hanging="850" w:hangingChars="403"/>
        <w:jc w:val="left"/>
        <w:rPr>
          <w:rFonts w:ascii="宋体" w:hAnsi="宋体"/>
          <w:b/>
          <w:sz w:val="21"/>
          <w:szCs w:val="21"/>
        </w:rPr>
      </w:pPr>
      <w:r>
        <w:rPr>
          <w:rFonts w:hint="eastAsia" w:ascii="宋体" w:hAnsi="宋体"/>
          <w:b/>
          <w:sz w:val="21"/>
          <w:szCs w:val="21"/>
        </w:rPr>
        <w:t>合同金额</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合同金额为（大写）：人民币_________________元（￥_______________元）。</w:t>
      </w:r>
    </w:p>
    <w:p>
      <w:pPr>
        <w:numPr>
          <w:ilvl w:val="0"/>
          <w:numId w:val="35"/>
        </w:numPr>
        <w:tabs>
          <w:tab w:val="left" w:pos="851"/>
          <w:tab w:val="clear" w:pos="960"/>
        </w:tabs>
        <w:spacing w:line="360" w:lineRule="auto"/>
        <w:ind w:left="850" w:hanging="850" w:hangingChars="403"/>
        <w:jc w:val="left"/>
        <w:rPr>
          <w:rFonts w:ascii="宋体" w:hAnsi="宋体"/>
          <w:b/>
          <w:sz w:val="21"/>
          <w:szCs w:val="21"/>
        </w:rPr>
      </w:pPr>
      <w:r>
        <w:rPr>
          <w:rFonts w:hint="eastAsia" w:ascii="宋体" w:hAnsi="宋体"/>
          <w:b/>
          <w:sz w:val="21"/>
          <w:szCs w:val="21"/>
        </w:rPr>
        <w:t>设备要求</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货物为原制造商制造的全新产品，整机无污染，无侵权行为、表面无划损、无任何缺陷隐患，在中国境内可依常规安全合法使用。</w:t>
      </w:r>
    </w:p>
    <w:p>
      <w:pPr>
        <w:numPr>
          <w:ilvl w:val="0"/>
          <w:numId w:val="35"/>
        </w:numPr>
        <w:tabs>
          <w:tab w:val="left" w:pos="851"/>
          <w:tab w:val="clear" w:pos="960"/>
        </w:tabs>
        <w:spacing w:line="360" w:lineRule="auto"/>
        <w:ind w:left="850" w:hanging="850" w:hangingChars="403"/>
        <w:jc w:val="left"/>
        <w:rPr>
          <w:rFonts w:ascii="宋体" w:hAnsi="宋体"/>
          <w:b/>
          <w:sz w:val="21"/>
          <w:szCs w:val="21"/>
        </w:rPr>
      </w:pPr>
      <w:r>
        <w:rPr>
          <w:rFonts w:hint="eastAsia" w:ascii="宋体" w:hAnsi="宋体"/>
          <w:b/>
          <w:sz w:val="21"/>
          <w:szCs w:val="21"/>
        </w:rPr>
        <w:t>交货期和交货地点</w:t>
      </w:r>
    </w:p>
    <w:p>
      <w:pPr>
        <w:numPr>
          <w:ilvl w:val="0"/>
          <w:numId w:val="36"/>
        </w:numPr>
        <w:tabs>
          <w:tab w:val="left" w:pos="851"/>
        </w:tabs>
        <w:spacing w:line="360" w:lineRule="auto"/>
        <w:ind w:left="851" w:hanging="851"/>
        <w:jc w:val="left"/>
        <w:rPr>
          <w:rFonts w:ascii="宋体" w:hAnsi="宋体"/>
          <w:sz w:val="21"/>
          <w:szCs w:val="21"/>
        </w:rPr>
      </w:pPr>
      <w:r>
        <w:rPr>
          <w:rFonts w:hint="eastAsia" w:ascii="宋体" w:hAnsi="宋体"/>
          <w:sz w:val="21"/>
          <w:szCs w:val="21"/>
        </w:rPr>
        <w:t>交货期：</w:t>
      </w:r>
      <w:r>
        <w:rPr>
          <w:rFonts w:hint="eastAsia" w:ascii="宋体" w:hAnsi="宋体" w:cs="宋体"/>
          <w:sz w:val="22"/>
          <w:szCs w:val="22"/>
        </w:rPr>
        <w:t>在签定合同后中标人必须在60天内交货，仪器到货后1周内到用户处免费安装调试。</w:t>
      </w:r>
    </w:p>
    <w:p>
      <w:pPr>
        <w:tabs>
          <w:tab w:val="left" w:pos="851"/>
        </w:tabs>
        <w:spacing w:line="360" w:lineRule="auto"/>
        <w:jc w:val="left"/>
        <w:rPr>
          <w:rFonts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交货地点：</w:t>
      </w:r>
      <w:r>
        <w:rPr>
          <w:rFonts w:ascii="宋体" w:hAnsi="宋体" w:cs="宋体"/>
          <w:sz w:val="22"/>
          <w:szCs w:val="22"/>
        </w:rPr>
        <w:t>采购人</w:t>
      </w:r>
      <w:r>
        <w:rPr>
          <w:rFonts w:hint="eastAsia" w:ascii="宋体" w:hAnsi="宋体" w:cs="宋体"/>
          <w:sz w:val="22"/>
          <w:szCs w:val="22"/>
        </w:rPr>
        <w:t>指定地点</w:t>
      </w:r>
    </w:p>
    <w:p>
      <w:pPr>
        <w:numPr>
          <w:ilvl w:val="0"/>
          <w:numId w:val="35"/>
        </w:numPr>
        <w:tabs>
          <w:tab w:val="left" w:pos="851"/>
          <w:tab w:val="clear" w:pos="960"/>
        </w:tabs>
        <w:spacing w:line="360" w:lineRule="auto"/>
        <w:ind w:left="850" w:hanging="850" w:hangingChars="403"/>
        <w:jc w:val="left"/>
        <w:rPr>
          <w:rFonts w:ascii="宋体" w:hAnsi="宋体"/>
          <w:b/>
          <w:sz w:val="21"/>
          <w:szCs w:val="21"/>
        </w:rPr>
      </w:pPr>
      <w:r>
        <w:rPr>
          <w:rFonts w:hint="eastAsia" w:ascii="宋体" w:hAnsi="宋体"/>
          <w:b/>
          <w:sz w:val="21"/>
          <w:szCs w:val="21"/>
        </w:rPr>
        <w:t>付款方式</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 xml:space="preserve">1.      </w:t>
      </w:r>
      <w:r>
        <w:rPr>
          <w:rFonts w:ascii="宋体" w:hAnsi="宋体"/>
          <w:sz w:val="21"/>
          <w:szCs w:val="21"/>
        </w:rPr>
        <w:t>签订合同后</w:t>
      </w:r>
      <w:r>
        <w:rPr>
          <w:rFonts w:hint="eastAsia" w:ascii="宋体" w:hAnsi="宋体"/>
          <w:sz w:val="21"/>
          <w:szCs w:val="21"/>
        </w:rPr>
        <w:t>15</w:t>
      </w:r>
      <w:r>
        <w:rPr>
          <w:rFonts w:ascii="宋体" w:hAnsi="宋体"/>
          <w:sz w:val="21"/>
          <w:szCs w:val="21"/>
        </w:rPr>
        <w:t>天内，甲方向乙方支付合同价的30%；</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 xml:space="preserve">2.      </w:t>
      </w:r>
      <w:r>
        <w:rPr>
          <w:rFonts w:ascii="宋体" w:hAnsi="宋体"/>
          <w:sz w:val="21"/>
          <w:szCs w:val="21"/>
        </w:rPr>
        <w:t>主要设备到达现场，设备初验符合要求的，甲方向乙方支付至合同价的40%；</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 xml:space="preserve">3.      </w:t>
      </w:r>
      <w:r>
        <w:rPr>
          <w:rFonts w:ascii="宋体" w:hAnsi="宋体"/>
          <w:sz w:val="21"/>
          <w:szCs w:val="21"/>
        </w:rPr>
        <w:t>安装调试完毕、验收合格的，甲方向乙方支付至合同价的95%。余下5%作为质量保证金，1年期满且完成全部的保修内容，按规定审核结算后的十五个工作日无息支付。</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4.      乙方必须在申请验收时向甲方提供本项目的有效合法的发票。乙方提供发票迟延的，甲方有权延迟验收及支付款项。</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5.      货款支付程序如按照东莞市财政支付程序（即会计核算中心或东莞市国库集中支付中心支付程序）支付、则约定的付款期限为甲方向东莞市会计核算中心提交资料的期限，东莞市会计核算中心的审批期限不纳入甲方承诺期限内。如果乙方怠于或者拒绝提供资料或者办理手续的，则因此产生的付款迟延的责任全部由乙方承担。</w:t>
      </w:r>
    </w:p>
    <w:p>
      <w:pPr>
        <w:numPr>
          <w:ilvl w:val="0"/>
          <w:numId w:val="35"/>
        </w:numPr>
        <w:tabs>
          <w:tab w:val="left" w:pos="851"/>
          <w:tab w:val="clear" w:pos="960"/>
        </w:tabs>
        <w:spacing w:before="240" w:after="120" w:line="360" w:lineRule="auto"/>
        <w:ind w:left="850" w:hanging="850" w:hangingChars="403"/>
        <w:jc w:val="left"/>
        <w:rPr>
          <w:rFonts w:ascii="宋体" w:hAnsi="宋体"/>
          <w:b/>
          <w:sz w:val="21"/>
          <w:szCs w:val="21"/>
        </w:rPr>
      </w:pPr>
      <w:bookmarkStart w:id="80" w:name="_Toc24895"/>
      <w:r>
        <w:rPr>
          <w:rFonts w:hint="eastAsia" w:ascii="宋体" w:hAnsi="宋体"/>
          <w:b/>
          <w:sz w:val="21"/>
          <w:szCs w:val="21"/>
        </w:rPr>
        <w:t>质保期及售后服务要求</w:t>
      </w:r>
      <w:bookmarkEnd w:id="80"/>
    </w:p>
    <w:p>
      <w:pPr>
        <w:tabs>
          <w:tab w:val="left" w:pos="851"/>
        </w:tabs>
        <w:spacing w:line="360" w:lineRule="auto"/>
        <w:ind w:left="851" w:hanging="851"/>
        <w:jc w:val="left"/>
        <w:rPr>
          <w:rFonts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本合同的质量保证期（简称“质保期”，自货物交付并经甲方验收合格之日起算）为</w:t>
      </w:r>
      <w:r>
        <w:rPr>
          <w:rFonts w:hint="eastAsia" w:ascii="宋体" w:hAnsi="宋体"/>
          <w:sz w:val="21"/>
          <w:szCs w:val="21"/>
          <w:u w:val="single"/>
        </w:rPr>
        <w:t xml:space="preserve">   </w:t>
      </w:r>
      <w:r>
        <w:rPr>
          <w:rFonts w:hint="eastAsia" w:ascii="宋体" w:hAnsi="宋体"/>
          <w:sz w:val="21"/>
          <w:szCs w:val="21"/>
        </w:rPr>
        <w:t>年，质保期内乙方对所供货物实行包修、包换、包退及合同约定的其它事项，期满后可同时提供终身</w:t>
      </w:r>
      <w:r>
        <w:rPr>
          <w:rFonts w:hint="eastAsia" w:ascii="宋体" w:hAnsi="宋体"/>
          <w:sz w:val="21"/>
          <w:szCs w:val="21"/>
          <w:u w:val="single"/>
        </w:rPr>
        <w:t>(免费/有偿)</w:t>
      </w:r>
      <w:r>
        <w:rPr>
          <w:rFonts w:hint="eastAsia" w:ascii="宋体" w:hAnsi="宋体"/>
          <w:sz w:val="21"/>
          <w:szCs w:val="21"/>
        </w:rPr>
        <w:t>维修保养服务。</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质保期内，如设备或零部件因质量原因出现故障而造成短期停用时，则质保期和免费维修期相应顺延。如停用时间累计超过60天则质保期重新计算。</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对甲方的服务通知，乙方在接报后小时内响应，</w:t>
      </w:r>
      <w:r>
        <w:rPr>
          <w:rFonts w:hint="eastAsia" w:ascii="宋体" w:hAnsi="宋体"/>
          <w:sz w:val="21"/>
          <w:szCs w:val="21"/>
          <w:u w:val="single"/>
        </w:rPr>
        <w:t xml:space="preserve">   小时</w:t>
      </w:r>
      <w:r>
        <w:rPr>
          <w:rFonts w:hint="eastAsia" w:ascii="宋体" w:hAnsi="宋体"/>
          <w:sz w:val="21"/>
          <w:szCs w:val="21"/>
        </w:rPr>
        <w:t>内到达现场，</w:t>
      </w:r>
      <w:r>
        <w:rPr>
          <w:rFonts w:hint="eastAsia" w:ascii="宋体" w:hAnsi="宋体"/>
          <w:sz w:val="21"/>
          <w:szCs w:val="21"/>
          <w:u w:val="single"/>
        </w:rPr>
        <w:t xml:space="preserve">   小时内</w:t>
      </w:r>
      <w:r>
        <w:rPr>
          <w:rFonts w:hint="eastAsia" w:ascii="宋体" w:hAnsi="宋体"/>
          <w:sz w:val="21"/>
          <w:szCs w:val="21"/>
        </w:rPr>
        <w:t>处理完毕。若在</w:t>
      </w:r>
      <w:r>
        <w:rPr>
          <w:rFonts w:hint="eastAsia" w:ascii="宋体" w:hAnsi="宋体"/>
          <w:sz w:val="21"/>
          <w:szCs w:val="21"/>
          <w:u w:val="single"/>
        </w:rPr>
        <w:t xml:space="preserve">   小时内</w:t>
      </w:r>
      <w:r>
        <w:rPr>
          <w:rFonts w:hint="eastAsia" w:ascii="宋体" w:hAnsi="宋体"/>
          <w:sz w:val="21"/>
          <w:szCs w:val="21"/>
        </w:rPr>
        <w:t>仍未能有效解决，乙方须免费提供同档次的设备予甲方临时使用。</w:t>
      </w:r>
    </w:p>
    <w:p>
      <w:pPr>
        <w:numPr>
          <w:ilvl w:val="0"/>
          <w:numId w:val="35"/>
        </w:numPr>
        <w:tabs>
          <w:tab w:val="left" w:pos="851"/>
          <w:tab w:val="clear" w:pos="960"/>
        </w:tabs>
        <w:spacing w:line="360" w:lineRule="auto"/>
        <w:ind w:left="850" w:hanging="850" w:hangingChars="403"/>
        <w:jc w:val="left"/>
        <w:rPr>
          <w:rFonts w:ascii="宋体" w:hAnsi="宋体"/>
          <w:sz w:val="21"/>
          <w:szCs w:val="21"/>
        </w:rPr>
      </w:pPr>
      <w:r>
        <w:rPr>
          <w:rFonts w:hint="eastAsia" w:ascii="宋体" w:hAnsi="宋体"/>
          <w:b/>
          <w:sz w:val="21"/>
          <w:szCs w:val="21"/>
        </w:rPr>
        <w:t>安装与调试</w:t>
      </w:r>
    </w:p>
    <w:p>
      <w:pPr>
        <w:tabs>
          <w:tab w:val="left" w:pos="851"/>
        </w:tabs>
        <w:spacing w:line="360" w:lineRule="auto"/>
        <w:ind w:left="845" w:leftChars="352"/>
        <w:jc w:val="left"/>
        <w:rPr>
          <w:rFonts w:ascii="宋体" w:hAnsi="宋体"/>
          <w:sz w:val="21"/>
          <w:szCs w:val="21"/>
        </w:rPr>
      </w:pPr>
      <w:r>
        <w:rPr>
          <w:rFonts w:hint="eastAsia" w:ascii="宋体" w:hAnsi="宋体"/>
          <w:sz w:val="21"/>
          <w:szCs w:val="21"/>
        </w:rPr>
        <w:t>乙方必须依照招标文件的要求和投标文件的承诺，将设备、系统安装并调试至正常运行的最佳状态。</w:t>
      </w:r>
    </w:p>
    <w:p>
      <w:pPr>
        <w:numPr>
          <w:ilvl w:val="0"/>
          <w:numId w:val="35"/>
        </w:numPr>
        <w:tabs>
          <w:tab w:val="left" w:pos="851"/>
          <w:tab w:val="clear" w:pos="960"/>
        </w:tabs>
        <w:spacing w:line="360" w:lineRule="auto"/>
        <w:ind w:left="850" w:hanging="850" w:hangingChars="403"/>
        <w:jc w:val="left"/>
        <w:rPr>
          <w:rFonts w:ascii="宋体" w:hAnsi="宋体"/>
          <w:b/>
          <w:bCs/>
          <w:sz w:val="21"/>
          <w:szCs w:val="21"/>
        </w:rPr>
      </w:pPr>
      <w:r>
        <w:rPr>
          <w:rFonts w:hint="eastAsia" w:ascii="宋体" w:hAnsi="宋体"/>
          <w:b/>
          <w:bCs/>
          <w:sz w:val="21"/>
          <w:szCs w:val="21"/>
        </w:rPr>
        <w:t>验收</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交付验收标准</w:t>
      </w:r>
      <w:r>
        <w:rPr>
          <w:rFonts w:hint="eastAsia" w:ascii="宋体" w:hAnsi="宋体"/>
          <w:sz w:val="21"/>
          <w:szCs w:val="21"/>
          <w:lang w:val="en-GB"/>
        </w:rPr>
        <w:t>依次序对照适用</w:t>
      </w:r>
      <w:r>
        <w:rPr>
          <w:rFonts w:hint="eastAsia" w:ascii="宋体" w:hAnsi="宋体"/>
          <w:sz w:val="21"/>
          <w:szCs w:val="21"/>
        </w:rPr>
        <w:t>标准</w:t>
      </w:r>
      <w:r>
        <w:rPr>
          <w:rFonts w:hint="eastAsia" w:ascii="宋体" w:hAnsi="宋体"/>
          <w:sz w:val="21"/>
          <w:szCs w:val="21"/>
          <w:lang w:val="en-GB"/>
        </w:rPr>
        <w:t>为：</w:t>
      </w:r>
      <w:r>
        <w:rPr>
          <w:rFonts w:hint="eastAsia" w:ascii="宋体" w:hAnsi="宋体"/>
          <w:sz w:val="21"/>
          <w:szCs w:val="21"/>
        </w:rPr>
        <w:t>①符合中华人民共和国国家安全质量标准、环保标准或行业标准；②符合招标文件和响应承诺中甲方认可的合理最佳配置、参数及各项要求；③货物来源国官方标准。</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进口产品必须具备原产地证明和商检局的检验证明及合法进货渠道证明。</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货物为原厂商未启封全新包装，具出厂合格证，序列号、包装箱号与出厂批号一致，并可追索查阅。所有随设备的附件必须齐全。</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乙方应将关键主机设备的用户手册、保修手册、有关单证资料及配备件、随机工具等交付给甲方，使用操作及安全须知等重要资料应附有中文说明。</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5.</w:t>
      </w:r>
      <w:r>
        <w:rPr>
          <w:rFonts w:hint="eastAsia" w:ascii="宋体" w:hAnsi="宋体"/>
          <w:sz w:val="21"/>
          <w:szCs w:val="21"/>
        </w:rPr>
        <w:tab/>
      </w:r>
      <w:r>
        <w:rPr>
          <w:rFonts w:hint="eastAsia" w:ascii="宋体" w:hAnsi="宋体"/>
          <w:sz w:val="21"/>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numPr>
          <w:ilvl w:val="0"/>
          <w:numId w:val="35"/>
        </w:numPr>
        <w:tabs>
          <w:tab w:val="left" w:pos="851"/>
          <w:tab w:val="clear" w:pos="960"/>
        </w:tabs>
        <w:spacing w:line="360" w:lineRule="auto"/>
        <w:ind w:left="850" w:hanging="850" w:hangingChars="403"/>
        <w:jc w:val="left"/>
        <w:rPr>
          <w:rFonts w:ascii="宋体" w:hAnsi="宋体"/>
          <w:b/>
          <w:sz w:val="21"/>
          <w:szCs w:val="21"/>
        </w:rPr>
      </w:pPr>
      <w:r>
        <w:rPr>
          <w:rFonts w:hint="eastAsia" w:ascii="宋体" w:hAnsi="宋体"/>
          <w:b/>
          <w:sz w:val="21"/>
          <w:szCs w:val="21"/>
        </w:rPr>
        <w:t>违约责任与赔偿损失</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乙方交付的货物、工程/提供的服务不符合本合同规定的，甲方有权拒收，并且乙方须向甲方支付本合同总价5%的违约金。</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乙方未能按本合同规定的交货时间交付货物的/提供服务，从逾期之日起每日按本合同总价3‰的数额向甲方支付违约金；逾期半个月以上的，甲方有权终止合同，由此造成的甲方经济损失由乙方承担。</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甲方无正当理由拒收货物/接受服务，到期拒付货物/服务款项的，甲方向乙方偿付本合同总的5%的违约金。甲方逾期付款，则每日按本合同总价的3‰向乙方偿付违约金。</w:t>
      </w:r>
    </w:p>
    <w:p>
      <w:pPr>
        <w:tabs>
          <w:tab w:val="left" w:pos="851"/>
        </w:tabs>
        <w:spacing w:line="360" w:lineRule="auto"/>
        <w:ind w:left="851" w:hanging="851"/>
        <w:jc w:val="left"/>
        <w:rPr>
          <w:rFonts w:ascii="宋体" w:hAnsi="宋体"/>
          <w:bCs/>
          <w:sz w:val="21"/>
          <w:szCs w:val="21"/>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其它违约责任按《中华人民</w:t>
      </w:r>
      <w:r>
        <w:rPr>
          <w:rFonts w:hint="eastAsia" w:ascii="宋体" w:hAnsi="宋体"/>
          <w:bCs/>
          <w:sz w:val="21"/>
          <w:szCs w:val="21"/>
        </w:rPr>
        <w:t>共和国合同法》处理。</w:t>
      </w:r>
    </w:p>
    <w:p>
      <w:pPr>
        <w:numPr>
          <w:ilvl w:val="0"/>
          <w:numId w:val="35"/>
        </w:numPr>
        <w:tabs>
          <w:tab w:val="left" w:pos="851"/>
          <w:tab w:val="clear" w:pos="960"/>
        </w:tabs>
        <w:spacing w:line="360" w:lineRule="auto"/>
        <w:ind w:left="850" w:hanging="850" w:hangingChars="403"/>
        <w:jc w:val="left"/>
        <w:rPr>
          <w:rFonts w:ascii="宋体" w:hAnsi="宋体"/>
          <w:b/>
          <w:sz w:val="21"/>
          <w:szCs w:val="21"/>
        </w:rPr>
      </w:pPr>
      <w:r>
        <w:rPr>
          <w:rFonts w:hint="eastAsia" w:ascii="宋体" w:hAnsi="宋体"/>
          <w:b/>
          <w:sz w:val="21"/>
          <w:szCs w:val="21"/>
        </w:rPr>
        <w:t>争议的解决</w:t>
      </w:r>
    </w:p>
    <w:p>
      <w:pPr>
        <w:tabs>
          <w:tab w:val="left" w:pos="851"/>
        </w:tabs>
        <w:spacing w:line="360" w:lineRule="auto"/>
        <w:ind w:left="360" w:leftChars="150" w:firstLine="525" w:firstLineChars="250"/>
        <w:jc w:val="left"/>
        <w:rPr>
          <w:rFonts w:ascii="宋体" w:hAnsi="宋体"/>
          <w:bCs/>
          <w:sz w:val="21"/>
          <w:szCs w:val="21"/>
        </w:rPr>
      </w:pPr>
      <w:r>
        <w:rPr>
          <w:rFonts w:hint="eastAsia" w:ascii="宋体" w:hAnsi="宋体"/>
          <w:sz w:val="21"/>
          <w:szCs w:val="21"/>
        </w:rPr>
        <w:t>合同执行过程中发生的任何争议，如双方不能通过友好协商解决，按相关法律法规处理。</w:t>
      </w:r>
    </w:p>
    <w:p>
      <w:pPr>
        <w:numPr>
          <w:ilvl w:val="0"/>
          <w:numId w:val="35"/>
        </w:numPr>
        <w:tabs>
          <w:tab w:val="left" w:pos="851"/>
          <w:tab w:val="clear" w:pos="960"/>
        </w:tabs>
        <w:spacing w:line="360" w:lineRule="auto"/>
        <w:ind w:left="850" w:hanging="850" w:hangingChars="403"/>
        <w:jc w:val="left"/>
        <w:rPr>
          <w:rFonts w:ascii="宋体" w:hAnsi="宋体"/>
          <w:sz w:val="21"/>
          <w:szCs w:val="21"/>
        </w:rPr>
      </w:pPr>
      <w:r>
        <w:rPr>
          <w:rFonts w:hint="eastAsia" w:ascii="宋体" w:hAnsi="宋体"/>
          <w:b/>
          <w:sz w:val="21"/>
          <w:szCs w:val="21"/>
        </w:rPr>
        <w:t>不可抗力</w:t>
      </w:r>
    </w:p>
    <w:p>
      <w:pPr>
        <w:tabs>
          <w:tab w:val="left" w:pos="851"/>
        </w:tabs>
        <w:spacing w:line="360" w:lineRule="auto"/>
        <w:ind w:left="845" w:leftChars="352"/>
        <w:jc w:val="left"/>
        <w:rPr>
          <w:rFonts w:ascii="宋体" w:hAnsi="宋体"/>
          <w:sz w:val="21"/>
          <w:szCs w:val="21"/>
        </w:rPr>
      </w:pPr>
      <w:r>
        <w:rPr>
          <w:rFonts w:hint="eastAsia" w:ascii="宋体" w:hAnsi="宋体"/>
          <w:sz w:val="2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35"/>
        </w:numPr>
        <w:tabs>
          <w:tab w:val="left" w:pos="851"/>
          <w:tab w:val="clear" w:pos="960"/>
        </w:tabs>
        <w:spacing w:line="360" w:lineRule="auto"/>
        <w:ind w:left="850" w:hanging="850" w:hangingChars="403"/>
        <w:jc w:val="left"/>
        <w:rPr>
          <w:rFonts w:ascii="宋体" w:hAnsi="宋体"/>
          <w:sz w:val="21"/>
          <w:szCs w:val="21"/>
        </w:rPr>
      </w:pPr>
      <w:r>
        <w:rPr>
          <w:rFonts w:hint="eastAsia" w:ascii="宋体" w:hAnsi="宋体"/>
          <w:b/>
          <w:sz w:val="21"/>
          <w:szCs w:val="21"/>
        </w:rPr>
        <w:t>税费</w:t>
      </w:r>
    </w:p>
    <w:p>
      <w:pPr>
        <w:tabs>
          <w:tab w:val="left" w:pos="851"/>
        </w:tabs>
        <w:spacing w:line="360" w:lineRule="auto"/>
        <w:ind w:left="845" w:leftChars="352"/>
        <w:jc w:val="left"/>
        <w:rPr>
          <w:rFonts w:ascii="宋体" w:hAnsi="宋体"/>
          <w:sz w:val="21"/>
          <w:szCs w:val="21"/>
        </w:rPr>
      </w:pPr>
      <w:r>
        <w:rPr>
          <w:rFonts w:hint="eastAsia" w:ascii="宋体" w:hAnsi="宋体"/>
          <w:sz w:val="21"/>
          <w:szCs w:val="21"/>
        </w:rPr>
        <w:t>在中国境内、外发生的与本合同执行有关的一切税费均由乙方负担。</w:t>
      </w:r>
    </w:p>
    <w:p>
      <w:pPr>
        <w:numPr>
          <w:ilvl w:val="0"/>
          <w:numId w:val="35"/>
        </w:numPr>
        <w:tabs>
          <w:tab w:val="left" w:pos="851"/>
          <w:tab w:val="clear" w:pos="960"/>
        </w:tabs>
        <w:spacing w:line="360" w:lineRule="auto"/>
        <w:ind w:left="850" w:hanging="850" w:hangingChars="403"/>
        <w:jc w:val="left"/>
        <w:rPr>
          <w:rFonts w:ascii="宋体" w:hAnsi="宋体"/>
          <w:b/>
          <w:sz w:val="21"/>
          <w:szCs w:val="21"/>
        </w:rPr>
      </w:pPr>
      <w:r>
        <w:rPr>
          <w:rFonts w:hint="eastAsia" w:ascii="宋体" w:hAnsi="宋体"/>
          <w:b/>
          <w:sz w:val="21"/>
          <w:szCs w:val="21"/>
        </w:rPr>
        <w:t>其它</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本合同所有附件、招标文件、投标文件、中标通知书均为合同的有效组成部分，与本合同具有同等法律效力。</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在执行本合同的过程中，所有经双方签署确认的文件（包括会议纪要、补充协议、往来信函）即成为本合同的有效组成部分。</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如一方地址、电话、传真号码有变更，应在变更当日内书面通知对方，否则，应承担相应责任。</w:t>
      </w:r>
    </w:p>
    <w:p>
      <w:pPr>
        <w:tabs>
          <w:tab w:val="left" w:pos="851"/>
        </w:tabs>
        <w:spacing w:line="360" w:lineRule="auto"/>
        <w:ind w:left="851" w:hanging="851"/>
        <w:jc w:val="left"/>
        <w:rPr>
          <w:rFonts w:ascii="宋体" w:hAnsi="宋体"/>
          <w:sz w:val="21"/>
          <w:szCs w:val="21"/>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除甲方事先书面同意外，乙方不得部分或全部转让其应履行的合同项下的义务。</w:t>
      </w:r>
    </w:p>
    <w:p>
      <w:pPr>
        <w:numPr>
          <w:ilvl w:val="0"/>
          <w:numId w:val="35"/>
        </w:numPr>
        <w:tabs>
          <w:tab w:val="left" w:pos="851"/>
          <w:tab w:val="clear" w:pos="960"/>
        </w:tabs>
        <w:spacing w:line="360" w:lineRule="auto"/>
        <w:ind w:left="850" w:hanging="850" w:hangingChars="403"/>
        <w:jc w:val="left"/>
        <w:rPr>
          <w:rFonts w:ascii="宋体" w:hAnsi="宋体"/>
          <w:b/>
          <w:sz w:val="21"/>
          <w:szCs w:val="21"/>
        </w:rPr>
      </w:pPr>
      <w:r>
        <w:rPr>
          <w:rFonts w:hint="eastAsia" w:ascii="宋体" w:hAnsi="宋体"/>
          <w:b/>
          <w:sz w:val="21"/>
          <w:szCs w:val="21"/>
        </w:rPr>
        <w:t>合同生效</w:t>
      </w:r>
    </w:p>
    <w:p>
      <w:pPr>
        <w:spacing w:line="360" w:lineRule="auto"/>
        <w:jc w:val="left"/>
        <w:rPr>
          <w:rFonts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 xml:space="preserve">    本合同在甲乙双方法人代表或其授权代表签字盖章后生效。</w:t>
      </w:r>
    </w:p>
    <w:p>
      <w:pPr>
        <w:spacing w:line="340" w:lineRule="exact"/>
        <w:jc w:val="left"/>
        <w:rPr>
          <w:rFonts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 xml:space="preserve">    合同一式份，其中甲方份，乙方份，监管部门壹份，采购代理机构</w:t>
      </w:r>
      <w:r>
        <w:rPr>
          <w:rFonts w:hint="eastAsia" w:ascii="宋体" w:hAnsi="宋体"/>
          <w:sz w:val="21"/>
          <w:szCs w:val="21"/>
          <w:u w:val="single"/>
        </w:rPr>
        <w:t>壹</w:t>
      </w:r>
      <w:r>
        <w:rPr>
          <w:rFonts w:hint="eastAsia" w:ascii="宋体" w:hAnsi="宋体"/>
          <w:sz w:val="21"/>
          <w:szCs w:val="21"/>
        </w:rPr>
        <w:t>份。</w:t>
      </w:r>
    </w:p>
    <w:p>
      <w:pPr>
        <w:spacing w:line="360" w:lineRule="auto"/>
        <w:jc w:val="left"/>
        <w:rPr>
          <w:rFonts w:ascii="宋体" w:hAnsi="宋体"/>
          <w:sz w:val="21"/>
          <w:szCs w:val="21"/>
        </w:rPr>
      </w:pPr>
    </w:p>
    <w:p>
      <w:pPr>
        <w:spacing w:line="360" w:lineRule="auto"/>
        <w:jc w:val="left"/>
        <w:rPr>
          <w:rFonts w:ascii="宋体" w:hAnsi="宋体"/>
          <w:sz w:val="21"/>
          <w:szCs w:val="21"/>
        </w:rPr>
      </w:pPr>
    </w:p>
    <w:p>
      <w:pPr>
        <w:spacing w:line="360" w:lineRule="auto"/>
        <w:jc w:val="left"/>
        <w:rPr>
          <w:rFonts w:ascii="宋体" w:hAnsi="宋体"/>
          <w:sz w:val="21"/>
          <w:szCs w:val="21"/>
        </w:rPr>
      </w:pPr>
    </w:p>
    <w:p>
      <w:pPr>
        <w:spacing w:line="360" w:lineRule="auto"/>
        <w:jc w:val="left"/>
        <w:rPr>
          <w:rFonts w:ascii="宋体" w:hAnsi="宋体"/>
          <w:sz w:val="21"/>
          <w:szCs w:val="21"/>
        </w:rPr>
      </w:pPr>
      <w:r>
        <w:rPr>
          <w:rFonts w:hint="eastAsia" w:ascii="宋体" w:hAnsi="宋体"/>
          <w:sz w:val="21"/>
          <w:szCs w:val="21"/>
        </w:rPr>
        <w:t>甲方（盖章）：                          乙方（盖章）：</w:t>
      </w:r>
    </w:p>
    <w:p>
      <w:pPr>
        <w:spacing w:line="360" w:lineRule="auto"/>
        <w:jc w:val="left"/>
        <w:rPr>
          <w:rFonts w:ascii="宋体" w:hAnsi="宋体"/>
          <w:sz w:val="21"/>
          <w:szCs w:val="21"/>
        </w:rPr>
      </w:pPr>
      <w:r>
        <w:rPr>
          <w:rFonts w:hint="eastAsia" w:ascii="宋体" w:hAnsi="宋体"/>
          <w:sz w:val="21"/>
          <w:szCs w:val="21"/>
        </w:rPr>
        <w:t>法定代表/授权代表（签字）：             法定代表/授权代表（签字）：</w:t>
      </w:r>
    </w:p>
    <w:p>
      <w:pPr>
        <w:spacing w:line="360" w:lineRule="auto"/>
        <w:jc w:val="left"/>
        <w:rPr>
          <w:rFonts w:ascii="宋体" w:hAnsi="宋体"/>
          <w:sz w:val="21"/>
          <w:szCs w:val="21"/>
        </w:rPr>
      </w:pPr>
      <w:r>
        <w:rPr>
          <w:rFonts w:hint="eastAsia" w:ascii="宋体" w:hAnsi="宋体"/>
          <w:sz w:val="21"/>
          <w:szCs w:val="21"/>
        </w:rPr>
        <w:t>日期：                                 日期：</w:t>
      </w:r>
    </w:p>
    <w:p>
      <w:pPr>
        <w:spacing w:line="360" w:lineRule="auto"/>
        <w:jc w:val="left"/>
        <w:rPr>
          <w:rFonts w:ascii="宋体" w:hAnsi="宋体"/>
          <w:sz w:val="21"/>
          <w:szCs w:val="21"/>
        </w:rPr>
      </w:pPr>
      <w:r>
        <w:rPr>
          <w:rFonts w:hint="eastAsia" w:ascii="宋体" w:hAnsi="宋体"/>
          <w:sz w:val="21"/>
          <w:szCs w:val="21"/>
        </w:rPr>
        <w:t>邮政编码：                             邮政编码：</w:t>
      </w:r>
    </w:p>
    <w:p>
      <w:pPr>
        <w:spacing w:line="360" w:lineRule="auto"/>
        <w:jc w:val="left"/>
        <w:rPr>
          <w:rFonts w:ascii="宋体" w:hAnsi="宋体"/>
          <w:sz w:val="21"/>
          <w:szCs w:val="21"/>
        </w:rPr>
      </w:pPr>
      <w:r>
        <w:rPr>
          <w:rFonts w:hint="eastAsia" w:ascii="宋体" w:hAnsi="宋体" w:cs="宋体"/>
          <w:sz w:val="21"/>
          <w:szCs w:val="21"/>
        </w:rPr>
        <w:t>开户名称：                             开户名称：</w:t>
      </w:r>
    </w:p>
    <w:p>
      <w:pPr>
        <w:spacing w:line="360" w:lineRule="auto"/>
        <w:jc w:val="left"/>
        <w:rPr>
          <w:rFonts w:ascii="宋体" w:hAnsi="宋体"/>
          <w:sz w:val="21"/>
          <w:szCs w:val="21"/>
        </w:rPr>
      </w:pPr>
      <w:r>
        <w:rPr>
          <w:rFonts w:hint="eastAsia" w:ascii="宋体" w:hAnsi="宋体"/>
          <w:sz w:val="21"/>
          <w:szCs w:val="21"/>
        </w:rPr>
        <w:t>开户银行：                             开户银行：</w:t>
      </w:r>
    </w:p>
    <w:p>
      <w:pPr>
        <w:tabs>
          <w:tab w:val="left" w:pos="720"/>
        </w:tabs>
        <w:spacing w:line="360" w:lineRule="auto"/>
        <w:jc w:val="left"/>
        <w:rPr>
          <w:rFonts w:ascii="宋体" w:hAnsi="宋体" w:cs="Tahoma"/>
          <w:sz w:val="21"/>
          <w:szCs w:val="21"/>
        </w:rPr>
      </w:pPr>
      <w:r>
        <w:rPr>
          <w:rFonts w:hint="eastAsia" w:ascii="宋体" w:hAnsi="宋体"/>
          <w:sz w:val="21"/>
          <w:szCs w:val="21"/>
        </w:rPr>
        <w:t>开户账号：                             开户账号:</w:t>
      </w:r>
    </w:p>
    <w:p>
      <w:pPr>
        <w:spacing w:line="360" w:lineRule="auto"/>
        <w:jc w:val="left"/>
        <w:rPr>
          <w:rFonts w:ascii="宋体" w:hAnsi="宋体" w:cs="Tahoma"/>
          <w:sz w:val="21"/>
          <w:szCs w:val="21"/>
        </w:rPr>
      </w:pPr>
    </w:p>
    <w:p>
      <w:pPr>
        <w:pStyle w:val="22"/>
        <w:jc w:val="left"/>
        <w:rPr>
          <w:rFonts w:hAnsi="宋体"/>
          <w:b/>
          <w:bCs/>
          <w:sz w:val="21"/>
        </w:rPr>
      </w:pPr>
    </w:p>
    <w:p>
      <w:pPr>
        <w:spacing w:line="480" w:lineRule="auto"/>
        <w:jc w:val="left"/>
        <w:rPr>
          <w:rFonts w:hAnsi="宋体"/>
          <w:b/>
          <w:bCs/>
          <w:sz w:val="21"/>
          <w:szCs w:val="21"/>
        </w:rPr>
      </w:pPr>
    </w:p>
    <w:p>
      <w:pPr>
        <w:tabs>
          <w:tab w:val="left" w:pos="720"/>
        </w:tabs>
        <w:spacing w:line="360" w:lineRule="auto"/>
        <w:jc w:val="left"/>
        <w:rPr>
          <w:rFonts w:ascii="宋体" w:hAnsi="宋体" w:cs="Tahoma"/>
          <w:sz w:val="21"/>
          <w:szCs w:val="21"/>
        </w:rPr>
      </w:pPr>
    </w:p>
    <w:p>
      <w:pPr>
        <w:pStyle w:val="3"/>
        <w:numPr>
          <w:ilvl w:val="0"/>
          <w:numId w:val="37"/>
        </w:numPr>
        <w:tabs>
          <w:tab w:val="left" w:pos="0"/>
        </w:tabs>
        <w:spacing w:line="400" w:lineRule="exact"/>
        <w:jc w:val="center"/>
        <w:rPr>
          <w:rFonts w:ascii="宋体" w:hAnsi="宋体"/>
          <w:b/>
          <w:bCs/>
          <w:sz w:val="32"/>
          <w:szCs w:val="32"/>
        </w:rPr>
      </w:pPr>
      <w:r>
        <w:rPr>
          <w:rFonts w:ascii="宋体" w:hAnsi="宋体"/>
          <w:b/>
          <w:bCs/>
          <w:sz w:val="21"/>
          <w:szCs w:val="21"/>
        </w:rPr>
        <w:br w:type="page"/>
      </w:r>
      <w:bookmarkStart w:id="81" w:name="_Toc368513813"/>
      <w:bookmarkStart w:id="82" w:name="_Toc20894"/>
      <w:r>
        <w:rPr>
          <w:rFonts w:hint="eastAsia" w:ascii="宋体" w:hAnsi="宋体"/>
          <w:b/>
          <w:bCs/>
          <w:sz w:val="32"/>
          <w:szCs w:val="32"/>
        </w:rPr>
        <w:t>招标需求</w:t>
      </w:r>
      <w:bookmarkEnd w:id="81"/>
      <w:bookmarkEnd w:id="82"/>
      <w:bookmarkStart w:id="83" w:name="_Toc214971835"/>
      <w:bookmarkStart w:id="84" w:name="_Ref216769110"/>
      <w:bookmarkStart w:id="85" w:name="_Ref216768962"/>
      <w:bookmarkStart w:id="86" w:name="_Toc214939674"/>
      <w:bookmarkStart w:id="87" w:name="_Ref216769170"/>
      <w:bookmarkStart w:id="88" w:name="_Ref216769015"/>
      <w:bookmarkStart w:id="89" w:name="_Ref216768984"/>
      <w:bookmarkStart w:id="90" w:name="_Ref222720248"/>
      <w:bookmarkStart w:id="91" w:name="_Toc357007289"/>
    </w:p>
    <w:bookmarkEnd w:id="83"/>
    <w:bookmarkEnd w:id="84"/>
    <w:bookmarkEnd w:id="85"/>
    <w:bookmarkEnd w:id="86"/>
    <w:bookmarkEnd w:id="87"/>
    <w:bookmarkEnd w:id="88"/>
    <w:bookmarkEnd w:id="89"/>
    <w:bookmarkEnd w:id="90"/>
    <w:bookmarkEnd w:id="91"/>
    <w:p>
      <w:pPr>
        <w:spacing w:line="440" w:lineRule="exact"/>
        <w:ind w:firstLine="420"/>
        <w:rPr>
          <w:rFonts w:ascii="宋体" w:hAnsi="宋体" w:cs="宋体"/>
          <w:b/>
          <w:bCs/>
          <w:color w:val="000000"/>
          <w:sz w:val="22"/>
          <w:szCs w:val="22"/>
        </w:rPr>
      </w:pPr>
      <w:r>
        <w:rPr>
          <w:rFonts w:hint="eastAsia" w:ascii="宋体" w:hAnsi="宋体" w:cs="宋体"/>
          <w:b/>
          <w:bCs/>
          <w:color w:val="000000"/>
          <w:sz w:val="22"/>
          <w:szCs w:val="22"/>
        </w:rPr>
        <w:t>注：用户需求书中标注“■”号的内容为采购的主要标的（核心产品），投标人应在《投标分项报价表》中清晰列明“标的名称、规格型号（适用货物）、数量、单价。</w:t>
      </w:r>
    </w:p>
    <w:p>
      <w:pPr>
        <w:spacing w:line="440" w:lineRule="exact"/>
        <w:ind w:firstLine="420"/>
        <w:rPr>
          <w:rFonts w:ascii="宋体" w:hAnsi="宋体" w:cs="宋体"/>
          <w:b/>
          <w:bCs/>
          <w:color w:val="000000"/>
          <w:sz w:val="22"/>
          <w:szCs w:val="22"/>
        </w:rPr>
      </w:pPr>
      <w:r>
        <w:rPr>
          <w:rFonts w:hint="eastAsia" w:ascii="宋体" w:hAnsi="宋体" w:cs="宋体"/>
          <w:b/>
          <w:bCs/>
          <w:color w:val="000000"/>
          <w:sz w:val="22"/>
          <w:szCs w:val="22"/>
        </w:rPr>
        <w:t>在《用户需求书》中所提供的货物参数要求，其目的仅仅是为了使投标人更加准确地了解招标要求，不构成对投标单位所报品牌的任何约束；投标人所投货物参数应不低于《用户需求书》中的要求。</w:t>
      </w:r>
    </w:p>
    <w:p>
      <w:pPr>
        <w:jc w:val="center"/>
        <w:rPr>
          <w:color w:val="000000"/>
        </w:rPr>
      </w:pPr>
    </w:p>
    <w:p>
      <w:pPr>
        <w:spacing w:line="420" w:lineRule="exact"/>
        <w:rPr>
          <w:rFonts w:ascii="宋体" w:hAnsi="宋体"/>
          <w:b/>
          <w:bCs/>
          <w:color w:val="000000"/>
          <w:sz w:val="22"/>
          <w:szCs w:val="22"/>
        </w:rPr>
      </w:pPr>
      <w:r>
        <w:rPr>
          <w:rFonts w:hint="eastAsia" w:ascii="宋体" w:hAnsi="宋体" w:cs="宋体"/>
          <w:b/>
          <w:bCs/>
          <w:color w:val="000000"/>
          <w:sz w:val="22"/>
          <w:szCs w:val="22"/>
        </w:rPr>
        <w:t>一、仪器设备明细表</w:t>
      </w:r>
    </w:p>
    <w:tbl>
      <w:tblPr>
        <w:tblStyle w:val="46"/>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319"/>
        <w:gridCol w:w="791"/>
        <w:gridCol w:w="5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3" w:type="dxa"/>
            <w:vAlign w:val="center"/>
          </w:tcPr>
          <w:p>
            <w:pPr>
              <w:spacing w:line="420" w:lineRule="exact"/>
              <w:jc w:val="center"/>
              <w:rPr>
                <w:rFonts w:ascii="宋体" w:hAnsi="宋体"/>
                <w:b/>
                <w:bCs/>
                <w:color w:val="000000"/>
                <w:sz w:val="22"/>
                <w:szCs w:val="22"/>
              </w:rPr>
            </w:pPr>
            <w:r>
              <w:rPr>
                <w:rFonts w:hint="eastAsia" w:ascii="宋体" w:hAnsi="宋体" w:cs="宋体"/>
                <w:b/>
                <w:bCs/>
                <w:color w:val="000000"/>
                <w:sz w:val="22"/>
                <w:szCs w:val="22"/>
              </w:rPr>
              <w:t>序号</w:t>
            </w:r>
          </w:p>
        </w:tc>
        <w:tc>
          <w:tcPr>
            <w:tcW w:w="2319" w:type="dxa"/>
            <w:vAlign w:val="center"/>
          </w:tcPr>
          <w:p>
            <w:pPr>
              <w:spacing w:line="420" w:lineRule="exact"/>
              <w:jc w:val="center"/>
              <w:rPr>
                <w:rFonts w:ascii="宋体" w:hAnsi="宋体"/>
                <w:b/>
                <w:bCs/>
                <w:color w:val="000000"/>
                <w:sz w:val="22"/>
                <w:szCs w:val="22"/>
              </w:rPr>
            </w:pPr>
            <w:r>
              <w:rPr>
                <w:rFonts w:hint="eastAsia" w:ascii="宋体" w:hAnsi="宋体" w:cs="宋体"/>
                <w:b/>
                <w:bCs/>
                <w:color w:val="000000"/>
                <w:sz w:val="22"/>
                <w:szCs w:val="22"/>
              </w:rPr>
              <w:t>仪器名称</w:t>
            </w:r>
          </w:p>
        </w:tc>
        <w:tc>
          <w:tcPr>
            <w:tcW w:w="791" w:type="dxa"/>
            <w:vAlign w:val="center"/>
          </w:tcPr>
          <w:p>
            <w:pPr>
              <w:spacing w:line="420" w:lineRule="exact"/>
              <w:jc w:val="center"/>
              <w:rPr>
                <w:rFonts w:ascii="宋体" w:hAnsi="宋体"/>
                <w:b/>
                <w:bCs/>
                <w:color w:val="000000"/>
                <w:sz w:val="22"/>
                <w:szCs w:val="22"/>
              </w:rPr>
            </w:pPr>
            <w:r>
              <w:rPr>
                <w:rFonts w:hint="eastAsia" w:ascii="宋体" w:hAnsi="宋体" w:cs="宋体"/>
                <w:b/>
                <w:bCs/>
                <w:color w:val="000000"/>
                <w:sz w:val="22"/>
                <w:szCs w:val="22"/>
              </w:rPr>
              <w:t>数量</w:t>
            </w:r>
          </w:p>
        </w:tc>
        <w:tc>
          <w:tcPr>
            <w:tcW w:w="5282" w:type="dxa"/>
            <w:vAlign w:val="center"/>
          </w:tcPr>
          <w:p>
            <w:pPr>
              <w:spacing w:line="420" w:lineRule="exact"/>
              <w:jc w:val="center"/>
              <w:rPr>
                <w:rFonts w:ascii="宋体" w:hAnsi="宋体"/>
                <w:b/>
                <w:bCs/>
                <w:color w:val="000000"/>
                <w:sz w:val="22"/>
                <w:szCs w:val="22"/>
              </w:rPr>
            </w:pPr>
            <w:r>
              <w:rPr>
                <w:rFonts w:hint="eastAsia" w:ascii="宋体" w:hAnsi="宋体" w:cs="宋体"/>
                <w:b/>
                <w:bCs/>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spacing w:line="420" w:lineRule="exact"/>
              <w:jc w:val="center"/>
              <w:rPr>
                <w:rFonts w:ascii="宋体" w:hAnsi="宋体"/>
                <w:color w:val="000000"/>
                <w:sz w:val="22"/>
                <w:szCs w:val="22"/>
              </w:rPr>
            </w:pPr>
            <w:r>
              <w:rPr>
                <w:rFonts w:hint="eastAsia" w:ascii="宋体" w:hAnsi="宋体" w:cs="宋体"/>
                <w:b/>
                <w:bCs/>
                <w:color w:val="000000"/>
                <w:sz w:val="22"/>
                <w:szCs w:val="22"/>
              </w:rPr>
              <w:t>■</w:t>
            </w:r>
            <w:r>
              <w:rPr>
                <w:rFonts w:ascii="宋体" w:hAnsi="宋体"/>
                <w:color w:val="000000"/>
                <w:sz w:val="22"/>
                <w:szCs w:val="22"/>
              </w:rPr>
              <w:t>1</w:t>
            </w:r>
          </w:p>
        </w:tc>
        <w:tc>
          <w:tcPr>
            <w:tcW w:w="2319" w:type="dxa"/>
            <w:vAlign w:val="center"/>
          </w:tcPr>
          <w:p>
            <w:pPr>
              <w:spacing w:line="420" w:lineRule="exact"/>
              <w:jc w:val="center"/>
              <w:rPr>
                <w:rFonts w:ascii="宋体" w:hAnsi="宋体" w:cs="宋体"/>
                <w:color w:val="000000"/>
                <w:sz w:val="22"/>
                <w:szCs w:val="22"/>
              </w:rPr>
            </w:pPr>
            <w:r>
              <w:rPr>
                <w:rFonts w:eastAsiaTheme="minorEastAsia"/>
              </w:rPr>
              <w:t>气相色谱-质谱联用仪</w:t>
            </w:r>
          </w:p>
        </w:tc>
        <w:tc>
          <w:tcPr>
            <w:tcW w:w="791" w:type="dxa"/>
            <w:vAlign w:val="center"/>
          </w:tcPr>
          <w:p>
            <w:pPr>
              <w:spacing w:line="420" w:lineRule="exact"/>
              <w:jc w:val="center"/>
              <w:rPr>
                <w:rFonts w:ascii="宋体" w:hAnsi="宋体"/>
                <w:color w:val="000000"/>
                <w:sz w:val="22"/>
                <w:szCs w:val="22"/>
              </w:rPr>
            </w:pPr>
            <w:r>
              <w:rPr>
                <w:rFonts w:hint="eastAsia" w:ascii="宋体" w:hAnsi="宋体" w:cs="宋体"/>
                <w:color w:val="000000"/>
                <w:sz w:val="22"/>
                <w:szCs w:val="22"/>
              </w:rPr>
              <w:t>1</w:t>
            </w:r>
          </w:p>
        </w:tc>
        <w:tc>
          <w:tcPr>
            <w:tcW w:w="5282" w:type="dxa"/>
          </w:tcPr>
          <w:p>
            <w:pPr>
              <w:spacing w:line="420" w:lineRule="exact"/>
              <w:rPr>
                <w:rFonts w:eastAsiaTheme="minorEastAsia"/>
              </w:rPr>
            </w:pPr>
            <w:r>
              <w:rPr>
                <w:rFonts w:hint="eastAsia" w:asciiTheme="minorEastAsia" w:hAnsiTheme="minorEastAsia" w:eastAsiaTheme="minorEastAsia"/>
              </w:rPr>
              <w:t>主要用于环境空气挥发性有机物、水中挥发性有机物、农药残留等有毒有害物质的定性定量检测。</w:t>
            </w:r>
          </w:p>
          <w:p>
            <w:pPr>
              <w:spacing w:line="420" w:lineRule="exact"/>
              <w:rPr>
                <w:rFonts w:ascii="宋体" w:hAnsi="宋体"/>
                <w:b/>
                <w:color w:val="000000"/>
                <w:sz w:val="22"/>
                <w:szCs w:val="22"/>
              </w:rPr>
            </w:pPr>
            <w:r>
              <w:rPr>
                <w:rFonts w:hint="eastAsia" w:ascii="宋体" w:hAnsi="宋体" w:cs="宋体"/>
                <w:b/>
                <w:color w:val="000000"/>
                <w:sz w:val="22"/>
                <w:szCs w:val="22"/>
              </w:rPr>
              <w:t>允许进口产品投标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spacing w:line="420" w:lineRule="exact"/>
              <w:jc w:val="center"/>
              <w:rPr>
                <w:rFonts w:ascii="宋体" w:hAnsi="宋体"/>
                <w:color w:val="000000"/>
                <w:sz w:val="22"/>
                <w:szCs w:val="22"/>
              </w:rPr>
            </w:pPr>
            <w:r>
              <w:rPr>
                <w:rFonts w:ascii="宋体" w:hAnsi="宋体"/>
                <w:color w:val="000000"/>
                <w:sz w:val="22"/>
                <w:szCs w:val="22"/>
              </w:rPr>
              <w:t>2</w:t>
            </w:r>
          </w:p>
        </w:tc>
        <w:tc>
          <w:tcPr>
            <w:tcW w:w="2319" w:type="dxa"/>
            <w:vAlign w:val="center"/>
          </w:tcPr>
          <w:p>
            <w:pPr>
              <w:spacing w:line="420" w:lineRule="exact"/>
              <w:jc w:val="center"/>
              <w:rPr>
                <w:rFonts w:ascii="宋体" w:hAnsi="宋体" w:cs="宋体"/>
                <w:color w:val="000000"/>
                <w:sz w:val="22"/>
                <w:szCs w:val="22"/>
              </w:rPr>
            </w:pPr>
            <w:r>
              <w:rPr>
                <w:rFonts w:hint="eastAsia" w:ascii="宋体" w:hAnsi="宋体" w:cs="宋体"/>
                <w:color w:val="000000"/>
                <w:sz w:val="22"/>
                <w:szCs w:val="22"/>
              </w:rPr>
              <w:t>离子色谱仪</w:t>
            </w:r>
          </w:p>
        </w:tc>
        <w:tc>
          <w:tcPr>
            <w:tcW w:w="791" w:type="dxa"/>
            <w:vAlign w:val="center"/>
          </w:tcPr>
          <w:p>
            <w:pPr>
              <w:spacing w:line="420" w:lineRule="exact"/>
              <w:jc w:val="center"/>
              <w:rPr>
                <w:rFonts w:ascii="宋体" w:hAnsi="宋体"/>
                <w:color w:val="000000"/>
                <w:sz w:val="22"/>
                <w:szCs w:val="22"/>
              </w:rPr>
            </w:pPr>
            <w:r>
              <w:rPr>
                <w:rFonts w:ascii="宋体" w:hAnsi="宋体"/>
                <w:color w:val="000000"/>
                <w:sz w:val="22"/>
                <w:szCs w:val="22"/>
              </w:rPr>
              <w:t>1</w:t>
            </w:r>
          </w:p>
        </w:tc>
        <w:tc>
          <w:tcPr>
            <w:tcW w:w="5282" w:type="dxa"/>
          </w:tcPr>
          <w:p>
            <w:pPr>
              <w:spacing w:line="420" w:lineRule="exact"/>
              <w:rPr>
                <w:rFonts w:ascii="宋体" w:hAnsi="宋体" w:cs="宋体"/>
                <w:color w:val="000000"/>
                <w:sz w:val="22"/>
                <w:szCs w:val="22"/>
              </w:rPr>
            </w:pPr>
            <w:r>
              <w:rPr>
                <w:rFonts w:hint="eastAsia" w:ascii="宋体" w:hAnsi="宋体" w:cs="宋体"/>
                <w:color w:val="000000"/>
                <w:sz w:val="22"/>
                <w:szCs w:val="22"/>
              </w:rPr>
              <w:t>饮用水、污水、地下水中</w:t>
            </w:r>
            <w:r>
              <w:rPr>
                <w:rFonts w:ascii="宋体" w:hAnsi="宋体" w:cs="宋体"/>
              </w:rPr>
              <w:t>无机阴离子分析</w:t>
            </w:r>
            <w:r>
              <w:rPr>
                <w:rFonts w:hint="eastAsia" w:ascii="宋体" w:hAnsi="宋体" w:cs="宋体"/>
              </w:rPr>
              <w:t>测试</w:t>
            </w:r>
            <w:r>
              <w:rPr>
                <w:rFonts w:hint="eastAsia" w:ascii="宋体" w:hAnsi="宋体" w:cs="宋体"/>
                <w:color w:val="000000"/>
                <w:sz w:val="22"/>
                <w:szCs w:val="22"/>
              </w:rPr>
              <w:t>，以及</w:t>
            </w:r>
            <w:r>
              <w:rPr>
                <w:rFonts w:ascii="宋体" w:hAnsi="宋体" w:cs="宋体"/>
              </w:rPr>
              <w:t>环境空气和废气中氯化氢、硫酸雾分析</w:t>
            </w:r>
            <w:r>
              <w:rPr>
                <w:rFonts w:hint="eastAsia" w:ascii="宋体" w:hAnsi="宋体" w:cs="宋体"/>
                <w:color w:val="000000"/>
                <w:sz w:val="22"/>
                <w:szCs w:val="22"/>
              </w:rPr>
              <w:t>。</w:t>
            </w:r>
          </w:p>
          <w:p>
            <w:pPr>
              <w:spacing w:line="420" w:lineRule="exact"/>
              <w:rPr>
                <w:rFonts w:ascii="宋体" w:hAnsi="宋体"/>
                <w:b/>
                <w:color w:val="000000"/>
                <w:sz w:val="22"/>
                <w:szCs w:val="22"/>
              </w:rPr>
            </w:pPr>
            <w:r>
              <w:rPr>
                <w:rFonts w:hint="eastAsia" w:ascii="宋体" w:hAnsi="宋体" w:cs="宋体"/>
                <w:b/>
                <w:color w:val="000000"/>
                <w:sz w:val="22"/>
                <w:szCs w:val="22"/>
              </w:rPr>
              <w:t>允许进口产品投标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723" w:type="dxa"/>
            <w:vAlign w:val="center"/>
          </w:tcPr>
          <w:p>
            <w:pPr>
              <w:spacing w:line="420" w:lineRule="exact"/>
              <w:jc w:val="center"/>
              <w:rPr>
                <w:rFonts w:ascii="宋体" w:hAnsi="宋体"/>
                <w:color w:val="000000"/>
                <w:sz w:val="22"/>
                <w:szCs w:val="22"/>
              </w:rPr>
            </w:pPr>
            <w:r>
              <w:rPr>
                <w:rFonts w:ascii="宋体" w:hAnsi="宋体"/>
                <w:color w:val="000000"/>
                <w:sz w:val="22"/>
                <w:szCs w:val="22"/>
              </w:rPr>
              <w:t>3</w:t>
            </w:r>
          </w:p>
        </w:tc>
        <w:tc>
          <w:tcPr>
            <w:tcW w:w="2319" w:type="dxa"/>
            <w:vAlign w:val="center"/>
          </w:tcPr>
          <w:p>
            <w:pPr>
              <w:spacing w:line="420" w:lineRule="exact"/>
              <w:jc w:val="center"/>
              <w:rPr>
                <w:rFonts w:ascii="宋体" w:hAnsi="宋体" w:cs="宋体"/>
                <w:color w:val="000000"/>
                <w:sz w:val="22"/>
                <w:szCs w:val="22"/>
              </w:rPr>
            </w:pPr>
            <w:r>
              <w:rPr>
                <w:rFonts w:hint="eastAsia" w:ascii="宋体" w:hAnsi="宋体" w:cs="宋体"/>
                <w:color w:val="000000"/>
                <w:sz w:val="22"/>
                <w:szCs w:val="22"/>
              </w:rPr>
              <w:t>全自动一体化蒸馏仪</w:t>
            </w:r>
          </w:p>
        </w:tc>
        <w:tc>
          <w:tcPr>
            <w:tcW w:w="791" w:type="dxa"/>
            <w:vAlign w:val="center"/>
          </w:tcPr>
          <w:p>
            <w:pPr>
              <w:spacing w:line="420" w:lineRule="exact"/>
              <w:jc w:val="center"/>
              <w:rPr>
                <w:rFonts w:ascii="宋体" w:hAnsi="宋体"/>
                <w:color w:val="000000"/>
                <w:sz w:val="22"/>
                <w:szCs w:val="22"/>
              </w:rPr>
            </w:pPr>
            <w:r>
              <w:rPr>
                <w:rFonts w:hint="eastAsia" w:ascii="宋体" w:hAnsi="宋体"/>
                <w:color w:val="000000"/>
                <w:sz w:val="22"/>
                <w:szCs w:val="22"/>
              </w:rPr>
              <w:t>2</w:t>
            </w:r>
          </w:p>
        </w:tc>
        <w:tc>
          <w:tcPr>
            <w:tcW w:w="5282" w:type="dxa"/>
            <w:vAlign w:val="center"/>
          </w:tcPr>
          <w:p>
            <w:pPr>
              <w:spacing w:line="420" w:lineRule="exact"/>
              <w:rPr>
                <w:rFonts w:ascii="宋体" w:hAnsi="宋体"/>
                <w:color w:val="000000"/>
                <w:sz w:val="22"/>
                <w:szCs w:val="22"/>
              </w:rPr>
            </w:pPr>
            <w:r>
              <w:rPr>
                <w:rFonts w:hint="eastAsia" w:ascii="宋体" w:hAnsi="宋体" w:cs="宋体"/>
                <w:color w:val="000000"/>
                <w:sz w:val="22"/>
                <w:szCs w:val="22"/>
              </w:rPr>
              <w:t>用于检测水样中的挥发酚、氨氮、氰化物等项目的蒸馏预处理及食品中二氧化硫残留的蒸馏实验。</w:t>
            </w:r>
          </w:p>
        </w:tc>
      </w:tr>
    </w:tbl>
    <w:p>
      <w:pPr>
        <w:rPr>
          <w:rFonts w:ascii="宋体" w:hAnsi="宋体"/>
          <w:b/>
          <w:color w:val="000000"/>
          <w:sz w:val="21"/>
          <w:szCs w:val="21"/>
        </w:rPr>
      </w:pPr>
    </w:p>
    <w:p>
      <w:pPr>
        <w:spacing w:line="420" w:lineRule="exact"/>
        <w:ind w:firstLine="442" w:firstLineChars="200"/>
        <w:rPr>
          <w:rFonts w:ascii="宋体" w:hAnsi="宋体" w:cs="宋体"/>
          <w:b/>
          <w:color w:val="000000"/>
          <w:sz w:val="22"/>
          <w:szCs w:val="22"/>
        </w:rPr>
      </w:pPr>
      <w:r>
        <w:rPr>
          <w:rFonts w:hint="eastAsia" w:ascii="宋体" w:hAnsi="宋体" w:cs="宋体"/>
          <w:b/>
          <w:color w:val="000000"/>
          <w:sz w:val="22"/>
          <w:szCs w:val="22"/>
        </w:rPr>
        <w:t>根据《政府采购进口产品管理办法》相关规定要求及采购人相关需求意见，经过组织专家论证，经行业主管部门、采购监督管理部门的批准，本项目中</w:t>
      </w:r>
      <w:r>
        <w:rPr>
          <w:rFonts w:ascii="宋体" w:hAnsi="宋体" w:cs="宋体"/>
          <w:b/>
          <w:color w:val="000000"/>
          <w:sz w:val="22"/>
          <w:szCs w:val="22"/>
        </w:rPr>
        <w:t>气相色谱-质谱联用仪</w:t>
      </w:r>
      <w:r>
        <w:rPr>
          <w:rFonts w:hint="eastAsia" w:ascii="宋体" w:hAnsi="宋体" w:cs="宋体"/>
          <w:b/>
          <w:color w:val="000000"/>
          <w:sz w:val="22"/>
          <w:szCs w:val="22"/>
        </w:rPr>
        <w:t>、离子色谱仪接受进口产品参与投标（进口产品是指通过中国海关报关验放进入中国境内且产自关境外的产品。）；其余产品不接受进口产品投标，如发现含有进口产品，评审委员会有权认定其投标为无效投标。</w:t>
      </w:r>
    </w:p>
    <w:p>
      <w:pPr>
        <w:spacing w:line="360" w:lineRule="auto"/>
        <w:jc w:val="center"/>
        <w:rPr>
          <w:b/>
          <w:sz w:val="32"/>
        </w:rPr>
      </w:pPr>
    </w:p>
    <w:p>
      <w:pPr>
        <w:spacing w:line="420" w:lineRule="exact"/>
        <w:rPr>
          <w:rFonts w:ascii="宋体" w:hAnsi="宋体"/>
          <w:b/>
          <w:bCs/>
          <w:color w:val="000000"/>
          <w:sz w:val="22"/>
          <w:szCs w:val="22"/>
        </w:rPr>
      </w:pPr>
      <w:r>
        <w:rPr>
          <w:rFonts w:hint="eastAsia" w:ascii="宋体" w:hAnsi="宋体" w:cs="宋体"/>
          <w:b/>
          <w:bCs/>
          <w:color w:val="000000"/>
          <w:sz w:val="22"/>
          <w:szCs w:val="22"/>
        </w:rPr>
        <w:t>二、仪器设备的技术商务要求与参数</w:t>
      </w:r>
    </w:p>
    <w:p>
      <w:pPr>
        <w:spacing w:line="420" w:lineRule="exact"/>
        <w:rPr>
          <w:rFonts w:ascii="宋体" w:hAnsi="宋体" w:cs="宋体"/>
          <w:b/>
          <w:bCs/>
          <w:color w:val="000000"/>
          <w:sz w:val="22"/>
          <w:szCs w:val="22"/>
        </w:rPr>
      </w:pPr>
      <w:r>
        <w:rPr>
          <w:rFonts w:hint="eastAsia" w:ascii="宋体" w:hAnsi="宋体" w:cs="宋体"/>
          <w:b/>
          <w:bCs/>
          <w:color w:val="000000"/>
          <w:sz w:val="22"/>
          <w:szCs w:val="22"/>
        </w:rPr>
        <w:t>（一）、</w:t>
      </w:r>
      <w:r>
        <w:rPr>
          <w:rFonts w:ascii="宋体" w:hAnsi="宋体" w:cs="宋体"/>
          <w:b/>
          <w:bCs/>
          <w:color w:val="000000"/>
          <w:sz w:val="22"/>
          <w:szCs w:val="22"/>
        </w:rPr>
        <w:t>气相色谱-质谱联用仪</w:t>
      </w:r>
    </w:p>
    <w:p>
      <w:pPr>
        <w:spacing w:line="420" w:lineRule="exact"/>
        <w:outlineLvl w:val="0"/>
        <w:rPr>
          <w:rFonts w:ascii="宋体" w:hAnsi="宋体"/>
          <w:b/>
          <w:bCs/>
          <w:color w:val="000000"/>
          <w:sz w:val="22"/>
          <w:szCs w:val="22"/>
        </w:rPr>
      </w:pPr>
      <w:r>
        <w:rPr>
          <w:rFonts w:ascii="宋体" w:hAnsi="宋体"/>
          <w:b/>
          <w:bCs/>
          <w:color w:val="000000"/>
          <w:sz w:val="22"/>
          <w:szCs w:val="22"/>
        </w:rPr>
        <w:t>1</w:t>
      </w:r>
      <w:r>
        <w:rPr>
          <w:rFonts w:hint="eastAsia" w:ascii="宋体" w:hAnsi="宋体"/>
          <w:b/>
          <w:bCs/>
          <w:color w:val="000000"/>
          <w:sz w:val="22"/>
          <w:szCs w:val="22"/>
        </w:rPr>
        <w:t>、</w:t>
      </w:r>
      <w:r>
        <w:rPr>
          <w:rFonts w:ascii="宋体" w:hAnsi="宋体"/>
          <w:b/>
          <w:bCs/>
          <w:color w:val="000000"/>
          <w:sz w:val="22"/>
          <w:szCs w:val="22"/>
        </w:rPr>
        <w:t>工作条件</w:t>
      </w:r>
    </w:p>
    <w:p>
      <w:pPr>
        <w:spacing w:line="420" w:lineRule="exact"/>
        <w:ind w:firstLine="440" w:firstLineChars="200"/>
        <w:rPr>
          <w:rFonts w:ascii="宋体" w:hAnsi="宋体"/>
          <w:color w:val="000000"/>
          <w:sz w:val="22"/>
          <w:szCs w:val="22"/>
        </w:rPr>
      </w:pPr>
      <w:r>
        <w:rPr>
          <w:rFonts w:hint="eastAsia" w:ascii="宋体" w:hAnsi="宋体"/>
          <w:color w:val="000000"/>
          <w:sz w:val="22"/>
          <w:szCs w:val="22"/>
        </w:rPr>
        <w:t xml:space="preserve">1.1 </w:t>
      </w:r>
      <w:r>
        <w:rPr>
          <w:rFonts w:ascii="宋体" w:hAnsi="宋体"/>
          <w:color w:val="000000"/>
          <w:sz w:val="22"/>
          <w:szCs w:val="22"/>
        </w:rPr>
        <w:t>电源：220V，50Hz；</w:t>
      </w:r>
    </w:p>
    <w:p>
      <w:pPr>
        <w:spacing w:line="420" w:lineRule="exact"/>
        <w:ind w:firstLine="440" w:firstLineChars="200"/>
        <w:rPr>
          <w:rFonts w:ascii="宋体" w:hAnsi="宋体"/>
          <w:color w:val="000000"/>
          <w:sz w:val="22"/>
          <w:szCs w:val="22"/>
        </w:rPr>
      </w:pPr>
      <w:r>
        <w:rPr>
          <w:rFonts w:hint="eastAsia" w:ascii="宋体" w:hAnsi="宋体"/>
          <w:color w:val="000000"/>
          <w:sz w:val="22"/>
          <w:szCs w:val="22"/>
        </w:rPr>
        <w:t xml:space="preserve">1.2 </w:t>
      </w:r>
      <w:r>
        <w:rPr>
          <w:rFonts w:ascii="宋体" w:hAnsi="宋体"/>
          <w:color w:val="000000"/>
          <w:sz w:val="22"/>
          <w:szCs w:val="22"/>
        </w:rPr>
        <w:t>温度：操作环境15˚C-30˚C；</w:t>
      </w:r>
    </w:p>
    <w:p>
      <w:pPr>
        <w:spacing w:line="420" w:lineRule="exact"/>
        <w:ind w:firstLine="440" w:firstLineChars="200"/>
        <w:rPr>
          <w:rFonts w:ascii="宋体" w:hAnsi="宋体"/>
          <w:color w:val="000000"/>
          <w:sz w:val="22"/>
          <w:szCs w:val="22"/>
        </w:rPr>
      </w:pPr>
      <w:r>
        <w:rPr>
          <w:rFonts w:hint="eastAsia" w:ascii="宋体" w:hAnsi="宋体"/>
          <w:color w:val="000000"/>
          <w:sz w:val="22"/>
          <w:szCs w:val="22"/>
        </w:rPr>
        <w:t xml:space="preserve">1.3 </w:t>
      </w:r>
      <w:r>
        <w:rPr>
          <w:rFonts w:ascii="宋体" w:hAnsi="宋体"/>
          <w:color w:val="000000"/>
          <w:sz w:val="22"/>
          <w:szCs w:val="22"/>
        </w:rPr>
        <w:t>湿度：操作状态25-50%，非操作状态10-90%</w:t>
      </w:r>
      <w:r>
        <w:rPr>
          <w:rFonts w:hint="eastAsia" w:ascii="宋体" w:hAnsi="宋体"/>
          <w:color w:val="000000"/>
          <w:sz w:val="22"/>
          <w:szCs w:val="22"/>
        </w:rPr>
        <w:t>。</w:t>
      </w:r>
    </w:p>
    <w:p>
      <w:pPr>
        <w:spacing w:line="420" w:lineRule="exact"/>
        <w:outlineLvl w:val="0"/>
        <w:rPr>
          <w:rFonts w:ascii="宋体" w:hAnsi="宋体"/>
          <w:b/>
          <w:bCs/>
          <w:color w:val="000000"/>
          <w:sz w:val="22"/>
          <w:szCs w:val="22"/>
        </w:rPr>
      </w:pPr>
      <w:r>
        <w:rPr>
          <w:rFonts w:hint="eastAsia" w:ascii="宋体" w:hAnsi="宋体"/>
          <w:b/>
          <w:bCs/>
          <w:color w:val="000000"/>
          <w:sz w:val="22"/>
          <w:szCs w:val="22"/>
        </w:rPr>
        <w:t>2、总体</w:t>
      </w:r>
      <w:r>
        <w:rPr>
          <w:rFonts w:ascii="宋体" w:hAnsi="宋体"/>
          <w:b/>
          <w:bCs/>
          <w:color w:val="000000"/>
          <w:sz w:val="22"/>
          <w:szCs w:val="22"/>
        </w:rPr>
        <w:t>指标</w:t>
      </w:r>
    </w:p>
    <w:p>
      <w:pPr>
        <w:spacing w:line="420" w:lineRule="exact"/>
        <w:ind w:firstLine="480" w:firstLineChars="200"/>
        <w:rPr>
          <w:rFonts w:ascii="宋体" w:hAnsi="宋体"/>
          <w:color w:val="FF0000"/>
          <w:sz w:val="22"/>
          <w:szCs w:val="22"/>
        </w:rPr>
      </w:pPr>
      <w:r>
        <w:rPr>
          <w:rFonts w:hint="eastAsia" w:ascii="宋体" w:hAnsi="宋体" w:cs="Arial Unicode MS"/>
          <w:color w:val="FF0000"/>
          <w:szCs w:val="21"/>
        </w:rPr>
        <w:t>▲</w:t>
      </w:r>
      <w:r>
        <w:rPr>
          <w:rFonts w:hint="eastAsia" w:ascii="宋体" w:hAnsi="宋体"/>
          <w:color w:val="FF0000"/>
          <w:sz w:val="22"/>
          <w:szCs w:val="22"/>
        </w:rPr>
        <w:t xml:space="preserve">2.1 </w:t>
      </w:r>
      <w:r>
        <w:rPr>
          <w:rFonts w:ascii="宋体" w:hAnsi="宋体"/>
          <w:color w:val="FF0000"/>
          <w:sz w:val="22"/>
          <w:szCs w:val="22"/>
        </w:rPr>
        <w:t>一针进样分析《</w:t>
      </w:r>
      <w:r>
        <w:rPr>
          <w:rFonts w:hint="eastAsia" w:ascii="宋体" w:hAnsi="宋体"/>
          <w:color w:val="FF0000"/>
          <w:sz w:val="22"/>
          <w:szCs w:val="22"/>
        </w:rPr>
        <w:t>2019年地级及以上城市</w:t>
      </w:r>
      <w:r>
        <w:rPr>
          <w:rFonts w:ascii="宋体" w:hAnsi="宋体"/>
          <w:color w:val="FF0000"/>
          <w:sz w:val="22"/>
          <w:szCs w:val="22"/>
        </w:rPr>
        <w:t>环境空气挥发性有机物监测方案》中要求的57种臭氧前体物</w:t>
      </w:r>
      <w:r>
        <w:rPr>
          <w:rFonts w:hint="eastAsia" w:ascii="宋体" w:hAnsi="宋体"/>
          <w:color w:val="FF0000"/>
          <w:sz w:val="22"/>
          <w:szCs w:val="22"/>
        </w:rPr>
        <w:t>（PAMS）</w:t>
      </w:r>
      <w:r>
        <w:rPr>
          <w:rFonts w:ascii="宋体" w:hAnsi="宋体"/>
          <w:color w:val="FF0000"/>
          <w:sz w:val="22"/>
          <w:szCs w:val="22"/>
        </w:rPr>
        <w:t>以及47种其他挥发性有机物</w:t>
      </w:r>
      <w:r>
        <w:rPr>
          <w:rFonts w:hint="eastAsia" w:ascii="宋体" w:hAnsi="宋体"/>
          <w:color w:val="FF0000"/>
          <w:sz w:val="22"/>
          <w:szCs w:val="22"/>
        </w:rPr>
        <w:t>（TO-15中的成分），实现乙烷、乙烯、乙炔、丙烷和丙烯用FID检测，其他化合物用MS检测，并满足方案中的所有分析要求；</w:t>
      </w:r>
      <w:r>
        <w:rPr>
          <w:rFonts w:ascii="宋体" w:hAnsi="宋体"/>
          <w:color w:val="FF0000"/>
          <w:sz w:val="22"/>
          <w:szCs w:val="22"/>
        </w:rPr>
        <w:t xml:space="preserve"> </w:t>
      </w:r>
    </w:p>
    <w:p>
      <w:pPr>
        <w:spacing w:line="420" w:lineRule="exact"/>
        <w:ind w:firstLine="480" w:firstLineChars="200"/>
        <w:rPr>
          <w:rFonts w:ascii="宋体" w:hAnsi="宋体"/>
          <w:sz w:val="22"/>
          <w:szCs w:val="22"/>
        </w:rPr>
      </w:pPr>
      <w:r>
        <w:rPr>
          <w:rFonts w:hint="eastAsia" w:ascii="宋体" w:hAnsi="宋体" w:cs="Arial Unicode MS"/>
          <w:color w:val="000000"/>
          <w:szCs w:val="21"/>
        </w:rPr>
        <w:t>▲</w:t>
      </w:r>
      <w:r>
        <w:rPr>
          <w:rFonts w:hint="eastAsia" w:ascii="宋体" w:hAnsi="宋体"/>
          <w:sz w:val="22"/>
          <w:szCs w:val="22"/>
        </w:rPr>
        <w:t>2.2</w:t>
      </w:r>
      <w:r>
        <w:rPr>
          <w:rFonts w:ascii="宋体" w:hAnsi="宋体"/>
          <w:sz w:val="22"/>
          <w:szCs w:val="22"/>
        </w:rPr>
        <w:t>气相色谱-质谱联用仪性能</w:t>
      </w:r>
      <w:r>
        <w:rPr>
          <w:rFonts w:hint="eastAsia" w:ascii="宋体" w:hAnsi="宋体"/>
          <w:sz w:val="22"/>
          <w:szCs w:val="22"/>
        </w:rPr>
        <w:t>测试需满足中华人民共和国国家环境保护标准HJ 759-2015中的要求，提供4-溴氟苯的质谱图和关键离子丰度（关键离子包括：50、75、95、96、173、174、175、176和177）；</w:t>
      </w:r>
    </w:p>
    <w:p>
      <w:pPr>
        <w:spacing w:line="420" w:lineRule="exact"/>
        <w:ind w:firstLine="440" w:firstLineChars="200"/>
        <w:rPr>
          <w:rFonts w:ascii="宋体" w:hAnsi="宋体"/>
          <w:sz w:val="22"/>
          <w:szCs w:val="22"/>
        </w:rPr>
      </w:pPr>
      <w:r>
        <w:rPr>
          <w:rFonts w:hint="eastAsia" w:ascii="宋体" w:hAnsi="宋体"/>
          <w:sz w:val="22"/>
          <w:szCs w:val="22"/>
        </w:rPr>
        <w:t xml:space="preserve">2.3 </w:t>
      </w:r>
      <w:r>
        <w:rPr>
          <w:rFonts w:ascii="宋体" w:hAnsi="宋体"/>
          <w:sz w:val="22"/>
          <w:szCs w:val="22"/>
        </w:rPr>
        <w:t>当样品进样量为400ml 时，全扫描模式下，目标化合物的检出限</w:t>
      </w:r>
      <w:r>
        <w:rPr>
          <w:rFonts w:hint="eastAsia" w:ascii="宋体" w:hAnsi="宋体"/>
          <w:sz w:val="22"/>
          <w:szCs w:val="22"/>
        </w:rPr>
        <w:t>需低于</w:t>
      </w:r>
      <w:r>
        <w:rPr>
          <w:rFonts w:ascii="宋体" w:hAnsi="宋体"/>
          <w:sz w:val="22"/>
          <w:szCs w:val="22"/>
        </w:rPr>
        <w:t>0.2nmol/mol</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2.4 </w:t>
      </w:r>
      <w:r>
        <w:rPr>
          <w:rFonts w:ascii="宋体" w:hAnsi="宋体"/>
          <w:sz w:val="22"/>
          <w:szCs w:val="22"/>
        </w:rPr>
        <w:t>校准曲线</w:t>
      </w:r>
      <w:r>
        <w:rPr>
          <w:rFonts w:hint="eastAsia" w:ascii="宋体" w:hAnsi="宋体"/>
          <w:sz w:val="22"/>
          <w:szCs w:val="22"/>
        </w:rPr>
        <w:t>中的</w:t>
      </w:r>
      <w:r>
        <w:rPr>
          <w:rFonts w:ascii="宋体" w:hAnsi="宋体"/>
          <w:sz w:val="22"/>
          <w:szCs w:val="22"/>
        </w:rPr>
        <w:t>目标物相对响应因子的相对标准偏差（RSD）应小于30.0%</w:t>
      </w:r>
      <w:r>
        <w:rPr>
          <w:rFonts w:hint="eastAsia" w:ascii="宋体" w:hAnsi="宋体"/>
          <w:sz w:val="22"/>
          <w:szCs w:val="22"/>
        </w:rPr>
        <w:t>；</w:t>
      </w:r>
    </w:p>
    <w:p>
      <w:pPr>
        <w:spacing w:line="420" w:lineRule="exact"/>
        <w:outlineLvl w:val="0"/>
        <w:rPr>
          <w:rFonts w:ascii="宋体" w:hAnsi="宋体"/>
          <w:b/>
          <w:bCs/>
          <w:color w:val="000000"/>
          <w:sz w:val="22"/>
          <w:szCs w:val="22"/>
        </w:rPr>
      </w:pPr>
      <w:r>
        <w:rPr>
          <w:rFonts w:hint="eastAsia" w:ascii="宋体" w:hAnsi="宋体"/>
          <w:b/>
          <w:bCs/>
          <w:color w:val="000000"/>
          <w:sz w:val="22"/>
          <w:szCs w:val="22"/>
        </w:rPr>
        <w:t>3、</w:t>
      </w:r>
      <w:r>
        <w:rPr>
          <w:rFonts w:ascii="宋体" w:hAnsi="宋体"/>
          <w:b/>
          <w:bCs/>
          <w:color w:val="000000"/>
          <w:sz w:val="22"/>
          <w:szCs w:val="22"/>
        </w:rPr>
        <w:t>气相色谱技术指标</w:t>
      </w:r>
    </w:p>
    <w:p>
      <w:pPr>
        <w:spacing w:line="420" w:lineRule="exact"/>
        <w:outlineLvl w:val="0"/>
        <w:rPr>
          <w:rFonts w:ascii="宋体" w:hAnsi="宋体"/>
          <w:b/>
          <w:bCs/>
          <w:color w:val="000000"/>
          <w:sz w:val="22"/>
          <w:szCs w:val="22"/>
        </w:rPr>
      </w:pPr>
      <w:r>
        <w:rPr>
          <w:rFonts w:hint="eastAsia" w:ascii="宋体" w:hAnsi="宋体"/>
          <w:b/>
          <w:bCs/>
          <w:color w:val="000000"/>
          <w:sz w:val="22"/>
          <w:szCs w:val="22"/>
        </w:rPr>
        <w:t>3.1 系统性能指标</w:t>
      </w:r>
    </w:p>
    <w:p>
      <w:pPr>
        <w:spacing w:line="420" w:lineRule="exact"/>
        <w:ind w:firstLine="440" w:firstLineChars="200"/>
        <w:rPr>
          <w:rFonts w:ascii="宋体" w:hAnsi="宋体"/>
          <w:color w:val="000000"/>
          <w:sz w:val="22"/>
          <w:szCs w:val="22"/>
        </w:rPr>
      </w:pPr>
      <w:r>
        <w:rPr>
          <w:rFonts w:hint="eastAsia" w:ascii="宋体" w:hAnsi="宋体"/>
          <w:sz w:val="22"/>
          <w:szCs w:val="22"/>
        </w:rPr>
        <w:t>3</w:t>
      </w:r>
      <w:r>
        <w:rPr>
          <w:rFonts w:ascii="宋体" w:hAnsi="宋体"/>
          <w:sz w:val="22"/>
          <w:szCs w:val="22"/>
        </w:rPr>
        <w:t>.</w:t>
      </w:r>
      <w:r>
        <w:rPr>
          <w:rFonts w:hint="eastAsia" w:ascii="宋体" w:hAnsi="宋体"/>
          <w:sz w:val="22"/>
          <w:szCs w:val="22"/>
        </w:rPr>
        <w:t xml:space="preserve">1.1 </w:t>
      </w:r>
      <w:r>
        <w:rPr>
          <w:rFonts w:ascii="宋体" w:hAnsi="宋体"/>
          <w:sz w:val="22"/>
          <w:szCs w:val="22"/>
        </w:rPr>
        <w:t>电子流量控制（EPC）：所有流量、压力均可以电子控制</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3.1.2</w:t>
      </w:r>
      <w:r>
        <w:rPr>
          <w:rFonts w:ascii="宋体" w:hAnsi="宋体"/>
          <w:sz w:val="22"/>
          <w:szCs w:val="22"/>
        </w:rPr>
        <w:t xml:space="preserve"> 保留时间重现性：&lt;0.008min或&lt;0.06%</w:t>
      </w:r>
      <w:r>
        <w:rPr>
          <w:rFonts w:hint="eastAsia" w:ascii="宋体" w:hAnsi="宋体"/>
          <w:sz w:val="22"/>
          <w:szCs w:val="22"/>
        </w:rPr>
        <w:t>；</w:t>
      </w:r>
    </w:p>
    <w:p>
      <w:pPr>
        <w:spacing w:line="420" w:lineRule="exact"/>
        <w:ind w:firstLine="480" w:firstLineChars="200"/>
        <w:rPr>
          <w:rFonts w:ascii="宋体" w:hAnsi="宋体"/>
          <w:color w:val="000000"/>
          <w:sz w:val="22"/>
          <w:szCs w:val="22"/>
        </w:rPr>
      </w:pPr>
      <w:r>
        <w:rPr>
          <w:rFonts w:hint="eastAsia" w:ascii="宋体" w:hAnsi="宋体" w:cs="Arial Unicode MS"/>
          <w:color w:val="000000"/>
          <w:szCs w:val="21"/>
        </w:rPr>
        <w:t>▲</w:t>
      </w:r>
      <w:r>
        <w:rPr>
          <w:rFonts w:hint="eastAsia" w:ascii="宋体" w:hAnsi="宋体"/>
          <w:sz w:val="22"/>
          <w:szCs w:val="22"/>
        </w:rPr>
        <w:t>3</w:t>
      </w:r>
      <w:r>
        <w:rPr>
          <w:rFonts w:ascii="宋体" w:hAnsi="宋体"/>
          <w:sz w:val="22"/>
          <w:szCs w:val="22"/>
        </w:rPr>
        <w:t>.</w:t>
      </w:r>
      <w:r>
        <w:rPr>
          <w:rFonts w:hint="eastAsia" w:ascii="宋体" w:hAnsi="宋体"/>
          <w:sz w:val="22"/>
          <w:szCs w:val="22"/>
        </w:rPr>
        <w:t xml:space="preserve">1.3 </w:t>
      </w:r>
      <w:r>
        <w:rPr>
          <w:rFonts w:ascii="宋体" w:hAnsi="宋体"/>
          <w:sz w:val="22"/>
          <w:szCs w:val="22"/>
        </w:rPr>
        <w:t>峰面积重现性：&lt;2% RSD</w:t>
      </w:r>
      <w:r>
        <w:rPr>
          <w:rFonts w:hint="eastAsia" w:ascii="宋体" w:hAnsi="宋体"/>
          <w:sz w:val="22"/>
          <w:szCs w:val="22"/>
        </w:rPr>
        <w:t>。</w:t>
      </w:r>
    </w:p>
    <w:p>
      <w:pPr>
        <w:spacing w:line="420" w:lineRule="exact"/>
        <w:outlineLvl w:val="0"/>
        <w:rPr>
          <w:rFonts w:ascii="宋体" w:hAnsi="宋体"/>
          <w:b/>
          <w:bCs/>
          <w:color w:val="000000"/>
          <w:sz w:val="22"/>
          <w:szCs w:val="22"/>
        </w:rPr>
      </w:pPr>
      <w:r>
        <w:rPr>
          <w:rFonts w:hint="eastAsia" w:ascii="宋体" w:hAnsi="宋体"/>
          <w:b/>
          <w:bCs/>
          <w:color w:val="000000"/>
          <w:sz w:val="22"/>
          <w:szCs w:val="22"/>
        </w:rPr>
        <w:t xml:space="preserve">3.2 </w:t>
      </w:r>
      <w:r>
        <w:rPr>
          <w:rFonts w:ascii="宋体" w:hAnsi="宋体"/>
          <w:b/>
          <w:bCs/>
          <w:color w:val="000000"/>
          <w:sz w:val="22"/>
          <w:szCs w:val="22"/>
        </w:rPr>
        <w:t>柱温箱</w:t>
      </w:r>
    </w:p>
    <w:p>
      <w:pPr>
        <w:spacing w:line="420" w:lineRule="exact"/>
        <w:ind w:firstLine="440" w:firstLineChars="200"/>
        <w:rPr>
          <w:rFonts w:ascii="宋体" w:hAnsi="宋体"/>
          <w:color w:val="000000"/>
          <w:sz w:val="22"/>
          <w:szCs w:val="22"/>
        </w:rPr>
      </w:pPr>
      <w:r>
        <w:rPr>
          <w:rFonts w:hint="eastAsia" w:ascii="宋体" w:hAnsi="宋体"/>
          <w:sz w:val="22"/>
          <w:szCs w:val="22"/>
        </w:rPr>
        <w:t>3.2</w:t>
      </w:r>
      <w:r>
        <w:rPr>
          <w:rFonts w:ascii="宋体" w:hAnsi="宋体"/>
          <w:sz w:val="22"/>
          <w:szCs w:val="22"/>
        </w:rPr>
        <w:t>.</w:t>
      </w:r>
      <w:r>
        <w:rPr>
          <w:rFonts w:hint="eastAsia" w:ascii="宋体" w:hAnsi="宋体"/>
          <w:sz w:val="22"/>
          <w:szCs w:val="22"/>
        </w:rPr>
        <w:t xml:space="preserve">1 </w:t>
      </w:r>
      <w:r>
        <w:rPr>
          <w:rFonts w:ascii="宋体" w:hAnsi="宋体"/>
          <w:sz w:val="22"/>
          <w:szCs w:val="22"/>
        </w:rPr>
        <w:t>操作温度范围：</w:t>
      </w:r>
      <w:r>
        <w:rPr>
          <w:rFonts w:hint="eastAsia" w:ascii="宋体" w:hAnsi="宋体"/>
          <w:sz w:val="22"/>
          <w:szCs w:val="22"/>
        </w:rPr>
        <w:t>-100</w:t>
      </w:r>
      <w:r>
        <w:rPr>
          <w:rFonts w:ascii="宋体" w:hAnsi="宋体"/>
          <w:sz w:val="22"/>
          <w:szCs w:val="22"/>
        </w:rPr>
        <w:t>℃到450℃</w:t>
      </w:r>
      <w:r>
        <w:rPr>
          <w:rFonts w:hint="eastAsia" w:ascii="宋体" w:hAnsi="宋体"/>
          <w:sz w:val="22"/>
          <w:szCs w:val="22"/>
        </w:rPr>
        <w:t>（配套柱温箱液氮制冷模块）；</w:t>
      </w:r>
    </w:p>
    <w:p>
      <w:pPr>
        <w:spacing w:line="420" w:lineRule="exact"/>
        <w:ind w:firstLine="440" w:firstLineChars="200"/>
        <w:rPr>
          <w:rFonts w:ascii="宋体" w:hAnsi="宋体"/>
          <w:color w:val="000000"/>
          <w:sz w:val="22"/>
          <w:szCs w:val="22"/>
        </w:rPr>
      </w:pPr>
      <w:r>
        <w:rPr>
          <w:rFonts w:hint="eastAsia" w:ascii="宋体" w:hAnsi="宋体"/>
          <w:sz w:val="22"/>
          <w:szCs w:val="22"/>
        </w:rPr>
        <w:t>3.2</w:t>
      </w:r>
      <w:r>
        <w:rPr>
          <w:rFonts w:ascii="宋体" w:hAnsi="宋体"/>
          <w:sz w:val="22"/>
          <w:szCs w:val="22"/>
        </w:rPr>
        <w:t>.</w:t>
      </w:r>
      <w:r>
        <w:rPr>
          <w:rFonts w:hint="eastAsia" w:ascii="宋体" w:hAnsi="宋体"/>
          <w:sz w:val="22"/>
          <w:szCs w:val="22"/>
        </w:rPr>
        <w:t xml:space="preserve">2 </w:t>
      </w:r>
      <w:r>
        <w:rPr>
          <w:rFonts w:ascii="宋体" w:hAnsi="宋体"/>
          <w:sz w:val="22"/>
          <w:szCs w:val="22"/>
        </w:rPr>
        <w:t>温度控制精度：0.1℃</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3.2</w:t>
      </w:r>
      <w:r>
        <w:rPr>
          <w:rFonts w:ascii="宋体" w:hAnsi="宋体"/>
          <w:sz w:val="22"/>
          <w:szCs w:val="22"/>
        </w:rPr>
        <w:t>.</w:t>
      </w:r>
      <w:r>
        <w:rPr>
          <w:rFonts w:hint="eastAsia" w:ascii="宋体" w:hAnsi="宋体"/>
          <w:sz w:val="22"/>
          <w:szCs w:val="22"/>
        </w:rPr>
        <w:t xml:space="preserve">3 </w:t>
      </w:r>
      <w:r>
        <w:rPr>
          <w:rFonts w:ascii="宋体" w:hAnsi="宋体"/>
          <w:sz w:val="22"/>
          <w:szCs w:val="22"/>
        </w:rPr>
        <w:t>程序升温≥32阶</w:t>
      </w:r>
      <w:r>
        <w:rPr>
          <w:rFonts w:hint="eastAsia" w:ascii="宋体" w:hAnsi="宋体"/>
          <w:sz w:val="22"/>
          <w:szCs w:val="22"/>
        </w:rPr>
        <w:t>/</w:t>
      </w:r>
      <w:r>
        <w:rPr>
          <w:rFonts w:ascii="宋体" w:hAnsi="宋体"/>
          <w:sz w:val="22"/>
          <w:szCs w:val="22"/>
        </w:rPr>
        <w:t>33平台</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3.2</w:t>
      </w:r>
      <w:r>
        <w:rPr>
          <w:rFonts w:ascii="宋体" w:hAnsi="宋体"/>
          <w:sz w:val="22"/>
          <w:szCs w:val="22"/>
        </w:rPr>
        <w:t>.</w:t>
      </w:r>
      <w:r>
        <w:rPr>
          <w:rFonts w:hint="eastAsia" w:ascii="宋体" w:hAnsi="宋体"/>
          <w:sz w:val="22"/>
          <w:szCs w:val="22"/>
        </w:rPr>
        <w:t xml:space="preserve">4 </w:t>
      </w:r>
      <w:r>
        <w:rPr>
          <w:rFonts w:ascii="宋体" w:hAnsi="宋体"/>
          <w:sz w:val="22"/>
          <w:szCs w:val="22"/>
        </w:rPr>
        <w:t>最高升温速率≥125℃</w:t>
      </w:r>
      <w:r>
        <w:rPr>
          <w:rFonts w:hint="eastAsia" w:ascii="宋体" w:hAnsi="宋体"/>
          <w:sz w:val="22"/>
          <w:szCs w:val="22"/>
        </w:rPr>
        <w:t>/</w:t>
      </w:r>
      <w:r>
        <w:rPr>
          <w:rFonts w:ascii="宋体" w:hAnsi="宋体"/>
          <w:sz w:val="22"/>
          <w:szCs w:val="22"/>
        </w:rPr>
        <w:t>min</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3.2</w:t>
      </w:r>
      <w:r>
        <w:rPr>
          <w:rFonts w:ascii="宋体" w:hAnsi="宋体"/>
          <w:sz w:val="22"/>
          <w:szCs w:val="22"/>
        </w:rPr>
        <w:t>.</w:t>
      </w:r>
      <w:r>
        <w:rPr>
          <w:rFonts w:hint="eastAsia" w:ascii="宋体" w:hAnsi="宋体"/>
          <w:sz w:val="22"/>
          <w:szCs w:val="22"/>
        </w:rPr>
        <w:t xml:space="preserve">5 </w:t>
      </w:r>
      <w:r>
        <w:rPr>
          <w:rFonts w:ascii="宋体" w:hAnsi="宋体"/>
          <w:sz w:val="22"/>
          <w:szCs w:val="22"/>
        </w:rPr>
        <w:t>柱温箱冷却时间：从450℃降温至50℃，小于4min （室温22°C）</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3.2</w:t>
      </w:r>
      <w:r>
        <w:rPr>
          <w:rFonts w:ascii="宋体" w:hAnsi="宋体"/>
          <w:sz w:val="22"/>
          <w:szCs w:val="22"/>
        </w:rPr>
        <w:t>.</w:t>
      </w:r>
      <w:r>
        <w:rPr>
          <w:rFonts w:hint="eastAsia" w:ascii="宋体" w:hAnsi="宋体"/>
          <w:sz w:val="22"/>
          <w:szCs w:val="22"/>
        </w:rPr>
        <w:t xml:space="preserve">6 </w:t>
      </w:r>
      <w:r>
        <w:rPr>
          <w:rFonts w:ascii="宋体" w:hAnsi="宋体"/>
          <w:sz w:val="22"/>
          <w:szCs w:val="22"/>
        </w:rPr>
        <w:t>温度稳定性：0.01℃/1℃</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3.2</w:t>
      </w:r>
      <w:r>
        <w:rPr>
          <w:rFonts w:ascii="宋体" w:hAnsi="宋体"/>
          <w:sz w:val="22"/>
          <w:szCs w:val="22"/>
        </w:rPr>
        <w:t>.</w:t>
      </w:r>
      <w:r>
        <w:rPr>
          <w:rFonts w:hint="eastAsia" w:ascii="宋体" w:hAnsi="宋体"/>
          <w:sz w:val="22"/>
          <w:szCs w:val="22"/>
        </w:rPr>
        <w:t xml:space="preserve">7 </w:t>
      </w:r>
      <w:r>
        <w:rPr>
          <w:rFonts w:ascii="宋体" w:hAnsi="宋体"/>
          <w:sz w:val="22"/>
          <w:szCs w:val="22"/>
        </w:rPr>
        <w:t>最大运行时间：999.99分钟</w:t>
      </w:r>
      <w:r>
        <w:rPr>
          <w:rFonts w:hint="eastAsia" w:ascii="宋体" w:hAnsi="宋体"/>
          <w:sz w:val="22"/>
          <w:szCs w:val="22"/>
        </w:rPr>
        <w:t>。</w:t>
      </w:r>
    </w:p>
    <w:p>
      <w:pPr>
        <w:spacing w:line="420" w:lineRule="exact"/>
        <w:outlineLvl w:val="0"/>
        <w:rPr>
          <w:rFonts w:ascii="宋体" w:hAnsi="宋体"/>
          <w:b/>
          <w:bCs/>
          <w:color w:val="000000"/>
          <w:sz w:val="22"/>
          <w:szCs w:val="22"/>
        </w:rPr>
      </w:pPr>
      <w:r>
        <w:rPr>
          <w:rFonts w:hint="eastAsia" w:ascii="宋体" w:hAnsi="宋体"/>
          <w:b/>
          <w:bCs/>
          <w:color w:val="000000"/>
          <w:sz w:val="22"/>
          <w:szCs w:val="22"/>
        </w:rPr>
        <w:t>3.3</w:t>
      </w:r>
      <w:r>
        <w:rPr>
          <w:rFonts w:ascii="宋体" w:hAnsi="宋体"/>
          <w:b/>
          <w:bCs/>
          <w:color w:val="000000"/>
          <w:sz w:val="22"/>
          <w:szCs w:val="22"/>
        </w:rPr>
        <w:t>电子压力控制器</w:t>
      </w:r>
    </w:p>
    <w:p>
      <w:pPr>
        <w:spacing w:line="420" w:lineRule="exact"/>
        <w:ind w:firstLine="440" w:firstLineChars="200"/>
        <w:rPr>
          <w:rFonts w:ascii="宋体" w:hAnsi="宋体"/>
          <w:color w:val="000000"/>
          <w:sz w:val="22"/>
          <w:szCs w:val="22"/>
        </w:rPr>
      </w:pPr>
      <w:r>
        <w:rPr>
          <w:rFonts w:hint="eastAsia" w:ascii="宋体" w:hAnsi="宋体"/>
          <w:sz w:val="22"/>
          <w:szCs w:val="22"/>
        </w:rPr>
        <w:t xml:space="preserve">3.3.1 </w:t>
      </w:r>
      <w:r>
        <w:rPr>
          <w:rFonts w:ascii="宋体" w:hAnsi="宋体"/>
          <w:sz w:val="22"/>
          <w:szCs w:val="22"/>
        </w:rPr>
        <w:t>压力范围：0～1000kPa或0～150psi</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 xml:space="preserve">3.3.2 </w:t>
      </w:r>
      <w:r>
        <w:rPr>
          <w:rFonts w:ascii="宋体" w:hAnsi="宋体"/>
          <w:sz w:val="22"/>
          <w:szCs w:val="22"/>
        </w:rPr>
        <w:t>全程压力控制精度：0.001psi</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color w:val="000000"/>
          <w:sz w:val="22"/>
          <w:szCs w:val="22"/>
        </w:rPr>
        <w:t xml:space="preserve">3.3.3 </w:t>
      </w:r>
      <w:r>
        <w:rPr>
          <w:rFonts w:ascii="宋体" w:hAnsi="宋体"/>
          <w:color w:val="000000"/>
          <w:sz w:val="22"/>
          <w:szCs w:val="22"/>
        </w:rPr>
        <w:t>电子参数设定压力，流速和分流比</w:t>
      </w:r>
      <w:r>
        <w:rPr>
          <w:rFonts w:hint="eastAsia" w:ascii="宋体" w:hAnsi="宋体"/>
          <w:color w:val="000000"/>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 xml:space="preserve">3.3.4 </w:t>
      </w:r>
      <w:r>
        <w:rPr>
          <w:rFonts w:ascii="宋体" w:hAnsi="宋体"/>
          <w:sz w:val="22"/>
          <w:szCs w:val="22"/>
        </w:rPr>
        <w:t>最大载气流量：500ml/min</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 xml:space="preserve">3.3.5 </w:t>
      </w:r>
      <w:r>
        <w:rPr>
          <w:rFonts w:ascii="宋体" w:hAnsi="宋体"/>
          <w:sz w:val="22"/>
          <w:szCs w:val="22"/>
        </w:rPr>
        <w:t>最大分流比：12500：1</w:t>
      </w:r>
      <w:r>
        <w:rPr>
          <w:rFonts w:hint="eastAsia" w:ascii="宋体" w:hAnsi="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 xml:space="preserve">3.4 </w:t>
      </w:r>
      <w:r>
        <w:rPr>
          <w:rFonts w:ascii="宋体" w:hAnsi="宋体"/>
          <w:b/>
          <w:bCs/>
          <w:color w:val="000000"/>
          <w:sz w:val="22"/>
          <w:szCs w:val="22"/>
        </w:rPr>
        <w:t>分流不分流进样口</w:t>
      </w:r>
    </w:p>
    <w:p>
      <w:pPr>
        <w:spacing w:line="420" w:lineRule="exact"/>
        <w:ind w:firstLine="440" w:firstLineChars="200"/>
        <w:rPr>
          <w:rFonts w:ascii="宋体" w:hAnsi="宋体"/>
          <w:color w:val="000000"/>
          <w:sz w:val="22"/>
          <w:szCs w:val="22"/>
        </w:rPr>
      </w:pPr>
      <w:r>
        <w:rPr>
          <w:rFonts w:hint="eastAsia" w:ascii="宋体" w:hAnsi="宋体"/>
          <w:sz w:val="22"/>
          <w:szCs w:val="22"/>
        </w:rPr>
        <w:t xml:space="preserve">3.4.1 </w:t>
      </w:r>
      <w:r>
        <w:rPr>
          <w:rFonts w:ascii="宋体" w:hAnsi="宋体"/>
          <w:sz w:val="22"/>
          <w:szCs w:val="22"/>
        </w:rPr>
        <w:t>进样口</w:t>
      </w:r>
      <w:r>
        <w:rPr>
          <w:rFonts w:hint="eastAsia" w:ascii="宋体" w:hAnsi="宋体"/>
          <w:sz w:val="22"/>
          <w:szCs w:val="22"/>
        </w:rPr>
        <w:t>为</w:t>
      </w:r>
      <w:r>
        <w:rPr>
          <w:rFonts w:ascii="宋体" w:hAnsi="宋体"/>
          <w:sz w:val="22"/>
          <w:szCs w:val="22"/>
        </w:rPr>
        <w:t>即时联接模块设计，最高操作温度：400℃</w:t>
      </w:r>
      <w:r>
        <w:rPr>
          <w:rFonts w:hint="eastAsia" w:ascii="宋体" w:hAnsi="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3.5 Deanswitch中心切割模块</w:t>
      </w:r>
    </w:p>
    <w:p>
      <w:pPr>
        <w:spacing w:line="420" w:lineRule="exact"/>
        <w:ind w:firstLine="440" w:firstLineChars="200"/>
        <w:rPr>
          <w:rFonts w:ascii="宋体" w:hAnsi="宋体"/>
          <w:color w:val="000000"/>
          <w:sz w:val="22"/>
          <w:szCs w:val="22"/>
        </w:rPr>
      </w:pPr>
      <w:r>
        <w:rPr>
          <w:rFonts w:hint="eastAsia" w:ascii="宋体" w:hAnsi="宋体"/>
          <w:sz w:val="22"/>
          <w:szCs w:val="22"/>
        </w:rPr>
        <w:t>3.5.1 可依照不同时间将样品完全分流到不同检测器；</w:t>
      </w:r>
    </w:p>
    <w:p>
      <w:pPr>
        <w:spacing w:line="420" w:lineRule="exact"/>
        <w:ind w:firstLine="440" w:firstLineChars="200"/>
        <w:rPr>
          <w:rFonts w:ascii="宋体" w:hAnsi="宋体"/>
          <w:color w:val="000000"/>
          <w:sz w:val="22"/>
          <w:szCs w:val="22"/>
        </w:rPr>
      </w:pPr>
      <w:r>
        <w:rPr>
          <w:rFonts w:hint="eastAsia" w:ascii="宋体" w:hAnsi="宋体"/>
          <w:color w:val="000000"/>
          <w:sz w:val="22"/>
          <w:szCs w:val="22"/>
        </w:rPr>
        <w:t>3.5.2 柱温箱内连接点不大于三个；</w:t>
      </w:r>
    </w:p>
    <w:p>
      <w:pPr>
        <w:spacing w:line="420" w:lineRule="exact"/>
        <w:ind w:firstLine="440" w:firstLineChars="200"/>
        <w:rPr>
          <w:rFonts w:ascii="宋体" w:hAnsi="宋体"/>
          <w:color w:val="000000"/>
          <w:sz w:val="22"/>
          <w:szCs w:val="22"/>
        </w:rPr>
      </w:pPr>
      <w:r>
        <w:rPr>
          <w:rFonts w:hint="eastAsia" w:ascii="宋体" w:hAnsi="宋体"/>
          <w:sz w:val="22"/>
          <w:szCs w:val="22"/>
        </w:rPr>
        <w:t>3.5.3 使用限流管不超过一根；</w:t>
      </w:r>
    </w:p>
    <w:p>
      <w:pPr>
        <w:spacing w:line="420" w:lineRule="exact"/>
        <w:ind w:firstLine="440" w:firstLineChars="200"/>
        <w:rPr>
          <w:rFonts w:ascii="宋体" w:hAnsi="宋体"/>
          <w:color w:val="000000"/>
          <w:sz w:val="22"/>
          <w:szCs w:val="22"/>
        </w:rPr>
      </w:pPr>
      <w:r>
        <w:rPr>
          <w:rFonts w:hint="eastAsia" w:ascii="宋体" w:hAnsi="宋体"/>
          <w:sz w:val="22"/>
          <w:szCs w:val="22"/>
        </w:rPr>
        <w:t>3.5.4 带辅助软件和辅助载气控制模块。</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 xml:space="preserve">3.6 </w:t>
      </w:r>
      <w:r>
        <w:rPr>
          <w:rFonts w:ascii="宋体" w:hAnsi="宋体"/>
          <w:b/>
          <w:bCs/>
          <w:color w:val="000000"/>
          <w:sz w:val="22"/>
          <w:szCs w:val="22"/>
        </w:rPr>
        <w:t>火焰离子检测器（FID）</w:t>
      </w:r>
    </w:p>
    <w:p>
      <w:pPr>
        <w:spacing w:line="420" w:lineRule="exact"/>
        <w:ind w:firstLine="440" w:firstLineChars="200"/>
        <w:rPr>
          <w:rFonts w:ascii="宋体" w:hAnsi="宋体"/>
          <w:color w:val="000000"/>
          <w:sz w:val="22"/>
          <w:szCs w:val="22"/>
        </w:rPr>
      </w:pPr>
      <w:r>
        <w:rPr>
          <w:rFonts w:hint="eastAsia" w:ascii="宋体" w:hAnsi="宋体"/>
          <w:sz w:val="22"/>
          <w:szCs w:val="22"/>
        </w:rPr>
        <w:t>3.6.1 电子压力/流量控制(EPC)；</w:t>
      </w:r>
    </w:p>
    <w:p>
      <w:pPr>
        <w:spacing w:line="420" w:lineRule="exact"/>
        <w:ind w:firstLine="440" w:firstLineChars="200"/>
        <w:rPr>
          <w:rFonts w:ascii="宋体" w:hAnsi="宋体"/>
          <w:color w:val="000000"/>
          <w:sz w:val="22"/>
          <w:szCs w:val="22"/>
        </w:rPr>
      </w:pPr>
      <w:r>
        <w:rPr>
          <w:rFonts w:hint="eastAsia" w:ascii="宋体" w:hAnsi="宋体"/>
          <w:sz w:val="22"/>
          <w:szCs w:val="22"/>
        </w:rPr>
        <w:t xml:space="preserve">3.6.2 </w:t>
      </w:r>
      <w:r>
        <w:rPr>
          <w:rFonts w:ascii="宋体" w:hAnsi="宋体"/>
          <w:sz w:val="22"/>
          <w:szCs w:val="22"/>
        </w:rPr>
        <w:t>最高操作温度：450 ºC</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 xml:space="preserve">3.6.3 </w:t>
      </w:r>
      <w:r>
        <w:rPr>
          <w:rFonts w:ascii="宋体" w:hAnsi="宋体"/>
          <w:sz w:val="22"/>
          <w:szCs w:val="22"/>
        </w:rPr>
        <w:t>最低检测限：＜1.4 pgC/s</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 xml:space="preserve">3.6.4 </w:t>
      </w:r>
      <w:r>
        <w:rPr>
          <w:rFonts w:ascii="宋体" w:hAnsi="宋体"/>
          <w:sz w:val="22"/>
          <w:szCs w:val="22"/>
        </w:rPr>
        <w:t>线性范围：</w:t>
      </w:r>
      <w:r>
        <w:rPr>
          <w:rFonts w:hint="eastAsia" w:ascii="宋体" w:hAnsi="宋体"/>
          <w:sz w:val="22"/>
          <w:szCs w:val="22"/>
        </w:rPr>
        <w:t>＜±10%，</w:t>
      </w:r>
      <w:r>
        <w:rPr>
          <w:rFonts w:ascii="宋体" w:hAnsi="宋体"/>
          <w:sz w:val="22"/>
          <w:szCs w:val="22"/>
        </w:rPr>
        <w:t>10</w:t>
      </w:r>
      <w:r>
        <w:rPr>
          <w:rFonts w:ascii="宋体" w:hAnsi="宋体"/>
          <w:sz w:val="22"/>
          <w:szCs w:val="22"/>
          <w:vertAlign w:val="superscript"/>
        </w:rPr>
        <w:t>7</w:t>
      </w:r>
      <w:r>
        <w:rPr>
          <w:rFonts w:hint="eastAsia" w:ascii="宋体" w:hAnsi="宋体"/>
          <w:sz w:val="22"/>
          <w:szCs w:val="22"/>
        </w:rPr>
        <w:t>；</w:t>
      </w:r>
    </w:p>
    <w:p>
      <w:pPr>
        <w:spacing w:line="420" w:lineRule="exact"/>
        <w:ind w:firstLine="440" w:firstLineChars="200"/>
        <w:rPr>
          <w:rFonts w:ascii="宋体" w:hAnsi="宋体"/>
          <w:color w:val="000000"/>
          <w:sz w:val="22"/>
          <w:szCs w:val="22"/>
        </w:rPr>
      </w:pPr>
      <w:r>
        <w:rPr>
          <w:rFonts w:hint="eastAsia" w:ascii="宋体" w:hAnsi="宋体"/>
          <w:sz w:val="22"/>
          <w:szCs w:val="22"/>
        </w:rPr>
        <w:t xml:space="preserve">3.6.5 </w:t>
      </w:r>
      <w:r>
        <w:rPr>
          <w:rFonts w:ascii="宋体" w:hAnsi="宋体"/>
          <w:sz w:val="22"/>
          <w:szCs w:val="22"/>
        </w:rPr>
        <w:t>数据采集频率：</w:t>
      </w:r>
      <w:r>
        <w:rPr>
          <w:rFonts w:hint="eastAsia" w:ascii="宋体" w:hAnsi="宋体"/>
          <w:sz w:val="22"/>
          <w:szCs w:val="22"/>
        </w:rPr>
        <w:t>≥</w:t>
      </w:r>
      <w:r>
        <w:rPr>
          <w:rFonts w:ascii="宋体" w:hAnsi="宋体"/>
          <w:sz w:val="22"/>
          <w:szCs w:val="22"/>
        </w:rPr>
        <w:t>300Hz</w:t>
      </w:r>
      <w:r>
        <w:rPr>
          <w:rFonts w:hint="eastAsia" w:ascii="宋体" w:hAnsi="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4、质谱检测器</w:t>
      </w:r>
      <w:r>
        <w:rPr>
          <w:rFonts w:ascii="宋体" w:hAnsi="宋体"/>
          <w:b/>
          <w:bCs/>
          <w:color w:val="000000"/>
          <w:sz w:val="22"/>
          <w:szCs w:val="22"/>
        </w:rPr>
        <w:t>技术指标</w:t>
      </w:r>
    </w:p>
    <w:p>
      <w:pPr>
        <w:tabs>
          <w:tab w:val="left" w:pos="851"/>
        </w:tabs>
        <w:spacing w:line="360" w:lineRule="auto"/>
        <w:rPr>
          <w:rFonts w:ascii="宋体" w:hAnsi="宋体"/>
          <w:b/>
          <w:bCs/>
          <w:color w:val="000000"/>
          <w:sz w:val="22"/>
          <w:szCs w:val="22"/>
        </w:rPr>
      </w:pPr>
      <w:r>
        <w:rPr>
          <w:rFonts w:ascii="宋体" w:hAnsi="宋体"/>
          <w:b/>
          <w:bCs/>
          <w:color w:val="000000"/>
          <w:sz w:val="22"/>
          <w:szCs w:val="22"/>
        </w:rPr>
        <w:t>4.1</w:t>
      </w:r>
      <w:r>
        <w:rPr>
          <w:rFonts w:hint="eastAsia" w:ascii="宋体" w:hAnsi="宋体"/>
          <w:b/>
          <w:bCs/>
          <w:color w:val="000000"/>
          <w:sz w:val="22"/>
          <w:szCs w:val="22"/>
        </w:rPr>
        <w:t xml:space="preserve"> </w:t>
      </w:r>
      <w:r>
        <w:rPr>
          <w:rFonts w:ascii="宋体" w:hAnsi="宋体"/>
          <w:b/>
          <w:bCs/>
          <w:color w:val="000000"/>
          <w:sz w:val="22"/>
          <w:szCs w:val="22"/>
        </w:rPr>
        <w:t>离子源</w:t>
      </w:r>
    </w:p>
    <w:p>
      <w:pPr>
        <w:spacing w:line="420" w:lineRule="exact"/>
        <w:ind w:firstLine="480" w:firstLineChars="200"/>
        <w:rPr>
          <w:rFonts w:ascii="宋体" w:hAnsi="宋体"/>
          <w:color w:val="000000"/>
          <w:sz w:val="22"/>
          <w:szCs w:val="22"/>
        </w:rPr>
      </w:pPr>
      <w:r>
        <w:rPr>
          <w:rFonts w:hint="eastAsia" w:ascii="宋体" w:hAnsi="宋体" w:cs="Arial Unicode MS"/>
          <w:color w:val="000000"/>
          <w:szCs w:val="21"/>
        </w:rPr>
        <w:t>▲</w:t>
      </w:r>
      <w:r>
        <w:rPr>
          <w:rFonts w:ascii="宋体" w:hAnsi="宋体"/>
          <w:sz w:val="22"/>
          <w:szCs w:val="22"/>
        </w:rPr>
        <w:t>4.1.1 离子源装置：一体化的离子源部件设计，包括推斥极、离子盒和透镜组，</w:t>
      </w:r>
      <w:r>
        <w:rPr>
          <w:rFonts w:hint="eastAsia" w:ascii="宋体" w:hAnsi="宋体"/>
          <w:sz w:val="22"/>
          <w:szCs w:val="22"/>
        </w:rPr>
        <w:t>可</w:t>
      </w:r>
      <w:r>
        <w:rPr>
          <w:rFonts w:ascii="宋体" w:hAnsi="宋体"/>
          <w:sz w:val="22"/>
          <w:szCs w:val="22"/>
        </w:rPr>
        <w:t>切换EI源和CI源；离子源装置</w:t>
      </w:r>
      <w:r>
        <w:rPr>
          <w:rFonts w:hint="eastAsia" w:ascii="宋体" w:hAnsi="宋体"/>
          <w:sz w:val="22"/>
          <w:szCs w:val="22"/>
        </w:rPr>
        <w:t>也可以</w:t>
      </w:r>
      <w:r>
        <w:rPr>
          <w:rFonts w:ascii="宋体" w:hAnsi="宋体"/>
          <w:sz w:val="22"/>
          <w:szCs w:val="22"/>
        </w:rPr>
        <w:t>是采用完全惰性的材料制成，可以采用氦气和氢气两种气体做为载气，离子源离子化能量：5-220eV或更宽</w:t>
      </w:r>
      <w:r>
        <w:rPr>
          <w:rFonts w:hint="eastAsia" w:ascii="宋体" w:hAnsi="宋体"/>
          <w:sz w:val="22"/>
          <w:szCs w:val="22"/>
        </w:rPr>
        <w:t>；</w:t>
      </w:r>
    </w:p>
    <w:p>
      <w:pPr>
        <w:spacing w:line="420" w:lineRule="exact"/>
        <w:ind w:firstLine="440" w:firstLineChars="200"/>
        <w:rPr>
          <w:rFonts w:ascii="宋体" w:hAnsi="宋体"/>
          <w:sz w:val="22"/>
          <w:szCs w:val="22"/>
        </w:rPr>
      </w:pPr>
      <w:r>
        <w:rPr>
          <w:rFonts w:ascii="宋体" w:hAnsi="宋体"/>
          <w:sz w:val="22"/>
          <w:szCs w:val="22"/>
        </w:rPr>
        <w:t>4.1.</w:t>
      </w:r>
      <w:r>
        <w:rPr>
          <w:rFonts w:hint="eastAsia" w:ascii="宋体" w:hAnsi="宋体"/>
          <w:sz w:val="22"/>
          <w:szCs w:val="22"/>
        </w:rPr>
        <w:t xml:space="preserve">2 </w:t>
      </w:r>
      <w:r>
        <w:rPr>
          <w:rFonts w:ascii="宋体" w:hAnsi="宋体"/>
          <w:sz w:val="22"/>
          <w:szCs w:val="22"/>
        </w:rPr>
        <w:t>无镀层的惰性材料，离子源独立加热控制，温度可到350℃</w:t>
      </w:r>
      <w:r>
        <w:rPr>
          <w:rFonts w:hint="eastAsia" w:ascii="宋体" w:hAnsi="宋体"/>
          <w:sz w:val="22"/>
          <w:szCs w:val="22"/>
        </w:rPr>
        <w:t>；</w:t>
      </w:r>
    </w:p>
    <w:p>
      <w:pPr>
        <w:spacing w:line="420" w:lineRule="exact"/>
        <w:ind w:firstLine="440" w:firstLineChars="200"/>
        <w:rPr>
          <w:rFonts w:ascii="宋体" w:hAnsi="宋体"/>
          <w:sz w:val="22"/>
          <w:szCs w:val="22"/>
        </w:rPr>
      </w:pPr>
      <w:r>
        <w:rPr>
          <w:rFonts w:ascii="宋体" w:hAnsi="宋体"/>
          <w:sz w:val="22"/>
          <w:szCs w:val="22"/>
        </w:rPr>
        <w:t>4.1.</w:t>
      </w:r>
      <w:r>
        <w:rPr>
          <w:rFonts w:hint="eastAsia" w:ascii="宋体" w:hAnsi="宋体"/>
          <w:sz w:val="22"/>
          <w:szCs w:val="22"/>
        </w:rPr>
        <w:t xml:space="preserve">3 </w:t>
      </w:r>
      <w:r>
        <w:rPr>
          <w:rFonts w:ascii="宋体" w:hAnsi="宋体"/>
          <w:sz w:val="22"/>
          <w:szCs w:val="22"/>
        </w:rPr>
        <w:t>提供独立于源加热板的单独透镜加热板，对透镜与离子光学通道进行额外的温度控制</w:t>
      </w:r>
      <w:r>
        <w:rPr>
          <w:rFonts w:hint="eastAsia" w:ascii="宋体" w:hAnsi="宋体"/>
          <w:sz w:val="22"/>
          <w:szCs w:val="22"/>
        </w:rPr>
        <w:t>；</w:t>
      </w:r>
    </w:p>
    <w:p>
      <w:pPr>
        <w:spacing w:line="420" w:lineRule="exact"/>
        <w:ind w:firstLine="440" w:firstLineChars="200"/>
        <w:rPr>
          <w:rFonts w:ascii="宋体" w:hAnsi="宋体"/>
          <w:sz w:val="22"/>
          <w:szCs w:val="22"/>
        </w:rPr>
      </w:pPr>
      <w:r>
        <w:rPr>
          <w:rFonts w:ascii="宋体" w:hAnsi="宋体"/>
          <w:sz w:val="22"/>
          <w:szCs w:val="22"/>
        </w:rPr>
        <w:t>4.1.</w:t>
      </w:r>
      <w:r>
        <w:rPr>
          <w:rFonts w:hint="eastAsia" w:ascii="宋体" w:hAnsi="宋体"/>
          <w:sz w:val="22"/>
          <w:szCs w:val="22"/>
        </w:rPr>
        <w:t xml:space="preserve">4 </w:t>
      </w:r>
      <w:r>
        <w:rPr>
          <w:rFonts w:ascii="宋体" w:hAnsi="宋体"/>
          <w:sz w:val="22"/>
          <w:szCs w:val="22"/>
        </w:rPr>
        <w:t>电子束校准磁场</w:t>
      </w:r>
      <w:r>
        <w:rPr>
          <w:rFonts w:hint="eastAsia" w:ascii="宋体" w:hAnsi="宋体"/>
          <w:sz w:val="22"/>
          <w:szCs w:val="22"/>
        </w:rPr>
        <w:t>；</w:t>
      </w:r>
    </w:p>
    <w:p>
      <w:pPr>
        <w:spacing w:line="420" w:lineRule="exact"/>
        <w:ind w:firstLine="440" w:firstLineChars="200"/>
        <w:rPr>
          <w:rFonts w:ascii="宋体" w:hAnsi="宋体"/>
          <w:sz w:val="22"/>
          <w:szCs w:val="22"/>
        </w:rPr>
      </w:pPr>
      <w:r>
        <w:rPr>
          <w:rFonts w:ascii="宋体" w:hAnsi="宋体"/>
          <w:sz w:val="22"/>
          <w:szCs w:val="22"/>
        </w:rPr>
        <w:t>4.1.</w:t>
      </w:r>
      <w:r>
        <w:rPr>
          <w:rFonts w:hint="eastAsia" w:ascii="宋体" w:hAnsi="宋体"/>
          <w:sz w:val="22"/>
          <w:szCs w:val="22"/>
        </w:rPr>
        <w:t xml:space="preserve">5 </w:t>
      </w:r>
      <w:r>
        <w:rPr>
          <w:rFonts w:ascii="宋体" w:hAnsi="宋体"/>
          <w:sz w:val="22"/>
          <w:szCs w:val="22"/>
        </w:rPr>
        <w:t>精确调节的灯丝发射电流最大可到350 µA</w:t>
      </w:r>
      <w:r>
        <w:rPr>
          <w:rFonts w:hint="eastAsia" w:ascii="宋体" w:hAnsi="宋体"/>
          <w:sz w:val="22"/>
          <w:szCs w:val="22"/>
        </w:rPr>
        <w:t>；</w:t>
      </w:r>
    </w:p>
    <w:p>
      <w:pPr>
        <w:spacing w:line="420" w:lineRule="exact"/>
        <w:ind w:firstLine="440" w:firstLineChars="200"/>
        <w:rPr>
          <w:rFonts w:ascii="宋体" w:hAnsi="宋体"/>
          <w:sz w:val="22"/>
          <w:szCs w:val="22"/>
        </w:rPr>
      </w:pPr>
      <w:r>
        <w:rPr>
          <w:rFonts w:ascii="宋体" w:hAnsi="宋体"/>
          <w:sz w:val="22"/>
          <w:szCs w:val="22"/>
        </w:rPr>
        <w:t>4.1.</w:t>
      </w:r>
      <w:r>
        <w:rPr>
          <w:rFonts w:hint="eastAsia" w:ascii="宋体" w:hAnsi="宋体"/>
          <w:sz w:val="22"/>
          <w:szCs w:val="22"/>
        </w:rPr>
        <w:t xml:space="preserve">6 </w:t>
      </w:r>
      <w:r>
        <w:rPr>
          <w:rFonts w:ascii="宋体" w:hAnsi="宋体"/>
          <w:sz w:val="22"/>
          <w:szCs w:val="22"/>
        </w:rPr>
        <w:t>可调的气质接口温度：100～350℃</w:t>
      </w:r>
      <w:r>
        <w:rPr>
          <w:rFonts w:hint="eastAsia" w:ascii="宋体" w:hAnsi="宋体"/>
          <w:sz w:val="22"/>
          <w:szCs w:val="22"/>
        </w:rPr>
        <w:t>；</w:t>
      </w:r>
    </w:p>
    <w:p>
      <w:pPr>
        <w:spacing w:line="420" w:lineRule="exact"/>
        <w:ind w:firstLine="440" w:firstLineChars="200"/>
        <w:rPr>
          <w:rFonts w:ascii="宋体" w:hAnsi="宋体"/>
          <w:sz w:val="22"/>
          <w:szCs w:val="22"/>
        </w:rPr>
      </w:pPr>
      <w:r>
        <w:rPr>
          <w:rFonts w:ascii="宋体" w:hAnsi="宋体"/>
          <w:sz w:val="22"/>
          <w:szCs w:val="22"/>
        </w:rPr>
        <w:t>4.1.</w:t>
      </w:r>
      <w:r>
        <w:rPr>
          <w:rFonts w:hint="eastAsia" w:ascii="宋体" w:hAnsi="宋体"/>
          <w:sz w:val="22"/>
          <w:szCs w:val="22"/>
        </w:rPr>
        <w:t xml:space="preserve">7 </w:t>
      </w:r>
      <w:r>
        <w:rPr>
          <w:rFonts w:ascii="宋体" w:hAnsi="宋体"/>
          <w:sz w:val="22"/>
          <w:szCs w:val="22"/>
        </w:rPr>
        <w:t>一体化的、同方向、并有灯丝透镜保护的双灯丝组件设计，双灯丝既可用于EI模式又可用于CI模式</w:t>
      </w:r>
      <w:r>
        <w:rPr>
          <w:rFonts w:hint="eastAsia" w:ascii="宋体" w:hAnsi="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 xml:space="preserve">4.2 </w:t>
      </w:r>
      <w:r>
        <w:rPr>
          <w:rFonts w:ascii="宋体" w:hAnsi="宋体"/>
          <w:b/>
          <w:bCs/>
          <w:color w:val="000000"/>
          <w:sz w:val="22"/>
          <w:szCs w:val="22"/>
        </w:rPr>
        <w:t>四极杆质量分析器</w:t>
      </w:r>
    </w:p>
    <w:p>
      <w:pPr>
        <w:spacing w:line="420" w:lineRule="exact"/>
        <w:ind w:firstLine="480" w:firstLineChars="200"/>
        <w:rPr>
          <w:rFonts w:ascii="宋体" w:hAnsi="宋体"/>
          <w:sz w:val="22"/>
          <w:szCs w:val="22"/>
        </w:rPr>
      </w:pPr>
      <w:r>
        <w:rPr>
          <w:rFonts w:hint="eastAsia" w:ascii="宋体" w:hAnsi="宋体" w:cs="Arial Unicode MS"/>
          <w:color w:val="000000"/>
          <w:szCs w:val="21"/>
        </w:rPr>
        <w:t>▲</w:t>
      </w:r>
      <w:r>
        <w:rPr>
          <w:rFonts w:ascii="宋体" w:hAnsi="宋体"/>
          <w:sz w:val="22"/>
          <w:szCs w:val="22"/>
        </w:rPr>
        <w:t>4.</w:t>
      </w:r>
      <w:r>
        <w:rPr>
          <w:rFonts w:hint="eastAsia" w:ascii="宋体" w:hAnsi="宋体"/>
          <w:sz w:val="22"/>
          <w:szCs w:val="22"/>
        </w:rPr>
        <w:t>2</w:t>
      </w:r>
      <w:r>
        <w:rPr>
          <w:rFonts w:ascii="宋体" w:hAnsi="宋体"/>
          <w:sz w:val="22"/>
          <w:szCs w:val="22"/>
        </w:rPr>
        <w:t>.</w:t>
      </w:r>
      <w:r>
        <w:rPr>
          <w:rFonts w:hint="eastAsia" w:ascii="宋体" w:hAnsi="宋体"/>
          <w:sz w:val="22"/>
          <w:szCs w:val="22"/>
        </w:rPr>
        <w:t>1</w:t>
      </w:r>
      <w:r>
        <w:rPr>
          <w:rFonts w:ascii="宋体" w:hAnsi="宋体"/>
          <w:sz w:val="22"/>
          <w:szCs w:val="22"/>
        </w:rPr>
        <w:t xml:space="preserve"> 四极杆</w:t>
      </w:r>
      <w:r>
        <w:rPr>
          <w:rFonts w:hint="eastAsia" w:ascii="宋体" w:hAnsi="宋体"/>
          <w:sz w:val="22"/>
          <w:szCs w:val="22"/>
        </w:rPr>
        <w:t>可以是</w:t>
      </w:r>
      <w:r>
        <w:rPr>
          <w:rFonts w:ascii="宋体" w:hAnsi="宋体"/>
          <w:sz w:val="22"/>
          <w:szCs w:val="22"/>
        </w:rPr>
        <w:t>全金属钼主四极杆，惰性，均一无镀层设计，可打磨可清洗；</w:t>
      </w:r>
      <w:r>
        <w:rPr>
          <w:rFonts w:hint="eastAsia" w:ascii="宋体" w:hAnsi="宋体"/>
          <w:sz w:val="22"/>
          <w:szCs w:val="22"/>
        </w:rPr>
        <w:t>也可以</w:t>
      </w:r>
      <w:r>
        <w:rPr>
          <w:rFonts w:ascii="宋体" w:hAnsi="宋体"/>
          <w:sz w:val="22"/>
          <w:szCs w:val="22"/>
        </w:rPr>
        <w:t>是整体镀金双曲面四极杆，独立温控</w:t>
      </w:r>
      <w:r>
        <w:rPr>
          <w:rFonts w:hint="eastAsia" w:ascii="宋体" w:hAnsi="宋体"/>
          <w:sz w:val="22"/>
          <w:szCs w:val="22"/>
        </w:rPr>
        <w:t>；</w:t>
      </w:r>
    </w:p>
    <w:p>
      <w:pPr>
        <w:spacing w:line="420" w:lineRule="exact"/>
        <w:ind w:firstLine="480" w:firstLineChars="200"/>
        <w:rPr>
          <w:rFonts w:ascii="宋体" w:hAnsi="宋体" w:cs="Arial Unicode MS"/>
          <w:color w:val="000000"/>
          <w:sz w:val="22"/>
          <w:szCs w:val="22"/>
        </w:rPr>
      </w:pPr>
      <w:r>
        <w:rPr>
          <w:rFonts w:hint="eastAsia" w:ascii="宋体" w:hAnsi="宋体" w:cs="Arial Unicode MS"/>
          <w:color w:val="000000"/>
          <w:szCs w:val="21"/>
        </w:rPr>
        <w:t>▲</w:t>
      </w:r>
      <w:r>
        <w:rPr>
          <w:rFonts w:ascii="宋体" w:hAnsi="宋体"/>
          <w:sz w:val="22"/>
          <w:szCs w:val="22"/>
        </w:rPr>
        <w:t>4.</w:t>
      </w:r>
      <w:r>
        <w:rPr>
          <w:rFonts w:hint="eastAsia" w:ascii="宋体" w:hAnsi="宋体"/>
          <w:sz w:val="22"/>
          <w:szCs w:val="22"/>
        </w:rPr>
        <w:t>2</w:t>
      </w:r>
      <w:r>
        <w:rPr>
          <w:rFonts w:ascii="宋体" w:hAnsi="宋体"/>
          <w:sz w:val="22"/>
          <w:szCs w:val="22"/>
        </w:rPr>
        <w:t>.</w:t>
      </w:r>
      <w:r>
        <w:rPr>
          <w:rFonts w:hint="eastAsia" w:ascii="宋体" w:hAnsi="宋体"/>
          <w:sz w:val="22"/>
          <w:szCs w:val="22"/>
        </w:rPr>
        <w:t xml:space="preserve">2 </w:t>
      </w:r>
      <w:r>
        <w:rPr>
          <w:rFonts w:hint="eastAsia" w:ascii="宋体" w:hAnsi="宋体" w:cs="Arial Unicode MS"/>
          <w:color w:val="000000"/>
          <w:sz w:val="22"/>
          <w:szCs w:val="22"/>
        </w:rPr>
        <w:t>主四级杆前面配预四级杆——“</w:t>
      </w:r>
      <w:r>
        <w:rPr>
          <w:rFonts w:ascii="宋体" w:hAnsi="宋体" w:cs="Arial Unicode MS"/>
          <w:color w:val="000000"/>
          <w:sz w:val="22"/>
          <w:szCs w:val="22"/>
        </w:rPr>
        <w:t>S</w:t>
      </w:r>
      <w:r>
        <w:rPr>
          <w:rFonts w:hint="eastAsia" w:ascii="宋体" w:hAnsi="宋体" w:cs="Arial Unicode MS"/>
          <w:color w:val="000000"/>
          <w:sz w:val="22"/>
          <w:szCs w:val="22"/>
        </w:rPr>
        <w:t>”</w:t>
      </w:r>
      <w:r>
        <w:rPr>
          <w:rFonts w:ascii="宋体" w:hAnsi="宋体" w:cs="Arial Unicode MS"/>
          <w:color w:val="000000"/>
          <w:sz w:val="22"/>
          <w:szCs w:val="22"/>
        </w:rPr>
        <w:t>型弯曲的离子光学通道</w:t>
      </w:r>
      <w:r>
        <w:rPr>
          <w:rFonts w:hint="eastAsia" w:ascii="宋体" w:hAnsi="宋体" w:cs="Arial Unicode MS"/>
          <w:color w:val="000000"/>
          <w:sz w:val="22"/>
          <w:szCs w:val="22"/>
        </w:rPr>
        <w:t>，</w:t>
      </w:r>
      <w:r>
        <w:rPr>
          <w:rFonts w:ascii="宋体" w:hAnsi="宋体" w:cs="Arial Unicode MS"/>
          <w:color w:val="000000"/>
          <w:sz w:val="22"/>
          <w:szCs w:val="22"/>
        </w:rPr>
        <w:t>离子光学通道具有RF lens</w:t>
      </w:r>
      <w:r>
        <w:rPr>
          <w:rFonts w:hint="eastAsia" w:ascii="宋体" w:hAnsi="宋体" w:cs="Arial Unicode MS"/>
          <w:color w:val="000000"/>
          <w:sz w:val="22"/>
          <w:szCs w:val="22"/>
        </w:rPr>
        <w:t>保护鞘；</w:t>
      </w:r>
    </w:p>
    <w:p>
      <w:pPr>
        <w:spacing w:line="420" w:lineRule="exact"/>
        <w:ind w:firstLine="440" w:firstLineChars="200"/>
        <w:rPr>
          <w:rFonts w:ascii="宋体" w:hAnsi="宋体"/>
          <w:sz w:val="22"/>
          <w:szCs w:val="22"/>
        </w:rPr>
      </w:pPr>
      <w:r>
        <w:rPr>
          <w:rFonts w:ascii="宋体" w:hAnsi="宋体"/>
          <w:sz w:val="22"/>
          <w:szCs w:val="22"/>
        </w:rPr>
        <w:t>4.</w:t>
      </w:r>
      <w:r>
        <w:rPr>
          <w:rFonts w:hint="eastAsia" w:ascii="宋体" w:hAnsi="宋体"/>
          <w:sz w:val="22"/>
          <w:szCs w:val="22"/>
        </w:rPr>
        <w:t>2</w:t>
      </w:r>
      <w:r>
        <w:rPr>
          <w:rFonts w:ascii="宋体" w:hAnsi="宋体"/>
          <w:sz w:val="22"/>
          <w:szCs w:val="22"/>
        </w:rPr>
        <w:t>.</w:t>
      </w:r>
      <w:r>
        <w:rPr>
          <w:rFonts w:hint="eastAsia" w:ascii="宋体" w:hAnsi="宋体"/>
          <w:sz w:val="22"/>
          <w:szCs w:val="22"/>
        </w:rPr>
        <w:t xml:space="preserve">3 </w:t>
      </w:r>
      <w:r>
        <w:rPr>
          <w:rFonts w:ascii="宋体" w:hAnsi="宋体"/>
          <w:sz w:val="22"/>
          <w:szCs w:val="22"/>
        </w:rPr>
        <w:t>质量范围≥1.2 –1100 u</w:t>
      </w:r>
      <w:r>
        <w:rPr>
          <w:rFonts w:hint="eastAsia" w:ascii="宋体" w:hAnsi="宋体"/>
          <w:sz w:val="22"/>
          <w:szCs w:val="22"/>
        </w:rPr>
        <w:t>；</w:t>
      </w:r>
    </w:p>
    <w:p>
      <w:pPr>
        <w:spacing w:line="420" w:lineRule="exact"/>
        <w:ind w:firstLine="440" w:firstLineChars="200"/>
        <w:rPr>
          <w:rFonts w:ascii="宋体" w:hAnsi="宋体"/>
          <w:sz w:val="22"/>
          <w:szCs w:val="22"/>
        </w:rPr>
      </w:pPr>
      <w:r>
        <w:rPr>
          <w:rFonts w:ascii="宋体" w:hAnsi="宋体"/>
          <w:sz w:val="22"/>
          <w:szCs w:val="22"/>
        </w:rPr>
        <w:t>4.</w:t>
      </w:r>
      <w:r>
        <w:rPr>
          <w:rFonts w:hint="eastAsia" w:ascii="宋体" w:hAnsi="宋体"/>
          <w:sz w:val="22"/>
          <w:szCs w:val="22"/>
        </w:rPr>
        <w:t>2</w:t>
      </w:r>
      <w:r>
        <w:rPr>
          <w:rFonts w:ascii="宋体" w:hAnsi="宋体"/>
          <w:sz w:val="22"/>
          <w:szCs w:val="22"/>
        </w:rPr>
        <w:t>.</w:t>
      </w:r>
      <w:r>
        <w:rPr>
          <w:rFonts w:hint="eastAsia" w:ascii="宋体" w:hAnsi="宋体"/>
          <w:sz w:val="22"/>
          <w:szCs w:val="22"/>
        </w:rPr>
        <w:t xml:space="preserve">4 </w:t>
      </w:r>
      <w:r>
        <w:rPr>
          <w:rFonts w:ascii="宋体" w:hAnsi="宋体"/>
          <w:sz w:val="22"/>
          <w:szCs w:val="22"/>
        </w:rPr>
        <w:t>分辨率：全质量范围内单位质量分辨</w:t>
      </w:r>
      <w:r>
        <w:rPr>
          <w:rFonts w:hint="eastAsia" w:ascii="宋体" w:hAnsi="宋体"/>
          <w:sz w:val="22"/>
          <w:szCs w:val="22"/>
        </w:rPr>
        <w:t>；</w:t>
      </w:r>
    </w:p>
    <w:p>
      <w:pPr>
        <w:spacing w:line="420" w:lineRule="exact"/>
        <w:ind w:firstLine="440" w:firstLineChars="200"/>
        <w:rPr>
          <w:rFonts w:ascii="宋体" w:hAnsi="宋体"/>
          <w:sz w:val="22"/>
          <w:szCs w:val="22"/>
        </w:rPr>
      </w:pPr>
      <w:r>
        <w:rPr>
          <w:rFonts w:ascii="宋体" w:hAnsi="宋体"/>
          <w:sz w:val="22"/>
          <w:szCs w:val="22"/>
        </w:rPr>
        <w:t>4.</w:t>
      </w:r>
      <w:r>
        <w:rPr>
          <w:rFonts w:hint="eastAsia" w:ascii="宋体" w:hAnsi="宋体"/>
          <w:sz w:val="22"/>
          <w:szCs w:val="22"/>
        </w:rPr>
        <w:t>2</w:t>
      </w:r>
      <w:r>
        <w:rPr>
          <w:rFonts w:ascii="宋体" w:hAnsi="宋体"/>
          <w:sz w:val="22"/>
          <w:szCs w:val="22"/>
        </w:rPr>
        <w:t>.</w:t>
      </w:r>
      <w:r>
        <w:rPr>
          <w:rFonts w:hint="eastAsia" w:ascii="宋体" w:hAnsi="宋体"/>
          <w:sz w:val="22"/>
          <w:szCs w:val="22"/>
        </w:rPr>
        <w:t xml:space="preserve">5 </w:t>
      </w:r>
      <w:r>
        <w:rPr>
          <w:rFonts w:ascii="宋体" w:hAnsi="宋体"/>
          <w:sz w:val="22"/>
          <w:szCs w:val="22"/>
        </w:rPr>
        <w:t>扫描速度：20000 u/s</w:t>
      </w:r>
      <w:r>
        <w:rPr>
          <w:rFonts w:hint="eastAsia" w:ascii="宋体" w:hAnsi="宋体"/>
          <w:sz w:val="22"/>
          <w:szCs w:val="22"/>
        </w:rPr>
        <w:t>。</w:t>
      </w:r>
    </w:p>
    <w:p>
      <w:pPr>
        <w:tabs>
          <w:tab w:val="left" w:pos="851"/>
        </w:tabs>
        <w:spacing w:line="360" w:lineRule="auto"/>
        <w:rPr>
          <w:rFonts w:ascii="宋体" w:hAnsi="宋体"/>
          <w:b/>
          <w:bCs/>
          <w:color w:val="000000"/>
          <w:sz w:val="22"/>
          <w:szCs w:val="22"/>
        </w:rPr>
      </w:pPr>
      <w:r>
        <w:rPr>
          <w:rFonts w:ascii="宋体" w:hAnsi="宋体"/>
          <w:b/>
          <w:bCs/>
          <w:color w:val="000000"/>
          <w:sz w:val="22"/>
          <w:szCs w:val="22"/>
        </w:rPr>
        <w:t>4.3</w:t>
      </w:r>
      <w:r>
        <w:rPr>
          <w:rFonts w:hint="eastAsia" w:ascii="宋体" w:hAnsi="宋体"/>
          <w:b/>
          <w:bCs/>
          <w:color w:val="000000"/>
          <w:sz w:val="22"/>
          <w:szCs w:val="22"/>
        </w:rPr>
        <w:t xml:space="preserve"> </w:t>
      </w:r>
      <w:r>
        <w:rPr>
          <w:rFonts w:ascii="宋体" w:hAnsi="宋体"/>
          <w:b/>
          <w:bCs/>
          <w:color w:val="000000"/>
          <w:sz w:val="22"/>
          <w:szCs w:val="22"/>
        </w:rPr>
        <w:t>采集速率</w:t>
      </w:r>
    </w:p>
    <w:p>
      <w:pPr>
        <w:spacing w:line="420" w:lineRule="exact"/>
        <w:ind w:firstLine="440" w:firstLineChars="200"/>
        <w:rPr>
          <w:rFonts w:ascii="宋体" w:hAnsi="宋体"/>
          <w:sz w:val="22"/>
          <w:szCs w:val="22"/>
        </w:rPr>
      </w:pPr>
      <w:r>
        <w:rPr>
          <w:rFonts w:ascii="宋体" w:hAnsi="宋体"/>
          <w:sz w:val="22"/>
          <w:szCs w:val="22"/>
        </w:rPr>
        <w:t>4.3.1 SIM模式，采集速率≥240 scans/sec</w:t>
      </w:r>
      <w:r>
        <w:rPr>
          <w:rFonts w:hint="eastAsia" w:ascii="宋体" w:hAnsi="宋体"/>
          <w:sz w:val="22"/>
          <w:szCs w:val="22"/>
        </w:rPr>
        <w:t>；</w:t>
      </w:r>
    </w:p>
    <w:p>
      <w:pPr>
        <w:spacing w:line="420" w:lineRule="exact"/>
        <w:ind w:firstLine="440" w:firstLineChars="200"/>
        <w:rPr>
          <w:rFonts w:ascii="宋体" w:hAnsi="宋体"/>
          <w:sz w:val="22"/>
          <w:szCs w:val="22"/>
        </w:rPr>
      </w:pPr>
      <w:r>
        <w:rPr>
          <w:rFonts w:ascii="宋体" w:hAnsi="宋体"/>
          <w:sz w:val="22"/>
          <w:szCs w:val="22"/>
        </w:rPr>
        <w:t>4.3.2 全扫描模式（扫描范围≥125u），采集速率≥97 scans/sec</w:t>
      </w:r>
      <w:r>
        <w:rPr>
          <w:rFonts w:hint="eastAsia" w:ascii="宋体" w:hAnsi="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4.4</w:t>
      </w:r>
      <w:r>
        <w:rPr>
          <w:rFonts w:ascii="宋体" w:hAnsi="宋体"/>
          <w:b/>
          <w:bCs/>
          <w:color w:val="000000"/>
          <w:sz w:val="22"/>
          <w:szCs w:val="22"/>
        </w:rPr>
        <w:t xml:space="preserve"> 灵敏度（使用He气做载气）</w:t>
      </w:r>
    </w:p>
    <w:p>
      <w:pPr>
        <w:spacing w:line="420" w:lineRule="exact"/>
        <w:ind w:firstLine="440" w:firstLineChars="200"/>
        <w:rPr>
          <w:rFonts w:ascii="宋体" w:hAnsi="宋体"/>
          <w:sz w:val="22"/>
          <w:szCs w:val="22"/>
        </w:rPr>
      </w:pPr>
      <w:r>
        <w:rPr>
          <w:rFonts w:ascii="宋体" w:hAnsi="宋体"/>
          <w:sz w:val="22"/>
          <w:szCs w:val="22"/>
        </w:rPr>
        <w:t>4.</w:t>
      </w:r>
      <w:r>
        <w:rPr>
          <w:rFonts w:hint="eastAsia" w:ascii="宋体" w:hAnsi="宋体"/>
          <w:sz w:val="22"/>
          <w:szCs w:val="22"/>
        </w:rPr>
        <w:t>4</w:t>
      </w:r>
      <w:r>
        <w:rPr>
          <w:rFonts w:ascii="宋体" w:hAnsi="宋体"/>
          <w:sz w:val="22"/>
          <w:szCs w:val="22"/>
        </w:rPr>
        <w:t>.1 EI全扫描，1 pg/µL八氟萘进样1µL，扫描范围50-300u，S/N ≥ 1500:1 (mass 272，RMS)</w:t>
      </w:r>
      <w:r>
        <w:rPr>
          <w:rFonts w:hint="eastAsia" w:ascii="宋体" w:hAnsi="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4.5</w:t>
      </w:r>
      <w:r>
        <w:rPr>
          <w:rFonts w:ascii="宋体" w:hAnsi="宋体"/>
          <w:b/>
          <w:bCs/>
          <w:color w:val="000000"/>
          <w:sz w:val="22"/>
          <w:szCs w:val="22"/>
        </w:rPr>
        <w:t xml:space="preserve"> 检测器系统</w:t>
      </w:r>
    </w:p>
    <w:p>
      <w:pPr>
        <w:spacing w:line="420" w:lineRule="exact"/>
        <w:ind w:firstLine="440" w:firstLineChars="200"/>
        <w:rPr>
          <w:rFonts w:ascii="宋体" w:hAnsi="宋体"/>
          <w:sz w:val="22"/>
          <w:szCs w:val="22"/>
        </w:rPr>
      </w:pPr>
      <w:r>
        <w:rPr>
          <w:rFonts w:hint="eastAsia" w:ascii="宋体" w:hAnsi="宋体"/>
          <w:sz w:val="22"/>
          <w:szCs w:val="22"/>
        </w:rPr>
        <w:t>4.5.1</w:t>
      </w:r>
      <w:r>
        <w:rPr>
          <w:rFonts w:ascii="宋体" w:hAnsi="宋体"/>
          <w:sz w:val="22"/>
          <w:szCs w:val="22"/>
        </w:rPr>
        <w:t>离散型电子倍增器和静电计；</w:t>
      </w:r>
      <w:r>
        <w:rPr>
          <w:rFonts w:hint="eastAsia" w:ascii="宋体" w:hAnsi="宋体"/>
          <w:sz w:val="22"/>
          <w:szCs w:val="22"/>
        </w:rPr>
        <w:t>也可以</w:t>
      </w:r>
      <w:r>
        <w:rPr>
          <w:rFonts w:ascii="宋体" w:hAnsi="宋体"/>
          <w:sz w:val="22"/>
          <w:szCs w:val="22"/>
        </w:rPr>
        <w:t>是TAD三重离轴光电倍增器</w:t>
      </w:r>
      <w:r>
        <w:rPr>
          <w:rFonts w:hint="eastAsia" w:ascii="宋体" w:hAnsi="宋体"/>
          <w:sz w:val="22"/>
          <w:szCs w:val="22"/>
        </w:rPr>
        <w:t>。</w:t>
      </w:r>
    </w:p>
    <w:p>
      <w:pPr>
        <w:tabs>
          <w:tab w:val="left" w:pos="851"/>
        </w:tabs>
        <w:spacing w:line="360" w:lineRule="auto"/>
        <w:rPr>
          <w:rFonts w:ascii="宋体" w:hAnsi="宋体"/>
          <w:b/>
          <w:bCs/>
          <w:color w:val="000000"/>
          <w:sz w:val="22"/>
          <w:szCs w:val="22"/>
        </w:rPr>
      </w:pPr>
      <w:r>
        <w:rPr>
          <w:rFonts w:ascii="宋体" w:hAnsi="宋体"/>
          <w:b/>
          <w:bCs/>
          <w:color w:val="000000"/>
          <w:sz w:val="22"/>
          <w:szCs w:val="22"/>
        </w:rPr>
        <w:t>4.</w:t>
      </w:r>
      <w:r>
        <w:rPr>
          <w:rFonts w:hint="eastAsia" w:ascii="宋体" w:hAnsi="宋体"/>
          <w:b/>
          <w:bCs/>
          <w:color w:val="000000"/>
          <w:sz w:val="22"/>
          <w:szCs w:val="22"/>
        </w:rPr>
        <w:t>6</w:t>
      </w:r>
      <w:r>
        <w:rPr>
          <w:rFonts w:ascii="宋体" w:hAnsi="宋体"/>
          <w:b/>
          <w:bCs/>
          <w:color w:val="000000"/>
          <w:sz w:val="22"/>
          <w:szCs w:val="22"/>
        </w:rPr>
        <w:t xml:space="preserve"> 真空系统</w:t>
      </w:r>
    </w:p>
    <w:p>
      <w:pPr>
        <w:spacing w:line="420" w:lineRule="exact"/>
        <w:ind w:firstLine="480" w:firstLineChars="200"/>
        <w:rPr>
          <w:rFonts w:ascii="宋体" w:hAnsi="宋体"/>
          <w:sz w:val="22"/>
          <w:szCs w:val="22"/>
        </w:rPr>
      </w:pPr>
      <w:r>
        <w:rPr>
          <w:rFonts w:hint="eastAsia" w:ascii="宋体" w:hAnsi="宋体" w:cs="Arial Unicode MS"/>
          <w:color w:val="000000"/>
          <w:szCs w:val="21"/>
        </w:rPr>
        <w:t>▲</w:t>
      </w:r>
      <w:r>
        <w:rPr>
          <w:rFonts w:hint="eastAsia" w:ascii="宋体" w:hAnsi="宋体"/>
          <w:sz w:val="22"/>
          <w:szCs w:val="22"/>
        </w:rPr>
        <w:t>4.6.1</w:t>
      </w:r>
      <w:r>
        <w:rPr>
          <w:rFonts w:ascii="宋体" w:hAnsi="宋体"/>
          <w:sz w:val="22"/>
          <w:szCs w:val="22"/>
        </w:rPr>
        <w:t xml:space="preserve"> 分子涡轮泵抽速为≥</w:t>
      </w:r>
      <w:r>
        <w:rPr>
          <w:rFonts w:hint="eastAsia" w:ascii="宋体" w:hAnsi="宋体"/>
          <w:sz w:val="22"/>
          <w:szCs w:val="22"/>
        </w:rPr>
        <w:t>300</w:t>
      </w:r>
      <w:r>
        <w:rPr>
          <w:rFonts w:ascii="宋体" w:hAnsi="宋体"/>
          <w:sz w:val="22"/>
          <w:szCs w:val="22"/>
        </w:rPr>
        <w:t>L/s(He)</w:t>
      </w:r>
      <w:r>
        <w:rPr>
          <w:rFonts w:ascii="宋体" w:hAnsi="宋体"/>
          <w:color w:val="FF0000"/>
          <w:sz w:val="22"/>
          <w:szCs w:val="22"/>
        </w:rPr>
        <w:t xml:space="preserve"> （</w:t>
      </w:r>
      <w:r>
        <w:rPr>
          <w:rFonts w:hint="eastAsia" w:ascii="宋体" w:hAnsi="宋体"/>
          <w:color w:val="FF0000"/>
          <w:sz w:val="22"/>
          <w:szCs w:val="22"/>
        </w:rPr>
        <w:t>需提供官方印刷的彩页或技术手册证明材料</w:t>
      </w:r>
      <w:r>
        <w:rPr>
          <w:rFonts w:ascii="宋体" w:hAnsi="宋体"/>
          <w:color w:val="FF0000"/>
          <w:sz w:val="22"/>
          <w:szCs w:val="22"/>
        </w:rPr>
        <w:t>）</w:t>
      </w:r>
    </w:p>
    <w:p>
      <w:pPr>
        <w:spacing w:line="420" w:lineRule="exact"/>
        <w:ind w:firstLine="440" w:firstLineChars="200"/>
        <w:rPr>
          <w:rFonts w:ascii="宋体" w:hAnsi="宋体"/>
          <w:sz w:val="22"/>
          <w:szCs w:val="22"/>
        </w:rPr>
      </w:pPr>
      <w:r>
        <w:rPr>
          <w:rFonts w:ascii="宋体" w:hAnsi="宋体"/>
          <w:sz w:val="22"/>
          <w:szCs w:val="22"/>
        </w:rPr>
        <w:t>4.</w:t>
      </w:r>
      <w:r>
        <w:rPr>
          <w:rFonts w:hint="eastAsia" w:ascii="宋体" w:hAnsi="宋体"/>
          <w:sz w:val="22"/>
          <w:szCs w:val="22"/>
        </w:rPr>
        <w:t xml:space="preserve">6.2 </w:t>
      </w:r>
      <w:r>
        <w:rPr>
          <w:rFonts w:ascii="宋体" w:hAnsi="宋体"/>
          <w:sz w:val="22"/>
          <w:szCs w:val="22"/>
        </w:rPr>
        <w:t>前级机械泵抽速为≥2.5m</w:t>
      </w:r>
      <w:r>
        <w:rPr>
          <w:rFonts w:ascii="宋体" w:hAnsi="宋体"/>
          <w:sz w:val="22"/>
          <w:szCs w:val="22"/>
          <w:vertAlign w:val="superscript"/>
        </w:rPr>
        <w:t>3</w:t>
      </w:r>
      <w:r>
        <w:rPr>
          <w:rFonts w:ascii="宋体" w:hAnsi="宋体"/>
          <w:sz w:val="22"/>
          <w:szCs w:val="22"/>
        </w:rPr>
        <w:t>/h</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 xml:space="preserve">4.7 </w:t>
      </w:r>
      <w:r>
        <w:rPr>
          <w:rFonts w:ascii="宋体" w:hAnsi="宋体"/>
          <w:b/>
          <w:bCs/>
          <w:color w:val="000000"/>
          <w:sz w:val="22"/>
          <w:szCs w:val="22"/>
        </w:rPr>
        <w:t>仪器控制</w:t>
      </w:r>
    </w:p>
    <w:p>
      <w:pPr>
        <w:spacing w:line="420" w:lineRule="exact"/>
        <w:ind w:firstLine="440" w:firstLineChars="200"/>
        <w:rPr>
          <w:rFonts w:ascii="宋体" w:hAnsi="宋体"/>
          <w:sz w:val="22"/>
          <w:szCs w:val="22"/>
        </w:rPr>
      </w:pPr>
      <w:r>
        <w:rPr>
          <w:rFonts w:ascii="宋体" w:hAnsi="宋体"/>
          <w:sz w:val="22"/>
          <w:szCs w:val="22"/>
        </w:rPr>
        <w:t>4.7.1 具有棒状图和轮廓图数据采集能力</w:t>
      </w:r>
    </w:p>
    <w:p>
      <w:pPr>
        <w:spacing w:line="420" w:lineRule="exact"/>
        <w:ind w:firstLine="440" w:firstLineChars="200"/>
        <w:rPr>
          <w:rFonts w:ascii="宋体" w:hAnsi="宋体"/>
          <w:sz w:val="22"/>
          <w:szCs w:val="22"/>
        </w:rPr>
      </w:pPr>
      <w:r>
        <w:rPr>
          <w:rFonts w:ascii="宋体" w:hAnsi="宋体"/>
          <w:sz w:val="22"/>
          <w:szCs w:val="22"/>
        </w:rPr>
        <w:t>4.7.</w:t>
      </w:r>
      <w:r>
        <w:rPr>
          <w:rFonts w:hint="eastAsia" w:ascii="宋体" w:hAnsi="宋体"/>
          <w:sz w:val="22"/>
          <w:szCs w:val="22"/>
        </w:rPr>
        <w:t>2</w:t>
      </w:r>
      <w:r>
        <w:rPr>
          <w:rFonts w:ascii="宋体" w:hAnsi="宋体"/>
          <w:sz w:val="22"/>
          <w:szCs w:val="22"/>
        </w:rPr>
        <w:t xml:space="preserve"> 提供全扫描、选择离子扫描和全扫描/选择离子扫描交替扫描（&gt;100组） </w:t>
      </w:r>
    </w:p>
    <w:p>
      <w:pPr>
        <w:spacing w:line="420" w:lineRule="exact"/>
        <w:ind w:firstLine="440" w:firstLineChars="200"/>
        <w:rPr>
          <w:rFonts w:ascii="宋体" w:hAnsi="宋体"/>
          <w:sz w:val="22"/>
          <w:szCs w:val="22"/>
        </w:rPr>
      </w:pPr>
      <w:r>
        <w:rPr>
          <w:rFonts w:ascii="宋体" w:hAnsi="宋体"/>
          <w:sz w:val="22"/>
          <w:szCs w:val="22"/>
        </w:rPr>
        <w:t>4.7.</w:t>
      </w:r>
      <w:r>
        <w:rPr>
          <w:rFonts w:hint="eastAsia" w:ascii="宋体" w:hAnsi="宋体"/>
          <w:sz w:val="22"/>
          <w:szCs w:val="22"/>
        </w:rPr>
        <w:t xml:space="preserve">3 </w:t>
      </w:r>
      <w:r>
        <w:rPr>
          <w:rFonts w:ascii="宋体" w:hAnsi="宋体"/>
          <w:sz w:val="22"/>
          <w:szCs w:val="22"/>
        </w:rPr>
        <w:t>可对每段扫描的扫描速度、扫描范围、离子极性、棒状图或轮廓图的采集、发射电流、检测器增益、化学源气体流速，指定调谐文件进行控制</w:t>
      </w:r>
    </w:p>
    <w:p>
      <w:pPr>
        <w:spacing w:line="420" w:lineRule="exact"/>
        <w:ind w:firstLine="440" w:firstLineChars="200"/>
        <w:rPr>
          <w:rFonts w:ascii="宋体" w:hAnsi="宋体"/>
          <w:sz w:val="22"/>
          <w:szCs w:val="22"/>
        </w:rPr>
      </w:pPr>
      <w:r>
        <w:rPr>
          <w:rFonts w:ascii="宋体" w:hAnsi="宋体"/>
          <w:sz w:val="22"/>
          <w:szCs w:val="22"/>
        </w:rPr>
        <w:t>4.7.</w:t>
      </w:r>
      <w:r>
        <w:rPr>
          <w:rFonts w:hint="eastAsia" w:ascii="宋体" w:hAnsi="宋体"/>
          <w:sz w:val="22"/>
          <w:szCs w:val="22"/>
        </w:rPr>
        <w:t>4</w:t>
      </w:r>
      <w:r>
        <w:rPr>
          <w:rFonts w:ascii="宋体" w:hAnsi="宋体"/>
          <w:sz w:val="22"/>
          <w:szCs w:val="22"/>
        </w:rPr>
        <w:t xml:space="preserve"> 具有AutoSIM和t-SIM功能（即根据全扫描自动生成SIM定量离子和保留时间的方法，并根据每个分析物的保留时间自动分配以该化合物保留时间为中心的SIM片段采集方法）</w:t>
      </w:r>
    </w:p>
    <w:p>
      <w:pPr>
        <w:tabs>
          <w:tab w:val="left" w:pos="851"/>
        </w:tabs>
        <w:spacing w:line="360" w:lineRule="auto"/>
        <w:rPr>
          <w:rFonts w:ascii="宋体" w:hAnsi="宋体"/>
          <w:b/>
          <w:bCs/>
          <w:color w:val="000000"/>
          <w:sz w:val="22"/>
          <w:szCs w:val="22"/>
        </w:rPr>
      </w:pPr>
      <w:r>
        <w:rPr>
          <w:rFonts w:ascii="宋体" w:hAnsi="宋体"/>
          <w:b/>
          <w:bCs/>
          <w:color w:val="000000"/>
          <w:sz w:val="22"/>
          <w:szCs w:val="22"/>
        </w:rPr>
        <w:t>4.8 数据处理系统</w:t>
      </w:r>
    </w:p>
    <w:p>
      <w:pPr>
        <w:spacing w:line="420" w:lineRule="exact"/>
        <w:ind w:firstLine="440" w:firstLineChars="200"/>
        <w:rPr>
          <w:rFonts w:ascii="宋体" w:hAnsi="宋体"/>
          <w:sz w:val="22"/>
          <w:szCs w:val="22"/>
        </w:rPr>
      </w:pPr>
      <w:r>
        <w:rPr>
          <w:rFonts w:hint="eastAsia" w:ascii="宋体" w:hAnsi="宋体"/>
          <w:sz w:val="22"/>
          <w:szCs w:val="22"/>
        </w:rPr>
        <w:t>4.8.1 数据处理功能包括：</w:t>
      </w:r>
      <w:r>
        <w:rPr>
          <w:rFonts w:ascii="宋体" w:hAnsi="宋体"/>
          <w:sz w:val="22"/>
          <w:szCs w:val="22"/>
        </w:rPr>
        <w:t>手动/自动调谐，数据采集，数据检索，分析结果报告，定量分析及谱库检索功能</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4.8.2 </w:t>
      </w:r>
      <w:r>
        <w:rPr>
          <w:rFonts w:ascii="宋体" w:hAnsi="宋体"/>
          <w:sz w:val="22"/>
          <w:szCs w:val="22"/>
        </w:rPr>
        <w:t>整套系统之间的数据传输全部依靠自身安装的网卡实现</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4.8.3 </w:t>
      </w:r>
      <w:r>
        <w:rPr>
          <w:rFonts w:ascii="宋体" w:hAnsi="宋体"/>
          <w:sz w:val="22"/>
          <w:szCs w:val="22"/>
        </w:rPr>
        <w:t>软件：Windows 7专业版操作系统，原厂工作站软件，具备数据采集、分析、储存及定性定量分析功能。中/英文可选。工作站软件符合GLP 规范，符合cGMP 标准</w:t>
      </w:r>
    </w:p>
    <w:p>
      <w:pPr>
        <w:spacing w:line="420" w:lineRule="exact"/>
        <w:ind w:firstLine="440" w:firstLineChars="200"/>
        <w:rPr>
          <w:rFonts w:ascii="宋体" w:hAnsi="宋体"/>
          <w:sz w:val="22"/>
          <w:szCs w:val="22"/>
        </w:rPr>
      </w:pPr>
      <w:r>
        <w:rPr>
          <w:rFonts w:hint="eastAsia" w:ascii="宋体" w:hAnsi="宋体"/>
          <w:sz w:val="22"/>
          <w:szCs w:val="22"/>
        </w:rPr>
        <w:t>4.8.1</w:t>
      </w:r>
      <w:r>
        <w:rPr>
          <w:rFonts w:ascii="宋体" w:hAnsi="宋体"/>
          <w:sz w:val="22"/>
          <w:szCs w:val="22"/>
        </w:rPr>
        <w:t>手动/自动调谐，数据采集，数据检索，分析结果报告，定量分析及谱库检索功能</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4.9  正版</w:t>
      </w:r>
      <w:r>
        <w:rPr>
          <w:rFonts w:ascii="宋体" w:hAnsi="宋体"/>
          <w:b/>
          <w:bCs/>
          <w:color w:val="000000"/>
          <w:sz w:val="22"/>
          <w:szCs w:val="22"/>
        </w:rPr>
        <w:t>谱库：NIST14谱库</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5、大气预浓缩进样装置</w:t>
      </w:r>
      <w:r>
        <w:rPr>
          <w:rFonts w:ascii="宋体" w:hAnsi="宋体"/>
          <w:b/>
          <w:bCs/>
          <w:color w:val="000000"/>
          <w:sz w:val="22"/>
          <w:szCs w:val="22"/>
        </w:rPr>
        <w:t>技术指标</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5.1 大气预浓缩仪</w:t>
      </w:r>
    </w:p>
    <w:p>
      <w:pPr>
        <w:spacing w:line="420" w:lineRule="exact"/>
        <w:ind w:firstLine="440" w:firstLineChars="200"/>
        <w:rPr>
          <w:rFonts w:ascii="宋体" w:hAnsi="宋体"/>
          <w:sz w:val="22"/>
          <w:szCs w:val="22"/>
        </w:rPr>
      </w:pPr>
      <w:r>
        <w:rPr>
          <w:rFonts w:hint="eastAsia" w:ascii="宋体" w:hAnsi="宋体"/>
          <w:sz w:val="22"/>
          <w:szCs w:val="22"/>
        </w:rPr>
        <w:t xml:space="preserve">5.1.1 </w:t>
      </w:r>
      <w:r>
        <w:rPr>
          <w:rFonts w:ascii="宋体" w:hAnsi="宋体"/>
          <w:sz w:val="22"/>
          <w:szCs w:val="22"/>
        </w:rPr>
        <w:t>可用于TS采样罐</w:t>
      </w:r>
      <w:r>
        <w:rPr>
          <w:rFonts w:hint="eastAsia" w:ascii="宋体" w:hAnsi="宋体"/>
          <w:sz w:val="22"/>
          <w:szCs w:val="22"/>
        </w:rPr>
        <w:t>和</w:t>
      </w:r>
      <w:r>
        <w:rPr>
          <w:rFonts w:ascii="宋体" w:hAnsi="宋体"/>
          <w:sz w:val="22"/>
          <w:szCs w:val="22"/>
        </w:rPr>
        <w:t>采气袋进样浓缩</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5.1.2 </w:t>
      </w:r>
      <w:r>
        <w:rPr>
          <w:rFonts w:ascii="宋体" w:hAnsi="宋体"/>
          <w:sz w:val="22"/>
          <w:szCs w:val="22"/>
        </w:rPr>
        <w:t>可分析碳二十以下的极性（醛、醇、酯、酮、醚）和非极性、活性硫、氮化合物等挥发性与半挥发性有机物（无需任何更改，可以同时分析HJ759或TO15所列的所有化合物）</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5.1.3 </w:t>
      </w:r>
      <w:r>
        <w:rPr>
          <w:rFonts w:ascii="宋体" w:hAnsi="宋体"/>
          <w:sz w:val="22"/>
          <w:szCs w:val="22"/>
        </w:rPr>
        <w:t>能同时与6个真空采样罐或3个16位（21位）自动进样器快速连结</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5.1.4 </w:t>
      </w:r>
      <w:r>
        <w:rPr>
          <w:rFonts w:ascii="宋体" w:hAnsi="宋体"/>
          <w:sz w:val="22"/>
          <w:szCs w:val="22"/>
        </w:rPr>
        <w:t>能与各类气相或气质联机正常连接使用，无需占用气相或气质进样口</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5.1.5 </w:t>
      </w:r>
      <w:r>
        <w:rPr>
          <w:rFonts w:ascii="宋体" w:hAnsi="宋体"/>
          <w:sz w:val="22"/>
          <w:szCs w:val="22"/>
        </w:rPr>
        <w:t>软件系统控制体积、加热区、流量、压力、时间等参数的设置及显示实时数值和自诊断检漏</w:t>
      </w:r>
      <w:r>
        <w:rPr>
          <w:rFonts w:hint="eastAsia" w:ascii="宋体" w:hAnsi="宋体"/>
          <w:sz w:val="22"/>
          <w:szCs w:val="22"/>
        </w:rPr>
        <w:t>；</w:t>
      </w:r>
    </w:p>
    <w:p>
      <w:pPr>
        <w:spacing w:line="420" w:lineRule="exact"/>
        <w:ind w:firstLine="480" w:firstLineChars="200"/>
        <w:rPr>
          <w:rFonts w:ascii="宋体" w:hAnsi="宋体"/>
          <w:sz w:val="22"/>
          <w:szCs w:val="22"/>
        </w:rPr>
      </w:pPr>
      <w:r>
        <w:rPr>
          <w:rFonts w:hint="eastAsia" w:ascii="宋体" w:hAnsi="宋体" w:cs="Arial Unicode MS"/>
          <w:color w:val="000000"/>
          <w:szCs w:val="21"/>
        </w:rPr>
        <w:t>▲</w:t>
      </w:r>
      <w:r>
        <w:rPr>
          <w:rFonts w:hint="eastAsia" w:ascii="宋体" w:hAnsi="宋体"/>
          <w:sz w:val="22"/>
          <w:szCs w:val="22"/>
        </w:rPr>
        <w:t xml:space="preserve">5.1.6 </w:t>
      </w:r>
      <w:r>
        <w:rPr>
          <w:rFonts w:ascii="宋体" w:hAnsi="宋体"/>
          <w:sz w:val="22"/>
          <w:szCs w:val="22"/>
        </w:rPr>
        <w:t>液氮冷冻方式的一体化的主机内置三级冷阱，第一级为玻璃珠，第二级为Tenax捕集管，第三级为冷冻聚焦，冷阱温控范围均须达到-190℃到250℃</w:t>
      </w:r>
      <w:r>
        <w:rPr>
          <w:rFonts w:hint="eastAsia" w:ascii="宋体" w:hAnsi="宋体"/>
          <w:sz w:val="22"/>
          <w:szCs w:val="22"/>
        </w:rPr>
        <w:t>，</w:t>
      </w:r>
      <w:r>
        <w:rPr>
          <w:rFonts w:ascii="宋体" w:hAnsi="宋体"/>
          <w:sz w:val="22"/>
          <w:szCs w:val="22"/>
        </w:rPr>
        <w:t>其中前两级冷阱升温速率可达到360℃/min，内置第三级冷阱升温速率可达到10000℃/min，控温精度：波动低于2℃以内</w:t>
      </w:r>
      <w:r>
        <w:rPr>
          <w:rFonts w:hint="eastAsia" w:ascii="宋体" w:hAnsi="宋体"/>
          <w:sz w:val="22"/>
          <w:szCs w:val="22"/>
        </w:rPr>
        <w:t>；</w:t>
      </w:r>
    </w:p>
    <w:p>
      <w:pPr>
        <w:spacing w:line="420" w:lineRule="exact"/>
        <w:ind w:firstLine="480" w:firstLineChars="200"/>
        <w:rPr>
          <w:rFonts w:ascii="宋体" w:hAnsi="宋体"/>
          <w:sz w:val="22"/>
          <w:szCs w:val="22"/>
        </w:rPr>
      </w:pPr>
      <w:r>
        <w:rPr>
          <w:rFonts w:hint="eastAsia" w:ascii="宋体" w:hAnsi="宋体" w:cs="Arial Unicode MS"/>
          <w:color w:val="000000"/>
          <w:szCs w:val="21"/>
        </w:rPr>
        <w:t>▲</w:t>
      </w:r>
      <w:r>
        <w:rPr>
          <w:rFonts w:hint="eastAsia" w:ascii="宋体" w:hAnsi="宋体"/>
          <w:sz w:val="22"/>
          <w:szCs w:val="22"/>
        </w:rPr>
        <w:t xml:space="preserve">5.1.7 </w:t>
      </w:r>
      <w:r>
        <w:rPr>
          <w:rFonts w:ascii="宋体" w:hAnsi="宋体"/>
          <w:sz w:val="22"/>
          <w:szCs w:val="22"/>
        </w:rPr>
        <w:t>电子体积控制器（EVC）范围：5</w:t>
      </w:r>
      <w:r>
        <w:rPr>
          <w:rFonts w:hint="eastAsia" w:ascii="宋体" w:hAnsi="宋体"/>
          <w:sz w:val="22"/>
          <w:szCs w:val="22"/>
        </w:rPr>
        <w:t>~</w:t>
      </w:r>
      <w:r>
        <w:rPr>
          <w:rFonts w:ascii="宋体" w:hAnsi="宋体"/>
          <w:sz w:val="22"/>
          <w:szCs w:val="22"/>
        </w:rPr>
        <w:t>120ml/min可调</w:t>
      </w:r>
      <w:r>
        <w:rPr>
          <w:rFonts w:hint="eastAsia" w:ascii="宋体" w:hAnsi="宋体"/>
          <w:sz w:val="22"/>
          <w:szCs w:val="22"/>
        </w:rPr>
        <w:t>，</w:t>
      </w:r>
      <w:r>
        <w:rPr>
          <w:rFonts w:ascii="宋体" w:hAnsi="宋体"/>
          <w:sz w:val="22"/>
          <w:szCs w:val="22"/>
        </w:rPr>
        <w:t>精确度优于2%</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5.1.8 </w:t>
      </w:r>
      <w:r>
        <w:rPr>
          <w:rFonts w:ascii="宋体" w:hAnsi="宋体"/>
          <w:sz w:val="22"/>
          <w:szCs w:val="22"/>
        </w:rPr>
        <w:t>具有反吹功能</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5.1.9 </w:t>
      </w:r>
      <w:r>
        <w:rPr>
          <w:rFonts w:ascii="宋体" w:hAnsi="宋体"/>
          <w:sz w:val="22"/>
          <w:szCs w:val="22"/>
        </w:rPr>
        <w:t>可实现微进样技术，最小10cc进样量</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5.1.10 </w:t>
      </w:r>
      <w:r>
        <w:rPr>
          <w:rFonts w:ascii="宋体" w:hAnsi="宋体"/>
          <w:sz w:val="22"/>
          <w:szCs w:val="22"/>
        </w:rPr>
        <w:t>分析检出限可达0.1ppb(v)，最低进样体积0.25cc</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5.1.11 </w:t>
      </w:r>
      <w:r>
        <w:rPr>
          <w:rFonts w:ascii="宋体" w:hAnsi="宋体"/>
          <w:sz w:val="22"/>
          <w:szCs w:val="22"/>
        </w:rPr>
        <w:t>仪器标配内置6个进样口</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5.1.12 </w:t>
      </w:r>
      <w:r>
        <w:rPr>
          <w:rFonts w:ascii="宋体" w:hAnsi="宋体"/>
          <w:sz w:val="22"/>
          <w:szCs w:val="22"/>
        </w:rPr>
        <w:t>具备分流功能，分流比可调</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5.1.13 </w:t>
      </w:r>
      <w:r>
        <w:rPr>
          <w:rFonts w:ascii="宋体" w:hAnsi="宋体"/>
          <w:sz w:val="22"/>
          <w:szCs w:val="22"/>
        </w:rPr>
        <w:t>传输线长度：1.2m，没有死体积，内径1/16；内部样品流路以及接口必须经过Silonite-D™涂覆</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5.1.14 </w:t>
      </w:r>
      <w:r>
        <w:rPr>
          <w:rFonts w:ascii="宋体" w:hAnsi="宋体"/>
          <w:sz w:val="22"/>
          <w:szCs w:val="22"/>
        </w:rPr>
        <w:t>软件可控制清罐仪和高精度稀释仪，所有的参数值都</w:t>
      </w:r>
      <w:r>
        <w:rPr>
          <w:rFonts w:hint="eastAsia" w:ascii="宋体" w:hAnsi="宋体"/>
          <w:sz w:val="22"/>
          <w:szCs w:val="22"/>
        </w:rPr>
        <w:t>生成</w:t>
      </w:r>
      <w:r>
        <w:rPr>
          <w:rFonts w:ascii="宋体" w:hAnsi="宋体"/>
          <w:sz w:val="22"/>
          <w:szCs w:val="22"/>
        </w:rPr>
        <w:t>报告</w:t>
      </w:r>
      <w:r>
        <w:rPr>
          <w:rFonts w:hint="eastAsia" w:ascii="宋体" w:hAnsi="宋体"/>
          <w:sz w:val="22"/>
          <w:szCs w:val="22"/>
        </w:rPr>
        <w:t>；</w:t>
      </w:r>
    </w:p>
    <w:p>
      <w:pPr>
        <w:spacing w:line="420" w:lineRule="exact"/>
        <w:ind w:firstLine="480" w:firstLineChars="200"/>
        <w:rPr>
          <w:rFonts w:ascii="宋体" w:hAnsi="宋体"/>
          <w:sz w:val="22"/>
          <w:szCs w:val="22"/>
        </w:rPr>
      </w:pPr>
      <w:r>
        <w:rPr>
          <w:rFonts w:hint="eastAsia" w:ascii="宋体" w:hAnsi="宋体" w:cs="Arial Unicode MS"/>
          <w:color w:val="000000"/>
          <w:szCs w:val="21"/>
        </w:rPr>
        <w:t>▲</w:t>
      </w:r>
      <w:r>
        <w:rPr>
          <w:rFonts w:hint="eastAsia" w:ascii="宋体" w:hAnsi="宋体"/>
          <w:sz w:val="22"/>
          <w:szCs w:val="22"/>
        </w:rPr>
        <w:t xml:space="preserve">5.1.15 </w:t>
      </w:r>
      <w:r>
        <w:rPr>
          <w:rFonts w:ascii="宋体" w:hAnsi="宋体"/>
          <w:sz w:val="22"/>
          <w:szCs w:val="22"/>
        </w:rPr>
        <w:t>预浓缩主机内部三个数控阀及所有管路</w:t>
      </w:r>
      <w:bookmarkStart w:id="92" w:name="_Hlk3928523"/>
      <w:r>
        <w:rPr>
          <w:rFonts w:ascii="宋体" w:hAnsi="宋体"/>
          <w:sz w:val="22"/>
          <w:szCs w:val="22"/>
        </w:rPr>
        <w:t>要求</w:t>
      </w:r>
      <w:bookmarkEnd w:id="92"/>
      <w:r>
        <w:rPr>
          <w:rFonts w:hint="eastAsia" w:ascii="宋体" w:hAnsi="宋体"/>
          <w:sz w:val="22"/>
          <w:szCs w:val="22"/>
        </w:rPr>
        <w:t>硅烷化</w:t>
      </w:r>
      <w:r>
        <w:rPr>
          <w:rFonts w:ascii="宋体" w:hAnsi="宋体"/>
          <w:sz w:val="22"/>
          <w:szCs w:val="22"/>
        </w:rPr>
        <w:t>处理</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5.1.16 </w:t>
      </w:r>
      <w:r>
        <w:rPr>
          <w:rFonts w:ascii="宋体" w:hAnsi="宋体"/>
          <w:sz w:val="22"/>
          <w:szCs w:val="22"/>
        </w:rPr>
        <w:t>预浓缩仪和自动进样器与现有的自动清罐仪和自动稀释仪</w:t>
      </w:r>
      <w:r>
        <w:rPr>
          <w:rFonts w:hint="eastAsia" w:ascii="宋体" w:hAnsi="宋体"/>
          <w:sz w:val="22"/>
          <w:szCs w:val="22"/>
        </w:rPr>
        <w:t>相互</w:t>
      </w:r>
      <w:r>
        <w:rPr>
          <w:rFonts w:ascii="宋体" w:hAnsi="宋体"/>
          <w:sz w:val="22"/>
          <w:szCs w:val="22"/>
        </w:rPr>
        <w:t>兼容</w:t>
      </w:r>
      <w:r>
        <w:rPr>
          <w:rFonts w:hint="eastAsia" w:ascii="宋体" w:hAnsi="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5.2 自动进样器</w:t>
      </w:r>
    </w:p>
    <w:p>
      <w:pPr>
        <w:spacing w:line="420" w:lineRule="exact"/>
        <w:ind w:firstLine="440" w:firstLineChars="200"/>
        <w:rPr>
          <w:rFonts w:ascii="宋体" w:hAnsi="宋体"/>
          <w:sz w:val="22"/>
          <w:szCs w:val="22"/>
        </w:rPr>
      </w:pPr>
      <w:r>
        <w:rPr>
          <w:rFonts w:hint="eastAsia" w:ascii="宋体" w:hAnsi="宋体"/>
          <w:sz w:val="22"/>
          <w:szCs w:val="22"/>
        </w:rPr>
        <w:t>5.2.1 多</w:t>
      </w:r>
      <w:r>
        <w:rPr>
          <w:rFonts w:ascii="宋体" w:hAnsi="宋体"/>
          <w:sz w:val="22"/>
          <w:szCs w:val="22"/>
        </w:rPr>
        <w:t>位自动进样器</w:t>
      </w:r>
      <w:r>
        <w:rPr>
          <w:rFonts w:hint="eastAsia" w:ascii="宋体" w:hAnsi="宋体"/>
          <w:sz w:val="22"/>
          <w:szCs w:val="22"/>
        </w:rPr>
        <w:t>，</w:t>
      </w:r>
      <w:r>
        <w:rPr>
          <w:rFonts w:ascii="宋体" w:hAnsi="宋体"/>
          <w:sz w:val="22"/>
          <w:szCs w:val="22"/>
        </w:rPr>
        <w:t>爪式结构，具备加热保温功能，能与预浓缩仪联用自动分析0.45L、1L、2.7L、3.2L、6L和15L采样罐</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5.2.2 </w:t>
      </w:r>
      <w:r>
        <w:rPr>
          <w:rFonts w:ascii="宋体" w:hAnsi="宋体"/>
          <w:sz w:val="22"/>
          <w:szCs w:val="22"/>
        </w:rPr>
        <w:t>所有的管线要求</w:t>
      </w:r>
      <w:r>
        <w:rPr>
          <w:rFonts w:hint="eastAsia" w:ascii="宋体" w:hAnsi="宋体"/>
          <w:sz w:val="22"/>
          <w:szCs w:val="22"/>
        </w:rPr>
        <w:t>硅烷化</w:t>
      </w:r>
      <w:r>
        <w:rPr>
          <w:rFonts w:ascii="宋体" w:hAnsi="宋体"/>
          <w:sz w:val="22"/>
          <w:szCs w:val="22"/>
        </w:rPr>
        <w:t>处理，确保分析醛酮和含氧的有机物不损失</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 xml:space="preserve">5.2.3 </w:t>
      </w:r>
      <w:r>
        <w:rPr>
          <w:rFonts w:ascii="宋体" w:hAnsi="宋体"/>
          <w:sz w:val="22"/>
          <w:szCs w:val="22"/>
        </w:rPr>
        <w:t>全部操作由计算机软件控制，在打开阀门前进行自动检漏，控温精度±1℃，LED显示，结合2A软件实时显示样品位置数控阀进样不再需要阀转动，完全隔绝其他进样口残留或者回流</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5.2.4</w:t>
      </w:r>
      <w:r>
        <w:rPr>
          <w:rFonts w:ascii="宋体" w:hAnsi="宋体"/>
          <w:sz w:val="22"/>
          <w:szCs w:val="22"/>
        </w:rPr>
        <w:t>分析的体积</w:t>
      </w:r>
      <w:r>
        <w:rPr>
          <w:rFonts w:hint="eastAsia" w:ascii="宋体" w:hAnsi="宋体"/>
          <w:sz w:val="22"/>
          <w:szCs w:val="22"/>
        </w:rPr>
        <w:t>范围是</w:t>
      </w:r>
      <w:r>
        <w:rPr>
          <w:rFonts w:ascii="宋体" w:hAnsi="宋体"/>
          <w:sz w:val="22"/>
          <w:szCs w:val="22"/>
        </w:rPr>
        <w:t>40ml-15L</w:t>
      </w:r>
      <w:r>
        <w:rPr>
          <w:rFonts w:hint="eastAsia" w:ascii="宋体" w:hAnsi="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6、配置要求</w:t>
      </w:r>
    </w:p>
    <w:p>
      <w:pPr>
        <w:spacing w:line="420" w:lineRule="exact"/>
        <w:ind w:firstLine="440" w:firstLineChars="200"/>
        <w:rPr>
          <w:rFonts w:ascii="宋体" w:hAnsi="宋体"/>
          <w:sz w:val="22"/>
          <w:szCs w:val="22"/>
        </w:rPr>
      </w:pPr>
      <w:r>
        <w:rPr>
          <w:rFonts w:hint="eastAsia" w:ascii="宋体" w:hAnsi="宋体"/>
          <w:sz w:val="22"/>
          <w:szCs w:val="22"/>
        </w:rPr>
        <w:t>6</w:t>
      </w:r>
      <w:r>
        <w:rPr>
          <w:rFonts w:ascii="宋体" w:hAnsi="宋体"/>
          <w:sz w:val="22"/>
          <w:szCs w:val="22"/>
        </w:rPr>
        <w:t>.1  气相色谱质谱联用仪主机1套</w:t>
      </w:r>
    </w:p>
    <w:p>
      <w:pPr>
        <w:spacing w:line="420" w:lineRule="exact"/>
        <w:ind w:firstLine="440" w:firstLineChars="200"/>
        <w:rPr>
          <w:rFonts w:ascii="宋体" w:hAnsi="宋体"/>
          <w:sz w:val="22"/>
          <w:szCs w:val="22"/>
        </w:rPr>
      </w:pPr>
      <w:r>
        <w:rPr>
          <w:rFonts w:hint="eastAsia" w:ascii="宋体" w:hAnsi="宋体"/>
          <w:sz w:val="22"/>
          <w:szCs w:val="22"/>
        </w:rPr>
        <w:t>6</w:t>
      </w:r>
      <w:r>
        <w:rPr>
          <w:rFonts w:ascii="宋体" w:hAnsi="宋体"/>
          <w:sz w:val="22"/>
          <w:szCs w:val="22"/>
        </w:rPr>
        <w:t>.2</w:t>
      </w:r>
      <w:r>
        <w:rPr>
          <w:rFonts w:hint="eastAsia" w:ascii="宋体" w:hAnsi="宋体"/>
          <w:sz w:val="22"/>
          <w:szCs w:val="22"/>
        </w:rPr>
        <w:t xml:space="preserve">  </w:t>
      </w:r>
      <w:r>
        <w:rPr>
          <w:rFonts w:ascii="宋体" w:hAnsi="宋体"/>
          <w:sz w:val="22"/>
          <w:szCs w:val="22"/>
        </w:rPr>
        <w:t>原装中英文软件1套</w:t>
      </w:r>
    </w:p>
    <w:p>
      <w:pPr>
        <w:spacing w:line="420" w:lineRule="exact"/>
        <w:ind w:firstLine="440" w:firstLineChars="200"/>
        <w:rPr>
          <w:rFonts w:ascii="宋体" w:hAnsi="宋体"/>
          <w:sz w:val="22"/>
          <w:szCs w:val="22"/>
        </w:rPr>
      </w:pPr>
      <w:r>
        <w:rPr>
          <w:rFonts w:hint="eastAsia" w:ascii="宋体" w:hAnsi="宋体"/>
          <w:sz w:val="22"/>
          <w:szCs w:val="22"/>
        </w:rPr>
        <w:t>6</w:t>
      </w:r>
      <w:r>
        <w:rPr>
          <w:rFonts w:ascii="宋体" w:hAnsi="宋体"/>
          <w:sz w:val="22"/>
          <w:szCs w:val="22"/>
        </w:rPr>
        <w:t>.3</w:t>
      </w:r>
      <w:r>
        <w:rPr>
          <w:rFonts w:hint="eastAsia" w:ascii="宋体" w:hAnsi="宋体"/>
          <w:sz w:val="22"/>
          <w:szCs w:val="22"/>
        </w:rPr>
        <w:t xml:space="preserve">  </w:t>
      </w:r>
      <w:r>
        <w:rPr>
          <w:rFonts w:ascii="宋体" w:hAnsi="宋体"/>
          <w:sz w:val="22"/>
          <w:szCs w:val="22"/>
        </w:rPr>
        <w:t>分流/不分流进样口 1套</w:t>
      </w:r>
    </w:p>
    <w:p>
      <w:pPr>
        <w:spacing w:line="420" w:lineRule="exact"/>
        <w:ind w:firstLine="440" w:firstLineChars="200"/>
        <w:rPr>
          <w:rFonts w:ascii="宋体" w:hAnsi="宋体"/>
          <w:sz w:val="22"/>
          <w:szCs w:val="22"/>
        </w:rPr>
      </w:pPr>
      <w:r>
        <w:rPr>
          <w:rFonts w:hint="eastAsia" w:ascii="宋体" w:hAnsi="宋体"/>
          <w:sz w:val="22"/>
          <w:szCs w:val="22"/>
        </w:rPr>
        <w:t>6</w:t>
      </w:r>
      <w:r>
        <w:rPr>
          <w:rFonts w:ascii="宋体" w:hAnsi="宋体"/>
          <w:sz w:val="22"/>
          <w:szCs w:val="22"/>
        </w:rPr>
        <w:t>.4</w:t>
      </w:r>
      <w:r>
        <w:rPr>
          <w:rFonts w:hint="eastAsia" w:ascii="宋体" w:hAnsi="宋体"/>
          <w:sz w:val="22"/>
          <w:szCs w:val="22"/>
        </w:rPr>
        <w:t xml:space="preserve">  </w:t>
      </w:r>
      <w:r>
        <w:rPr>
          <w:rFonts w:ascii="宋体" w:hAnsi="宋体"/>
          <w:sz w:val="22"/>
          <w:szCs w:val="22"/>
        </w:rPr>
        <w:t xml:space="preserve">FID检测器1套 </w:t>
      </w:r>
    </w:p>
    <w:p>
      <w:pPr>
        <w:spacing w:line="420" w:lineRule="exact"/>
        <w:ind w:firstLine="440" w:firstLineChars="200"/>
        <w:rPr>
          <w:rFonts w:ascii="宋体" w:hAnsi="宋体"/>
          <w:sz w:val="22"/>
          <w:szCs w:val="22"/>
        </w:rPr>
      </w:pPr>
      <w:r>
        <w:rPr>
          <w:rFonts w:hint="eastAsia" w:ascii="宋体" w:hAnsi="宋体"/>
          <w:sz w:val="22"/>
          <w:szCs w:val="22"/>
        </w:rPr>
        <w:t>6</w:t>
      </w:r>
      <w:r>
        <w:rPr>
          <w:rFonts w:ascii="宋体" w:hAnsi="宋体"/>
          <w:sz w:val="22"/>
          <w:szCs w:val="22"/>
        </w:rPr>
        <w:t>.5</w:t>
      </w:r>
      <w:r>
        <w:rPr>
          <w:rFonts w:hint="eastAsia" w:ascii="宋体" w:hAnsi="宋体"/>
          <w:sz w:val="22"/>
          <w:szCs w:val="22"/>
        </w:rPr>
        <w:t xml:space="preserve">  </w:t>
      </w:r>
      <w:r>
        <w:rPr>
          <w:rFonts w:ascii="宋体" w:hAnsi="宋体"/>
          <w:sz w:val="22"/>
          <w:szCs w:val="22"/>
        </w:rPr>
        <w:t>中心切割模块（带辅助软件和辅助载气控制模块） 1套</w:t>
      </w:r>
    </w:p>
    <w:p>
      <w:pPr>
        <w:spacing w:line="420" w:lineRule="exact"/>
        <w:ind w:firstLine="440" w:firstLineChars="200"/>
        <w:rPr>
          <w:rFonts w:ascii="宋体" w:hAnsi="宋体"/>
          <w:sz w:val="22"/>
          <w:szCs w:val="22"/>
        </w:rPr>
      </w:pPr>
      <w:r>
        <w:rPr>
          <w:rFonts w:hint="eastAsia" w:ascii="宋体" w:hAnsi="宋体"/>
          <w:sz w:val="22"/>
          <w:szCs w:val="22"/>
        </w:rPr>
        <w:t>6</w:t>
      </w:r>
      <w:r>
        <w:rPr>
          <w:rFonts w:ascii="宋体" w:hAnsi="宋体"/>
          <w:sz w:val="22"/>
          <w:szCs w:val="22"/>
        </w:rPr>
        <w:t>.6</w:t>
      </w:r>
      <w:r>
        <w:rPr>
          <w:rFonts w:hint="eastAsia" w:ascii="宋体" w:hAnsi="宋体"/>
          <w:sz w:val="22"/>
          <w:szCs w:val="22"/>
        </w:rPr>
        <w:t xml:space="preserve">  </w:t>
      </w:r>
      <w:r>
        <w:rPr>
          <w:rFonts w:ascii="宋体" w:hAnsi="宋体"/>
          <w:sz w:val="22"/>
          <w:szCs w:val="22"/>
        </w:rPr>
        <w:t>柱温箱液氮制冷温控模块及附件 1套</w:t>
      </w:r>
    </w:p>
    <w:p>
      <w:pPr>
        <w:spacing w:line="420" w:lineRule="exact"/>
        <w:ind w:firstLine="440" w:firstLineChars="200"/>
        <w:rPr>
          <w:rFonts w:ascii="宋体" w:hAnsi="宋体"/>
          <w:sz w:val="22"/>
          <w:szCs w:val="22"/>
        </w:rPr>
      </w:pPr>
      <w:r>
        <w:rPr>
          <w:rFonts w:hint="eastAsia" w:ascii="宋体" w:hAnsi="宋体"/>
          <w:sz w:val="22"/>
          <w:szCs w:val="22"/>
        </w:rPr>
        <w:t>6</w:t>
      </w:r>
      <w:r>
        <w:rPr>
          <w:rFonts w:ascii="宋体" w:hAnsi="宋体"/>
          <w:sz w:val="22"/>
          <w:szCs w:val="22"/>
        </w:rPr>
        <w:t>.7</w:t>
      </w:r>
      <w:r>
        <w:rPr>
          <w:rFonts w:hint="eastAsia" w:ascii="宋体" w:hAnsi="宋体"/>
          <w:sz w:val="22"/>
          <w:szCs w:val="22"/>
        </w:rPr>
        <w:t xml:space="preserve">  </w:t>
      </w:r>
      <w:r>
        <w:rPr>
          <w:rFonts w:ascii="宋体" w:hAnsi="宋体"/>
          <w:sz w:val="22"/>
          <w:szCs w:val="22"/>
        </w:rPr>
        <w:t>色谱柱（Bond Alumina NaSO</w:t>
      </w:r>
      <w:r>
        <w:rPr>
          <w:rFonts w:ascii="宋体" w:hAnsi="宋体"/>
          <w:sz w:val="22"/>
          <w:szCs w:val="22"/>
          <w:vertAlign w:val="subscript"/>
        </w:rPr>
        <w:t>4</w:t>
      </w:r>
      <w:r>
        <w:rPr>
          <w:rFonts w:ascii="宋体" w:hAnsi="宋体"/>
          <w:sz w:val="22"/>
          <w:szCs w:val="22"/>
        </w:rPr>
        <w:t xml:space="preserve"> 去活化色谱柱 50m*0.32mm*5.0um） （624 GC Column, 60m, 0.25mmID, 1.4µm Film）2套</w:t>
      </w:r>
    </w:p>
    <w:p>
      <w:pPr>
        <w:spacing w:line="420" w:lineRule="exact"/>
        <w:ind w:firstLine="440" w:firstLineChars="200"/>
        <w:rPr>
          <w:rFonts w:ascii="宋体" w:hAnsi="宋体"/>
          <w:sz w:val="22"/>
          <w:szCs w:val="22"/>
        </w:rPr>
      </w:pPr>
      <w:r>
        <w:rPr>
          <w:rFonts w:hint="eastAsia" w:ascii="宋体" w:hAnsi="宋体"/>
          <w:sz w:val="22"/>
          <w:szCs w:val="22"/>
        </w:rPr>
        <w:t>6</w:t>
      </w:r>
      <w:r>
        <w:rPr>
          <w:rFonts w:ascii="宋体" w:hAnsi="宋体"/>
          <w:sz w:val="22"/>
          <w:szCs w:val="22"/>
        </w:rPr>
        <w:t>.8</w:t>
      </w:r>
      <w:r>
        <w:rPr>
          <w:rFonts w:hint="eastAsia" w:ascii="宋体" w:hAnsi="宋体"/>
          <w:sz w:val="22"/>
          <w:szCs w:val="22"/>
        </w:rPr>
        <w:t xml:space="preserve">  </w:t>
      </w:r>
      <w:r>
        <w:rPr>
          <w:rFonts w:ascii="宋体" w:hAnsi="宋体"/>
          <w:sz w:val="22"/>
          <w:szCs w:val="22"/>
        </w:rPr>
        <w:t>备品备件及工具1套</w:t>
      </w:r>
    </w:p>
    <w:p>
      <w:pPr>
        <w:spacing w:line="420" w:lineRule="exact"/>
        <w:ind w:firstLine="440" w:firstLineChars="200"/>
        <w:rPr>
          <w:rFonts w:ascii="宋体" w:hAnsi="宋体"/>
          <w:sz w:val="22"/>
          <w:szCs w:val="22"/>
        </w:rPr>
      </w:pPr>
      <w:r>
        <w:rPr>
          <w:rFonts w:hint="eastAsia" w:ascii="宋体" w:hAnsi="宋体"/>
          <w:sz w:val="22"/>
          <w:szCs w:val="22"/>
        </w:rPr>
        <w:t>6</w:t>
      </w:r>
      <w:r>
        <w:rPr>
          <w:rFonts w:ascii="宋体" w:hAnsi="宋体"/>
          <w:sz w:val="22"/>
          <w:szCs w:val="22"/>
        </w:rPr>
        <w:t>.9</w:t>
      </w:r>
      <w:r>
        <w:rPr>
          <w:rFonts w:hint="eastAsia" w:ascii="宋体" w:hAnsi="宋体"/>
          <w:sz w:val="22"/>
          <w:szCs w:val="22"/>
        </w:rPr>
        <w:t xml:space="preserve">  </w:t>
      </w:r>
      <w:r>
        <w:rPr>
          <w:rFonts w:ascii="宋体" w:hAnsi="宋体"/>
          <w:sz w:val="22"/>
          <w:szCs w:val="22"/>
        </w:rPr>
        <w:t>常用耗材包（三合一滤芯1pc、进样口隔垫100pc、去活化分流衬管10pc、去活化不分流衬管10pc、柱螺帽5pc、传输线端螺帽5pc、石墨垫10pc、真空泵油2L）1套</w:t>
      </w:r>
    </w:p>
    <w:p>
      <w:pPr>
        <w:spacing w:line="420" w:lineRule="exact"/>
        <w:ind w:firstLine="440" w:firstLineChars="200"/>
        <w:rPr>
          <w:rFonts w:ascii="宋体" w:hAnsi="宋体"/>
          <w:sz w:val="22"/>
          <w:szCs w:val="22"/>
        </w:rPr>
      </w:pPr>
      <w:r>
        <w:rPr>
          <w:rFonts w:hint="eastAsia" w:ascii="宋体" w:hAnsi="宋体"/>
          <w:sz w:val="22"/>
          <w:szCs w:val="22"/>
        </w:rPr>
        <w:t>6.10  氦气过滤器1个</w:t>
      </w:r>
    </w:p>
    <w:p>
      <w:pPr>
        <w:spacing w:line="420" w:lineRule="exact"/>
        <w:ind w:firstLine="440" w:firstLineChars="200"/>
        <w:rPr>
          <w:rFonts w:ascii="宋体" w:hAnsi="宋体"/>
          <w:sz w:val="22"/>
          <w:szCs w:val="22"/>
        </w:rPr>
      </w:pPr>
      <w:r>
        <w:rPr>
          <w:rFonts w:hint="eastAsia" w:ascii="宋体" w:hAnsi="宋体"/>
          <w:sz w:val="22"/>
          <w:szCs w:val="22"/>
        </w:rPr>
        <w:t>6</w:t>
      </w:r>
      <w:r>
        <w:rPr>
          <w:rFonts w:ascii="宋体" w:hAnsi="宋体"/>
          <w:sz w:val="22"/>
          <w:szCs w:val="22"/>
        </w:rPr>
        <w:t>.1</w:t>
      </w:r>
      <w:r>
        <w:rPr>
          <w:rFonts w:hint="eastAsia" w:ascii="宋体" w:hAnsi="宋体"/>
          <w:sz w:val="22"/>
          <w:szCs w:val="22"/>
        </w:rPr>
        <w:t xml:space="preserve">1 </w:t>
      </w:r>
      <w:r>
        <w:rPr>
          <w:rFonts w:ascii="宋体" w:hAnsi="宋体"/>
          <w:sz w:val="22"/>
          <w:szCs w:val="22"/>
        </w:rPr>
        <w:t>原装电脑</w:t>
      </w:r>
      <w:r>
        <w:rPr>
          <w:rFonts w:hint="eastAsia" w:ascii="宋体" w:hAnsi="宋体"/>
          <w:sz w:val="22"/>
          <w:szCs w:val="22"/>
        </w:rPr>
        <w:t>（配置为</w:t>
      </w:r>
      <w:r>
        <w:rPr>
          <w:rFonts w:ascii="宋体" w:hAnsi="宋体"/>
          <w:sz w:val="22"/>
          <w:szCs w:val="22"/>
        </w:rPr>
        <w:t>CORE</w:t>
      </w:r>
      <w:r>
        <w:rPr>
          <w:rFonts w:hint="eastAsia" w:ascii="宋体" w:hAnsi="宋体"/>
          <w:sz w:val="22"/>
          <w:szCs w:val="22"/>
        </w:rPr>
        <w:t xml:space="preserve"> 八代i7</w:t>
      </w:r>
      <w:r>
        <w:rPr>
          <w:rFonts w:ascii="宋体" w:hAnsi="宋体"/>
          <w:sz w:val="22"/>
          <w:szCs w:val="22"/>
        </w:rPr>
        <w:t xml:space="preserve"> </w:t>
      </w:r>
      <w:r>
        <w:rPr>
          <w:rFonts w:hint="eastAsia" w:ascii="宋体" w:hAnsi="宋体"/>
          <w:sz w:val="22"/>
          <w:szCs w:val="22"/>
        </w:rPr>
        <w:t>双核</w:t>
      </w:r>
      <w:r>
        <w:rPr>
          <w:rFonts w:ascii="宋体" w:hAnsi="宋体"/>
          <w:sz w:val="22"/>
          <w:szCs w:val="22"/>
        </w:rPr>
        <w:t>3.2GHz</w:t>
      </w:r>
      <w:r>
        <w:rPr>
          <w:rFonts w:hint="eastAsia" w:ascii="宋体" w:hAnsi="宋体"/>
          <w:sz w:val="22"/>
          <w:szCs w:val="22"/>
        </w:rPr>
        <w:t>以上，8</w:t>
      </w:r>
      <w:r>
        <w:rPr>
          <w:rFonts w:ascii="宋体" w:hAnsi="宋体"/>
          <w:sz w:val="22"/>
          <w:szCs w:val="22"/>
        </w:rPr>
        <w:t>GB</w:t>
      </w:r>
      <w:r>
        <w:rPr>
          <w:rFonts w:hint="eastAsia" w:ascii="宋体" w:hAnsi="宋体"/>
          <w:sz w:val="22"/>
          <w:szCs w:val="22"/>
        </w:rPr>
        <w:t>以上内存，1 TB以上硬盘，</w:t>
      </w:r>
      <w:r>
        <w:rPr>
          <w:rFonts w:ascii="宋体" w:hAnsi="宋体"/>
          <w:sz w:val="22"/>
          <w:szCs w:val="22"/>
        </w:rPr>
        <w:t>23</w:t>
      </w:r>
      <w:r>
        <w:rPr>
          <w:rFonts w:hint="eastAsia" w:ascii="宋体" w:hAnsi="宋体"/>
          <w:sz w:val="22"/>
          <w:szCs w:val="22"/>
        </w:rPr>
        <w:t>寸液晶显示器，</w:t>
      </w:r>
      <w:r>
        <w:rPr>
          <w:rFonts w:ascii="宋体" w:hAnsi="宋体"/>
          <w:sz w:val="22"/>
          <w:szCs w:val="22"/>
        </w:rPr>
        <w:t>48X</w:t>
      </w:r>
      <w:r>
        <w:rPr>
          <w:rFonts w:hint="eastAsia" w:ascii="宋体" w:hAnsi="宋体"/>
          <w:sz w:val="22"/>
          <w:szCs w:val="22"/>
        </w:rPr>
        <w:t>以上光驱）</w:t>
      </w:r>
      <w:r>
        <w:rPr>
          <w:rFonts w:ascii="宋体" w:hAnsi="宋体"/>
          <w:sz w:val="22"/>
          <w:szCs w:val="22"/>
        </w:rPr>
        <w:t>和打印机</w:t>
      </w:r>
      <w:r>
        <w:rPr>
          <w:rFonts w:hint="eastAsia" w:ascii="宋体" w:hAnsi="宋体"/>
          <w:sz w:val="22"/>
          <w:szCs w:val="22"/>
        </w:rPr>
        <w:t>（激光打印机）</w:t>
      </w:r>
      <w:r>
        <w:rPr>
          <w:rFonts w:ascii="宋体" w:hAnsi="宋体"/>
          <w:sz w:val="22"/>
          <w:szCs w:val="22"/>
        </w:rPr>
        <w:t xml:space="preserve">各1套 </w:t>
      </w:r>
    </w:p>
    <w:p>
      <w:pPr>
        <w:spacing w:line="420" w:lineRule="exact"/>
        <w:ind w:firstLine="440" w:firstLineChars="200"/>
        <w:rPr>
          <w:rFonts w:ascii="宋体" w:hAnsi="宋体"/>
          <w:sz w:val="22"/>
          <w:szCs w:val="22"/>
        </w:rPr>
      </w:pPr>
      <w:r>
        <w:rPr>
          <w:rFonts w:hint="eastAsia" w:ascii="宋体" w:hAnsi="宋体"/>
          <w:sz w:val="22"/>
          <w:szCs w:val="22"/>
        </w:rPr>
        <w:t>6.12  正版</w:t>
      </w:r>
      <w:r>
        <w:rPr>
          <w:rFonts w:ascii="宋体" w:hAnsi="宋体"/>
          <w:sz w:val="22"/>
          <w:szCs w:val="22"/>
        </w:rPr>
        <w:t>NIST14谱库</w:t>
      </w:r>
      <w:r>
        <w:rPr>
          <w:rFonts w:hint="eastAsia" w:ascii="宋体" w:hAnsi="宋体"/>
          <w:sz w:val="22"/>
          <w:szCs w:val="22"/>
        </w:rPr>
        <w:t>1套</w:t>
      </w:r>
    </w:p>
    <w:p>
      <w:pPr>
        <w:spacing w:line="420" w:lineRule="exact"/>
        <w:ind w:firstLine="440" w:firstLineChars="200"/>
        <w:rPr>
          <w:rFonts w:ascii="宋体" w:hAnsi="宋体"/>
          <w:sz w:val="22"/>
          <w:szCs w:val="22"/>
        </w:rPr>
      </w:pPr>
      <w:r>
        <w:rPr>
          <w:rFonts w:hint="eastAsia" w:ascii="宋体" w:hAnsi="宋体"/>
          <w:sz w:val="22"/>
          <w:szCs w:val="22"/>
        </w:rPr>
        <w:t>6.13  大气预浓缩主机1台</w:t>
      </w:r>
    </w:p>
    <w:p>
      <w:pPr>
        <w:spacing w:line="420" w:lineRule="exact"/>
        <w:ind w:firstLine="440" w:firstLineChars="200"/>
        <w:rPr>
          <w:rFonts w:ascii="宋体" w:hAnsi="宋体"/>
          <w:sz w:val="22"/>
          <w:szCs w:val="22"/>
        </w:rPr>
      </w:pPr>
      <w:r>
        <w:rPr>
          <w:rFonts w:hint="eastAsia" w:ascii="宋体" w:hAnsi="宋体"/>
          <w:sz w:val="22"/>
          <w:szCs w:val="22"/>
        </w:rPr>
        <w:t>6.14  硅烷化涂覆选项，包括阀与罐接口涂覆</w:t>
      </w:r>
    </w:p>
    <w:p>
      <w:pPr>
        <w:spacing w:line="420" w:lineRule="exact"/>
        <w:ind w:firstLine="440" w:firstLineChars="200"/>
        <w:rPr>
          <w:rFonts w:ascii="宋体" w:hAnsi="宋体"/>
          <w:sz w:val="22"/>
          <w:szCs w:val="22"/>
        </w:rPr>
      </w:pPr>
      <w:r>
        <w:rPr>
          <w:rFonts w:hint="eastAsia" w:ascii="宋体" w:hAnsi="宋体"/>
          <w:sz w:val="22"/>
          <w:szCs w:val="22"/>
        </w:rPr>
        <w:t>6.15  多位苏玛罐进样口1套</w:t>
      </w:r>
    </w:p>
    <w:p>
      <w:pPr>
        <w:rPr>
          <w:rFonts w:eastAsiaTheme="minorEastAsia"/>
        </w:rPr>
      </w:pPr>
    </w:p>
    <w:p>
      <w:pPr>
        <w:spacing w:line="420" w:lineRule="exact"/>
        <w:rPr>
          <w:rFonts w:ascii="宋体" w:hAnsi="宋体" w:cs="宋体"/>
          <w:b/>
          <w:bCs/>
          <w:color w:val="000000"/>
          <w:sz w:val="22"/>
          <w:szCs w:val="22"/>
        </w:rPr>
      </w:pPr>
      <w:r>
        <w:rPr>
          <w:rFonts w:hint="eastAsia" w:ascii="宋体" w:hAnsi="宋体" w:cs="宋体"/>
          <w:b/>
          <w:bCs/>
          <w:color w:val="000000"/>
          <w:sz w:val="22"/>
          <w:szCs w:val="22"/>
        </w:rPr>
        <w:t>（二）、离子色谱仪</w:t>
      </w:r>
    </w:p>
    <w:p>
      <w:pPr>
        <w:tabs>
          <w:tab w:val="left" w:pos="851"/>
        </w:tabs>
        <w:spacing w:line="360" w:lineRule="auto"/>
        <w:rPr>
          <w:rFonts w:ascii="宋体" w:hAnsi="宋体"/>
          <w:b/>
          <w:bCs/>
          <w:color w:val="000000"/>
          <w:sz w:val="22"/>
          <w:szCs w:val="22"/>
        </w:rPr>
      </w:pPr>
      <w:r>
        <w:rPr>
          <w:rFonts w:ascii="宋体" w:hAnsi="宋体"/>
          <w:b/>
          <w:bCs/>
          <w:color w:val="000000"/>
          <w:sz w:val="22"/>
          <w:szCs w:val="22"/>
        </w:rPr>
        <w:t>1</w:t>
      </w:r>
      <w:r>
        <w:rPr>
          <w:rFonts w:hint="eastAsia" w:ascii="宋体" w:hAnsi="宋体"/>
          <w:b/>
          <w:bCs/>
          <w:color w:val="000000"/>
          <w:sz w:val="22"/>
          <w:szCs w:val="22"/>
        </w:rPr>
        <w:t>、工作环境</w:t>
      </w:r>
    </w:p>
    <w:p>
      <w:pPr>
        <w:spacing w:line="420" w:lineRule="exact"/>
        <w:ind w:firstLine="440" w:firstLineChars="200"/>
        <w:rPr>
          <w:rFonts w:ascii="宋体" w:hAnsi="宋体"/>
          <w:sz w:val="22"/>
          <w:szCs w:val="22"/>
        </w:rPr>
      </w:pPr>
      <w:r>
        <w:rPr>
          <w:rFonts w:ascii="宋体" w:hAnsi="宋体"/>
          <w:sz w:val="22"/>
          <w:szCs w:val="22"/>
        </w:rPr>
        <w:t>1.1</w:t>
      </w:r>
      <w:r>
        <w:rPr>
          <w:rFonts w:hint="eastAsia" w:ascii="宋体" w:hAnsi="宋体"/>
          <w:sz w:val="22"/>
          <w:szCs w:val="22"/>
        </w:rPr>
        <w:t xml:space="preserve"> </w:t>
      </w:r>
      <w:r>
        <w:rPr>
          <w:rFonts w:hint="eastAsia" w:ascii="宋体" w:hAnsi="宋体" w:cs="宋体"/>
          <w:sz w:val="22"/>
          <w:szCs w:val="22"/>
        </w:rPr>
        <w:t>电压：</w:t>
      </w:r>
      <w:r>
        <w:rPr>
          <w:rFonts w:ascii="宋体" w:hAnsi="宋体"/>
          <w:sz w:val="22"/>
          <w:szCs w:val="22"/>
        </w:rPr>
        <w:t>220VAC±10%</w:t>
      </w:r>
      <w:r>
        <w:rPr>
          <w:rFonts w:hint="eastAsia" w:ascii="宋体" w:hAnsi="宋体" w:cs="宋体"/>
          <w:sz w:val="22"/>
          <w:szCs w:val="22"/>
        </w:rPr>
        <w:t>；</w:t>
      </w:r>
    </w:p>
    <w:p>
      <w:pPr>
        <w:spacing w:line="420" w:lineRule="exact"/>
        <w:ind w:firstLine="440" w:firstLineChars="200"/>
        <w:rPr>
          <w:rFonts w:ascii="宋体" w:hAnsi="宋体"/>
          <w:sz w:val="22"/>
          <w:szCs w:val="22"/>
        </w:rPr>
      </w:pPr>
      <w:r>
        <w:rPr>
          <w:rFonts w:ascii="宋体" w:hAnsi="宋体"/>
          <w:sz w:val="22"/>
          <w:szCs w:val="22"/>
        </w:rPr>
        <w:t>1.2</w:t>
      </w:r>
      <w:r>
        <w:rPr>
          <w:rFonts w:hint="eastAsia" w:ascii="宋体" w:hAnsi="宋体"/>
          <w:sz w:val="22"/>
          <w:szCs w:val="22"/>
        </w:rPr>
        <w:t xml:space="preserve"> </w:t>
      </w:r>
      <w:r>
        <w:rPr>
          <w:rFonts w:hint="eastAsia" w:ascii="宋体" w:hAnsi="宋体" w:cs="宋体"/>
          <w:sz w:val="22"/>
          <w:szCs w:val="22"/>
        </w:rPr>
        <w:t>室温：</w:t>
      </w:r>
      <w:r>
        <w:rPr>
          <w:rFonts w:ascii="宋体" w:hAnsi="宋体"/>
          <w:sz w:val="22"/>
          <w:szCs w:val="22"/>
        </w:rPr>
        <w:t>15</w:t>
      </w:r>
      <w:r>
        <w:rPr>
          <w:rFonts w:hint="eastAsia" w:ascii="宋体" w:hAnsi="宋体" w:cs="宋体"/>
          <w:sz w:val="22"/>
          <w:szCs w:val="22"/>
        </w:rPr>
        <w:t>～</w:t>
      </w:r>
      <w:r>
        <w:rPr>
          <w:rFonts w:ascii="宋体" w:hAnsi="宋体"/>
          <w:sz w:val="22"/>
          <w:szCs w:val="22"/>
        </w:rPr>
        <w:t>30</w:t>
      </w:r>
      <w:r>
        <w:rPr>
          <w:rFonts w:hint="eastAsia" w:ascii="宋体" w:hAnsi="宋体" w:cs="宋体"/>
          <w:sz w:val="22"/>
          <w:szCs w:val="22"/>
        </w:rPr>
        <w:t>℃；</w:t>
      </w:r>
    </w:p>
    <w:p>
      <w:pPr>
        <w:spacing w:line="420" w:lineRule="exact"/>
        <w:ind w:firstLine="440" w:firstLineChars="200"/>
        <w:rPr>
          <w:rFonts w:ascii="宋体" w:hAnsi="宋体"/>
          <w:sz w:val="22"/>
          <w:szCs w:val="22"/>
        </w:rPr>
      </w:pPr>
      <w:r>
        <w:rPr>
          <w:rFonts w:ascii="宋体" w:hAnsi="宋体"/>
          <w:sz w:val="22"/>
          <w:szCs w:val="22"/>
        </w:rPr>
        <w:t xml:space="preserve">1.3 </w:t>
      </w:r>
      <w:r>
        <w:rPr>
          <w:rFonts w:hint="eastAsia" w:ascii="宋体" w:hAnsi="宋体" w:cs="宋体"/>
          <w:sz w:val="22"/>
          <w:szCs w:val="22"/>
        </w:rPr>
        <w:t>相对湿度：</w:t>
      </w:r>
      <w:r>
        <w:rPr>
          <w:rFonts w:ascii="宋体" w:hAnsi="宋体"/>
          <w:sz w:val="22"/>
          <w:szCs w:val="22"/>
        </w:rPr>
        <w:t>20</w:t>
      </w:r>
      <w:r>
        <w:rPr>
          <w:rFonts w:hint="eastAsia" w:ascii="宋体" w:hAnsi="宋体" w:cs="宋体"/>
          <w:sz w:val="22"/>
          <w:szCs w:val="22"/>
        </w:rPr>
        <w:t>～</w:t>
      </w:r>
      <w:r>
        <w:rPr>
          <w:rFonts w:ascii="宋体" w:hAnsi="宋体"/>
          <w:sz w:val="22"/>
          <w:szCs w:val="22"/>
        </w:rPr>
        <w:t>80%RH</w:t>
      </w:r>
      <w:r>
        <w:rPr>
          <w:rFonts w:hint="eastAsia" w:ascii="宋体" w:hAnsi="宋体" w:cs="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2、仪器设备技术参数与要求</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2.1离子色谱系统</w:t>
      </w:r>
    </w:p>
    <w:p>
      <w:pPr>
        <w:spacing w:line="420" w:lineRule="exact"/>
        <w:ind w:firstLine="440" w:firstLineChars="200"/>
        <w:rPr>
          <w:rFonts w:ascii="宋体" w:hAnsi="宋体" w:cs="宋体"/>
          <w:sz w:val="22"/>
          <w:szCs w:val="22"/>
        </w:rPr>
      </w:pPr>
      <w:r>
        <w:rPr>
          <w:rFonts w:hint="eastAsia" w:ascii="宋体" w:hAnsi="宋体" w:cs="宋体"/>
          <w:sz w:val="22"/>
          <w:szCs w:val="22"/>
        </w:rPr>
        <w:t>2.1.1 包括耐</w:t>
      </w:r>
      <w:r>
        <w:rPr>
          <w:rFonts w:ascii="宋体" w:hAnsi="宋体" w:cs="宋体"/>
          <w:sz w:val="22"/>
          <w:szCs w:val="22"/>
        </w:rPr>
        <w:t>6000psi</w:t>
      </w:r>
      <w:r>
        <w:rPr>
          <w:rFonts w:hint="eastAsia" w:ascii="宋体" w:hAnsi="宋体" w:cs="宋体"/>
          <w:sz w:val="22"/>
          <w:szCs w:val="22"/>
        </w:rPr>
        <w:t>压力的</w:t>
      </w:r>
      <w:r>
        <w:rPr>
          <w:rFonts w:ascii="宋体" w:hAnsi="宋体" w:cs="宋体"/>
          <w:sz w:val="22"/>
          <w:szCs w:val="22"/>
        </w:rPr>
        <w:t>PEEK</w:t>
      </w:r>
      <w:r>
        <w:rPr>
          <w:rFonts w:hint="eastAsia" w:ascii="宋体" w:hAnsi="宋体" w:cs="宋体"/>
          <w:sz w:val="22"/>
          <w:szCs w:val="22"/>
        </w:rPr>
        <w:t>高压泵（带有原装进口泵前脱气装置），内置电动六通阀，可升降温的柱温箱，阴、阳离子抑制器（淋洗液通道和再生液通道完全独立），可同时安装电导检测器和安培检测器，配有耗材监控及追踪功能；</w:t>
      </w:r>
    </w:p>
    <w:p>
      <w:pPr>
        <w:pStyle w:val="201"/>
        <w:widowControl/>
        <w:spacing w:after="120" w:line="264" w:lineRule="auto"/>
        <w:ind w:firstLine="440"/>
        <w:contextualSpacing/>
        <w:jc w:val="left"/>
        <w:rPr>
          <w:rFonts w:ascii="宋体" w:hAnsi="宋体" w:cs="宋体"/>
          <w:sz w:val="22"/>
          <w:szCs w:val="22"/>
        </w:rPr>
      </w:pPr>
      <w:r>
        <w:rPr>
          <w:rFonts w:hint="eastAsia" w:ascii="宋体" w:hAnsi="宋体" w:cs="宋体"/>
          <w:sz w:val="22"/>
          <w:szCs w:val="22"/>
        </w:rPr>
        <w:t>2.1.2 输液泵系统规格：高性能/低脉冲高压双柱塞泵或者连续双活塞串联泵，泵头及管路均为化学惰性非金属PEEK材质，适合于pH为0-14的淋洗液及反相有机溶剂；</w:t>
      </w:r>
    </w:p>
    <w:p>
      <w:pPr>
        <w:pStyle w:val="201"/>
        <w:widowControl/>
        <w:spacing w:after="120" w:line="264" w:lineRule="auto"/>
        <w:ind w:firstLine="220" w:firstLineChars="100"/>
        <w:contextualSpacing/>
        <w:jc w:val="left"/>
        <w:rPr>
          <w:rFonts w:ascii="宋体" w:hAnsi="宋体" w:cs="宋体"/>
          <w:sz w:val="22"/>
          <w:szCs w:val="22"/>
        </w:rPr>
      </w:pPr>
      <w:r>
        <w:rPr>
          <w:rFonts w:hint="eastAsia" w:ascii="宋体" w:hAnsi="宋体" w:cs="宋体"/>
          <w:sz w:val="22"/>
          <w:szCs w:val="22"/>
        </w:rPr>
        <w:t>▲2.1.3四元梯度泵：采用与液相四元梯度泵相同原理及结构的四元泵，而非简单的一元或二元泵和其他加液单元的组合，需提供带有比例阀的四元梯度泵的证明图片。</w:t>
      </w:r>
    </w:p>
    <w:p>
      <w:pPr>
        <w:spacing w:line="420" w:lineRule="exact"/>
        <w:ind w:firstLine="440" w:firstLineChars="200"/>
        <w:rPr>
          <w:rFonts w:ascii="宋体" w:hAnsi="宋体"/>
          <w:sz w:val="22"/>
          <w:szCs w:val="22"/>
        </w:rPr>
      </w:pPr>
      <w:r>
        <w:rPr>
          <w:rFonts w:hint="eastAsia" w:ascii="宋体" w:hAnsi="宋体" w:cs="宋体"/>
          <w:sz w:val="22"/>
          <w:szCs w:val="22"/>
        </w:rPr>
        <w:t>2.1.4 流速范围： 0.00-10.00 mL/min，无需更换泵头；</w:t>
      </w:r>
    </w:p>
    <w:p>
      <w:pPr>
        <w:spacing w:line="420" w:lineRule="exact"/>
        <w:ind w:firstLine="440" w:firstLineChars="200"/>
        <w:rPr>
          <w:rFonts w:ascii="宋体" w:hAnsi="宋体" w:cs="宋体"/>
          <w:sz w:val="22"/>
          <w:szCs w:val="22"/>
        </w:rPr>
      </w:pPr>
      <w:bookmarkStart w:id="93" w:name="OLE_LINK20"/>
      <w:bookmarkStart w:id="94" w:name="OLE_LINK17"/>
      <w:r>
        <w:rPr>
          <w:rFonts w:hint="eastAsia" w:ascii="宋体" w:hAnsi="宋体" w:cs="宋体"/>
          <w:sz w:val="22"/>
          <w:szCs w:val="22"/>
        </w:rPr>
        <w:t>2.1.5 流速设定值误差：</w:t>
      </w:r>
      <w:r>
        <w:rPr>
          <w:rFonts w:ascii="宋体" w:hAnsi="宋体" w:cs="宋体"/>
          <w:sz w:val="22"/>
          <w:szCs w:val="22"/>
        </w:rPr>
        <w:t>&lt;0.1%</w:t>
      </w:r>
      <w:bookmarkEnd w:id="93"/>
      <w:bookmarkEnd w:id="94"/>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2.1.6流速稳定性误差：</w:t>
      </w:r>
      <w:r>
        <w:rPr>
          <w:rFonts w:ascii="宋体" w:hAnsi="宋体" w:cs="宋体"/>
          <w:sz w:val="22"/>
          <w:szCs w:val="22"/>
        </w:rPr>
        <w:t>&lt;0.1%</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2.1.7 压力脉冲：小于系统压力的</w:t>
      </w:r>
      <w:r>
        <w:rPr>
          <w:rFonts w:ascii="宋体" w:hAnsi="宋体" w:cs="宋体"/>
          <w:sz w:val="22"/>
          <w:szCs w:val="22"/>
        </w:rPr>
        <w:t>1.0%</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2.1.8密封圈清洗：独立的在线密封圈清洗系统，可与分析同步进行，减少密封圈的磨损，延长泵的维护周期。</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w:t>
      </w:r>
      <w:r>
        <w:rPr>
          <w:rFonts w:ascii="宋体" w:hAnsi="宋体"/>
          <w:b/>
          <w:bCs/>
          <w:color w:val="000000"/>
          <w:sz w:val="22"/>
          <w:szCs w:val="22"/>
        </w:rPr>
        <w:t>.</w:t>
      </w:r>
      <w:r>
        <w:rPr>
          <w:rFonts w:hint="eastAsia" w:ascii="宋体" w:hAnsi="宋体"/>
          <w:b/>
          <w:bCs/>
          <w:color w:val="000000"/>
          <w:sz w:val="22"/>
          <w:szCs w:val="22"/>
        </w:rPr>
        <w:t>2 色谱分析柱</w:t>
      </w:r>
    </w:p>
    <w:p>
      <w:pPr>
        <w:spacing w:line="420" w:lineRule="exact"/>
        <w:ind w:firstLine="440" w:firstLineChars="200"/>
        <w:rPr>
          <w:rFonts w:ascii="宋体" w:hAnsi="宋体" w:cs="宋体"/>
          <w:sz w:val="22"/>
          <w:szCs w:val="22"/>
        </w:rPr>
      </w:pPr>
      <w:r>
        <w:rPr>
          <w:rFonts w:hint="eastAsia" w:ascii="宋体" w:hAnsi="宋体" w:cs="宋体"/>
          <w:sz w:val="22"/>
          <w:szCs w:val="22"/>
        </w:rPr>
        <w:t>▲2.2</w:t>
      </w:r>
      <w:r>
        <w:rPr>
          <w:rFonts w:ascii="宋体" w:hAnsi="宋体" w:cs="宋体"/>
          <w:sz w:val="22"/>
          <w:szCs w:val="22"/>
        </w:rPr>
        <w:t>.1</w:t>
      </w:r>
      <w:r>
        <w:rPr>
          <w:rFonts w:hint="eastAsia" w:ascii="宋体" w:hAnsi="宋体" w:cs="宋体"/>
          <w:sz w:val="22"/>
          <w:szCs w:val="22"/>
        </w:rPr>
        <w:t xml:space="preserve"> 高效高容量阴离子分离柱及保护柱</w:t>
      </w:r>
      <w:r>
        <w:rPr>
          <w:rFonts w:ascii="宋体" w:hAnsi="宋体" w:cs="宋体"/>
          <w:sz w:val="22"/>
          <w:szCs w:val="22"/>
        </w:rPr>
        <w:t xml:space="preserve"> 1</w:t>
      </w:r>
      <w:r>
        <w:rPr>
          <w:rFonts w:hint="eastAsia" w:ascii="宋体" w:hAnsi="宋体" w:cs="宋体"/>
          <w:sz w:val="22"/>
          <w:szCs w:val="22"/>
        </w:rPr>
        <w:t>套，色谱柱采用聚合物填料，耐受</w:t>
      </w:r>
      <w:r>
        <w:rPr>
          <w:rFonts w:ascii="宋体" w:hAnsi="宋体" w:cs="宋体"/>
          <w:sz w:val="22"/>
          <w:szCs w:val="22"/>
        </w:rPr>
        <w:t>pH 0-14</w:t>
      </w:r>
      <w:r>
        <w:rPr>
          <w:rFonts w:hint="eastAsia" w:ascii="宋体" w:hAnsi="宋体" w:cs="宋体"/>
          <w:sz w:val="22"/>
          <w:szCs w:val="22"/>
        </w:rPr>
        <w:t>的工作范围，可耐受</w:t>
      </w:r>
      <w:r>
        <w:rPr>
          <w:rFonts w:ascii="宋体" w:hAnsi="宋体" w:cs="宋体"/>
          <w:sz w:val="22"/>
          <w:szCs w:val="22"/>
        </w:rPr>
        <w:t>3000 psi</w:t>
      </w:r>
      <w:r>
        <w:rPr>
          <w:rFonts w:hint="eastAsia" w:ascii="宋体" w:hAnsi="宋体" w:cs="宋体"/>
          <w:sz w:val="22"/>
          <w:szCs w:val="22"/>
        </w:rPr>
        <w:t>以上压力，为保证充分的柱效，柱交换量不小于</w:t>
      </w:r>
      <w:r>
        <w:rPr>
          <w:rFonts w:ascii="宋体" w:hAnsi="宋体" w:cs="宋体"/>
          <w:sz w:val="22"/>
          <w:szCs w:val="22"/>
        </w:rPr>
        <w:t>220</w:t>
      </w:r>
      <w:r>
        <w:rPr>
          <w:rFonts w:hint="eastAsia" w:ascii="宋体" w:hAnsi="宋体" w:cs="宋体"/>
          <w:sz w:val="22"/>
          <w:szCs w:val="22"/>
        </w:rPr>
        <w:t>μ</w:t>
      </w:r>
      <w:r>
        <w:rPr>
          <w:rFonts w:ascii="宋体" w:hAnsi="宋体" w:cs="宋体"/>
          <w:sz w:val="22"/>
          <w:szCs w:val="22"/>
        </w:rPr>
        <w:t>eq/</w:t>
      </w:r>
      <w:r>
        <w:rPr>
          <w:rFonts w:hint="eastAsia" w:ascii="宋体" w:hAnsi="宋体" w:cs="宋体"/>
          <w:sz w:val="22"/>
          <w:szCs w:val="22"/>
        </w:rPr>
        <w:t>根；</w:t>
      </w:r>
      <w:r>
        <w:rPr>
          <w:rFonts w:ascii="宋体" w:hAnsi="宋体" w:cs="宋体"/>
          <w:sz w:val="22"/>
          <w:szCs w:val="22"/>
        </w:rPr>
        <w:t>需提供</w:t>
      </w:r>
      <w:r>
        <w:rPr>
          <w:rFonts w:hint="eastAsia" w:ascii="宋体" w:hAnsi="宋体" w:cs="宋体"/>
          <w:sz w:val="22"/>
          <w:szCs w:val="22"/>
        </w:rPr>
        <w:t>仪器制造商官方网站可供下载的色谱柱手册截图。</w:t>
      </w:r>
    </w:p>
    <w:p>
      <w:pPr>
        <w:spacing w:line="420" w:lineRule="exact"/>
        <w:ind w:firstLine="440" w:firstLineChars="200"/>
        <w:rPr>
          <w:rFonts w:ascii="宋体" w:hAnsi="宋体" w:cs="宋体"/>
          <w:sz w:val="22"/>
          <w:szCs w:val="22"/>
        </w:rPr>
      </w:pPr>
      <w:r>
        <w:rPr>
          <w:rFonts w:hint="eastAsia" w:ascii="宋体" w:hAnsi="宋体" w:cs="宋体"/>
          <w:sz w:val="22"/>
          <w:szCs w:val="22"/>
        </w:rPr>
        <w:t>2.2</w:t>
      </w:r>
      <w:r>
        <w:rPr>
          <w:rFonts w:ascii="宋体" w:hAnsi="宋体" w:cs="宋体"/>
          <w:sz w:val="22"/>
          <w:szCs w:val="22"/>
        </w:rPr>
        <w:t>.2</w:t>
      </w:r>
      <w:r>
        <w:rPr>
          <w:rFonts w:hint="eastAsia" w:ascii="宋体" w:hAnsi="宋体" w:cs="宋体"/>
          <w:sz w:val="22"/>
          <w:szCs w:val="22"/>
        </w:rPr>
        <w:t xml:space="preserve"> 高效高容量氰根分离柱及保护柱</w:t>
      </w:r>
      <w:r>
        <w:rPr>
          <w:rFonts w:ascii="宋体" w:hAnsi="宋体" w:cs="宋体"/>
          <w:sz w:val="22"/>
          <w:szCs w:val="22"/>
        </w:rPr>
        <w:t xml:space="preserve"> 1</w:t>
      </w:r>
      <w:r>
        <w:rPr>
          <w:rFonts w:hint="eastAsia" w:ascii="宋体" w:hAnsi="宋体" w:cs="宋体"/>
          <w:sz w:val="22"/>
          <w:szCs w:val="22"/>
        </w:rPr>
        <w:t>套，色谱柱采用聚合物填料，耐受</w:t>
      </w:r>
      <w:r>
        <w:rPr>
          <w:rFonts w:ascii="宋体" w:hAnsi="宋体" w:cs="宋体"/>
          <w:sz w:val="22"/>
          <w:szCs w:val="22"/>
        </w:rPr>
        <w:t>pH 0-14</w:t>
      </w:r>
      <w:r>
        <w:rPr>
          <w:rFonts w:hint="eastAsia" w:ascii="宋体" w:hAnsi="宋体" w:cs="宋体"/>
          <w:sz w:val="22"/>
          <w:szCs w:val="22"/>
        </w:rPr>
        <w:t>的工作范围，可耐受</w:t>
      </w:r>
      <w:r>
        <w:rPr>
          <w:rFonts w:ascii="宋体" w:hAnsi="宋体" w:cs="宋体"/>
          <w:sz w:val="22"/>
          <w:szCs w:val="22"/>
        </w:rPr>
        <w:t>3000 psi</w:t>
      </w:r>
      <w:r>
        <w:rPr>
          <w:rFonts w:hint="eastAsia" w:ascii="宋体" w:hAnsi="宋体" w:cs="宋体"/>
          <w:sz w:val="22"/>
          <w:szCs w:val="22"/>
        </w:rPr>
        <w:t>以上压力，为保证充分的柱效，柱交换量不小于</w:t>
      </w:r>
      <w:r>
        <w:rPr>
          <w:rFonts w:ascii="宋体" w:hAnsi="宋体" w:cs="宋体"/>
          <w:sz w:val="22"/>
          <w:szCs w:val="22"/>
        </w:rPr>
        <w:t>220</w:t>
      </w:r>
      <w:r>
        <w:rPr>
          <w:rFonts w:hint="eastAsia" w:ascii="宋体" w:hAnsi="宋体" w:cs="宋体"/>
          <w:sz w:val="22"/>
          <w:szCs w:val="22"/>
        </w:rPr>
        <w:t>μ</w:t>
      </w:r>
      <w:r>
        <w:rPr>
          <w:rFonts w:ascii="宋体" w:hAnsi="宋体" w:cs="宋体"/>
          <w:sz w:val="22"/>
          <w:szCs w:val="22"/>
        </w:rPr>
        <w:t>eq/</w:t>
      </w:r>
      <w:r>
        <w:rPr>
          <w:rFonts w:hint="eastAsia" w:ascii="宋体" w:hAnsi="宋体" w:cs="宋体"/>
          <w:sz w:val="22"/>
          <w:szCs w:val="22"/>
        </w:rPr>
        <w:t>根；</w:t>
      </w:r>
    </w:p>
    <w:p>
      <w:pPr>
        <w:spacing w:line="420" w:lineRule="exact"/>
        <w:ind w:firstLine="440" w:firstLineChars="200"/>
        <w:rPr>
          <w:rFonts w:ascii="宋体" w:hAnsi="宋体" w:cs="宋体"/>
          <w:sz w:val="22"/>
          <w:szCs w:val="22"/>
        </w:rPr>
      </w:pPr>
      <w:r>
        <w:rPr>
          <w:rFonts w:hint="eastAsia" w:ascii="宋体" w:hAnsi="宋体" w:cs="宋体"/>
          <w:sz w:val="22"/>
          <w:szCs w:val="22"/>
        </w:rPr>
        <w:t>2.2</w:t>
      </w:r>
      <w:r>
        <w:rPr>
          <w:rFonts w:ascii="宋体" w:hAnsi="宋体" w:cs="宋体"/>
          <w:sz w:val="22"/>
          <w:szCs w:val="22"/>
        </w:rPr>
        <w:t>.</w:t>
      </w:r>
      <w:r>
        <w:rPr>
          <w:rFonts w:hint="eastAsia" w:ascii="宋体" w:hAnsi="宋体" w:cs="宋体"/>
          <w:sz w:val="22"/>
          <w:szCs w:val="22"/>
        </w:rPr>
        <w:t>3 色谱柱必须能耐受</w:t>
      </w:r>
      <w:r>
        <w:rPr>
          <w:rFonts w:ascii="宋体" w:hAnsi="宋体" w:cs="宋体"/>
          <w:sz w:val="22"/>
          <w:szCs w:val="22"/>
        </w:rPr>
        <w:t>2mL/min</w:t>
      </w:r>
      <w:r>
        <w:rPr>
          <w:rFonts w:hint="eastAsia" w:ascii="宋体" w:hAnsi="宋体" w:cs="宋体"/>
          <w:sz w:val="22"/>
          <w:szCs w:val="22"/>
        </w:rPr>
        <w:t>及以上的流速，既能满足常用的</w:t>
      </w:r>
      <w:r>
        <w:rPr>
          <w:rFonts w:ascii="宋体" w:hAnsi="宋体" w:cs="宋体"/>
          <w:sz w:val="22"/>
          <w:szCs w:val="22"/>
        </w:rPr>
        <w:t>1mL/min</w:t>
      </w:r>
      <w:r>
        <w:rPr>
          <w:rFonts w:hint="eastAsia" w:ascii="宋体" w:hAnsi="宋体" w:cs="宋体"/>
          <w:sz w:val="22"/>
          <w:szCs w:val="22"/>
        </w:rPr>
        <w:t>流速分析方法，也能满足柱平衡、色谱柱冲洗等高流速要求。</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2.3 柱温箱</w:t>
      </w:r>
    </w:p>
    <w:p>
      <w:pPr>
        <w:spacing w:line="420" w:lineRule="exact"/>
        <w:ind w:firstLine="440" w:firstLineChars="200"/>
        <w:rPr>
          <w:rFonts w:ascii="宋体" w:hAnsi="宋体" w:cs="宋体"/>
          <w:sz w:val="22"/>
          <w:szCs w:val="22"/>
        </w:rPr>
      </w:pPr>
      <w:r>
        <w:rPr>
          <w:rFonts w:hint="eastAsia" w:ascii="宋体" w:hAnsi="宋体" w:cs="宋体"/>
          <w:sz w:val="22"/>
          <w:szCs w:val="22"/>
        </w:rPr>
        <w:t>2.3.1 温控范围： 0</w:t>
      </w:r>
      <w:r>
        <w:rPr>
          <w:rFonts w:ascii="宋体" w:hAnsi="宋体" w:cs="宋体"/>
          <w:sz w:val="22"/>
          <w:szCs w:val="22"/>
        </w:rPr>
        <w:t xml:space="preserve">- </w:t>
      </w:r>
      <w:r>
        <w:rPr>
          <w:rFonts w:hint="eastAsia" w:ascii="宋体" w:hAnsi="宋体" w:cs="宋体"/>
          <w:sz w:val="22"/>
          <w:szCs w:val="22"/>
        </w:rPr>
        <w:t>8</w:t>
      </w:r>
      <w:r>
        <w:rPr>
          <w:rFonts w:ascii="宋体" w:hAnsi="宋体" w:cs="宋体"/>
          <w:sz w:val="22"/>
          <w:szCs w:val="22"/>
        </w:rPr>
        <w:t>0</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2.3.2 温度控制稳定性：＜</w:t>
      </w:r>
      <w:r>
        <w:rPr>
          <w:rFonts w:ascii="宋体" w:hAnsi="宋体" w:cs="宋体"/>
          <w:sz w:val="22"/>
          <w:szCs w:val="22"/>
        </w:rPr>
        <w:t>0.05</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2.3.3 耗材识别监控：标配接触式识别功能，可识别并监控抑制器、试剂盒和捕获柱等耗材的使用状况</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2.4 抑制器</w:t>
      </w:r>
    </w:p>
    <w:p>
      <w:pPr>
        <w:tabs>
          <w:tab w:val="left" w:pos="851"/>
        </w:tabs>
        <w:spacing w:line="360" w:lineRule="auto"/>
        <w:rPr>
          <w:rFonts w:ascii="宋体" w:hAnsi="宋体"/>
          <w:b/>
          <w:bCs/>
          <w:color w:val="000000"/>
          <w:sz w:val="22"/>
          <w:szCs w:val="22"/>
        </w:rPr>
      </w:pPr>
      <w:r>
        <w:rPr>
          <w:rFonts w:hint="eastAsia" w:ascii="宋体" w:hAnsi="宋体" w:cs="宋体"/>
          <w:sz w:val="22"/>
          <w:szCs w:val="22"/>
        </w:rPr>
        <w:t>▲2.4.1抑制器：自动电解连续再生微膜抑制器，无需外加硫酸进行轮流再生，不需使用蠕动泵，</w:t>
      </w:r>
      <w:r>
        <w:rPr>
          <w:rFonts w:ascii="宋体" w:hAnsi="宋体" w:cs="宋体"/>
          <w:sz w:val="22"/>
          <w:szCs w:val="22"/>
        </w:rPr>
        <w:t>不存在</w:t>
      </w:r>
      <w:r>
        <w:rPr>
          <w:rFonts w:hint="eastAsia" w:ascii="宋体" w:hAnsi="宋体" w:cs="宋体"/>
          <w:sz w:val="22"/>
          <w:szCs w:val="22"/>
        </w:rPr>
        <w:t>泵和</w:t>
      </w:r>
      <w:r>
        <w:rPr>
          <w:rFonts w:ascii="宋体" w:hAnsi="宋体" w:cs="宋体"/>
          <w:sz w:val="22"/>
          <w:szCs w:val="22"/>
        </w:rPr>
        <w:t>泵管等易耗品</w:t>
      </w:r>
      <w:r>
        <w:rPr>
          <w:rFonts w:hint="eastAsia" w:ascii="宋体" w:hAnsi="宋体" w:cs="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2.5电导检测器</w:t>
      </w:r>
    </w:p>
    <w:p>
      <w:pPr>
        <w:spacing w:line="420" w:lineRule="exact"/>
        <w:ind w:firstLine="440" w:firstLineChars="200"/>
        <w:rPr>
          <w:rFonts w:ascii="宋体" w:hAnsi="宋体" w:cs="宋体"/>
          <w:sz w:val="22"/>
          <w:szCs w:val="22"/>
        </w:rPr>
      </w:pPr>
      <w:r>
        <w:rPr>
          <w:rFonts w:hint="eastAsia" w:ascii="宋体" w:hAnsi="宋体" w:cs="宋体"/>
          <w:sz w:val="22"/>
          <w:szCs w:val="22"/>
        </w:rPr>
        <w:t>2.5.1电导池体积：≤0.8 μL；</w:t>
      </w:r>
    </w:p>
    <w:p>
      <w:pPr>
        <w:spacing w:line="420" w:lineRule="exact"/>
        <w:ind w:firstLine="440" w:firstLineChars="200"/>
        <w:rPr>
          <w:rFonts w:ascii="宋体" w:hAnsi="宋体" w:cs="宋体"/>
          <w:sz w:val="22"/>
          <w:szCs w:val="22"/>
        </w:rPr>
      </w:pPr>
      <w:r>
        <w:rPr>
          <w:rFonts w:hint="eastAsia" w:ascii="宋体" w:hAnsi="宋体" w:cs="宋体"/>
          <w:sz w:val="22"/>
          <w:szCs w:val="22"/>
        </w:rPr>
        <w:t>2.5.2全程信号输出范围：0-15000 μS；</w:t>
      </w:r>
    </w:p>
    <w:p>
      <w:pPr>
        <w:pStyle w:val="508"/>
        <w:widowControl/>
        <w:numPr>
          <w:ilvl w:val="0"/>
          <w:numId w:val="0"/>
        </w:numPr>
        <w:spacing w:after="120" w:line="264" w:lineRule="auto"/>
        <w:ind w:right="29" w:firstLine="220" w:firstLineChars="100"/>
        <w:contextualSpacing/>
        <w:jc w:val="left"/>
        <w:rPr>
          <w:rFonts w:ascii="宋体" w:hAnsi="宋体" w:cs="宋体"/>
          <w:color w:val="FF0000"/>
          <w:sz w:val="22"/>
          <w:szCs w:val="22"/>
        </w:rPr>
      </w:pPr>
      <w:r>
        <w:rPr>
          <w:rFonts w:hint="eastAsia" w:ascii="宋体" w:hAnsi="宋体" w:cs="宋体"/>
          <w:color w:val="FF0000"/>
          <w:sz w:val="22"/>
          <w:szCs w:val="22"/>
        </w:rPr>
        <w:t>▲2.5.3检测器分辨率：≤0.003nS/cm , 需提供计量器具型式评价报告或计量器具型式注册表；</w:t>
      </w:r>
    </w:p>
    <w:p>
      <w:pPr>
        <w:spacing w:line="420" w:lineRule="exact"/>
        <w:ind w:firstLine="440" w:firstLineChars="200"/>
        <w:rPr>
          <w:rFonts w:ascii="宋体" w:hAnsi="宋体" w:cs="宋体"/>
          <w:sz w:val="22"/>
          <w:szCs w:val="22"/>
        </w:rPr>
      </w:pPr>
      <w:r>
        <w:rPr>
          <w:rFonts w:hint="eastAsia" w:ascii="宋体" w:hAnsi="宋体" w:cs="宋体"/>
          <w:sz w:val="22"/>
          <w:szCs w:val="22"/>
        </w:rPr>
        <w:t>2.5.4检测器耐受最大压力：≥</w:t>
      </w:r>
      <w:r>
        <w:rPr>
          <w:rFonts w:ascii="宋体" w:hAnsi="宋体" w:cs="宋体"/>
          <w:sz w:val="22"/>
          <w:szCs w:val="22"/>
        </w:rPr>
        <w:t>8</w:t>
      </w:r>
      <w:r>
        <w:rPr>
          <w:rFonts w:hint="eastAsia" w:ascii="宋体" w:hAnsi="宋体" w:cs="宋体"/>
          <w:sz w:val="22"/>
          <w:szCs w:val="22"/>
        </w:rPr>
        <w:t>Mpa</w:t>
      </w:r>
    </w:p>
    <w:p>
      <w:pPr>
        <w:spacing w:line="420" w:lineRule="exact"/>
        <w:ind w:firstLine="440" w:firstLineChars="200"/>
        <w:rPr>
          <w:rFonts w:ascii="宋体" w:hAnsi="宋体" w:cs="宋体"/>
          <w:sz w:val="22"/>
          <w:szCs w:val="22"/>
        </w:rPr>
      </w:pPr>
      <w:r>
        <w:rPr>
          <w:rFonts w:hint="eastAsia" w:ascii="宋体" w:hAnsi="宋体" w:cs="宋体"/>
          <w:sz w:val="22"/>
          <w:szCs w:val="22"/>
        </w:rPr>
        <w:t>2.5.5信号采集频率：不低于80Hz</w:t>
      </w:r>
    </w:p>
    <w:p>
      <w:pPr>
        <w:spacing w:line="420" w:lineRule="exact"/>
        <w:ind w:firstLine="440" w:firstLineChars="200"/>
        <w:rPr>
          <w:rFonts w:ascii="宋体" w:hAnsi="宋体" w:cs="宋体"/>
          <w:sz w:val="22"/>
          <w:szCs w:val="22"/>
        </w:rPr>
      </w:pPr>
      <w:r>
        <w:rPr>
          <w:rFonts w:hint="eastAsia" w:ascii="宋体" w:hAnsi="宋体" w:cs="宋体"/>
          <w:sz w:val="22"/>
          <w:szCs w:val="22"/>
        </w:rPr>
        <w:t>2.5.6电导池控温范围：+5℃到60℃；</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2.6安培检测器</w:t>
      </w:r>
    </w:p>
    <w:p>
      <w:pPr>
        <w:spacing w:line="420" w:lineRule="exact"/>
        <w:ind w:firstLine="440" w:firstLineChars="200"/>
        <w:rPr>
          <w:rFonts w:ascii="宋体" w:hAnsi="宋体" w:cs="宋体"/>
          <w:sz w:val="22"/>
          <w:szCs w:val="22"/>
        </w:rPr>
      </w:pPr>
      <w:r>
        <w:rPr>
          <w:rFonts w:hint="eastAsia" w:ascii="宋体" w:hAnsi="宋体" w:cs="宋体"/>
          <w:sz w:val="22"/>
          <w:szCs w:val="22"/>
        </w:rPr>
        <w:t>2.6.1 安培检测器：用于安培检测相关应用包括氰根的检测；微处理器控制，数字输出模式；提供直流安培、脉冲安培、积分安培、循环伏安等扫描检测方式；</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2.6.2 电位范围：-5.0到5.0V，0. 001V增幅； </w:t>
      </w:r>
    </w:p>
    <w:p>
      <w:pPr>
        <w:spacing w:line="360" w:lineRule="auto"/>
        <w:ind w:firstLine="420"/>
        <w:rPr>
          <w:rFonts w:ascii="宋体" w:hAnsi="宋体" w:cs="宋体"/>
          <w:sz w:val="22"/>
          <w:szCs w:val="22"/>
        </w:rPr>
      </w:pPr>
      <w:r>
        <w:rPr>
          <w:rFonts w:hint="eastAsia" w:ascii="宋体" w:hAnsi="宋体" w:cs="宋体"/>
          <w:sz w:val="22"/>
          <w:szCs w:val="22"/>
        </w:rPr>
        <w:t>2.6.3 检测器噪音：直流安培检测：≤5pA，积分安培检测：≤10pA；</w:t>
      </w:r>
    </w:p>
    <w:p>
      <w:pPr>
        <w:spacing w:line="420" w:lineRule="exact"/>
        <w:ind w:firstLine="440" w:firstLineChars="200"/>
        <w:rPr>
          <w:rFonts w:ascii="宋体" w:hAnsi="宋体" w:cs="宋体"/>
          <w:sz w:val="22"/>
          <w:szCs w:val="22"/>
        </w:rPr>
      </w:pPr>
      <w:r>
        <w:rPr>
          <w:rFonts w:hint="eastAsia" w:ascii="宋体" w:hAnsi="宋体" w:cs="宋体"/>
          <w:sz w:val="22"/>
          <w:szCs w:val="22"/>
        </w:rPr>
        <w:t>2.6.4 量程范围：直流安培</w:t>
      </w:r>
      <w:r>
        <w:rPr>
          <w:rFonts w:ascii="宋体" w:hAnsi="宋体" w:cs="宋体"/>
          <w:sz w:val="22"/>
          <w:szCs w:val="22"/>
        </w:rPr>
        <w:t xml:space="preserve">5 pA 到 </w:t>
      </w:r>
      <w:r>
        <w:rPr>
          <w:rFonts w:hint="eastAsia" w:ascii="宋体" w:hAnsi="宋体" w:cs="宋体"/>
          <w:sz w:val="22"/>
          <w:szCs w:val="22"/>
        </w:rPr>
        <w:t>74μ</w:t>
      </w:r>
      <w:r>
        <w:rPr>
          <w:rFonts w:ascii="宋体" w:hAnsi="宋体" w:cs="宋体"/>
          <w:sz w:val="22"/>
          <w:szCs w:val="22"/>
        </w:rPr>
        <w:t>A</w:t>
      </w:r>
      <w:r>
        <w:rPr>
          <w:rFonts w:hint="eastAsia" w:ascii="宋体" w:hAnsi="宋体" w:cs="宋体"/>
          <w:sz w:val="22"/>
          <w:szCs w:val="22"/>
        </w:rPr>
        <w:t>；积分安培</w:t>
      </w:r>
      <w:r>
        <w:rPr>
          <w:rFonts w:ascii="宋体" w:hAnsi="宋体" w:cs="宋体"/>
          <w:sz w:val="22"/>
          <w:szCs w:val="22"/>
        </w:rPr>
        <w:t>50 pC 到 200</w:t>
      </w:r>
      <w:bookmarkStart w:id="95" w:name="OLE_LINK18"/>
      <w:bookmarkStart w:id="96" w:name="OLE_LINK19"/>
      <w:r>
        <w:rPr>
          <w:rFonts w:hint="eastAsia" w:ascii="宋体" w:hAnsi="宋体" w:cs="宋体"/>
          <w:sz w:val="22"/>
          <w:szCs w:val="22"/>
        </w:rPr>
        <w:t>μ</w:t>
      </w:r>
      <w:bookmarkEnd w:id="95"/>
      <w:bookmarkEnd w:id="96"/>
      <w:r>
        <w:rPr>
          <w:rFonts w:ascii="宋体" w:hAnsi="宋体" w:cs="宋体"/>
          <w:sz w:val="22"/>
          <w:szCs w:val="22"/>
        </w:rPr>
        <w:t>C</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2.6.5 工作电极：1mm和3mm永久电极可供</w:t>
      </w:r>
      <w:r>
        <w:rPr>
          <w:rFonts w:ascii="宋体" w:hAnsi="宋体" w:cs="宋体"/>
          <w:sz w:val="22"/>
          <w:szCs w:val="22"/>
        </w:rPr>
        <w:t>选择</w:t>
      </w:r>
      <w:r>
        <w:rPr>
          <w:rFonts w:hint="eastAsia" w:ascii="宋体" w:hAnsi="宋体" w:cs="宋体"/>
          <w:sz w:val="22"/>
          <w:szCs w:val="22"/>
        </w:rPr>
        <w:t>，</w:t>
      </w:r>
      <w:r>
        <w:rPr>
          <w:rFonts w:ascii="宋体" w:hAnsi="宋体" w:cs="宋体"/>
          <w:sz w:val="22"/>
          <w:szCs w:val="22"/>
        </w:rPr>
        <w:t>可反复打磨使用</w:t>
      </w:r>
      <w:r>
        <w:rPr>
          <w:rFonts w:hint="eastAsia" w:ascii="宋体" w:hAnsi="宋体" w:cs="宋体"/>
          <w:sz w:val="22"/>
          <w:szCs w:val="22"/>
        </w:rPr>
        <w:t>，</w:t>
      </w:r>
      <w:r>
        <w:rPr>
          <w:rFonts w:ascii="宋体" w:hAnsi="宋体" w:cs="宋体"/>
          <w:sz w:val="22"/>
          <w:szCs w:val="22"/>
        </w:rPr>
        <w:t>并可提供</w:t>
      </w:r>
      <w:r>
        <w:rPr>
          <w:rFonts w:hint="eastAsia" w:ascii="宋体" w:hAnsi="宋体" w:cs="宋体"/>
          <w:sz w:val="22"/>
          <w:szCs w:val="22"/>
        </w:rPr>
        <w:t>可抛弃型电极，保证</w:t>
      </w:r>
      <w:r>
        <w:rPr>
          <w:rFonts w:ascii="宋体" w:hAnsi="宋体" w:cs="宋体"/>
          <w:sz w:val="22"/>
          <w:szCs w:val="22"/>
        </w:rPr>
        <w:t>更短的</w:t>
      </w:r>
      <w:r>
        <w:rPr>
          <w:rFonts w:hint="eastAsia" w:ascii="宋体" w:hAnsi="宋体" w:cs="宋体"/>
          <w:sz w:val="22"/>
          <w:szCs w:val="22"/>
        </w:rPr>
        <w:t>开机平衡</w:t>
      </w:r>
      <w:r>
        <w:rPr>
          <w:rFonts w:ascii="宋体" w:hAnsi="宋体" w:cs="宋体"/>
          <w:sz w:val="22"/>
          <w:szCs w:val="22"/>
        </w:rPr>
        <w:t>时间</w:t>
      </w:r>
      <w:r>
        <w:rPr>
          <w:rFonts w:hint="eastAsia" w:ascii="宋体" w:hAnsi="宋体" w:cs="宋体"/>
          <w:sz w:val="22"/>
          <w:szCs w:val="22"/>
        </w:rPr>
        <w:t>和</w:t>
      </w:r>
      <w:r>
        <w:rPr>
          <w:rFonts w:ascii="宋体" w:hAnsi="宋体" w:cs="宋体"/>
          <w:sz w:val="22"/>
          <w:szCs w:val="22"/>
        </w:rPr>
        <w:t>更好的</w:t>
      </w:r>
      <w:r>
        <w:rPr>
          <w:rFonts w:hint="eastAsia" w:ascii="宋体" w:hAnsi="宋体" w:cs="宋体"/>
          <w:sz w:val="22"/>
          <w:szCs w:val="22"/>
        </w:rPr>
        <w:t>样品</w:t>
      </w:r>
      <w:r>
        <w:rPr>
          <w:rFonts w:ascii="宋体" w:hAnsi="宋体" w:cs="宋体"/>
          <w:sz w:val="22"/>
          <w:szCs w:val="22"/>
        </w:rPr>
        <w:t>测定</w:t>
      </w:r>
      <w:r>
        <w:rPr>
          <w:rFonts w:hint="eastAsia" w:ascii="宋体" w:hAnsi="宋体" w:cs="宋体"/>
          <w:sz w:val="22"/>
          <w:szCs w:val="22"/>
        </w:rPr>
        <w:t>重复性；</w:t>
      </w:r>
    </w:p>
    <w:p>
      <w:pPr>
        <w:spacing w:line="420" w:lineRule="exact"/>
        <w:ind w:firstLine="440" w:firstLineChars="200"/>
        <w:rPr>
          <w:rFonts w:ascii="宋体" w:hAnsi="宋体" w:cs="宋体"/>
          <w:sz w:val="22"/>
          <w:szCs w:val="22"/>
        </w:rPr>
      </w:pPr>
      <w:r>
        <w:rPr>
          <w:rFonts w:hint="eastAsia" w:ascii="宋体" w:hAnsi="宋体" w:cs="宋体"/>
          <w:sz w:val="22"/>
          <w:szCs w:val="22"/>
        </w:rPr>
        <w:t>2.6.6 垫片：</w:t>
      </w:r>
      <w:r>
        <w:rPr>
          <w:rFonts w:ascii="宋体" w:hAnsi="宋体" w:cs="宋体"/>
          <w:sz w:val="22"/>
          <w:szCs w:val="22"/>
        </w:rPr>
        <w:t>可提供</w:t>
      </w:r>
      <w:r>
        <w:rPr>
          <w:rFonts w:hint="eastAsia" w:ascii="宋体" w:hAnsi="宋体" w:cs="宋体"/>
          <w:sz w:val="22"/>
          <w:szCs w:val="22"/>
        </w:rPr>
        <w:t>1mil，2 mil，3 mil，5 mil，15 mil和62 mil六</w:t>
      </w:r>
      <w:r>
        <w:rPr>
          <w:rFonts w:ascii="宋体" w:hAnsi="宋体" w:cs="宋体"/>
          <w:sz w:val="22"/>
          <w:szCs w:val="22"/>
        </w:rPr>
        <w:t>种</w:t>
      </w:r>
      <w:r>
        <w:rPr>
          <w:rFonts w:hint="eastAsia" w:ascii="宋体" w:hAnsi="宋体" w:cs="宋体"/>
          <w:sz w:val="22"/>
          <w:szCs w:val="22"/>
        </w:rPr>
        <w:t>规格垫片</w:t>
      </w:r>
      <w:r>
        <w:rPr>
          <w:rFonts w:ascii="宋体" w:hAnsi="宋体" w:cs="宋体"/>
          <w:sz w:val="22"/>
          <w:szCs w:val="22"/>
        </w:rPr>
        <w:t>，可通过改变</w:t>
      </w:r>
      <w:r>
        <w:rPr>
          <w:rFonts w:hint="eastAsia" w:ascii="宋体" w:hAnsi="宋体" w:cs="宋体"/>
          <w:sz w:val="22"/>
          <w:szCs w:val="22"/>
        </w:rPr>
        <w:t>垫片厚度</w:t>
      </w:r>
      <w:r>
        <w:rPr>
          <w:rFonts w:ascii="宋体" w:hAnsi="宋体" w:cs="宋体"/>
          <w:sz w:val="22"/>
          <w:szCs w:val="22"/>
        </w:rPr>
        <w:t>来改变灵敏度，涵盖</w:t>
      </w:r>
      <w:r>
        <w:rPr>
          <w:rFonts w:hint="eastAsia" w:ascii="宋体" w:hAnsi="宋体" w:cs="宋体"/>
          <w:sz w:val="22"/>
          <w:szCs w:val="22"/>
        </w:rPr>
        <w:t>μg/L到g/L之间</w:t>
      </w:r>
      <w:r>
        <w:rPr>
          <w:rFonts w:ascii="宋体" w:hAnsi="宋体" w:cs="宋体"/>
          <w:sz w:val="22"/>
          <w:szCs w:val="22"/>
        </w:rPr>
        <w:t>不同浓度范围的样品测定</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2.6.7 参比电极类型：</w:t>
      </w:r>
      <w:r>
        <w:rPr>
          <w:rFonts w:ascii="宋体" w:hAnsi="宋体" w:cs="宋体"/>
          <w:sz w:val="22"/>
          <w:szCs w:val="22"/>
        </w:rPr>
        <w:t>pH-Ag/AgCl</w:t>
      </w:r>
      <w:r>
        <w:rPr>
          <w:rFonts w:hint="eastAsia" w:ascii="宋体" w:hAnsi="宋体" w:cs="宋体"/>
          <w:sz w:val="22"/>
          <w:szCs w:val="22"/>
        </w:rPr>
        <w:t>复合型参比电极，可耐受0</w:t>
      </w:r>
      <w:r>
        <w:rPr>
          <w:rFonts w:ascii="宋体" w:hAnsi="宋体" w:cs="宋体"/>
          <w:sz w:val="22"/>
          <w:szCs w:val="22"/>
        </w:rPr>
        <w:t>-14</w:t>
      </w:r>
      <w:r>
        <w:rPr>
          <w:rFonts w:hint="eastAsia" w:ascii="宋体" w:hAnsi="宋体" w:cs="宋体"/>
          <w:sz w:val="22"/>
          <w:szCs w:val="22"/>
        </w:rPr>
        <w:t>的pH范围</w:t>
      </w:r>
      <w:r>
        <w:rPr>
          <w:rFonts w:ascii="宋体" w:hAnsi="宋体" w:cs="宋体"/>
          <w:sz w:val="22"/>
          <w:szCs w:val="22"/>
        </w:rPr>
        <w:t>，可</w:t>
      </w:r>
      <w:r>
        <w:rPr>
          <w:rFonts w:hint="eastAsia" w:ascii="宋体" w:hAnsi="宋体" w:cs="宋体"/>
          <w:sz w:val="22"/>
          <w:szCs w:val="22"/>
        </w:rPr>
        <w:t>通过监控系统</w:t>
      </w:r>
      <w:r>
        <w:rPr>
          <w:rFonts w:ascii="宋体" w:hAnsi="宋体" w:cs="宋体"/>
          <w:sz w:val="22"/>
          <w:szCs w:val="22"/>
        </w:rPr>
        <w:t>pH</w:t>
      </w:r>
      <w:r>
        <w:rPr>
          <w:rFonts w:hint="eastAsia" w:ascii="宋体" w:hAnsi="宋体" w:cs="宋体"/>
          <w:sz w:val="22"/>
          <w:szCs w:val="22"/>
        </w:rPr>
        <w:t>值</w:t>
      </w:r>
      <w:r>
        <w:rPr>
          <w:rFonts w:ascii="宋体" w:hAnsi="宋体" w:cs="宋体"/>
          <w:sz w:val="22"/>
          <w:szCs w:val="22"/>
        </w:rPr>
        <w:t>来判断</w:t>
      </w:r>
      <w:r>
        <w:rPr>
          <w:rFonts w:hint="eastAsia" w:ascii="宋体" w:hAnsi="宋体" w:cs="宋体"/>
          <w:sz w:val="22"/>
          <w:szCs w:val="22"/>
        </w:rPr>
        <w:t>参比电极</w:t>
      </w:r>
      <w:r>
        <w:rPr>
          <w:rFonts w:ascii="宋体" w:hAnsi="宋体" w:cs="宋体"/>
          <w:sz w:val="22"/>
          <w:szCs w:val="22"/>
        </w:rPr>
        <w:t>的健康状况，并</w:t>
      </w:r>
      <w:r>
        <w:rPr>
          <w:rFonts w:hint="eastAsia" w:ascii="宋体" w:hAnsi="宋体" w:cs="宋体"/>
          <w:sz w:val="22"/>
          <w:szCs w:val="22"/>
        </w:rPr>
        <w:t>可</w:t>
      </w:r>
      <w:r>
        <w:rPr>
          <w:rFonts w:ascii="宋体" w:hAnsi="宋体" w:cs="宋体"/>
          <w:sz w:val="22"/>
          <w:szCs w:val="22"/>
        </w:rPr>
        <w:t>减少</w:t>
      </w:r>
      <w:r>
        <w:rPr>
          <w:rFonts w:hint="eastAsia" w:ascii="宋体" w:hAnsi="宋体" w:cs="宋体"/>
          <w:sz w:val="22"/>
          <w:szCs w:val="22"/>
        </w:rPr>
        <w:t>因pH变化而</w:t>
      </w:r>
      <w:r>
        <w:rPr>
          <w:rFonts w:ascii="宋体" w:hAnsi="宋体" w:cs="宋体"/>
          <w:sz w:val="22"/>
          <w:szCs w:val="22"/>
        </w:rPr>
        <w:t>引起的基线漂移</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2.6.8 自动调整量程：直流安培、</w:t>
      </w:r>
      <w:r>
        <w:rPr>
          <w:rFonts w:ascii="宋体" w:hAnsi="宋体" w:cs="宋体"/>
          <w:sz w:val="22"/>
          <w:szCs w:val="22"/>
        </w:rPr>
        <w:t>脉冲安培和积分安培均可自动</w:t>
      </w:r>
      <w:r>
        <w:rPr>
          <w:rFonts w:hint="eastAsia" w:ascii="宋体" w:hAnsi="宋体" w:cs="宋体"/>
          <w:sz w:val="22"/>
          <w:szCs w:val="22"/>
        </w:rPr>
        <w:t>调整</w:t>
      </w:r>
      <w:r>
        <w:rPr>
          <w:rFonts w:ascii="宋体" w:hAnsi="宋体" w:cs="宋体"/>
          <w:sz w:val="22"/>
          <w:szCs w:val="22"/>
        </w:rPr>
        <w:t>量程</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2.6.9 池体积：</w:t>
      </w:r>
      <w:r>
        <w:rPr>
          <w:rFonts w:ascii="宋体" w:hAnsi="宋体" w:cs="宋体"/>
          <w:sz w:val="22"/>
          <w:szCs w:val="22"/>
        </w:rPr>
        <w:t>&lt;0.2μL</w:t>
      </w:r>
      <w:r>
        <w:rPr>
          <w:rFonts w:hint="eastAsia" w:ascii="宋体" w:hAnsi="宋体" w:cs="宋体"/>
          <w:sz w:val="22"/>
          <w:szCs w:val="22"/>
        </w:rPr>
        <w:t>。</w:t>
      </w:r>
    </w:p>
    <w:p>
      <w:pPr>
        <w:tabs>
          <w:tab w:val="left" w:pos="851"/>
        </w:tabs>
        <w:spacing w:line="360" w:lineRule="auto"/>
        <w:rPr>
          <w:rFonts w:ascii="宋体" w:hAnsi="宋体"/>
          <w:b/>
          <w:bCs/>
          <w:color w:val="000000"/>
          <w:sz w:val="22"/>
          <w:szCs w:val="22"/>
        </w:rPr>
      </w:pPr>
      <w:bookmarkStart w:id="97" w:name="OLE_LINK46"/>
      <w:bookmarkStart w:id="98" w:name="OLE_LINK15"/>
      <w:bookmarkStart w:id="99" w:name="OLE_LINK47"/>
      <w:bookmarkStart w:id="100" w:name="OLE_LINK14"/>
      <w:r>
        <w:rPr>
          <w:rFonts w:hint="eastAsia" w:ascii="宋体" w:hAnsi="宋体"/>
          <w:b/>
          <w:bCs/>
          <w:color w:val="000000"/>
          <w:sz w:val="22"/>
          <w:szCs w:val="22"/>
        </w:rPr>
        <w:t>2</w:t>
      </w:r>
      <w:r>
        <w:rPr>
          <w:rFonts w:ascii="宋体" w:hAnsi="宋体"/>
          <w:b/>
          <w:bCs/>
          <w:color w:val="000000"/>
          <w:sz w:val="22"/>
          <w:szCs w:val="22"/>
        </w:rPr>
        <w:t>.</w:t>
      </w:r>
      <w:r>
        <w:rPr>
          <w:rFonts w:hint="eastAsia" w:ascii="宋体" w:hAnsi="宋体"/>
          <w:b/>
          <w:bCs/>
          <w:color w:val="000000"/>
          <w:sz w:val="22"/>
          <w:szCs w:val="22"/>
        </w:rPr>
        <w:t>7 操作软件</w:t>
      </w:r>
    </w:p>
    <w:p>
      <w:pPr>
        <w:spacing w:line="420" w:lineRule="exact"/>
        <w:ind w:firstLine="440" w:firstLineChars="200"/>
        <w:rPr>
          <w:rFonts w:ascii="宋体" w:hAnsi="宋体" w:cs="宋体"/>
          <w:sz w:val="22"/>
          <w:szCs w:val="22"/>
        </w:rPr>
      </w:pPr>
      <w:r>
        <w:rPr>
          <w:rFonts w:hint="eastAsia" w:ascii="宋体" w:hAnsi="宋体" w:cs="宋体"/>
          <w:sz w:val="22"/>
          <w:szCs w:val="22"/>
        </w:rPr>
        <w:t>2.7</w:t>
      </w:r>
      <w:r>
        <w:rPr>
          <w:rFonts w:ascii="宋体" w:hAnsi="宋体" w:cs="宋体"/>
          <w:sz w:val="22"/>
          <w:szCs w:val="22"/>
        </w:rPr>
        <w:t>.1</w:t>
      </w:r>
      <w:r>
        <w:rPr>
          <w:rFonts w:hint="eastAsia" w:ascii="宋体" w:hAnsi="宋体" w:cs="宋体"/>
          <w:sz w:val="22"/>
          <w:szCs w:val="22"/>
        </w:rPr>
        <w:t xml:space="preserve"> 原厂中文版软件，另提供英文版备用；</w:t>
      </w:r>
    </w:p>
    <w:p>
      <w:pPr>
        <w:spacing w:line="420" w:lineRule="exact"/>
        <w:ind w:firstLine="440" w:firstLineChars="200"/>
        <w:rPr>
          <w:rFonts w:ascii="宋体" w:hAnsi="宋体" w:cs="宋体"/>
          <w:sz w:val="22"/>
          <w:szCs w:val="22"/>
        </w:rPr>
      </w:pPr>
      <w:r>
        <w:rPr>
          <w:rFonts w:hint="eastAsia" w:ascii="宋体" w:hAnsi="宋体" w:cs="宋体"/>
          <w:sz w:val="22"/>
          <w:szCs w:val="22"/>
        </w:rPr>
        <w:t>2.7</w:t>
      </w:r>
      <w:r>
        <w:rPr>
          <w:rFonts w:ascii="宋体" w:hAnsi="宋体" w:cs="宋体"/>
          <w:sz w:val="22"/>
          <w:szCs w:val="22"/>
        </w:rPr>
        <w:t>.2</w:t>
      </w:r>
      <w:r>
        <w:rPr>
          <w:rFonts w:hint="eastAsia" w:ascii="宋体" w:hAnsi="宋体" w:cs="宋体"/>
          <w:sz w:val="22"/>
          <w:szCs w:val="22"/>
        </w:rPr>
        <w:t xml:space="preserve"> 操作界面模拟</w:t>
      </w:r>
      <w:r>
        <w:rPr>
          <w:rFonts w:ascii="宋体" w:hAnsi="宋体" w:cs="宋体"/>
          <w:sz w:val="22"/>
          <w:szCs w:val="22"/>
        </w:rPr>
        <w:t>Microsoft®office</w:t>
      </w:r>
      <w:r>
        <w:rPr>
          <w:rFonts w:hint="eastAsia" w:ascii="宋体" w:hAnsi="宋体" w:cs="宋体"/>
          <w:sz w:val="22"/>
          <w:szCs w:val="22"/>
        </w:rPr>
        <w:t>操作系统易于学习和操作。样品列表中已采集数据的样品具有色谱图缩略显示功能，不用打开具体谱图即可看到样品大概组成及含量信息。基于数据库设计的数据处理功能，修改色谱图、校正曲线后即可实时动态数据更新；可以对样品信息进行自定义搜索，快速查询数据；可以实现样品及标样的数据图形化显示，可以以棒状图、散点图、折线图、气泡图等形式显示数据点的趋势与离散度；</w:t>
      </w:r>
    </w:p>
    <w:p>
      <w:pPr>
        <w:spacing w:line="420" w:lineRule="exact"/>
        <w:ind w:firstLine="440" w:firstLineChars="200"/>
        <w:rPr>
          <w:rFonts w:ascii="宋体" w:hAnsi="宋体" w:cs="宋体"/>
          <w:sz w:val="22"/>
          <w:szCs w:val="22"/>
        </w:rPr>
      </w:pPr>
      <w:r>
        <w:rPr>
          <w:rFonts w:hint="eastAsia" w:ascii="宋体" w:hAnsi="宋体" w:cs="宋体"/>
          <w:sz w:val="22"/>
          <w:szCs w:val="22"/>
        </w:rPr>
        <w:t>2.7</w:t>
      </w:r>
      <w:r>
        <w:rPr>
          <w:rFonts w:ascii="宋体" w:hAnsi="宋体" w:cs="宋体"/>
          <w:sz w:val="22"/>
          <w:szCs w:val="22"/>
        </w:rPr>
        <w:t>.3</w:t>
      </w:r>
      <w:r>
        <w:rPr>
          <w:rFonts w:hint="eastAsia" w:ascii="宋体" w:hAnsi="宋体" w:cs="宋体"/>
          <w:sz w:val="22"/>
          <w:szCs w:val="22"/>
        </w:rPr>
        <w:t>软件能够设定所有的分析条件和参数，并完全控制色谱仪系统并能随时监控运行参数，自动优化流速、保护柱压等参数；</w:t>
      </w:r>
    </w:p>
    <w:bookmarkEnd w:id="97"/>
    <w:bookmarkEnd w:id="98"/>
    <w:bookmarkEnd w:id="99"/>
    <w:bookmarkEnd w:id="100"/>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w:t>
      </w:r>
      <w:r>
        <w:rPr>
          <w:rFonts w:ascii="宋体" w:hAnsi="宋体"/>
          <w:b/>
          <w:bCs/>
          <w:color w:val="000000"/>
          <w:sz w:val="22"/>
          <w:szCs w:val="22"/>
        </w:rPr>
        <w:t>.</w:t>
      </w:r>
      <w:r>
        <w:rPr>
          <w:rFonts w:hint="eastAsia" w:ascii="宋体" w:hAnsi="宋体"/>
          <w:b/>
          <w:bCs/>
          <w:color w:val="000000"/>
          <w:sz w:val="22"/>
          <w:szCs w:val="22"/>
        </w:rPr>
        <w:t>8 离子色谱用自动进样器</w:t>
      </w:r>
    </w:p>
    <w:p>
      <w:pPr>
        <w:spacing w:line="420" w:lineRule="exact"/>
        <w:ind w:firstLine="440" w:firstLineChars="200"/>
        <w:rPr>
          <w:rFonts w:ascii="宋体" w:hAnsi="宋体" w:cs="宋体"/>
          <w:sz w:val="22"/>
          <w:szCs w:val="22"/>
        </w:rPr>
      </w:pPr>
      <w:r>
        <w:rPr>
          <w:rFonts w:hint="eastAsia" w:ascii="宋体" w:hAnsi="宋体" w:cs="宋体"/>
          <w:sz w:val="22"/>
          <w:szCs w:val="22"/>
        </w:rPr>
        <w:t>2.8</w:t>
      </w:r>
      <w:r>
        <w:rPr>
          <w:rFonts w:ascii="宋体" w:hAnsi="宋体" w:cs="宋体"/>
          <w:sz w:val="22"/>
          <w:szCs w:val="22"/>
        </w:rPr>
        <w:t>.1</w:t>
      </w:r>
      <w:r>
        <w:rPr>
          <w:rFonts w:hint="eastAsia" w:ascii="宋体" w:hAnsi="宋体" w:cs="宋体"/>
          <w:sz w:val="22"/>
          <w:szCs w:val="22"/>
        </w:rPr>
        <w:t xml:space="preserve"> 具有</w:t>
      </w:r>
      <w:r>
        <w:rPr>
          <w:rFonts w:ascii="宋体" w:hAnsi="宋体" w:cs="宋体"/>
          <w:sz w:val="22"/>
          <w:szCs w:val="22"/>
        </w:rPr>
        <w:t>40</w:t>
      </w:r>
      <w:r>
        <w:rPr>
          <w:rFonts w:hint="eastAsia" w:ascii="宋体" w:hAnsi="宋体" w:cs="宋体"/>
          <w:sz w:val="22"/>
          <w:szCs w:val="22"/>
        </w:rPr>
        <w:t>个以上进样瓶物理位置的自动进样器；</w:t>
      </w:r>
    </w:p>
    <w:p>
      <w:pPr>
        <w:spacing w:line="420" w:lineRule="exact"/>
        <w:ind w:firstLine="440" w:firstLineChars="200"/>
        <w:rPr>
          <w:rFonts w:ascii="宋体" w:hAnsi="宋体" w:cs="宋体"/>
          <w:sz w:val="22"/>
          <w:szCs w:val="22"/>
        </w:rPr>
      </w:pPr>
      <w:r>
        <w:rPr>
          <w:rFonts w:hint="eastAsia" w:ascii="宋体" w:hAnsi="宋体" w:cs="宋体"/>
          <w:sz w:val="22"/>
          <w:szCs w:val="22"/>
        </w:rPr>
        <w:t>2.8</w:t>
      </w:r>
      <w:r>
        <w:rPr>
          <w:rFonts w:ascii="宋体" w:hAnsi="宋体" w:cs="宋体"/>
          <w:sz w:val="22"/>
          <w:szCs w:val="22"/>
        </w:rPr>
        <w:t>.</w:t>
      </w:r>
      <w:r>
        <w:rPr>
          <w:rFonts w:hint="eastAsia" w:ascii="宋体" w:hAnsi="宋体" w:cs="宋体"/>
          <w:sz w:val="22"/>
          <w:szCs w:val="22"/>
        </w:rPr>
        <w:t>2 定量环上样方式可以实现</w:t>
      </w:r>
      <w:r>
        <w:rPr>
          <w:rFonts w:ascii="宋体" w:hAnsi="宋体" w:cs="宋体"/>
          <w:sz w:val="22"/>
          <w:szCs w:val="22"/>
        </w:rPr>
        <w:t>0.4 μL</w:t>
      </w:r>
      <w:r>
        <w:rPr>
          <w:rFonts w:hint="eastAsia" w:ascii="宋体" w:hAnsi="宋体" w:cs="宋体"/>
          <w:sz w:val="22"/>
          <w:szCs w:val="22"/>
        </w:rPr>
        <w:t>至</w:t>
      </w:r>
      <w:r>
        <w:rPr>
          <w:rFonts w:ascii="宋体" w:hAnsi="宋体" w:cs="宋体"/>
          <w:sz w:val="22"/>
          <w:szCs w:val="22"/>
        </w:rPr>
        <w:t>5 mL</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2.8</w:t>
      </w:r>
      <w:r>
        <w:rPr>
          <w:rFonts w:ascii="宋体" w:hAnsi="宋体" w:cs="宋体"/>
          <w:sz w:val="22"/>
          <w:szCs w:val="22"/>
        </w:rPr>
        <w:t>.</w:t>
      </w:r>
      <w:r>
        <w:rPr>
          <w:rFonts w:hint="eastAsia" w:ascii="宋体" w:hAnsi="宋体" w:cs="宋体"/>
          <w:sz w:val="22"/>
          <w:szCs w:val="22"/>
        </w:rPr>
        <w:t>3 可以实现浓缩进样，体积</w:t>
      </w:r>
      <w:r>
        <w:rPr>
          <w:rFonts w:ascii="宋体" w:hAnsi="宋体" w:cs="宋体"/>
          <w:sz w:val="22"/>
          <w:szCs w:val="22"/>
        </w:rPr>
        <w:t>0.1 mL</w:t>
      </w:r>
      <w:r>
        <w:rPr>
          <w:rFonts w:hint="eastAsia" w:ascii="宋体" w:hAnsi="宋体" w:cs="宋体"/>
          <w:sz w:val="22"/>
          <w:szCs w:val="22"/>
        </w:rPr>
        <w:t>至</w:t>
      </w:r>
      <w:r>
        <w:rPr>
          <w:rFonts w:ascii="宋体" w:hAnsi="宋体" w:cs="宋体"/>
          <w:sz w:val="22"/>
          <w:szCs w:val="22"/>
        </w:rPr>
        <w:t>5 mL</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2.8</w:t>
      </w:r>
      <w:r>
        <w:rPr>
          <w:rFonts w:ascii="宋体" w:hAnsi="宋体" w:cs="宋体"/>
          <w:sz w:val="22"/>
          <w:szCs w:val="22"/>
        </w:rPr>
        <w:t>.</w:t>
      </w:r>
      <w:r>
        <w:rPr>
          <w:rFonts w:hint="eastAsia" w:ascii="宋体" w:hAnsi="宋体" w:cs="宋体"/>
          <w:sz w:val="22"/>
          <w:szCs w:val="22"/>
        </w:rPr>
        <w:t>4 预留额外的六通阀或十通阀位置，可用于在线样品前处理等应用；</w:t>
      </w:r>
    </w:p>
    <w:p>
      <w:pPr>
        <w:spacing w:line="420" w:lineRule="exact"/>
        <w:ind w:firstLine="440" w:firstLineChars="200"/>
        <w:rPr>
          <w:rFonts w:ascii="宋体" w:hAnsi="宋体" w:cs="宋体"/>
          <w:sz w:val="22"/>
          <w:szCs w:val="22"/>
        </w:rPr>
      </w:pPr>
      <w:r>
        <w:rPr>
          <w:rFonts w:hint="eastAsia" w:ascii="宋体" w:hAnsi="宋体" w:cs="宋体"/>
          <w:sz w:val="22"/>
          <w:szCs w:val="22"/>
        </w:rPr>
        <w:t>2.8</w:t>
      </w:r>
      <w:r>
        <w:rPr>
          <w:rFonts w:ascii="宋体" w:hAnsi="宋体" w:cs="宋体"/>
          <w:sz w:val="22"/>
          <w:szCs w:val="22"/>
        </w:rPr>
        <w:t>.</w:t>
      </w:r>
      <w:r>
        <w:rPr>
          <w:rFonts w:hint="eastAsia" w:ascii="宋体" w:hAnsi="宋体" w:cs="宋体"/>
          <w:sz w:val="22"/>
          <w:szCs w:val="22"/>
        </w:rPr>
        <w:t>5 样品瓶带有样品瓶盖，自动进样器带有样品盘保护罩；</w:t>
      </w:r>
    </w:p>
    <w:p>
      <w:pPr>
        <w:spacing w:line="420" w:lineRule="exact"/>
        <w:ind w:firstLine="440" w:firstLineChars="200"/>
        <w:rPr>
          <w:rFonts w:ascii="宋体" w:hAnsi="宋体" w:cs="宋体"/>
          <w:sz w:val="22"/>
          <w:szCs w:val="22"/>
        </w:rPr>
      </w:pPr>
      <w:r>
        <w:rPr>
          <w:rFonts w:hint="eastAsia" w:ascii="宋体" w:hAnsi="宋体" w:cs="宋体"/>
          <w:sz w:val="22"/>
          <w:szCs w:val="22"/>
        </w:rPr>
        <w:t>2.8</w:t>
      </w:r>
      <w:r>
        <w:rPr>
          <w:rFonts w:ascii="宋体" w:hAnsi="宋体" w:cs="宋体"/>
          <w:sz w:val="22"/>
          <w:szCs w:val="22"/>
        </w:rPr>
        <w:t>.</w:t>
      </w:r>
      <w:r>
        <w:rPr>
          <w:rFonts w:hint="eastAsia" w:ascii="宋体" w:hAnsi="宋体" w:cs="宋体"/>
          <w:sz w:val="22"/>
          <w:szCs w:val="22"/>
        </w:rPr>
        <w:t>6 样品瓶带有单独的过滤芯瓶盖或配有独立专用样品针冲洗位，避免样品交叉污染。</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w:t>
      </w:r>
      <w:r>
        <w:rPr>
          <w:rFonts w:ascii="宋体" w:hAnsi="宋体"/>
          <w:b/>
          <w:bCs/>
          <w:color w:val="000000"/>
          <w:sz w:val="22"/>
          <w:szCs w:val="22"/>
        </w:rPr>
        <w:t>.</w:t>
      </w:r>
      <w:r>
        <w:rPr>
          <w:rFonts w:hint="eastAsia" w:ascii="宋体" w:hAnsi="宋体"/>
          <w:b/>
          <w:bCs/>
          <w:color w:val="000000"/>
          <w:sz w:val="22"/>
          <w:szCs w:val="22"/>
        </w:rPr>
        <w:t>9 品牌电脑与打印机</w:t>
      </w:r>
    </w:p>
    <w:p>
      <w:pPr>
        <w:spacing w:line="420" w:lineRule="exact"/>
        <w:ind w:firstLine="440" w:firstLineChars="200"/>
        <w:rPr>
          <w:rFonts w:ascii="宋体" w:hAnsi="宋体" w:cs="宋体"/>
          <w:sz w:val="22"/>
          <w:szCs w:val="22"/>
        </w:rPr>
      </w:pPr>
      <w:r>
        <w:rPr>
          <w:rFonts w:hint="eastAsia" w:ascii="宋体" w:hAnsi="宋体" w:cs="宋体"/>
          <w:sz w:val="22"/>
          <w:szCs w:val="22"/>
        </w:rPr>
        <w:t>2.9</w:t>
      </w:r>
      <w:r>
        <w:rPr>
          <w:rFonts w:ascii="宋体" w:hAnsi="宋体" w:cs="宋体"/>
          <w:sz w:val="22"/>
          <w:szCs w:val="22"/>
        </w:rPr>
        <w:t>.1</w:t>
      </w:r>
      <w:r>
        <w:rPr>
          <w:rFonts w:hint="eastAsia" w:ascii="宋体" w:hAnsi="宋体" w:cs="宋体"/>
          <w:sz w:val="22"/>
          <w:szCs w:val="22"/>
        </w:rPr>
        <w:t xml:space="preserve"> 品牌计算机一套，配置为</w:t>
      </w:r>
      <w:r>
        <w:rPr>
          <w:rFonts w:ascii="宋体" w:hAnsi="宋体" w:cs="宋体"/>
          <w:sz w:val="22"/>
          <w:szCs w:val="22"/>
        </w:rPr>
        <w:t>CORE</w:t>
      </w:r>
      <w:r>
        <w:rPr>
          <w:rFonts w:hint="eastAsia" w:ascii="宋体" w:hAnsi="宋体" w:cs="宋体"/>
          <w:sz w:val="22"/>
          <w:szCs w:val="22"/>
        </w:rPr>
        <w:t xml:space="preserve"> i7</w:t>
      </w:r>
      <w:r>
        <w:rPr>
          <w:rFonts w:ascii="宋体" w:hAnsi="宋体" w:cs="宋体"/>
          <w:sz w:val="22"/>
          <w:szCs w:val="22"/>
        </w:rPr>
        <w:t xml:space="preserve"> </w:t>
      </w:r>
      <w:r>
        <w:rPr>
          <w:rFonts w:hint="eastAsia" w:ascii="宋体" w:hAnsi="宋体" w:cs="宋体"/>
          <w:sz w:val="22"/>
          <w:szCs w:val="22"/>
        </w:rPr>
        <w:t>双核</w:t>
      </w:r>
      <w:r>
        <w:rPr>
          <w:rFonts w:ascii="宋体" w:hAnsi="宋体" w:cs="宋体"/>
          <w:sz w:val="22"/>
          <w:szCs w:val="22"/>
        </w:rPr>
        <w:t>3.2GHz</w:t>
      </w:r>
      <w:r>
        <w:rPr>
          <w:rFonts w:hint="eastAsia" w:ascii="宋体" w:hAnsi="宋体" w:cs="宋体"/>
          <w:sz w:val="22"/>
          <w:szCs w:val="22"/>
        </w:rPr>
        <w:t>以上，</w:t>
      </w:r>
      <w:r>
        <w:rPr>
          <w:rFonts w:ascii="宋体" w:hAnsi="宋体" w:cs="宋体"/>
          <w:sz w:val="22"/>
          <w:szCs w:val="22"/>
        </w:rPr>
        <w:t>4GB</w:t>
      </w:r>
      <w:r>
        <w:rPr>
          <w:rFonts w:hint="eastAsia" w:ascii="宋体" w:hAnsi="宋体" w:cs="宋体"/>
          <w:sz w:val="22"/>
          <w:szCs w:val="22"/>
        </w:rPr>
        <w:t>以上内存，1 TB以上硬盘，</w:t>
      </w:r>
      <w:r>
        <w:rPr>
          <w:rFonts w:ascii="宋体" w:hAnsi="宋体" w:cs="宋体"/>
          <w:sz w:val="22"/>
          <w:szCs w:val="22"/>
        </w:rPr>
        <w:t>23</w:t>
      </w:r>
      <w:r>
        <w:rPr>
          <w:rFonts w:hint="eastAsia" w:ascii="宋体" w:hAnsi="宋体" w:cs="宋体"/>
          <w:sz w:val="22"/>
          <w:szCs w:val="22"/>
        </w:rPr>
        <w:t>寸液晶显示器，</w:t>
      </w:r>
      <w:r>
        <w:rPr>
          <w:rFonts w:ascii="宋体" w:hAnsi="宋体" w:cs="宋体"/>
          <w:sz w:val="22"/>
          <w:szCs w:val="22"/>
        </w:rPr>
        <w:t>48X</w:t>
      </w:r>
      <w:r>
        <w:rPr>
          <w:rFonts w:hint="eastAsia" w:ascii="宋体" w:hAnsi="宋体" w:cs="宋体"/>
          <w:sz w:val="22"/>
          <w:szCs w:val="22"/>
        </w:rPr>
        <w:t>以上光驱；</w:t>
      </w:r>
      <w:r>
        <w:rPr>
          <w:rFonts w:ascii="宋体" w:hAnsi="宋体" w:cs="宋体"/>
          <w:sz w:val="22"/>
          <w:szCs w:val="22"/>
        </w:rPr>
        <w:t xml:space="preserve"> </w:t>
      </w:r>
    </w:p>
    <w:p>
      <w:pPr>
        <w:spacing w:line="420" w:lineRule="exact"/>
        <w:ind w:firstLine="440" w:firstLineChars="200"/>
        <w:rPr>
          <w:rFonts w:ascii="宋体" w:hAnsi="宋体" w:cs="宋体"/>
          <w:sz w:val="22"/>
          <w:szCs w:val="22"/>
        </w:rPr>
      </w:pPr>
      <w:r>
        <w:rPr>
          <w:rFonts w:hint="eastAsia" w:ascii="宋体" w:hAnsi="宋体" w:cs="宋体"/>
          <w:sz w:val="22"/>
          <w:szCs w:val="22"/>
        </w:rPr>
        <w:t>2.9</w:t>
      </w:r>
      <w:r>
        <w:rPr>
          <w:rFonts w:ascii="宋体" w:hAnsi="宋体" w:cs="宋体"/>
          <w:sz w:val="22"/>
          <w:szCs w:val="22"/>
        </w:rPr>
        <w:t>.2</w:t>
      </w:r>
      <w:r>
        <w:rPr>
          <w:rFonts w:hint="eastAsia" w:ascii="宋体" w:hAnsi="宋体" w:cs="宋体"/>
          <w:sz w:val="22"/>
          <w:szCs w:val="22"/>
        </w:rPr>
        <w:t xml:space="preserve"> 打印机：激光打印机。</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w:t>
      </w:r>
      <w:r>
        <w:rPr>
          <w:rFonts w:ascii="宋体" w:hAnsi="宋体"/>
          <w:b/>
          <w:bCs/>
          <w:color w:val="000000"/>
          <w:sz w:val="22"/>
          <w:szCs w:val="22"/>
        </w:rPr>
        <w:t>.10</w:t>
      </w:r>
      <w:r>
        <w:rPr>
          <w:rFonts w:hint="eastAsia" w:ascii="宋体" w:hAnsi="宋体"/>
          <w:b/>
          <w:bCs/>
          <w:color w:val="000000"/>
          <w:sz w:val="22"/>
          <w:szCs w:val="22"/>
        </w:rPr>
        <w:t>备品备件</w:t>
      </w:r>
    </w:p>
    <w:p>
      <w:pPr>
        <w:spacing w:line="420" w:lineRule="exact"/>
        <w:ind w:firstLine="440" w:firstLineChars="200"/>
        <w:rPr>
          <w:rFonts w:ascii="宋体" w:hAnsi="宋体" w:cs="宋体"/>
          <w:sz w:val="22"/>
          <w:szCs w:val="22"/>
        </w:rPr>
      </w:pPr>
      <w:r>
        <w:rPr>
          <w:rFonts w:hint="eastAsia" w:ascii="宋体" w:hAnsi="宋体" w:cs="宋体"/>
          <w:sz w:val="22"/>
          <w:szCs w:val="22"/>
        </w:rPr>
        <w:t>2.</w:t>
      </w:r>
      <w:r>
        <w:rPr>
          <w:rFonts w:ascii="宋体" w:hAnsi="宋体" w:cs="宋体"/>
          <w:sz w:val="22"/>
          <w:szCs w:val="22"/>
        </w:rPr>
        <w:t>10.1</w:t>
      </w:r>
      <w:r>
        <w:rPr>
          <w:rFonts w:hint="eastAsia" w:ascii="宋体" w:hAnsi="宋体" w:cs="宋体"/>
          <w:sz w:val="22"/>
          <w:szCs w:val="22"/>
        </w:rPr>
        <w:t>样品瓶</w:t>
      </w:r>
      <w:r>
        <w:rPr>
          <w:rFonts w:ascii="宋体" w:hAnsi="宋体" w:cs="宋体"/>
          <w:sz w:val="22"/>
          <w:szCs w:val="22"/>
        </w:rPr>
        <w:t xml:space="preserve"> 500</w:t>
      </w:r>
      <w:r>
        <w:rPr>
          <w:rFonts w:hint="eastAsia" w:ascii="宋体" w:hAnsi="宋体" w:cs="宋体"/>
          <w:sz w:val="22"/>
          <w:szCs w:val="22"/>
        </w:rPr>
        <w:t>个</w:t>
      </w:r>
    </w:p>
    <w:p>
      <w:pPr>
        <w:spacing w:line="420" w:lineRule="exact"/>
        <w:ind w:firstLine="440" w:firstLineChars="200"/>
        <w:rPr>
          <w:rFonts w:ascii="宋体" w:hAnsi="宋体" w:cs="宋体"/>
          <w:sz w:val="22"/>
          <w:szCs w:val="22"/>
        </w:rPr>
      </w:pPr>
      <w:r>
        <w:rPr>
          <w:rFonts w:hint="eastAsia" w:ascii="宋体" w:hAnsi="宋体" w:cs="宋体"/>
          <w:sz w:val="22"/>
          <w:szCs w:val="22"/>
        </w:rPr>
        <w:t>2.</w:t>
      </w:r>
      <w:r>
        <w:rPr>
          <w:rFonts w:ascii="宋体" w:hAnsi="宋体" w:cs="宋体"/>
          <w:sz w:val="22"/>
          <w:szCs w:val="22"/>
        </w:rPr>
        <w:t>10.2</w:t>
      </w:r>
      <w:r>
        <w:rPr>
          <w:rFonts w:hint="eastAsia" w:ascii="宋体" w:hAnsi="宋体" w:cs="宋体"/>
          <w:sz w:val="22"/>
          <w:szCs w:val="22"/>
        </w:rPr>
        <w:t>样品瓶盖</w:t>
      </w:r>
      <w:r>
        <w:rPr>
          <w:rFonts w:ascii="宋体" w:hAnsi="宋体" w:cs="宋体"/>
          <w:sz w:val="22"/>
          <w:szCs w:val="22"/>
        </w:rPr>
        <w:t xml:space="preserve">  500</w:t>
      </w:r>
      <w:r>
        <w:rPr>
          <w:rFonts w:hint="eastAsia" w:ascii="宋体" w:hAnsi="宋体" w:cs="宋体"/>
          <w:sz w:val="22"/>
          <w:szCs w:val="22"/>
        </w:rPr>
        <w:t>个</w:t>
      </w:r>
    </w:p>
    <w:p>
      <w:pPr>
        <w:spacing w:line="420" w:lineRule="exact"/>
        <w:ind w:firstLine="440" w:firstLineChars="200"/>
        <w:rPr>
          <w:rFonts w:ascii="宋体" w:hAnsi="宋体" w:cs="宋体"/>
          <w:sz w:val="22"/>
          <w:szCs w:val="22"/>
        </w:rPr>
      </w:pPr>
      <w:r>
        <w:rPr>
          <w:rFonts w:hint="eastAsia" w:ascii="宋体" w:hAnsi="宋体" w:cs="宋体"/>
          <w:sz w:val="22"/>
          <w:szCs w:val="22"/>
        </w:rPr>
        <w:t>2.</w:t>
      </w:r>
      <w:r>
        <w:rPr>
          <w:rFonts w:ascii="宋体" w:hAnsi="宋体" w:cs="宋体"/>
          <w:sz w:val="22"/>
          <w:szCs w:val="22"/>
        </w:rPr>
        <w:t>10.3</w:t>
      </w:r>
      <w:r>
        <w:rPr>
          <w:rFonts w:hint="eastAsia" w:ascii="宋体" w:hAnsi="宋体" w:cs="宋体"/>
          <w:sz w:val="22"/>
          <w:szCs w:val="22"/>
        </w:rPr>
        <w:t xml:space="preserve"> 除瓶盖工具</w:t>
      </w:r>
      <w:r>
        <w:rPr>
          <w:rFonts w:ascii="宋体" w:hAnsi="宋体" w:cs="宋体"/>
          <w:sz w:val="22"/>
          <w:szCs w:val="22"/>
        </w:rPr>
        <w:t xml:space="preserve">  1</w:t>
      </w:r>
      <w:r>
        <w:rPr>
          <w:rFonts w:hint="eastAsia" w:ascii="宋体" w:hAnsi="宋体" w:cs="宋体"/>
          <w:sz w:val="22"/>
          <w:szCs w:val="22"/>
        </w:rPr>
        <w:t>个</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2.11仪器配置</w:t>
      </w:r>
    </w:p>
    <w:p>
      <w:pPr>
        <w:spacing w:line="420" w:lineRule="exact"/>
        <w:ind w:firstLine="440" w:firstLineChars="200"/>
        <w:rPr>
          <w:rFonts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.1 离子色谱仪主机（带高压泵、六通阀、进样口，泵前脱气装置、抑制器）</w:t>
      </w:r>
      <w:r>
        <w:rPr>
          <w:rFonts w:ascii="宋体" w:hAnsi="宋体" w:cs="宋体"/>
          <w:sz w:val="22"/>
          <w:szCs w:val="22"/>
        </w:rPr>
        <w:t>1</w:t>
      </w:r>
      <w:r>
        <w:rPr>
          <w:rFonts w:hint="eastAsia" w:ascii="宋体" w:hAnsi="宋体" w:cs="宋体"/>
          <w:sz w:val="22"/>
          <w:szCs w:val="22"/>
        </w:rPr>
        <w:t>套</w:t>
      </w:r>
    </w:p>
    <w:p>
      <w:pPr>
        <w:spacing w:line="420" w:lineRule="exact"/>
        <w:ind w:firstLine="440" w:firstLineChars="200"/>
        <w:rPr>
          <w:rFonts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.2 淋洗液</w:t>
      </w:r>
      <w:r>
        <w:rPr>
          <w:rFonts w:ascii="宋体" w:hAnsi="宋体" w:cs="宋体"/>
          <w:sz w:val="22"/>
          <w:szCs w:val="22"/>
        </w:rPr>
        <w:t>托盘</w:t>
      </w:r>
      <w:r>
        <w:rPr>
          <w:rFonts w:hint="eastAsia" w:ascii="宋体" w:hAnsi="宋体" w:cs="宋体"/>
          <w:sz w:val="22"/>
          <w:szCs w:val="22"/>
        </w:rPr>
        <w:t xml:space="preserve"> 1套</w:t>
      </w:r>
    </w:p>
    <w:p>
      <w:pPr>
        <w:spacing w:line="420" w:lineRule="exact"/>
        <w:ind w:firstLine="440" w:firstLineChars="200"/>
        <w:rPr>
          <w:rFonts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 xml:space="preserve">.3原装进口内置柱温箱 </w:t>
      </w:r>
      <w:r>
        <w:rPr>
          <w:rFonts w:ascii="宋体" w:hAnsi="宋体" w:cs="宋体"/>
          <w:sz w:val="22"/>
          <w:szCs w:val="22"/>
        </w:rPr>
        <w:t>1</w:t>
      </w:r>
      <w:r>
        <w:rPr>
          <w:rFonts w:hint="eastAsia" w:ascii="宋体" w:hAnsi="宋体" w:cs="宋体"/>
          <w:sz w:val="22"/>
          <w:szCs w:val="22"/>
        </w:rPr>
        <w:t>套</w:t>
      </w:r>
    </w:p>
    <w:p>
      <w:pPr>
        <w:spacing w:line="420" w:lineRule="exact"/>
        <w:ind w:firstLine="440" w:firstLineChars="200"/>
        <w:rPr>
          <w:rFonts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.4 常规阴离子分离柱（F</w:t>
      </w:r>
      <w:r>
        <w:rPr>
          <w:rFonts w:hint="eastAsia" w:ascii="宋体" w:hAnsi="宋体" w:cs="宋体"/>
          <w:sz w:val="22"/>
          <w:szCs w:val="22"/>
          <w:vertAlign w:val="superscript"/>
        </w:rPr>
        <w:t>-</w:t>
      </w:r>
      <w:r>
        <w:rPr>
          <w:rFonts w:hint="eastAsia" w:ascii="宋体" w:hAnsi="宋体" w:cs="宋体"/>
          <w:sz w:val="22"/>
          <w:szCs w:val="22"/>
        </w:rPr>
        <w:t>、Cl</w:t>
      </w:r>
      <w:r>
        <w:rPr>
          <w:rFonts w:hint="eastAsia" w:ascii="宋体" w:hAnsi="宋体" w:cs="宋体"/>
          <w:sz w:val="22"/>
          <w:szCs w:val="22"/>
          <w:vertAlign w:val="superscript"/>
        </w:rPr>
        <w:t>-</w:t>
      </w:r>
      <w:r>
        <w:rPr>
          <w:rFonts w:hint="eastAsia" w:ascii="宋体" w:hAnsi="宋体" w:cs="宋体"/>
          <w:sz w:val="22"/>
          <w:szCs w:val="22"/>
        </w:rPr>
        <w:t>、NO</w:t>
      </w:r>
      <w:r>
        <w:rPr>
          <w:rFonts w:hint="eastAsia" w:ascii="宋体" w:hAnsi="宋体" w:cs="宋体"/>
          <w:sz w:val="22"/>
          <w:szCs w:val="22"/>
          <w:vertAlign w:val="subscript"/>
        </w:rPr>
        <w:t>2</w:t>
      </w:r>
      <w:r>
        <w:rPr>
          <w:rFonts w:hint="eastAsia" w:ascii="宋体" w:hAnsi="宋体" w:cs="宋体"/>
          <w:sz w:val="22"/>
          <w:szCs w:val="22"/>
          <w:vertAlign w:val="superscript"/>
        </w:rPr>
        <w:t>-</w:t>
      </w:r>
      <w:r>
        <w:rPr>
          <w:rFonts w:hint="eastAsia" w:ascii="宋体" w:hAnsi="宋体" w:cs="宋体"/>
          <w:sz w:val="22"/>
          <w:szCs w:val="22"/>
        </w:rPr>
        <w:t>、Br</w:t>
      </w:r>
      <w:r>
        <w:rPr>
          <w:rFonts w:hint="eastAsia" w:ascii="宋体" w:hAnsi="宋体" w:cs="宋体"/>
          <w:sz w:val="22"/>
          <w:szCs w:val="22"/>
          <w:vertAlign w:val="superscript"/>
        </w:rPr>
        <w:t>-</w:t>
      </w:r>
      <w:r>
        <w:rPr>
          <w:rFonts w:hint="eastAsia" w:ascii="宋体" w:hAnsi="宋体" w:cs="宋体"/>
          <w:sz w:val="22"/>
          <w:szCs w:val="22"/>
        </w:rPr>
        <w:t>、NO</w:t>
      </w:r>
      <w:r>
        <w:rPr>
          <w:rFonts w:hint="eastAsia" w:ascii="宋体" w:hAnsi="宋体" w:cs="宋体"/>
          <w:sz w:val="22"/>
          <w:szCs w:val="22"/>
          <w:vertAlign w:val="subscript"/>
        </w:rPr>
        <w:t>3</w:t>
      </w:r>
      <w:r>
        <w:rPr>
          <w:rFonts w:hint="eastAsia" w:ascii="宋体" w:hAnsi="宋体" w:cs="宋体"/>
          <w:sz w:val="22"/>
          <w:szCs w:val="22"/>
          <w:vertAlign w:val="superscript"/>
        </w:rPr>
        <w:t>-</w:t>
      </w:r>
      <w:r>
        <w:rPr>
          <w:rFonts w:hint="eastAsia" w:ascii="宋体" w:hAnsi="宋体" w:cs="宋体"/>
          <w:sz w:val="22"/>
          <w:szCs w:val="22"/>
        </w:rPr>
        <w:t>、PO</w:t>
      </w:r>
      <w:r>
        <w:rPr>
          <w:rFonts w:hint="eastAsia" w:ascii="宋体" w:hAnsi="宋体" w:cs="宋体"/>
          <w:sz w:val="22"/>
          <w:szCs w:val="22"/>
          <w:vertAlign w:val="subscript"/>
        </w:rPr>
        <w:t>4</w:t>
      </w:r>
      <w:r>
        <w:rPr>
          <w:rFonts w:hint="eastAsia" w:ascii="宋体" w:hAnsi="宋体" w:cs="宋体"/>
          <w:sz w:val="22"/>
          <w:szCs w:val="22"/>
          <w:vertAlign w:val="superscript"/>
        </w:rPr>
        <w:t>3-</w:t>
      </w:r>
      <w:r>
        <w:rPr>
          <w:rFonts w:hint="eastAsia" w:ascii="宋体" w:hAnsi="宋体" w:cs="宋体"/>
          <w:sz w:val="22"/>
          <w:szCs w:val="22"/>
        </w:rPr>
        <w:t>、SO</w:t>
      </w:r>
      <w:r>
        <w:rPr>
          <w:rFonts w:hint="eastAsia" w:ascii="宋体" w:hAnsi="宋体" w:cs="宋体"/>
          <w:sz w:val="22"/>
          <w:szCs w:val="22"/>
          <w:vertAlign w:val="subscript"/>
        </w:rPr>
        <w:t>3</w:t>
      </w:r>
      <w:r>
        <w:rPr>
          <w:rFonts w:hint="eastAsia" w:ascii="宋体" w:hAnsi="宋体" w:cs="宋体"/>
          <w:sz w:val="22"/>
          <w:szCs w:val="22"/>
          <w:vertAlign w:val="superscript"/>
        </w:rPr>
        <w:t>2-</w:t>
      </w:r>
      <w:r>
        <w:rPr>
          <w:rFonts w:hint="eastAsia" w:ascii="宋体" w:hAnsi="宋体" w:cs="宋体"/>
          <w:sz w:val="22"/>
          <w:szCs w:val="22"/>
        </w:rPr>
        <w:t>、SO</w:t>
      </w:r>
      <w:r>
        <w:rPr>
          <w:rFonts w:hint="eastAsia" w:ascii="宋体" w:hAnsi="宋体" w:cs="宋体"/>
          <w:sz w:val="22"/>
          <w:szCs w:val="22"/>
          <w:vertAlign w:val="subscript"/>
        </w:rPr>
        <w:t>4</w:t>
      </w:r>
      <w:r>
        <w:rPr>
          <w:rFonts w:hint="eastAsia" w:ascii="宋体" w:hAnsi="宋体" w:cs="宋体"/>
          <w:sz w:val="22"/>
          <w:szCs w:val="22"/>
          <w:vertAlign w:val="superscript"/>
        </w:rPr>
        <w:t>2-</w:t>
      </w:r>
      <w:r>
        <w:rPr>
          <w:rFonts w:hint="eastAsia" w:ascii="宋体" w:hAnsi="宋体" w:cs="宋体"/>
          <w:sz w:val="22"/>
          <w:szCs w:val="22"/>
        </w:rPr>
        <w:t>）和相应保护柱各</w:t>
      </w:r>
      <w:r>
        <w:rPr>
          <w:rFonts w:ascii="宋体" w:hAnsi="宋体" w:cs="宋体"/>
          <w:sz w:val="22"/>
          <w:szCs w:val="22"/>
        </w:rPr>
        <w:t>1</w:t>
      </w:r>
      <w:r>
        <w:rPr>
          <w:rFonts w:hint="eastAsia" w:ascii="宋体" w:hAnsi="宋体" w:cs="宋体"/>
          <w:sz w:val="22"/>
          <w:szCs w:val="22"/>
        </w:rPr>
        <w:t>套</w:t>
      </w:r>
    </w:p>
    <w:p>
      <w:pPr>
        <w:spacing w:line="420" w:lineRule="exact"/>
        <w:ind w:firstLine="440" w:firstLineChars="200"/>
        <w:rPr>
          <w:rFonts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.5</w:t>
      </w:r>
      <w:r>
        <w:rPr>
          <w:rFonts w:ascii="宋体" w:hAnsi="宋体" w:cs="宋体"/>
          <w:sz w:val="22"/>
          <w:szCs w:val="22"/>
        </w:rPr>
        <w:t xml:space="preserve"> </w:t>
      </w:r>
      <w:r>
        <w:rPr>
          <w:rFonts w:hint="eastAsia" w:ascii="宋体" w:hAnsi="宋体" w:cs="宋体"/>
          <w:sz w:val="22"/>
          <w:szCs w:val="22"/>
        </w:rPr>
        <w:t>氰根分析柱和相应保护柱：各1套</w:t>
      </w:r>
    </w:p>
    <w:p>
      <w:pPr>
        <w:spacing w:line="420" w:lineRule="exact"/>
        <w:ind w:firstLine="440" w:firstLineChars="200"/>
        <w:rPr>
          <w:rFonts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.6</w:t>
      </w:r>
      <w:r>
        <w:rPr>
          <w:rFonts w:ascii="宋体" w:hAnsi="宋体" w:cs="宋体"/>
          <w:sz w:val="22"/>
          <w:szCs w:val="22"/>
        </w:rPr>
        <w:t xml:space="preserve"> </w:t>
      </w:r>
      <w:r>
        <w:rPr>
          <w:rFonts w:hint="eastAsia" w:ascii="宋体" w:hAnsi="宋体" w:cs="宋体"/>
          <w:sz w:val="22"/>
          <w:szCs w:val="22"/>
        </w:rPr>
        <w:t>电导检测器 1套</w:t>
      </w:r>
    </w:p>
    <w:p>
      <w:pPr>
        <w:spacing w:line="420" w:lineRule="exact"/>
        <w:ind w:firstLine="440" w:firstLineChars="200"/>
        <w:rPr>
          <w:rFonts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.7安培检测器 1套</w:t>
      </w:r>
    </w:p>
    <w:p>
      <w:pPr>
        <w:spacing w:line="420" w:lineRule="exact"/>
        <w:ind w:firstLine="440" w:firstLineChars="200"/>
        <w:rPr>
          <w:rFonts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.8自动进样器</w:t>
      </w:r>
      <w:r>
        <w:rPr>
          <w:rFonts w:ascii="宋体" w:hAnsi="宋体" w:cs="宋体"/>
          <w:sz w:val="22"/>
          <w:szCs w:val="22"/>
        </w:rPr>
        <w:t>1</w:t>
      </w:r>
      <w:r>
        <w:rPr>
          <w:rFonts w:hint="eastAsia" w:ascii="宋体" w:hAnsi="宋体" w:cs="宋体"/>
          <w:sz w:val="22"/>
          <w:szCs w:val="22"/>
        </w:rPr>
        <w:t>套</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.9原装进口</w:t>
      </w:r>
      <w:r>
        <w:rPr>
          <w:rFonts w:ascii="宋体" w:hAnsi="宋体" w:cs="宋体"/>
          <w:sz w:val="22"/>
          <w:szCs w:val="22"/>
        </w:rPr>
        <w:t>软件</w:t>
      </w:r>
      <w:r>
        <w:rPr>
          <w:rFonts w:hint="eastAsia" w:ascii="宋体" w:hAnsi="宋体" w:cs="宋体"/>
          <w:sz w:val="22"/>
          <w:szCs w:val="22"/>
        </w:rPr>
        <w:t xml:space="preserve"> 1套</w:t>
      </w:r>
    </w:p>
    <w:p>
      <w:pPr>
        <w:spacing w:line="420" w:lineRule="exact"/>
        <w:ind w:firstLine="440" w:firstLineChars="200"/>
        <w:rPr>
          <w:rFonts w:ascii="宋体" w:hAnsi="宋体" w:cs="宋体"/>
          <w:sz w:val="22"/>
          <w:szCs w:val="22"/>
        </w:rPr>
      </w:pPr>
      <w:r>
        <w:rPr>
          <w:rFonts w:hint="eastAsia" w:ascii="宋体" w:hAnsi="宋体" w:cs="宋体"/>
          <w:sz w:val="22"/>
          <w:szCs w:val="22"/>
        </w:rPr>
        <w:t>2.11.10原装进口</w:t>
      </w:r>
      <w:r>
        <w:rPr>
          <w:rFonts w:ascii="宋体" w:hAnsi="宋体" w:cs="宋体"/>
          <w:sz w:val="22"/>
          <w:szCs w:val="22"/>
        </w:rPr>
        <w:t>软件</w:t>
      </w:r>
      <w:r>
        <w:rPr>
          <w:rFonts w:hint="eastAsia" w:ascii="宋体" w:hAnsi="宋体" w:cs="宋体"/>
          <w:sz w:val="22"/>
          <w:szCs w:val="22"/>
        </w:rPr>
        <w:t xml:space="preserve"> 1套</w:t>
      </w:r>
    </w:p>
    <w:p>
      <w:pPr>
        <w:spacing w:line="420" w:lineRule="exact"/>
        <w:ind w:firstLine="440" w:firstLineChars="200"/>
        <w:rPr>
          <w:rFonts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.11其他调节阀</w:t>
      </w:r>
      <w:r>
        <w:rPr>
          <w:rFonts w:ascii="宋体" w:hAnsi="宋体" w:cs="宋体"/>
          <w:sz w:val="22"/>
          <w:szCs w:val="22"/>
        </w:rPr>
        <w:t>1</w:t>
      </w:r>
      <w:r>
        <w:rPr>
          <w:rFonts w:hint="eastAsia" w:ascii="宋体" w:hAnsi="宋体" w:cs="宋体"/>
          <w:sz w:val="22"/>
          <w:szCs w:val="22"/>
        </w:rPr>
        <w:t>套</w:t>
      </w:r>
    </w:p>
    <w:p>
      <w:pPr>
        <w:spacing w:line="420" w:lineRule="exact"/>
        <w:ind w:firstLine="440" w:firstLineChars="200"/>
        <w:rPr>
          <w:rFonts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.12耗品(主机里所需要用到的PEEK管路和接头)1套</w:t>
      </w:r>
    </w:p>
    <w:p>
      <w:pPr>
        <w:spacing w:line="420" w:lineRule="exact"/>
        <w:ind w:firstLine="440" w:firstLineChars="200"/>
        <w:rPr>
          <w:rFonts w:ascii="宋体" w:hAnsi="宋体" w:cs="宋体"/>
          <w:sz w:val="22"/>
          <w:szCs w:val="22"/>
        </w:rPr>
      </w:pPr>
      <w:r>
        <w:rPr>
          <w:rFonts w:hint="eastAsia" w:ascii="宋体" w:hAnsi="宋体" w:cs="宋体"/>
          <w:sz w:val="22"/>
          <w:szCs w:val="22"/>
        </w:rPr>
        <w:t>2.1</w:t>
      </w:r>
      <w:r>
        <w:rPr>
          <w:rFonts w:ascii="宋体" w:hAnsi="宋体" w:cs="宋体"/>
          <w:sz w:val="22"/>
          <w:szCs w:val="22"/>
        </w:rPr>
        <w:t>1</w:t>
      </w:r>
      <w:r>
        <w:rPr>
          <w:rFonts w:hint="eastAsia" w:ascii="宋体" w:hAnsi="宋体" w:cs="宋体"/>
          <w:sz w:val="22"/>
          <w:szCs w:val="22"/>
        </w:rPr>
        <w:t>.13品牌电脑</w:t>
      </w:r>
      <w:r>
        <w:rPr>
          <w:rFonts w:ascii="宋体" w:hAnsi="宋体" w:cs="宋体"/>
          <w:sz w:val="22"/>
          <w:szCs w:val="22"/>
        </w:rPr>
        <w:t>(</w:t>
      </w:r>
      <w:r>
        <w:rPr>
          <w:rFonts w:hint="eastAsia" w:ascii="宋体" w:hAnsi="宋体" w:cs="宋体"/>
          <w:sz w:val="22"/>
          <w:szCs w:val="22"/>
        </w:rPr>
        <w:t>主机和显示器</w:t>
      </w:r>
      <w:r>
        <w:rPr>
          <w:rFonts w:ascii="宋体" w:hAnsi="宋体" w:cs="宋体"/>
          <w:sz w:val="22"/>
          <w:szCs w:val="22"/>
        </w:rPr>
        <w:t>)</w:t>
      </w:r>
      <w:r>
        <w:rPr>
          <w:rFonts w:hint="eastAsia" w:ascii="宋体" w:hAnsi="宋体" w:cs="宋体"/>
          <w:sz w:val="22"/>
          <w:szCs w:val="22"/>
        </w:rPr>
        <w:t>及打印机</w:t>
      </w:r>
      <w:r>
        <w:rPr>
          <w:rFonts w:ascii="宋体" w:hAnsi="宋体" w:cs="宋体"/>
          <w:sz w:val="22"/>
          <w:szCs w:val="22"/>
        </w:rPr>
        <w:t xml:space="preserve"> 1</w:t>
      </w:r>
      <w:r>
        <w:rPr>
          <w:rFonts w:hint="eastAsia" w:ascii="宋体" w:hAnsi="宋体" w:cs="宋体"/>
          <w:sz w:val="22"/>
          <w:szCs w:val="22"/>
        </w:rPr>
        <w:t>套</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2.12 品牌电脑与打印机</w:t>
      </w:r>
    </w:p>
    <w:p>
      <w:pPr>
        <w:spacing w:line="420" w:lineRule="exact"/>
        <w:ind w:firstLine="440" w:firstLineChars="200"/>
        <w:rPr>
          <w:rFonts w:ascii="宋体" w:hAnsi="宋体" w:cs="宋体"/>
          <w:sz w:val="22"/>
          <w:szCs w:val="22"/>
        </w:rPr>
      </w:pPr>
      <w:r>
        <w:rPr>
          <w:rFonts w:hint="eastAsia" w:ascii="宋体" w:hAnsi="宋体" w:cs="宋体"/>
          <w:sz w:val="22"/>
          <w:szCs w:val="22"/>
        </w:rPr>
        <w:t>2.12</w:t>
      </w:r>
      <w:r>
        <w:rPr>
          <w:rFonts w:ascii="宋体" w:hAnsi="宋体" w:cs="宋体"/>
          <w:sz w:val="22"/>
          <w:szCs w:val="22"/>
        </w:rPr>
        <w:t>.1</w:t>
      </w:r>
      <w:r>
        <w:rPr>
          <w:rFonts w:hint="eastAsia" w:ascii="宋体" w:hAnsi="宋体" w:cs="宋体"/>
          <w:sz w:val="22"/>
          <w:szCs w:val="22"/>
        </w:rPr>
        <w:t xml:space="preserve"> 品牌计算机一套，配置为</w:t>
      </w:r>
      <w:r>
        <w:rPr>
          <w:rFonts w:ascii="宋体" w:hAnsi="宋体" w:cs="宋体"/>
          <w:sz w:val="22"/>
          <w:szCs w:val="22"/>
        </w:rPr>
        <w:t>CORE</w:t>
      </w:r>
      <w:r>
        <w:rPr>
          <w:rFonts w:hint="eastAsia" w:ascii="宋体" w:hAnsi="宋体" w:cs="宋体"/>
          <w:sz w:val="22"/>
          <w:szCs w:val="22"/>
        </w:rPr>
        <w:t xml:space="preserve"> i7</w:t>
      </w:r>
      <w:r>
        <w:rPr>
          <w:rFonts w:ascii="宋体" w:hAnsi="宋体" w:cs="宋体"/>
          <w:sz w:val="22"/>
          <w:szCs w:val="22"/>
        </w:rPr>
        <w:t xml:space="preserve"> </w:t>
      </w:r>
      <w:r>
        <w:rPr>
          <w:rFonts w:hint="eastAsia" w:ascii="宋体" w:hAnsi="宋体" w:cs="宋体"/>
          <w:sz w:val="22"/>
          <w:szCs w:val="22"/>
        </w:rPr>
        <w:t>双核</w:t>
      </w:r>
      <w:r>
        <w:rPr>
          <w:rFonts w:ascii="宋体" w:hAnsi="宋体" w:cs="宋体"/>
          <w:sz w:val="22"/>
          <w:szCs w:val="22"/>
        </w:rPr>
        <w:t>3.2GHz</w:t>
      </w:r>
      <w:r>
        <w:rPr>
          <w:rFonts w:hint="eastAsia" w:ascii="宋体" w:hAnsi="宋体" w:cs="宋体"/>
          <w:sz w:val="22"/>
          <w:szCs w:val="22"/>
        </w:rPr>
        <w:t>以上，</w:t>
      </w:r>
      <w:r>
        <w:rPr>
          <w:rFonts w:ascii="宋体" w:hAnsi="宋体" w:cs="宋体"/>
          <w:sz w:val="22"/>
          <w:szCs w:val="22"/>
        </w:rPr>
        <w:t>4GB</w:t>
      </w:r>
      <w:r>
        <w:rPr>
          <w:rFonts w:hint="eastAsia" w:ascii="宋体" w:hAnsi="宋体" w:cs="宋体"/>
          <w:sz w:val="22"/>
          <w:szCs w:val="22"/>
        </w:rPr>
        <w:t>以上内存，1 TB以上硬盘，</w:t>
      </w:r>
      <w:r>
        <w:rPr>
          <w:rFonts w:ascii="宋体" w:hAnsi="宋体" w:cs="宋体"/>
          <w:sz w:val="22"/>
          <w:szCs w:val="22"/>
        </w:rPr>
        <w:t>23</w:t>
      </w:r>
      <w:r>
        <w:rPr>
          <w:rFonts w:hint="eastAsia" w:ascii="宋体" w:hAnsi="宋体" w:cs="宋体"/>
          <w:sz w:val="22"/>
          <w:szCs w:val="22"/>
        </w:rPr>
        <w:t>寸液晶显示器，</w:t>
      </w:r>
      <w:r>
        <w:rPr>
          <w:rFonts w:ascii="宋体" w:hAnsi="宋体" w:cs="宋体"/>
          <w:sz w:val="22"/>
          <w:szCs w:val="22"/>
        </w:rPr>
        <w:t>48X</w:t>
      </w:r>
      <w:r>
        <w:rPr>
          <w:rFonts w:hint="eastAsia" w:ascii="宋体" w:hAnsi="宋体" w:cs="宋体"/>
          <w:sz w:val="22"/>
          <w:szCs w:val="22"/>
        </w:rPr>
        <w:t>以上光驱；</w:t>
      </w:r>
      <w:r>
        <w:rPr>
          <w:rFonts w:ascii="宋体" w:hAnsi="宋体" w:cs="宋体"/>
          <w:sz w:val="22"/>
          <w:szCs w:val="22"/>
        </w:rPr>
        <w:t xml:space="preserve"> </w:t>
      </w:r>
    </w:p>
    <w:p>
      <w:pPr>
        <w:spacing w:line="420" w:lineRule="exact"/>
        <w:ind w:firstLine="440" w:firstLineChars="200"/>
        <w:rPr>
          <w:rFonts w:ascii="宋体" w:hAnsi="宋体" w:cs="宋体"/>
          <w:sz w:val="22"/>
          <w:szCs w:val="22"/>
        </w:rPr>
      </w:pPr>
      <w:r>
        <w:rPr>
          <w:rFonts w:hint="eastAsia" w:ascii="宋体" w:hAnsi="宋体" w:cs="宋体"/>
          <w:sz w:val="22"/>
          <w:szCs w:val="22"/>
        </w:rPr>
        <w:t>2.12</w:t>
      </w:r>
      <w:r>
        <w:rPr>
          <w:rFonts w:ascii="宋体" w:hAnsi="宋体" w:cs="宋体"/>
          <w:sz w:val="22"/>
          <w:szCs w:val="22"/>
        </w:rPr>
        <w:t>.2</w:t>
      </w:r>
      <w:r>
        <w:rPr>
          <w:rFonts w:hint="eastAsia" w:ascii="宋体" w:hAnsi="宋体" w:cs="宋体"/>
          <w:sz w:val="22"/>
          <w:szCs w:val="22"/>
        </w:rPr>
        <w:t xml:space="preserve"> 打印机：激光打印机。</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w:t>
      </w:r>
      <w:r>
        <w:rPr>
          <w:rFonts w:ascii="宋体" w:hAnsi="宋体"/>
          <w:b/>
          <w:bCs/>
          <w:color w:val="000000"/>
          <w:sz w:val="22"/>
          <w:szCs w:val="22"/>
        </w:rPr>
        <w:t>.</w:t>
      </w:r>
      <w:r>
        <w:rPr>
          <w:rFonts w:hint="eastAsia" w:ascii="宋体" w:hAnsi="宋体"/>
          <w:b/>
          <w:bCs/>
          <w:color w:val="000000"/>
          <w:sz w:val="22"/>
          <w:szCs w:val="22"/>
        </w:rPr>
        <w:t>13备品备件</w:t>
      </w:r>
    </w:p>
    <w:p>
      <w:pPr>
        <w:spacing w:line="420" w:lineRule="exact"/>
        <w:ind w:firstLine="440" w:firstLineChars="200"/>
        <w:rPr>
          <w:rFonts w:ascii="宋体" w:hAnsi="宋体" w:cs="宋体"/>
          <w:sz w:val="22"/>
          <w:szCs w:val="22"/>
        </w:rPr>
      </w:pPr>
      <w:r>
        <w:rPr>
          <w:rFonts w:hint="eastAsia" w:ascii="宋体" w:hAnsi="宋体" w:cs="宋体"/>
          <w:sz w:val="22"/>
          <w:szCs w:val="22"/>
        </w:rPr>
        <w:t>2</w:t>
      </w:r>
      <w:r>
        <w:rPr>
          <w:rFonts w:ascii="宋体" w:hAnsi="宋体" w:cs="宋体"/>
          <w:sz w:val="22"/>
          <w:szCs w:val="22"/>
        </w:rPr>
        <w:t>.</w:t>
      </w:r>
      <w:r>
        <w:rPr>
          <w:rFonts w:hint="eastAsia" w:ascii="宋体" w:hAnsi="宋体" w:cs="宋体"/>
          <w:sz w:val="22"/>
          <w:szCs w:val="22"/>
        </w:rPr>
        <w:t>13</w:t>
      </w:r>
      <w:r>
        <w:rPr>
          <w:rFonts w:ascii="宋体" w:hAnsi="宋体" w:cs="宋体"/>
          <w:sz w:val="22"/>
          <w:szCs w:val="22"/>
        </w:rPr>
        <w:t>.1</w:t>
      </w:r>
      <w:r>
        <w:rPr>
          <w:rFonts w:hint="eastAsia" w:ascii="宋体" w:hAnsi="宋体" w:cs="宋体"/>
          <w:sz w:val="22"/>
          <w:szCs w:val="22"/>
        </w:rPr>
        <w:t xml:space="preserve"> 国产</w:t>
      </w:r>
      <w:r>
        <w:rPr>
          <w:rFonts w:ascii="宋体" w:hAnsi="宋体" w:cs="宋体"/>
          <w:sz w:val="22"/>
          <w:szCs w:val="22"/>
        </w:rPr>
        <w:t xml:space="preserve">5ml </w:t>
      </w:r>
      <w:r>
        <w:rPr>
          <w:rFonts w:hint="eastAsia" w:ascii="宋体" w:hAnsi="宋体" w:cs="宋体"/>
          <w:sz w:val="22"/>
          <w:szCs w:val="22"/>
        </w:rPr>
        <w:t>样品瓶</w:t>
      </w:r>
      <w:r>
        <w:rPr>
          <w:rFonts w:ascii="宋体" w:hAnsi="宋体" w:cs="宋体"/>
          <w:sz w:val="22"/>
          <w:szCs w:val="22"/>
        </w:rPr>
        <w:t xml:space="preserve"> 500</w:t>
      </w:r>
      <w:r>
        <w:rPr>
          <w:rFonts w:hint="eastAsia" w:ascii="宋体" w:hAnsi="宋体" w:cs="宋体"/>
          <w:sz w:val="22"/>
          <w:szCs w:val="22"/>
        </w:rPr>
        <w:t>个</w:t>
      </w:r>
    </w:p>
    <w:p>
      <w:pPr>
        <w:spacing w:line="420" w:lineRule="exact"/>
        <w:ind w:firstLine="440" w:firstLineChars="200"/>
        <w:rPr>
          <w:rFonts w:ascii="宋体" w:hAnsi="宋体" w:cs="宋体"/>
          <w:sz w:val="22"/>
          <w:szCs w:val="22"/>
        </w:rPr>
      </w:pPr>
      <w:r>
        <w:rPr>
          <w:rFonts w:hint="eastAsia" w:ascii="宋体" w:hAnsi="宋体" w:cs="宋体"/>
          <w:sz w:val="22"/>
          <w:szCs w:val="22"/>
        </w:rPr>
        <w:t>2</w:t>
      </w:r>
      <w:r>
        <w:rPr>
          <w:rFonts w:ascii="宋体" w:hAnsi="宋体" w:cs="宋体"/>
          <w:sz w:val="22"/>
          <w:szCs w:val="22"/>
        </w:rPr>
        <w:t>.</w:t>
      </w:r>
      <w:r>
        <w:rPr>
          <w:rFonts w:hint="eastAsia" w:ascii="宋体" w:hAnsi="宋体" w:cs="宋体"/>
          <w:sz w:val="22"/>
          <w:szCs w:val="22"/>
        </w:rPr>
        <w:t>13</w:t>
      </w:r>
      <w:r>
        <w:rPr>
          <w:rFonts w:ascii="宋体" w:hAnsi="宋体" w:cs="宋体"/>
          <w:sz w:val="22"/>
          <w:szCs w:val="22"/>
        </w:rPr>
        <w:t>.2</w:t>
      </w:r>
      <w:r>
        <w:rPr>
          <w:rFonts w:hint="eastAsia" w:ascii="宋体" w:hAnsi="宋体" w:cs="宋体"/>
          <w:sz w:val="22"/>
          <w:szCs w:val="22"/>
        </w:rPr>
        <w:t xml:space="preserve"> 国产</w:t>
      </w:r>
      <w:r>
        <w:rPr>
          <w:rFonts w:ascii="宋体" w:hAnsi="宋体" w:cs="宋体"/>
          <w:sz w:val="22"/>
          <w:szCs w:val="22"/>
        </w:rPr>
        <w:t xml:space="preserve">5ml </w:t>
      </w:r>
      <w:r>
        <w:rPr>
          <w:rFonts w:hint="eastAsia" w:ascii="宋体" w:hAnsi="宋体" w:cs="宋体"/>
          <w:sz w:val="22"/>
          <w:szCs w:val="22"/>
        </w:rPr>
        <w:t>样品瓶盖</w:t>
      </w:r>
      <w:r>
        <w:rPr>
          <w:rFonts w:ascii="宋体" w:hAnsi="宋体" w:cs="宋体"/>
          <w:sz w:val="22"/>
          <w:szCs w:val="22"/>
        </w:rPr>
        <w:t xml:space="preserve">  500</w:t>
      </w:r>
      <w:r>
        <w:rPr>
          <w:rFonts w:hint="eastAsia" w:ascii="宋体" w:hAnsi="宋体" w:cs="宋体"/>
          <w:sz w:val="22"/>
          <w:szCs w:val="22"/>
        </w:rPr>
        <w:t>个</w:t>
      </w:r>
    </w:p>
    <w:p>
      <w:pPr>
        <w:spacing w:line="420" w:lineRule="exact"/>
        <w:ind w:firstLine="440" w:firstLineChars="200"/>
        <w:rPr>
          <w:rFonts w:ascii="宋体" w:hAnsi="宋体" w:cs="宋体"/>
          <w:sz w:val="22"/>
          <w:szCs w:val="22"/>
        </w:rPr>
      </w:pPr>
      <w:r>
        <w:rPr>
          <w:rFonts w:hint="eastAsia" w:ascii="宋体" w:hAnsi="宋体" w:cs="宋体"/>
          <w:sz w:val="22"/>
          <w:szCs w:val="22"/>
        </w:rPr>
        <w:t>2</w:t>
      </w:r>
      <w:r>
        <w:rPr>
          <w:rFonts w:ascii="宋体" w:hAnsi="宋体" w:cs="宋体"/>
          <w:sz w:val="22"/>
          <w:szCs w:val="22"/>
        </w:rPr>
        <w:t>.</w:t>
      </w:r>
      <w:r>
        <w:rPr>
          <w:rFonts w:hint="eastAsia" w:ascii="宋体" w:hAnsi="宋体" w:cs="宋体"/>
          <w:sz w:val="22"/>
          <w:szCs w:val="22"/>
        </w:rPr>
        <w:t>13</w:t>
      </w:r>
      <w:r>
        <w:rPr>
          <w:rFonts w:ascii="宋体" w:hAnsi="宋体" w:cs="宋体"/>
          <w:sz w:val="22"/>
          <w:szCs w:val="22"/>
        </w:rPr>
        <w:t>.3</w:t>
      </w:r>
      <w:r>
        <w:rPr>
          <w:rFonts w:hint="eastAsia" w:ascii="宋体" w:hAnsi="宋体" w:cs="宋体"/>
          <w:sz w:val="22"/>
          <w:szCs w:val="22"/>
        </w:rPr>
        <w:t xml:space="preserve"> 除瓶盖工具</w:t>
      </w:r>
      <w:r>
        <w:rPr>
          <w:rFonts w:ascii="宋体" w:hAnsi="宋体" w:cs="宋体"/>
          <w:sz w:val="22"/>
          <w:szCs w:val="22"/>
        </w:rPr>
        <w:t xml:space="preserve">  1</w:t>
      </w:r>
      <w:r>
        <w:rPr>
          <w:rFonts w:hint="eastAsia" w:ascii="宋体" w:hAnsi="宋体" w:cs="宋体"/>
          <w:sz w:val="22"/>
          <w:szCs w:val="22"/>
        </w:rPr>
        <w:t>个</w:t>
      </w:r>
    </w:p>
    <w:p>
      <w:pPr>
        <w:rPr>
          <w:rFonts w:eastAsiaTheme="minorEastAsia"/>
        </w:rPr>
      </w:pPr>
    </w:p>
    <w:p>
      <w:pPr>
        <w:spacing w:line="420" w:lineRule="exact"/>
        <w:rPr>
          <w:rFonts w:ascii="宋体" w:hAnsi="宋体" w:cs="宋体"/>
          <w:b/>
          <w:bCs/>
          <w:color w:val="000000"/>
          <w:sz w:val="22"/>
          <w:szCs w:val="22"/>
        </w:rPr>
      </w:pPr>
      <w:r>
        <w:rPr>
          <w:rFonts w:hint="eastAsia" w:ascii="宋体" w:hAnsi="宋体" w:cs="宋体"/>
          <w:b/>
          <w:bCs/>
          <w:color w:val="000000"/>
          <w:sz w:val="22"/>
          <w:szCs w:val="22"/>
        </w:rPr>
        <w:t>（三）、全自动一体化蒸馏仪</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1、技术参数</w:t>
      </w:r>
    </w:p>
    <w:p>
      <w:pPr>
        <w:spacing w:line="420" w:lineRule="exact"/>
        <w:ind w:firstLine="440" w:firstLineChars="200"/>
        <w:rPr>
          <w:rFonts w:ascii="宋体" w:hAnsi="宋体" w:cs="宋体"/>
          <w:sz w:val="22"/>
          <w:szCs w:val="22"/>
        </w:rPr>
      </w:pPr>
      <w:r>
        <w:rPr>
          <w:rFonts w:hint="eastAsia" w:ascii="宋体" w:hAnsi="宋体" w:cs="宋体"/>
          <w:sz w:val="22"/>
          <w:szCs w:val="22"/>
        </w:rPr>
        <w:t>1.1加热方式：需采用进口远红外平底陶瓷加热炉，红外线辐射加热，单孔功率最大功率不小于</w:t>
      </w:r>
      <w:r>
        <w:rPr>
          <w:rFonts w:ascii="宋体" w:hAnsi="宋体" w:cs="宋体"/>
          <w:sz w:val="22"/>
          <w:szCs w:val="22"/>
        </w:rPr>
        <w:t>800W</w:t>
      </w:r>
      <w:r>
        <w:rPr>
          <w:rFonts w:hint="eastAsia" w:ascii="宋体" w:hAnsi="宋体" w:cs="宋体"/>
          <w:sz w:val="22"/>
          <w:szCs w:val="22"/>
        </w:rPr>
        <w:t>（提供相关证明文件）；</w:t>
      </w:r>
    </w:p>
    <w:p>
      <w:pPr>
        <w:spacing w:line="420" w:lineRule="exact"/>
        <w:ind w:firstLine="440" w:firstLineChars="200"/>
        <w:rPr>
          <w:rFonts w:ascii="宋体" w:hAnsi="宋体" w:cs="宋体"/>
          <w:sz w:val="22"/>
          <w:szCs w:val="22"/>
        </w:rPr>
      </w:pPr>
      <w:r>
        <w:rPr>
          <w:rFonts w:hint="eastAsia" w:ascii="宋体" w:hAnsi="宋体" w:cs="宋体"/>
          <w:sz w:val="22"/>
          <w:szCs w:val="22"/>
        </w:rPr>
        <w:t>1.2 陶瓷加热炉底部采用镀金隔热层，加热过程无明火加热、防水、防止短路；</w:t>
      </w:r>
    </w:p>
    <w:p>
      <w:pPr>
        <w:spacing w:line="420" w:lineRule="exact"/>
        <w:ind w:firstLine="440" w:firstLineChars="200"/>
        <w:rPr>
          <w:rFonts w:ascii="宋体" w:hAnsi="宋体" w:cs="宋体"/>
          <w:sz w:val="22"/>
          <w:szCs w:val="22"/>
        </w:rPr>
      </w:pPr>
      <w:r>
        <w:rPr>
          <w:rFonts w:hint="eastAsia" w:ascii="宋体" w:hAnsi="宋体" w:cs="宋体"/>
          <w:sz w:val="22"/>
          <w:szCs w:val="22"/>
        </w:rPr>
        <w:t>1.3 整机带有微沸调节，可根据水样自动调节加热功率，防止实验过程中爆沸现象；</w:t>
      </w:r>
    </w:p>
    <w:p>
      <w:pPr>
        <w:spacing w:line="420" w:lineRule="exact"/>
        <w:ind w:firstLine="440" w:firstLineChars="200"/>
        <w:rPr>
          <w:rFonts w:ascii="宋体" w:hAnsi="宋体" w:cs="宋体"/>
          <w:sz w:val="22"/>
          <w:szCs w:val="22"/>
        </w:rPr>
      </w:pPr>
      <w:r>
        <w:rPr>
          <w:rFonts w:hint="eastAsia" w:ascii="宋体" w:hAnsi="宋体" w:cs="宋体"/>
          <w:sz w:val="22"/>
          <w:szCs w:val="22"/>
        </w:rPr>
        <w:t>1.4 加热单元：</w:t>
      </w:r>
      <w:r>
        <w:rPr>
          <w:rFonts w:ascii="宋体" w:hAnsi="宋体" w:cs="宋体"/>
          <w:sz w:val="22"/>
          <w:szCs w:val="22"/>
        </w:rPr>
        <w:t>6</w:t>
      </w:r>
      <w:r>
        <w:rPr>
          <w:rFonts w:hint="eastAsia" w:ascii="宋体" w:hAnsi="宋体" w:cs="宋体"/>
          <w:sz w:val="22"/>
          <w:szCs w:val="22"/>
        </w:rPr>
        <w:t>个，可单孔单控；</w:t>
      </w:r>
    </w:p>
    <w:p>
      <w:pPr>
        <w:spacing w:line="420" w:lineRule="exact"/>
        <w:ind w:firstLine="440" w:firstLineChars="200"/>
        <w:rPr>
          <w:rFonts w:ascii="宋体" w:hAnsi="宋体" w:cs="宋体"/>
          <w:sz w:val="22"/>
          <w:szCs w:val="22"/>
        </w:rPr>
      </w:pPr>
      <w:r>
        <w:rPr>
          <w:rFonts w:hint="eastAsia" w:ascii="宋体" w:hAnsi="宋体" w:cs="宋体"/>
          <w:sz w:val="22"/>
          <w:szCs w:val="22"/>
        </w:rPr>
        <w:t>1.5 升温时间：</w:t>
      </w:r>
      <w:r>
        <w:rPr>
          <w:rFonts w:ascii="宋体" w:hAnsi="宋体" w:cs="宋体"/>
          <w:sz w:val="22"/>
          <w:szCs w:val="22"/>
        </w:rPr>
        <w:t>5-8min</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1.6 蒸馏速度：</w:t>
      </w:r>
      <w:r>
        <w:rPr>
          <w:rFonts w:ascii="宋体" w:hAnsi="宋体" w:cs="宋体"/>
          <w:sz w:val="22"/>
          <w:szCs w:val="22"/>
        </w:rPr>
        <w:t>2-12mL/min</w:t>
      </w:r>
      <w:r>
        <w:rPr>
          <w:rFonts w:hint="eastAsia" w:ascii="宋体" w:hAnsi="宋体" w:cs="宋体"/>
          <w:sz w:val="22"/>
          <w:szCs w:val="22"/>
        </w:rPr>
        <w:t>（可调）；</w:t>
      </w:r>
    </w:p>
    <w:p>
      <w:pPr>
        <w:spacing w:line="420" w:lineRule="exact"/>
        <w:ind w:firstLine="440" w:firstLineChars="200"/>
        <w:rPr>
          <w:rFonts w:ascii="宋体" w:hAnsi="宋体" w:cs="宋体"/>
          <w:sz w:val="22"/>
          <w:szCs w:val="22"/>
        </w:rPr>
      </w:pPr>
      <w:r>
        <w:rPr>
          <w:rFonts w:hint="eastAsia" w:ascii="宋体" w:hAnsi="宋体" w:cs="宋体"/>
          <w:sz w:val="22"/>
          <w:szCs w:val="22"/>
        </w:rPr>
        <w:t>1.7 蒸馏终点控制：采用称重传感器控制蒸馏终点，双重控制模式，可同时设置蒸馏仪体积重量和蒸馏时间，自动停止加热；</w:t>
      </w:r>
    </w:p>
    <w:p>
      <w:pPr>
        <w:spacing w:line="420" w:lineRule="exact"/>
        <w:ind w:firstLine="440" w:firstLineChars="200"/>
        <w:rPr>
          <w:rFonts w:ascii="宋体" w:hAnsi="宋体" w:cs="宋体"/>
          <w:sz w:val="22"/>
          <w:szCs w:val="22"/>
        </w:rPr>
      </w:pPr>
      <w:r>
        <w:rPr>
          <w:rFonts w:hint="eastAsia" w:ascii="宋体" w:hAnsi="宋体" w:cs="宋体"/>
          <w:sz w:val="22"/>
          <w:szCs w:val="22"/>
        </w:rPr>
        <w:t>1.8 可手工设定单孔蒸馏量1-500ml，蒸馏结束后系统能自动断电结束蒸馏，自动锁定馏出液出口；</w:t>
      </w:r>
    </w:p>
    <w:p>
      <w:pPr>
        <w:spacing w:line="420" w:lineRule="exact"/>
        <w:ind w:firstLine="440" w:firstLineChars="200"/>
        <w:rPr>
          <w:rFonts w:ascii="宋体" w:hAnsi="宋体" w:cs="宋体"/>
          <w:sz w:val="22"/>
          <w:szCs w:val="22"/>
        </w:rPr>
      </w:pPr>
      <w:r>
        <w:rPr>
          <w:rFonts w:hint="eastAsia" w:ascii="宋体" w:hAnsi="宋体" w:cs="宋体"/>
          <w:sz w:val="22"/>
          <w:szCs w:val="22"/>
        </w:rPr>
        <w:t>1.9 单孔功率：</w:t>
      </w:r>
      <w:r>
        <w:rPr>
          <w:rFonts w:ascii="宋体" w:hAnsi="宋体" w:cs="宋体"/>
          <w:sz w:val="22"/>
          <w:szCs w:val="22"/>
        </w:rPr>
        <w:t>0-800W</w:t>
      </w:r>
      <w:r>
        <w:rPr>
          <w:rFonts w:hint="eastAsia" w:ascii="宋体" w:hAnsi="宋体" w:cs="宋体"/>
          <w:sz w:val="22"/>
          <w:szCs w:val="22"/>
        </w:rPr>
        <w:t>或更高功率（单炉、可调）；</w:t>
      </w:r>
    </w:p>
    <w:p>
      <w:pPr>
        <w:spacing w:line="420" w:lineRule="exact"/>
        <w:ind w:firstLine="440" w:firstLineChars="200"/>
        <w:rPr>
          <w:rFonts w:ascii="宋体" w:hAnsi="宋体" w:cs="宋体"/>
          <w:sz w:val="22"/>
          <w:szCs w:val="22"/>
        </w:rPr>
      </w:pPr>
      <w:r>
        <w:rPr>
          <w:rFonts w:hint="eastAsia" w:ascii="宋体" w:hAnsi="宋体" w:cs="宋体"/>
          <w:sz w:val="22"/>
          <w:szCs w:val="22"/>
        </w:rPr>
        <w:t>1.10 整机功率：</w:t>
      </w:r>
      <w:r>
        <w:rPr>
          <w:rFonts w:ascii="宋体" w:hAnsi="宋体" w:cs="宋体"/>
          <w:sz w:val="22"/>
          <w:szCs w:val="22"/>
        </w:rPr>
        <w:t>0-4800W</w:t>
      </w:r>
      <w:r>
        <w:rPr>
          <w:rFonts w:hint="eastAsia" w:ascii="宋体" w:hAnsi="宋体" w:cs="宋体"/>
          <w:sz w:val="22"/>
          <w:szCs w:val="22"/>
        </w:rPr>
        <w:t>或更高功率（可调）；</w:t>
      </w:r>
    </w:p>
    <w:p>
      <w:pPr>
        <w:spacing w:line="420" w:lineRule="exact"/>
        <w:ind w:firstLine="440" w:firstLineChars="200"/>
        <w:rPr>
          <w:rFonts w:ascii="宋体" w:hAnsi="宋体" w:cs="宋体"/>
          <w:sz w:val="22"/>
          <w:szCs w:val="22"/>
        </w:rPr>
      </w:pPr>
      <w:r>
        <w:rPr>
          <w:rFonts w:hint="eastAsia" w:ascii="宋体" w:hAnsi="宋体" w:cs="宋体"/>
          <w:sz w:val="22"/>
          <w:szCs w:val="22"/>
        </w:rPr>
        <w:t>1.11 冷却方式：封闭式内循环回流系统，无需外接冷却水源，配有内置压缩机制冷降温内循环系统；</w:t>
      </w:r>
    </w:p>
    <w:p>
      <w:pPr>
        <w:spacing w:line="420" w:lineRule="exact"/>
        <w:ind w:firstLine="440" w:firstLineChars="200"/>
        <w:rPr>
          <w:rFonts w:ascii="宋体" w:hAnsi="宋体" w:cs="宋体"/>
          <w:sz w:val="22"/>
          <w:szCs w:val="22"/>
        </w:rPr>
      </w:pPr>
      <w:r>
        <w:rPr>
          <w:rFonts w:hint="eastAsia" w:ascii="宋体" w:hAnsi="宋体" w:cs="宋体"/>
          <w:sz w:val="22"/>
          <w:szCs w:val="22"/>
        </w:rPr>
        <w:t>1.12 具有防倒吸功能：设有防真空电磁阀，具有防倒吸功能；</w:t>
      </w:r>
    </w:p>
    <w:p>
      <w:pPr>
        <w:spacing w:line="420" w:lineRule="exact"/>
        <w:ind w:firstLine="440" w:firstLineChars="200"/>
        <w:rPr>
          <w:rFonts w:ascii="宋体" w:hAnsi="宋体" w:cs="宋体"/>
          <w:sz w:val="22"/>
          <w:szCs w:val="22"/>
        </w:rPr>
      </w:pPr>
      <w:r>
        <w:rPr>
          <w:rFonts w:hint="eastAsia" w:ascii="宋体" w:hAnsi="宋体" w:cs="宋体"/>
          <w:sz w:val="22"/>
          <w:szCs w:val="22"/>
        </w:rPr>
        <w:t>1.13 时间控制：</w:t>
      </w:r>
      <w:r>
        <w:rPr>
          <w:rFonts w:ascii="宋体" w:hAnsi="宋体" w:cs="宋体"/>
          <w:sz w:val="22"/>
          <w:szCs w:val="22"/>
        </w:rPr>
        <w:t>0-200min</w:t>
      </w:r>
      <w:r>
        <w:rPr>
          <w:rFonts w:hint="eastAsia" w:ascii="宋体" w:hAnsi="宋体" w:cs="宋体"/>
          <w:sz w:val="22"/>
          <w:szCs w:val="22"/>
        </w:rPr>
        <w:t>（可调）可通设置蒸馏时间自动停止工作；</w:t>
      </w:r>
    </w:p>
    <w:p>
      <w:pPr>
        <w:spacing w:line="420" w:lineRule="exact"/>
        <w:ind w:firstLine="440" w:firstLineChars="200"/>
        <w:rPr>
          <w:rFonts w:ascii="宋体" w:hAnsi="宋体" w:cs="宋体"/>
          <w:sz w:val="22"/>
          <w:szCs w:val="22"/>
        </w:rPr>
      </w:pPr>
      <w:r>
        <w:rPr>
          <w:rFonts w:hint="eastAsia" w:ascii="宋体" w:hAnsi="宋体" w:cs="宋体"/>
          <w:sz w:val="22"/>
          <w:szCs w:val="22"/>
        </w:rPr>
        <w:t>1.14 具有一键式水箱加水功能，达到液位，蜂鸣报警，自动停止加水；</w:t>
      </w:r>
    </w:p>
    <w:p>
      <w:pPr>
        <w:spacing w:line="420" w:lineRule="exact"/>
        <w:ind w:firstLine="440" w:firstLineChars="200"/>
        <w:rPr>
          <w:rFonts w:ascii="宋体" w:hAnsi="宋体" w:cs="宋体"/>
          <w:sz w:val="22"/>
          <w:szCs w:val="22"/>
        </w:rPr>
      </w:pPr>
      <w:r>
        <w:rPr>
          <w:rFonts w:hint="eastAsia" w:ascii="宋体" w:hAnsi="宋体" w:cs="宋体"/>
          <w:sz w:val="22"/>
          <w:szCs w:val="22"/>
        </w:rPr>
        <w:t>1.15 接收瓶规格：接收瓶不受限制（容量瓶、锥形瓶、量筒等均可）；</w:t>
      </w:r>
    </w:p>
    <w:p>
      <w:pPr>
        <w:spacing w:line="420" w:lineRule="exact"/>
        <w:ind w:firstLine="440" w:firstLineChars="200"/>
        <w:rPr>
          <w:rFonts w:ascii="宋体" w:hAnsi="宋体" w:cs="宋体"/>
          <w:sz w:val="22"/>
          <w:szCs w:val="22"/>
        </w:rPr>
      </w:pPr>
      <w:r>
        <w:rPr>
          <w:rFonts w:hint="eastAsia" w:ascii="宋体" w:hAnsi="宋体" w:cs="宋体"/>
          <w:sz w:val="22"/>
          <w:szCs w:val="22"/>
        </w:rPr>
        <w:t>1.16 配备</w:t>
      </w:r>
      <w:r>
        <w:rPr>
          <w:rFonts w:ascii="宋体" w:hAnsi="宋体" w:cs="宋体"/>
          <w:sz w:val="22"/>
          <w:szCs w:val="22"/>
        </w:rPr>
        <w:t>250mL</w:t>
      </w:r>
      <w:r>
        <w:rPr>
          <w:rFonts w:hint="eastAsia" w:ascii="宋体" w:hAnsi="宋体" w:cs="宋体"/>
          <w:sz w:val="22"/>
          <w:szCs w:val="22"/>
        </w:rPr>
        <w:t>玻璃容量瓶</w:t>
      </w:r>
      <w:r>
        <w:rPr>
          <w:rFonts w:ascii="宋体" w:hAnsi="宋体" w:cs="宋体"/>
          <w:sz w:val="22"/>
          <w:szCs w:val="22"/>
        </w:rPr>
        <w:t>+</w:t>
      </w:r>
      <w:r>
        <w:rPr>
          <w:rFonts w:hint="eastAsia" w:ascii="宋体" w:hAnsi="宋体" w:cs="宋体"/>
          <w:sz w:val="22"/>
          <w:szCs w:val="22"/>
        </w:rPr>
        <w:t>配套瓶塞，要求</w:t>
      </w:r>
      <w:r>
        <w:rPr>
          <w:rFonts w:ascii="宋体" w:hAnsi="宋体" w:cs="宋体"/>
          <w:sz w:val="22"/>
          <w:szCs w:val="22"/>
        </w:rPr>
        <w:t>A</w:t>
      </w:r>
      <w:r>
        <w:rPr>
          <w:rFonts w:hint="eastAsia" w:ascii="宋体" w:hAnsi="宋体" w:cs="宋体"/>
          <w:sz w:val="22"/>
          <w:szCs w:val="22"/>
        </w:rPr>
        <w:t>级容量瓶，带计量部门检定证书；</w:t>
      </w:r>
    </w:p>
    <w:p>
      <w:pPr>
        <w:spacing w:line="420" w:lineRule="exact"/>
        <w:ind w:firstLine="440" w:firstLineChars="200"/>
        <w:rPr>
          <w:rFonts w:ascii="宋体" w:hAnsi="宋体" w:cs="宋体"/>
          <w:sz w:val="22"/>
          <w:szCs w:val="22"/>
        </w:rPr>
      </w:pPr>
      <w:r>
        <w:rPr>
          <w:rFonts w:hint="eastAsia" w:ascii="宋体" w:hAnsi="宋体" w:cs="宋体"/>
          <w:sz w:val="22"/>
          <w:szCs w:val="22"/>
        </w:rPr>
        <w:t>1.17 所需设备能够提供省级及以上质检部门出具的针对该产品的质检报告。</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2、仪器配置</w:t>
      </w:r>
    </w:p>
    <w:p>
      <w:pPr>
        <w:spacing w:line="420" w:lineRule="exact"/>
        <w:ind w:firstLine="440" w:firstLineChars="200"/>
        <w:rPr>
          <w:rFonts w:ascii="宋体" w:hAnsi="宋体" w:cs="宋体"/>
          <w:sz w:val="22"/>
          <w:szCs w:val="22"/>
        </w:rPr>
      </w:pPr>
      <w:r>
        <w:rPr>
          <w:rFonts w:hint="eastAsia" w:ascii="宋体" w:hAnsi="宋体" w:cs="宋体"/>
          <w:sz w:val="22"/>
          <w:szCs w:val="22"/>
        </w:rPr>
        <w:t>2.1 主机两台</w:t>
      </w:r>
    </w:p>
    <w:p>
      <w:pPr>
        <w:spacing w:line="420" w:lineRule="exact"/>
        <w:ind w:firstLine="440" w:firstLineChars="200"/>
        <w:rPr>
          <w:rFonts w:ascii="宋体" w:hAnsi="宋体" w:cs="宋体"/>
          <w:sz w:val="22"/>
          <w:szCs w:val="22"/>
        </w:rPr>
      </w:pPr>
      <w:r>
        <w:rPr>
          <w:rFonts w:hint="eastAsia" w:ascii="宋体" w:hAnsi="宋体" w:cs="宋体"/>
          <w:sz w:val="22"/>
          <w:szCs w:val="22"/>
        </w:rPr>
        <w:t>2.2 压缩机两台</w:t>
      </w:r>
    </w:p>
    <w:p>
      <w:pPr>
        <w:spacing w:line="420" w:lineRule="exact"/>
        <w:ind w:firstLine="440" w:firstLineChars="200"/>
        <w:rPr>
          <w:rFonts w:ascii="宋体" w:hAnsi="宋体" w:cs="宋体"/>
          <w:sz w:val="22"/>
          <w:szCs w:val="22"/>
        </w:rPr>
      </w:pPr>
      <w:r>
        <w:rPr>
          <w:rFonts w:hint="eastAsia" w:ascii="宋体" w:hAnsi="宋体" w:cs="宋体"/>
          <w:sz w:val="22"/>
          <w:szCs w:val="22"/>
        </w:rPr>
        <w:t>2.3 冷凝管48只</w:t>
      </w:r>
    </w:p>
    <w:p>
      <w:pPr>
        <w:spacing w:line="420" w:lineRule="exact"/>
        <w:ind w:firstLine="440" w:firstLineChars="200"/>
        <w:rPr>
          <w:rFonts w:ascii="宋体" w:hAnsi="宋体" w:cs="宋体"/>
          <w:sz w:val="22"/>
          <w:szCs w:val="22"/>
        </w:rPr>
      </w:pPr>
      <w:r>
        <w:rPr>
          <w:rFonts w:hint="eastAsia" w:ascii="宋体" w:hAnsi="宋体" w:cs="宋体"/>
          <w:sz w:val="22"/>
          <w:szCs w:val="22"/>
        </w:rPr>
        <w:t>2.4 单颈</w:t>
      </w:r>
      <w:r>
        <w:rPr>
          <w:rFonts w:ascii="宋体" w:hAnsi="宋体" w:cs="宋体"/>
          <w:sz w:val="22"/>
          <w:szCs w:val="22"/>
        </w:rPr>
        <w:t>500mL</w:t>
      </w:r>
      <w:r>
        <w:rPr>
          <w:rFonts w:hint="eastAsia" w:ascii="宋体" w:hAnsi="宋体" w:cs="宋体"/>
          <w:sz w:val="22"/>
          <w:szCs w:val="22"/>
        </w:rPr>
        <w:t>蒸馏瓶</w:t>
      </w:r>
      <w:r>
        <w:rPr>
          <w:rFonts w:ascii="宋体" w:hAnsi="宋体" w:cs="宋体"/>
          <w:sz w:val="22"/>
          <w:szCs w:val="22"/>
        </w:rPr>
        <w:t xml:space="preserve">   </w:t>
      </w:r>
      <w:r>
        <w:rPr>
          <w:rFonts w:hint="eastAsia" w:ascii="宋体" w:hAnsi="宋体" w:cs="宋体"/>
          <w:sz w:val="22"/>
          <w:szCs w:val="22"/>
        </w:rPr>
        <w:t>24只</w:t>
      </w:r>
    </w:p>
    <w:p>
      <w:pPr>
        <w:spacing w:line="420" w:lineRule="exact"/>
        <w:ind w:firstLine="440" w:firstLineChars="200"/>
        <w:rPr>
          <w:rFonts w:ascii="宋体" w:hAnsi="宋体" w:cs="宋体"/>
          <w:sz w:val="22"/>
          <w:szCs w:val="22"/>
        </w:rPr>
      </w:pPr>
      <w:r>
        <w:rPr>
          <w:rFonts w:hint="eastAsia" w:ascii="宋体" w:hAnsi="宋体" w:cs="宋体"/>
          <w:sz w:val="22"/>
          <w:szCs w:val="22"/>
        </w:rPr>
        <w:t>2.5 24只三爪万用夹</w:t>
      </w:r>
    </w:p>
    <w:p>
      <w:pPr>
        <w:spacing w:line="420" w:lineRule="exact"/>
        <w:ind w:firstLine="440" w:firstLineChars="200"/>
        <w:rPr>
          <w:rFonts w:ascii="宋体" w:hAnsi="宋体" w:cs="宋体"/>
          <w:sz w:val="22"/>
          <w:szCs w:val="22"/>
        </w:rPr>
      </w:pPr>
      <w:r>
        <w:rPr>
          <w:rFonts w:hint="eastAsia" w:ascii="宋体" w:hAnsi="宋体" w:cs="宋体"/>
          <w:sz w:val="22"/>
          <w:szCs w:val="22"/>
        </w:rPr>
        <w:t>2.6 蒸馏瓶架2个</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2.7 </w:t>
      </w:r>
      <w:r>
        <w:rPr>
          <w:rFonts w:ascii="宋体" w:hAnsi="宋体" w:cs="宋体"/>
          <w:sz w:val="22"/>
          <w:szCs w:val="22"/>
        </w:rPr>
        <w:t>250mL</w:t>
      </w:r>
      <w:r>
        <w:rPr>
          <w:rFonts w:hint="eastAsia" w:ascii="宋体" w:hAnsi="宋体" w:cs="宋体"/>
          <w:sz w:val="22"/>
          <w:szCs w:val="22"/>
        </w:rPr>
        <w:t>玻璃容量瓶</w:t>
      </w:r>
      <w:r>
        <w:rPr>
          <w:rFonts w:ascii="宋体" w:hAnsi="宋体" w:cs="宋体"/>
          <w:sz w:val="22"/>
          <w:szCs w:val="22"/>
        </w:rPr>
        <w:t>+</w:t>
      </w:r>
      <w:r>
        <w:rPr>
          <w:rFonts w:hint="eastAsia" w:ascii="宋体" w:hAnsi="宋体" w:cs="宋体"/>
          <w:sz w:val="22"/>
          <w:szCs w:val="22"/>
        </w:rPr>
        <w:t>配套瓶塞（</w:t>
      </w:r>
      <w:r>
        <w:rPr>
          <w:rFonts w:ascii="宋体" w:hAnsi="宋体" w:cs="宋体"/>
          <w:sz w:val="22"/>
          <w:szCs w:val="22"/>
        </w:rPr>
        <w:t>A</w:t>
      </w:r>
      <w:r>
        <w:rPr>
          <w:rFonts w:hint="eastAsia" w:ascii="宋体" w:hAnsi="宋体" w:cs="宋体"/>
          <w:sz w:val="22"/>
          <w:szCs w:val="22"/>
        </w:rPr>
        <w:t>级容量瓶，带检定证书）48只</w:t>
      </w:r>
    </w:p>
    <w:p>
      <w:pPr>
        <w:spacing w:line="420" w:lineRule="exact"/>
        <w:ind w:firstLine="440" w:firstLineChars="200"/>
        <w:rPr>
          <w:rFonts w:ascii="宋体" w:hAnsi="宋体" w:cs="宋体"/>
          <w:sz w:val="22"/>
          <w:szCs w:val="22"/>
        </w:rPr>
      </w:pPr>
      <w:r>
        <w:rPr>
          <w:rFonts w:hint="eastAsia" w:ascii="宋体" w:hAnsi="宋体" w:cs="宋体"/>
          <w:sz w:val="22"/>
          <w:szCs w:val="22"/>
        </w:rPr>
        <w:t>2.8 合格证两份、仪器操作说明书两份、装箱清单两份、产品保修单两份</w:t>
      </w:r>
    </w:p>
    <w:p>
      <w:pPr>
        <w:rPr>
          <w:rFonts w:eastAsiaTheme="minorEastAsia"/>
        </w:rPr>
      </w:pPr>
    </w:p>
    <w:p>
      <w:pPr>
        <w:spacing w:line="420" w:lineRule="exact"/>
        <w:rPr>
          <w:rFonts w:ascii="宋体" w:hAnsi="宋体" w:cs="宋体"/>
          <w:b/>
          <w:bCs/>
          <w:color w:val="000000"/>
          <w:sz w:val="22"/>
          <w:szCs w:val="22"/>
        </w:rPr>
      </w:pPr>
      <w:r>
        <w:rPr>
          <w:rFonts w:hint="eastAsia" w:ascii="宋体" w:hAnsi="宋体" w:cs="宋体"/>
          <w:b/>
          <w:bCs/>
          <w:color w:val="000000"/>
          <w:sz w:val="22"/>
          <w:szCs w:val="22"/>
        </w:rPr>
        <w:t>三、商务要求</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1、</w:t>
      </w:r>
      <w:r>
        <w:rPr>
          <w:rFonts w:ascii="宋体" w:hAnsi="宋体"/>
          <w:b/>
          <w:bCs/>
          <w:color w:val="000000"/>
          <w:sz w:val="22"/>
          <w:szCs w:val="22"/>
        </w:rPr>
        <w:t>交货地点</w:t>
      </w:r>
      <w:r>
        <w:rPr>
          <w:rFonts w:hint="eastAsia" w:ascii="宋体" w:hAnsi="宋体"/>
          <w:b/>
          <w:bCs/>
          <w:color w:val="000000"/>
          <w:sz w:val="22"/>
          <w:szCs w:val="22"/>
        </w:rPr>
        <w:t>、日期</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1.1 </w:t>
      </w:r>
      <w:r>
        <w:rPr>
          <w:rFonts w:ascii="宋体" w:hAnsi="宋体" w:cs="宋体"/>
          <w:sz w:val="22"/>
          <w:szCs w:val="22"/>
        </w:rPr>
        <w:t>地点</w:t>
      </w:r>
      <w:r>
        <w:rPr>
          <w:rFonts w:hint="eastAsia" w:ascii="宋体" w:hAnsi="宋体" w:cs="宋体"/>
          <w:sz w:val="22"/>
          <w:szCs w:val="22"/>
        </w:rPr>
        <w:t>：</w:t>
      </w:r>
      <w:r>
        <w:rPr>
          <w:rFonts w:ascii="宋体" w:hAnsi="宋体" w:cs="宋体"/>
          <w:sz w:val="22"/>
          <w:szCs w:val="22"/>
        </w:rPr>
        <w:t>采购人</w:t>
      </w:r>
      <w:r>
        <w:rPr>
          <w:rFonts w:hint="eastAsia" w:ascii="宋体" w:hAnsi="宋体" w:cs="宋体"/>
          <w:sz w:val="22"/>
          <w:szCs w:val="22"/>
        </w:rPr>
        <w:t>指定地点；</w:t>
      </w:r>
    </w:p>
    <w:p>
      <w:pPr>
        <w:spacing w:line="420" w:lineRule="exact"/>
        <w:ind w:firstLine="440" w:firstLineChars="200"/>
        <w:rPr>
          <w:rFonts w:ascii="宋体" w:hAnsi="宋体" w:cs="宋体"/>
          <w:sz w:val="22"/>
          <w:szCs w:val="22"/>
        </w:rPr>
      </w:pPr>
      <w:r>
        <w:rPr>
          <w:rFonts w:hint="eastAsia" w:ascii="宋体" w:hAnsi="宋体" w:cs="宋体"/>
          <w:sz w:val="22"/>
          <w:szCs w:val="22"/>
        </w:rPr>
        <w:t>1.2 交货日期：在签定合同后中标人必须在60天内交货，仪器到货后1周内到用户处免费安装调试。</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2、</w:t>
      </w:r>
      <w:r>
        <w:rPr>
          <w:rFonts w:ascii="宋体" w:hAnsi="宋体"/>
          <w:b/>
          <w:bCs/>
          <w:color w:val="000000"/>
          <w:sz w:val="22"/>
          <w:szCs w:val="22"/>
        </w:rPr>
        <w:t>包装要求</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2.1 </w:t>
      </w:r>
      <w:r>
        <w:rPr>
          <w:rFonts w:ascii="宋体" w:hAnsi="宋体" w:cs="宋体"/>
          <w:sz w:val="22"/>
          <w:szCs w:val="22"/>
        </w:rPr>
        <w:t>中标人运输的所有货物要符合有关标准规定的具有适合长途运输、多次搬运和装卸的坚固包装。包装应按设备特点，按需要分别加上防潮、防雹、防锈、防腐蚀的保护措施，以保证货物在没有任何损坏和腐蚀的情况下安全运抵采购人实验室</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2.2 </w:t>
      </w:r>
      <w:r>
        <w:rPr>
          <w:rFonts w:ascii="宋体" w:hAnsi="宋体" w:cs="宋体"/>
          <w:sz w:val="22"/>
          <w:szCs w:val="22"/>
        </w:rPr>
        <w:t>每件包装箱内，应附有装箱单、合格证、产品出厂质量合格证明书、技术说明</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2.3 </w:t>
      </w:r>
      <w:r>
        <w:rPr>
          <w:rFonts w:ascii="宋体" w:hAnsi="宋体" w:cs="宋体"/>
          <w:sz w:val="22"/>
          <w:szCs w:val="22"/>
        </w:rPr>
        <w:t>凡由于中标人在合同供货设备就位前使货物遭到损坏或丢失时，中标人均应负责及时修理、更换或赔偿</w:t>
      </w:r>
      <w:r>
        <w:rPr>
          <w:rFonts w:hint="eastAsia" w:ascii="宋体" w:hAnsi="宋体" w:cs="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3、</w:t>
      </w:r>
      <w:r>
        <w:rPr>
          <w:rFonts w:ascii="宋体" w:hAnsi="宋体"/>
          <w:b/>
          <w:bCs/>
          <w:color w:val="000000"/>
          <w:sz w:val="22"/>
          <w:szCs w:val="22"/>
        </w:rPr>
        <w:t>发运货物时随机技术资料要求</w:t>
      </w:r>
    </w:p>
    <w:p>
      <w:pPr>
        <w:spacing w:line="420" w:lineRule="exact"/>
        <w:ind w:firstLine="440" w:firstLineChars="200"/>
        <w:rPr>
          <w:rFonts w:ascii="宋体" w:hAnsi="宋体" w:cs="宋体"/>
          <w:sz w:val="22"/>
          <w:szCs w:val="22"/>
        </w:rPr>
      </w:pPr>
      <w:r>
        <w:rPr>
          <w:rFonts w:hint="eastAsia" w:ascii="宋体" w:hAnsi="宋体" w:cs="宋体"/>
          <w:sz w:val="22"/>
          <w:szCs w:val="22"/>
        </w:rPr>
        <w:t>3.1 中文版的</w:t>
      </w:r>
      <w:r>
        <w:rPr>
          <w:rFonts w:ascii="宋体" w:hAnsi="宋体" w:cs="宋体"/>
          <w:sz w:val="22"/>
          <w:szCs w:val="22"/>
        </w:rPr>
        <w:t>操作手册、使用说明、维修保养手册；</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3.2 </w:t>
      </w:r>
      <w:r>
        <w:rPr>
          <w:rFonts w:ascii="宋体" w:hAnsi="宋体" w:cs="宋体"/>
          <w:sz w:val="22"/>
          <w:szCs w:val="22"/>
        </w:rPr>
        <w:t>备品备件清单（含规格型号和制造厂家）；</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3.3 </w:t>
      </w:r>
      <w:r>
        <w:rPr>
          <w:rFonts w:ascii="宋体" w:hAnsi="宋体" w:cs="宋体"/>
          <w:sz w:val="22"/>
          <w:szCs w:val="22"/>
        </w:rPr>
        <w:t>设备出厂检验报告及合格证</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3.4 </w:t>
      </w:r>
      <w:r>
        <w:rPr>
          <w:rFonts w:ascii="宋体" w:hAnsi="宋体" w:cs="宋体"/>
          <w:sz w:val="22"/>
          <w:szCs w:val="22"/>
        </w:rPr>
        <w:t>符合国家规定的验收标准、厂方标准及验收手册</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3.5 中国质监部门出具的产品合格证书或报告。</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4、</w:t>
      </w:r>
      <w:r>
        <w:rPr>
          <w:rFonts w:ascii="宋体" w:hAnsi="宋体"/>
          <w:b/>
          <w:bCs/>
          <w:color w:val="000000"/>
          <w:sz w:val="22"/>
          <w:szCs w:val="22"/>
        </w:rPr>
        <w:t>技术培训</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4.1 </w:t>
      </w:r>
      <w:r>
        <w:rPr>
          <w:rFonts w:ascii="宋体" w:hAnsi="宋体" w:cs="宋体"/>
          <w:sz w:val="22"/>
          <w:szCs w:val="22"/>
        </w:rPr>
        <w:t>中标人每台设备免费为采购人现场培训</w:t>
      </w:r>
      <w:r>
        <w:rPr>
          <w:rFonts w:hint="eastAsia" w:ascii="宋体" w:hAnsi="宋体" w:cs="宋体"/>
          <w:sz w:val="22"/>
          <w:szCs w:val="22"/>
        </w:rPr>
        <w:t>3名以上</w:t>
      </w:r>
      <w:r>
        <w:rPr>
          <w:rFonts w:ascii="宋体" w:hAnsi="宋体" w:cs="宋体"/>
          <w:sz w:val="22"/>
          <w:szCs w:val="22"/>
        </w:rPr>
        <w:t>操作人员</w:t>
      </w:r>
      <w:r>
        <w:rPr>
          <w:rFonts w:hint="eastAsia" w:ascii="宋体" w:hAnsi="宋体" w:cs="宋体"/>
          <w:sz w:val="22"/>
          <w:szCs w:val="22"/>
        </w:rPr>
        <w:t>直至掌握为止；</w:t>
      </w:r>
    </w:p>
    <w:p>
      <w:pPr>
        <w:spacing w:line="420" w:lineRule="exact"/>
        <w:ind w:firstLine="440" w:firstLineChars="200"/>
        <w:rPr>
          <w:rFonts w:ascii="宋体" w:hAnsi="宋体" w:cs="宋体"/>
          <w:sz w:val="22"/>
          <w:szCs w:val="22"/>
        </w:rPr>
      </w:pPr>
      <w:r>
        <w:rPr>
          <w:rFonts w:hint="eastAsia" w:ascii="宋体" w:hAnsi="宋体" w:cs="宋体"/>
          <w:sz w:val="22"/>
          <w:szCs w:val="22"/>
        </w:rPr>
        <w:t>4.2 气相色谱-质谱联用仪</w:t>
      </w:r>
      <w:r>
        <w:rPr>
          <w:rFonts w:hint="eastAsia" w:ascii="宋体" w:hAnsi="宋体"/>
          <w:color w:val="000000"/>
          <w:sz w:val="22"/>
          <w:szCs w:val="22"/>
        </w:rPr>
        <w:t>和离子色谱仪</w:t>
      </w:r>
      <w:r>
        <w:rPr>
          <w:rFonts w:ascii="宋体" w:hAnsi="宋体"/>
          <w:color w:val="000000"/>
          <w:sz w:val="22"/>
          <w:szCs w:val="22"/>
        </w:rPr>
        <w:t>应提供完整的培训计划和方案，</w:t>
      </w:r>
      <w:r>
        <w:rPr>
          <w:rFonts w:hint="eastAsia" w:ascii="宋体" w:hAnsi="宋体"/>
          <w:color w:val="000000"/>
          <w:sz w:val="22"/>
          <w:szCs w:val="22"/>
        </w:rPr>
        <w:t>除现场培训外，</w:t>
      </w:r>
      <w:r>
        <w:rPr>
          <w:rFonts w:hint="eastAsia" w:ascii="宋体" w:hAnsi="宋体" w:cs="宋体"/>
          <w:sz w:val="22"/>
          <w:szCs w:val="22"/>
        </w:rPr>
        <w:t>气相色谱-质谱联用仪</w:t>
      </w:r>
      <w:r>
        <w:rPr>
          <w:rFonts w:hint="eastAsia" w:ascii="宋体" w:hAnsi="宋体"/>
          <w:color w:val="000000"/>
          <w:sz w:val="22"/>
          <w:szCs w:val="22"/>
        </w:rPr>
        <w:t>提供5个培训名额，离子色谱仪提供4个培训名额</w:t>
      </w:r>
      <w:r>
        <w:rPr>
          <w:rFonts w:ascii="宋体" w:hAnsi="宋体"/>
          <w:color w:val="000000"/>
          <w:sz w:val="22"/>
          <w:szCs w:val="22"/>
        </w:rPr>
        <w:t>，达到能独立、熟练操作的程度，培训时间应不少于</w:t>
      </w:r>
      <w:r>
        <w:rPr>
          <w:rFonts w:hint="eastAsia" w:ascii="宋体" w:hAnsi="宋体"/>
          <w:color w:val="000000"/>
          <w:sz w:val="22"/>
          <w:szCs w:val="22"/>
        </w:rPr>
        <w:t>3</w:t>
      </w:r>
      <w:r>
        <w:rPr>
          <w:rFonts w:ascii="宋体" w:hAnsi="宋体"/>
          <w:color w:val="000000"/>
          <w:sz w:val="22"/>
          <w:szCs w:val="22"/>
        </w:rPr>
        <w:t>天。培训所需全部费用（含</w:t>
      </w:r>
      <w:r>
        <w:rPr>
          <w:rFonts w:hint="eastAsia" w:ascii="宋体" w:hAnsi="宋体"/>
          <w:color w:val="000000"/>
          <w:sz w:val="22"/>
          <w:szCs w:val="22"/>
        </w:rPr>
        <w:t>培训、</w:t>
      </w:r>
      <w:r>
        <w:rPr>
          <w:rFonts w:ascii="宋体" w:hAnsi="宋体"/>
          <w:color w:val="000000"/>
          <w:sz w:val="22"/>
          <w:szCs w:val="22"/>
        </w:rPr>
        <w:t>交通、</w:t>
      </w:r>
      <w:r>
        <w:rPr>
          <w:rFonts w:hint="eastAsia" w:ascii="宋体" w:hAnsi="宋体"/>
          <w:color w:val="000000"/>
          <w:sz w:val="22"/>
          <w:szCs w:val="22"/>
        </w:rPr>
        <w:t>食</w:t>
      </w:r>
      <w:r>
        <w:rPr>
          <w:rFonts w:ascii="宋体" w:hAnsi="宋体"/>
          <w:color w:val="000000"/>
          <w:sz w:val="22"/>
          <w:szCs w:val="22"/>
        </w:rPr>
        <w:t>宿）均由中标人支付</w:t>
      </w:r>
      <w:r>
        <w:rPr>
          <w:rFonts w:hint="eastAsia" w:ascii="宋体" w:hAnsi="宋体"/>
          <w:color w:val="000000"/>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5、</w:t>
      </w:r>
      <w:r>
        <w:rPr>
          <w:rFonts w:ascii="宋体" w:hAnsi="宋体"/>
          <w:b/>
          <w:bCs/>
          <w:color w:val="000000"/>
          <w:sz w:val="22"/>
          <w:szCs w:val="22"/>
        </w:rPr>
        <w:t>安装调试</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5.1 </w:t>
      </w:r>
      <w:r>
        <w:rPr>
          <w:rFonts w:ascii="宋体" w:hAnsi="宋体" w:cs="宋体"/>
          <w:sz w:val="22"/>
          <w:szCs w:val="22"/>
        </w:rPr>
        <w:t>合同生效后</w:t>
      </w:r>
      <w:r>
        <w:rPr>
          <w:rFonts w:hint="eastAsia" w:ascii="宋体" w:hAnsi="宋体" w:cs="宋体"/>
          <w:sz w:val="22"/>
          <w:szCs w:val="22"/>
        </w:rPr>
        <w:t>10个工作日内</w:t>
      </w:r>
      <w:r>
        <w:rPr>
          <w:rFonts w:ascii="宋体" w:hAnsi="宋体" w:cs="宋体"/>
          <w:sz w:val="22"/>
          <w:szCs w:val="22"/>
        </w:rPr>
        <w:t>，中标人应提供安装条件，否则由此造成的延期由中标人负责</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5.2 </w:t>
      </w:r>
      <w:r>
        <w:rPr>
          <w:rFonts w:ascii="宋体" w:hAnsi="宋体" w:cs="宋体"/>
          <w:sz w:val="22"/>
          <w:szCs w:val="22"/>
        </w:rPr>
        <w:t>设备到达采购人</w:t>
      </w:r>
      <w:r>
        <w:rPr>
          <w:rFonts w:hint="eastAsia" w:ascii="宋体" w:hAnsi="宋体" w:cs="宋体"/>
          <w:sz w:val="22"/>
          <w:szCs w:val="22"/>
        </w:rPr>
        <w:t>指定地点</w:t>
      </w:r>
      <w:r>
        <w:rPr>
          <w:rFonts w:ascii="宋体" w:hAnsi="宋体" w:cs="宋体"/>
          <w:sz w:val="22"/>
          <w:szCs w:val="22"/>
        </w:rPr>
        <w:t>后，</w:t>
      </w:r>
      <w:r>
        <w:rPr>
          <w:rFonts w:hint="eastAsia" w:ascii="宋体" w:hAnsi="宋体" w:cs="宋体"/>
          <w:sz w:val="22"/>
          <w:szCs w:val="22"/>
        </w:rPr>
        <w:t>经采购人和</w:t>
      </w:r>
      <w:r>
        <w:rPr>
          <w:rFonts w:ascii="宋体" w:hAnsi="宋体" w:cs="宋体"/>
          <w:sz w:val="22"/>
          <w:szCs w:val="22"/>
        </w:rPr>
        <w:t>中标人</w:t>
      </w:r>
      <w:r>
        <w:rPr>
          <w:rFonts w:hint="eastAsia" w:ascii="宋体" w:hAnsi="宋体" w:cs="宋体"/>
          <w:sz w:val="22"/>
          <w:szCs w:val="22"/>
        </w:rPr>
        <w:t>协商安装时间后，安排</w:t>
      </w:r>
      <w:r>
        <w:rPr>
          <w:rFonts w:ascii="宋体" w:hAnsi="宋体" w:cs="宋体"/>
          <w:sz w:val="22"/>
          <w:szCs w:val="22"/>
        </w:rPr>
        <w:t>技术人员到达现场，在双方人员在场的情况下，开箱清点货物，组织安装、调试并对安装调试错误所导致的设备损坏承担全部赔偿责任，并承担因此发生的一切费用</w:t>
      </w:r>
      <w:r>
        <w:rPr>
          <w:rFonts w:hint="eastAsia" w:ascii="宋体" w:hAnsi="宋体" w:cs="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6、</w:t>
      </w:r>
      <w:r>
        <w:rPr>
          <w:rFonts w:ascii="宋体" w:hAnsi="宋体"/>
          <w:b/>
          <w:bCs/>
          <w:color w:val="000000"/>
          <w:sz w:val="22"/>
          <w:szCs w:val="22"/>
        </w:rPr>
        <w:t>验收方式</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6.1 </w:t>
      </w:r>
      <w:r>
        <w:rPr>
          <w:rFonts w:ascii="宋体" w:hAnsi="宋体" w:cs="宋体"/>
          <w:sz w:val="22"/>
          <w:szCs w:val="22"/>
        </w:rPr>
        <w:t>设备到货并经中标人技术人员安装后，按合同技术要求进行质量验收</w:t>
      </w:r>
      <w:r>
        <w:rPr>
          <w:rFonts w:hint="eastAsia" w:ascii="宋体" w:hAnsi="宋体" w:cs="宋体"/>
          <w:sz w:val="22"/>
          <w:szCs w:val="22"/>
        </w:rPr>
        <w:t>，验收的一切费用由中标人承担。</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6.2 </w:t>
      </w:r>
      <w:r>
        <w:rPr>
          <w:rFonts w:ascii="宋体" w:hAnsi="宋体" w:cs="宋体"/>
          <w:sz w:val="22"/>
          <w:szCs w:val="22"/>
        </w:rPr>
        <w:t>只有当下列条件也满足时，设备验收合格：</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6.2.1 </w:t>
      </w:r>
      <w:r>
        <w:rPr>
          <w:rFonts w:ascii="宋体" w:hAnsi="宋体" w:cs="宋体"/>
          <w:sz w:val="22"/>
          <w:szCs w:val="22"/>
        </w:rPr>
        <w:t>设备技术参数与该技术标书一致，试运行期间性能指标达到或超过规定的标准</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6.2.2 </w:t>
      </w:r>
      <w:r>
        <w:rPr>
          <w:rFonts w:ascii="宋体" w:hAnsi="宋体" w:cs="宋体"/>
          <w:sz w:val="22"/>
          <w:szCs w:val="22"/>
        </w:rPr>
        <w:t>在性能测试和试运行期间所暴露的问题已获得令采购人完全满意的解决</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6.2.3 </w:t>
      </w:r>
      <w:r>
        <w:rPr>
          <w:rFonts w:ascii="宋体" w:hAnsi="宋体" w:cs="宋体"/>
          <w:sz w:val="22"/>
          <w:szCs w:val="22"/>
        </w:rPr>
        <w:t>技术规范要求中提到的技术资料、工具、备件等已经按规定的数量移交完毕</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6.2.4 </w:t>
      </w:r>
      <w:r>
        <w:rPr>
          <w:rFonts w:ascii="宋体" w:hAnsi="宋体" w:cs="宋体"/>
          <w:sz w:val="22"/>
          <w:szCs w:val="22"/>
        </w:rPr>
        <w:t>设备验收合格后双方签定书面文件认可</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6.2.5 </w:t>
      </w:r>
      <w:r>
        <w:rPr>
          <w:rFonts w:ascii="宋体" w:hAnsi="宋体" w:cs="宋体"/>
          <w:sz w:val="22"/>
          <w:szCs w:val="22"/>
        </w:rPr>
        <w:t>当出现不合格产品时，供应商要无条件更换合格产品，不接受任何形式的降格处理</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6.2.6 </w:t>
      </w:r>
      <w:r>
        <w:rPr>
          <w:rFonts w:ascii="宋体" w:hAnsi="宋体" w:cs="宋体"/>
          <w:sz w:val="22"/>
          <w:szCs w:val="22"/>
        </w:rPr>
        <w:t>中标人交付的货物不符合</w:t>
      </w:r>
      <w:r>
        <w:rPr>
          <w:rFonts w:hint="eastAsia" w:ascii="宋体" w:hAnsi="宋体" w:cs="宋体"/>
          <w:sz w:val="22"/>
          <w:szCs w:val="22"/>
        </w:rPr>
        <w:t>招标文件</w:t>
      </w:r>
      <w:r>
        <w:rPr>
          <w:rFonts w:ascii="宋体" w:hAnsi="宋体" w:cs="宋体"/>
          <w:sz w:val="22"/>
          <w:szCs w:val="22"/>
        </w:rPr>
        <w:t>规定的，采购人有权拒收</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6.2.7 </w:t>
      </w:r>
      <w:r>
        <w:rPr>
          <w:rFonts w:ascii="宋体" w:hAnsi="宋体" w:cs="宋体"/>
          <w:sz w:val="22"/>
          <w:szCs w:val="22"/>
        </w:rPr>
        <w:t>由于中标人原因在货到后1个月内未能验收完毕的，视同中标人交付的货物不符合合同的规定</w:t>
      </w:r>
      <w:r>
        <w:rPr>
          <w:rFonts w:hint="eastAsia" w:ascii="宋体" w:hAnsi="宋体" w:cs="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7、仪器检定</w:t>
      </w:r>
    </w:p>
    <w:p>
      <w:pPr>
        <w:spacing w:line="420" w:lineRule="exact"/>
        <w:ind w:firstLine="440" w:firstLineChars="200"/>
        <w:rPr>
          <w:rFonts w:ascii="宋体" w:hAnsi="宋体" w:cs="宋体"/>
          <w:sz w:val="22"/>
          <w:szCs w:val="22"/>
        </w:rPr>
      </w:pPr>
      <w:r>
        <w:rPr>
          <w:rFonts w:hint="eastAsia" w:ascii="宋体" w:hAnsi="宋体" w:cs="宋体"/>
          <w:sz w:val="22"/>
          <w:szCs w:val="22"/>
        </w:rPr>
        <w:t>仪器设备验收合格后，</w:t>
      </w:r>
      <w:r>
        <w:rPr>
          <w:rFonts w:hint="eastAsia" w:ascii="宋体" w:hAnsi="宋体" w:cs="宋体"/>
          <w:color w:val="000000"/>
          <w:sz w:val="22"/>
          <w:szCs w:val="22"/>
        </w:rPr>
        <w:t>若该仪器设备需要进行计量检定的，由中标人按要求委托广东省计量院完成中标仪器设备的第一次计量检定并由其承担检定费用</w:t>
      </w:r>
      <w:r>
        <w:rPr>
          <w:rFonts w:hint="eastAsia" w:ascii="宋体" w:hAnsi="宋体" w:cs="宋体"/>
          <w:sz w:val="22"/>
          <w:szCs w:val="22"/>
        </w:rPr>
        <w:t>。</w:t>
      </w:r>
    </w:p>
    <w:p>
      <w:pPr>
        <w:tabs>
          <w:tab w:val="left" w:pos="851"/>
        </w:tabs>
        <w:spacing w:line="360" w:lineRule="auto"/>
        <w:rPr>
          <w:rFonts w:ascii="宋体" w:hAnsi="宋体"/>
          <w:b/>
          <w:bCs/>
          <w:color w:val="000000"/>
          <w:sz w:val="22"/>
          <w:szCs w:val="22"/>
        </w:rPr>
      </w:pPr>
      <w:r>
        <w:rPr>
          <w:rFonts w:hint="eastAsia" w:ascii="宋体" w:hAnsi="宋体"/>
          <w:b/>
          <w:bCs/>
          <w:color w:val="000000"/>
          <w:sz w:val="22"/>
          <w:szCs w:val="22"/>
        </w:rPr>
        <w:t>8、</w:t>
      </w:r>
      <w:r>
        <w:rPr>
          <w:rFonts w:ascii="宋体" w:hAnsi="宋体"/>
          <w:b/>
          <w:bCs/>
          <w:color w:val="000000"/>
          <w:sz w:val="22"/>
          <w:szCs w:val="22"/>
        </w:rPr>
        <w:t>售后服务要求</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8.1 </w:t>
      </w:r>
      <w:r>
        <w:rPr>
          <w:rFonts w:hint="eastAsia" w:ascii="宋体" w:hAnsi="宋体" w:cs="宋体"/>
          <w:color w:val="000000"/>
          <w:sz w:val="22"/>
          <w:szCs w:val="22"/>
        </w:rPr>
        <w:t>气相色谱-质谱联用仪及其配件（大气预浓缩进样系统）的质保期不少于1年，离子色谱的质保期不少于</w:t>
      </w:r>
      <w:r>
        <w:rPr>
          <w:rFonts w:hint="eastAsia" w:ascii="宋体" w:hAnsi="宋体"/>
          <w:color w:val="000000"/>
          <w:sz w:val="22"/>
          <w:szCs w:val="22"/>
        </w:rPr>
        <w:t>2</w:t>
      </w:r>
      <w:r>
        <w:rPr>
          <w:rFonts w:hint="eastAsia" w:ascii="宋体" w:hAnsi="宋体" w:cs="宋体"/>
          <w:color w:val="000000"/>
          <w:sz w:val="22"/>
          <w:szCs w:val="22"/>
        </w:rPr>
        <w:t>年，全自动一体化蒸馏仪的质保期不少于</w:t>
      </w:r>
      <w:r>
        <w:rPr>
          <w:rFonts w:hint="eastAsia" w:ascii="宋体" w:hAnsi="宋体"/>
          <w:color w:val="000000"/>
          <w:sz w:val="22"/>
          <w:szCs w:val="22"/>
        </w:rPr>
        <w:t>3</w:t>
      </w:r>
      <w:r>
        <w:rPr>
          <w:rFonts w:hint="eastAsia" w:ascii="宋体" w:hAnsi="宋体" w:cs="宋体"/>
          <w:color w:val="000000"/>
          <w:sz w:val="22"/>
          <w:szCs w:val="22"/>
        </w:rPr>
        <w:t>年，自设备验收合格之日起算；</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8.2 </w:t>
      </w:r>
      <w:r>
        <w:rPr>
          <w:rFonts w:ascii="宋体" w:hAnsi="宋体" w:cs="宋体"/>
          <w:sz w:val="22"/>
          <w:szCs w:val="22"/>
        </w:rPr>
        <w:t>在质保期内，如发现故障无法修复或一个故障出现三次，中标人应无条件更换相同品牌的新机器</w:t>
      </w:r>
      <w:r>
        <w:rPr>
          <w:rFonts w:hint="eastAsia" w:ascii="宋体" w:hAnsi="宋体" w:cs="宋体"/>
          <w:sz w:val="22"/>
          <w:szCs w:val="22"/>
        </w:rPr>
        <w:t>；</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8.3 </w:t>
      </w:r>
      <w:r>
        <w:rPr>
          <w:rFonts w:ascii="宋体" w:hAnsi="宋体" w:cs="宋体"/>
          <w:sz w:val="22"/>
          <w:szCs w:val="22"/>
        </w:rPr>
        <w:t>保修期内所更换零部件</w:t>
      </w:r>
      <w:r>
        <w:rPr>
          <w:rFonts w:hint="eastAsia" w:ascii="宋体" w:hAnsi="宋体" w:cs="宋体"/>
          <w:sz w:val="22"/>
          <w:szCs w:val="22"/>
        </w:rPr>
        <w:t>（不含耗材）</w:t>
      </w:r>
      <w:r>
        <w:rPr>
          <w:rFonts w:ascii="宋体" w:hAnsi="宋体" w:cs="宋体"/>
          <w:sz w:val="22"/>
          <w:szCs w:val="22"/>
        </w:rPr>
        <w:t>由中标人免费并及时提供，中标人技术服务人员的一切费用全部自理</w:t>
      </w:r>
      <w:r>
        <w:rPr>
          <w:rFonts w:hint="eastAsia" w:ascii="宋体" w:hAnsi="宋体" w:cs="宋体"/>
          <w:sz w:val="22"/>
          <w:szCs w:val="22"/>
        </w:rPr>
        <w:t>；</w:t>
      </w:r>
    </w:p>
    <w:p>
      <w:pPr>
        <w:spacing w:line="420" w:lineRule="exact"/>
        <w:ind w:firstLine="440" w:firstLineChars="200"/>
        <w:rPr>
          <w:rFonts w:ascii="宋体" w:hAnsi="宋体" w:cs="宋体"/>
          <w:color w:val="000000"/>
          <w:sz w:val="22"/>
          <w:szCs w:val="22"/>
        </w:rPr>
      </w:pPr>
      <w:r>
        <w:rPr>
          <w:rFonts w:hint="eastAsia" w:ascii="宋体" w:hAnsi="宋体" w:cs="宋体"/>
          <w:color w:val="000000"/>
          <w:sz w:val="22"/>
          <w:szCs w:val="22"/>
        </w:rPr>
        <w:t>8.4中标人承诺负责设备、系统的终身维修服务。质保期结束后，供应商将继续对用户提供周到的售后服务，供应商在使用方提出问题后一日内给予答复，并在48小时内派人到现进行仪器故障的维修；</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▲8.5 </w:t>
      </w:r>
      <w:r>
        <w:rPr>
          <w:rFonts w:hint="eastAsia" w:ascii="宋体" w:hAnsi="宋体" w:cs="宋体"/>
          <w:color w:val="000000"/>
          <w:sz w:val="22"/>
          <w:szCs w:val="22"/>
        </w:rPr>
        <w:t>气相色谱-质谱联用仪的</w:t>
      </w:r>
      <w:r>
        <w:rPr>
          <w:rFonts w:ascii="宋体" w:hAnsi="宋体" w:cs="宋体"/>
          <w:sz w:val="22"/>
          <w:szCs w:val="22"/>
        </w:rPr>
        <w:t>原厂工程师</w:t>
      </w:r>
      <w:r>
        <w:rPr>
          <w:rFonts w:hint="eastAsia" w:ascii="宋体" w:hAnsi="宋体" w:cs="宋体"/>
          <w:sz w:val="22"/>
          <w:szCs w:val="22"/>
        </w:rPr>
        <w:t>需</w:t>
      </w:r>
      <w:r>
        <w:rPr>
          <w:rFonts w:ascii="宋体" w:hAnsi="宋体" w:cs="宋体"/>
          <w:sz w:val="22"/>
          <w:szCs w:val="22"/>
        </w:rPr>
        <w:t>协助</w:t>
      </w:r>
      <w:r>
        <w:rPr>
          <w:rFonts w:hint="eastAsia" w:ascii="宋体" w:hAnsi="宋体" w:cs="宋体"/>
          <w:sz w:val="22"/>
          <w:szCs w:val="22"/>
        </w:rPr>
        <w:t>采购人完成</w:t>
      </w:r>
      <w:r>
        <w:rPr>
          <w:rFonts w:ascii="宋体" w:hAnsi="宋体"/>
          <w:color w:val="000000"/>
          <w:sz w:val="22"/>
          <w:szCs w:val="22"/>
        </w:rPr>
        <w:t>《</w:t>
      </w:r>
      <w:r>
        <w:rPr>
          <w:rFonts w:hint="eastAsia" w:ascii="宋体" w:hAnsi="宋体"/>
          <w:color w:val="000000"/>
          <w:sz w:val="22"/>
          <w:szCs w:val="22"/>
        </w:rPr>
        <w:t>2019年地级及以上城市</w:t>
      </w:r>
      <w:r>
        <w:rPr>
          <w:rFonts w:ascii="宋体" w:hAnsi="宋体"/>
          <w:color w:val="000000"/>
          <w:sz w:val="22"/>
          <w:szCs w:val="22"/>
        </w:rPr>
        <w:t>环境空气挥发性有机物监测方案》</w:t>
      </w:r>
      <w:r>
        <w:rPr>
          <w:rFonts w:hint="eastAsia" w:ascii="宋体" w:hAnsi="宋体"/>
          <w:color w:val="000000"/>
          <w:sz w:val="22"/>
          <w:szCs w:val="22"/>
        </w:rPr>
        <w:t>中的基础实验内容，</w:t>
      </w:r>
      <w:r>
        <w:rPr>
          <w:rFonts w:hint="eastAsia" w:ascii="宋体" w:hAnsi="宋体" w:cs="宋体"/>
          <w:sz w:val="22"/>
          <w:szCs w:val="22"/>
        </w:rPr>
        <w:t>包括校准</w:t>
      </w:r>
      <w:r>
        <w:rPr>
          <w:rFonts w:ascii="宋体" w:hAnsi="宋体" w:cs="宋体"/>
          <w:sz w:val="22"/>
          <w:szCs w:val="22"/>
        </w:rPr>
        <w:t>曲线，检出限，低中高3个浓度点精密度和准确度</w:t>
      </w:r>
      <w:r>
        <w:rPr>
          <w:rFonts w:hint="eastAsia" w:ascii="宋体" w:hAnsi="宋体" w:cs="宋体"/>
          <w:sz w:val="22"/>
          <w:szCs w:val="22"/>
        </w:rPr>
        <w:t>的数据；</w:t>
      </w:r>
    </w:p>
    <w:p>
      <w:pPr>
        <w:spacing w:line="420" w:lineRule="exact"/>
        <w:ind w:firstLine="440" w:firstLineChars="200"/>
        <w:rPr>
          <w:rFonts w:ascii="宋体" w:hAnsi="宋体" w:cs="宋体"/>
          <w:sz w:val="22"/>
          <w:szCs w:val="22"/>
        </w:rPr>
      </w:pPr>
      <w:r>
        <w:rPr>
          <w:rFonts w:hint="eastAsia" w:ascii="宋体" w:hAnsi="宋体" w:cs="宋体"/>
          <w:sz w:val="22"/>
          <w:szCs w:val="22"/>
        </w:rPr>
        <w:t xml:space="preserve">8.6 </w:t>
      </w:r>
      <w:r>
        <w:rPr>
          <w:rFonts w:ascii="宋体" w:hAnsi="宋体" w:cs="宋体"/>
          <w:sz w:val="22"/>
          <w:szCs w:val="22"/>
        </w:rPr>
        <w:t>厂家的售后服务体系通过ISO9001认证，并提供ISO证书证明</w:t>
      </w:r>
      <w:r>
        <w:rPr>
          <w:rFonts w:hint="eastAsia" w:ascii="宋体" w:hAnsi="宋体" w:cs="宋体"/>
          <w:sz w:val="22"/>
          <w:szCs w:val="22"/>
        </w:rPr>
        <w:t>。</w:t>
      </w:r>
    </w:p>
    <w:p>
      <w:pPr>
        <w:spacing w:line="420" w:lineRule="exact"/>
        <w:ind w:firstLine="442" w:firstLineChars="200"/>
        <w:rPr>
          <w:rFonts w:ascii="宋体" w:hAnsi="宋体" w:cs="宋体"/>
          <w:b/>
          <w:bCs/>
          <w:sz w:val="22"/>
          <w:szCs w:val="22"/>
          <w:u w:val="single"/>
        </w:rPr>
      </w:pPr>
      <w:r>
        <w:rPr>
          <w:rFonts w:hint="eastAsia" w:ascii="宋体" w:hAnsi="宋体" w:cs="宋体"/>
          <w:b/>
          <w:bCs/>
          <w:sz w:val="22"/>
          <w:szCs w:val="22"/>
          <w:u w:val="single"/>
        </w:rPr>
        <w:t>注：投标人所投计算机、显示器必须为财政部、国家发展改革委公布的最新一期政府强制采购节能产品清单中的产品，须在投标文件中提供节能产品清单页（或政府采购网上节能产品查询截图）。</w:t>
      </w:r>
    </w:p>
    <w:p>
      <w:pPr>
        <w:rPr>
          <w:szCs w:val="21"/>
        </w:rPr>
      </w:pPr>
    </w:p>
    <w:p>
      <w:pPr>
        <w:pStyle w:val="55"/>
        <w:ind w:firstLine="0" w:firstLineChars="0"/>
        <w:rPr>
          <w:lang w:val="en-US"/>
        </w:rPr>
      </w:pPr>
    </w:p>
    <w:p>
      <w:pPr>
        <w:pStyle w:val="3"/>
        <w:spacing w:line="400" w:lineRule="exact"/>
        <w:jc w:val="center"/>
        <w:rPr>
          <w:rFonts w:ascii="宋体" w:hAnsi="宋体"/>
          <w:b/>
          <w:bCs/>
          <w:sz w:val="21"/>
          <w:szCs w:val="21"/>
        </w:rPr>
      </w:pPr>
      <w:r>
        <w:rPr>
          <w:rFonts w:ascii="宋体" w:hAnsi="宋体"/>
          <w:b/>
          <w:bCs/>
          <w:sz w:val="21"/>
          <w:szCs w:val="21"/>
        </w:rPr>
        <w:br w:type="page"/>
      </w:r>
      <w:bookmarkStart w:id="101" w:name="_Toc25577"/>
      <w:bookmarkStart w:id="102" w:name="_Toc368513814"/>
      <w:r>
        <w:rPr>
          <w:rFonts w:hint="eastAsia" w:ascii="宋体" w:hAnsi="宋体"/>
          <w:b/>
          <w:bCs/>
          <w:sz w:val="32"/>
          <w:szCs w:val="32"/>
        </w:rPr>
        <w:t>第四部分 评标办法</w:t>
      </w:r>
      <w:bookmarkEnd w:id="101"/>
      <w:bookmarkEnd w:id="102"/>
    </w:p>
    <w:p>
      <w:pPr>
        <w:numPr>
          <w:ilvl w:val="0"/>
          <w:numId w:val="38"/>
        </w:numPr>
        <w:snapToGrid w:val="0"/>
        <w:spacing w:line="360" w:lineRule="auto"/>
        <w:jc w:val="left"/>
        <w:outlineLvl w:val="1"/>
        <w:rPr>
          <w:rFonts w:ascii="宋体" w:hAnsi="宋体"/>
          <w:b/>
          <w:bCs/>
          <w:sz w:val="21"/>
          <w:szCs w:val="21"/>
        </w:rPr>
      </w:pPr>
      <w:bookmarkStart w:id="103" w:name="_Toc211245887"/>
      <w:bookmarkStart w:id="104" w:name="_Toc32209"/>
      <w:bookmarkStart w:id="105" w:name="_Toc205104132"/>
      <w:bookmarkStart w:id="106" w:name="_Toc368513815"/>
      <w:r>
        <w:rPr>
          <w:rFonts w:hint="eastAsia" w:ascii="宋体" w:hAnsi="宋体"/>
          <w:b/>
          <w:sz w:val="21"/>
          <w:szCs w:val="21"/>
        </w:rPr>
        <w:t>评标委员会</w:t>
      </w:r>
      <w:bookmarkEnd w:id="103"/>
      <w:bookmarkEnd w:id="104"/>
      <w:bookmarkEnd w:id="105"/>
      <w:bookmarkEnd w:id="106"/>
    </w:p>
    <w:p>
      <w:pPr>
        <w:numPr>
          <w:ilvl w:val="1"/>
          <w:numId w:val="38"/>
        </w:numPr>
        <w:snapToGrid w:val="0"/>
        <w:spacing w:line="360" w:lineRule="auto"/>
        <w:ind w:left="720" w:hanging="539"/>
        <w:jc w:val="left"/>
        <w:rPr>
          <w:rFonts w:ascii="宋体" w:hAnsi="宋体"/>
          <w:sz w:val="21"/>
          <w:szCs w:val="21"/>
        </w:rPr>
      </w:pPr>
      <w:r>
        <w:rPr>
          <w:rFonts w:hint="eastAsia" w:ascii="宋体" w:hAnsi="宋体"/>
          <w:sz w:val="21"/>
          <w:szCs w:val="21"/>
        </w:rPr>
        <w:t>全部评标过程由依法组建的评标委员会负责完成，评标委员会组成详见投标须知前附表第9项。</w:t>
      </w:r>
    </w:p>
    <w:p>
      <w:pPr>
        <w:numPr>
          <w:ilvl w:val="1"/>
          <w:numId w:val="38"/>
        </w:numPr>
        <w:snapToGrid w:val="0"/>
        <w:spacing w:line="360" w:lineRule="auto"/>
        <w:ind w:left="720" w:hanging="539"/>
        <w:jc w:val="left"/>
        <w:rPr>
          <w:rFonts w:ascii="宋体" w:hAnsi="宋体"/>
          <w:sz w:val="21"/>
          <w:szCs w:val="21"/>
        </w:rPr>
      </w:pPr>
      <w:r>
        <w:rPr>
          <w:rFonts w:hint="eastAsia" w:ascii="宋体" w:hAnsi="宋体"/>
          <w:sz w:val="21"/>
          <w:szCs w:val="21"/>
        </w:rPr>
        <w:t>评标委员会名单在招标结果确定前严格保密。</w:t>
      </w:r>
    </w:p>
    <w:p>
      <w:pPr>
        <w:numPr>
          <w:ilvl w:val="1"/>
          <w:numId w:val="38"/>
        </w:numPr>
        <w:snapToGrid w:val="0"/>
        <w:spacing w:line="360" w:lineRule="auto"/>
        <w:ind w:left="720" w:hanging="539"/>
        <w:jc w:val="left"/>
        <w:rPr>
          <w:rFonts w:ascii="宋体" w:hAnsi="宋体"/>
          <w:sz w:val="21"/>
          <w:szCs w:val="21"/>
        </w:rPr>
      </w:pPr>
      <w:r>
        <w:rPr>
          <w:rFonts w:hint="eastAsia" w:ascii="宋体" w:hAnsi="宋体"/>
          <w:sz w:val="21"/>
          <w:szCs w:val="21"/>
        </w:rPr>
        <w:t>评标委员会依法根据招标文件的规定进行投标文件的评审。</w:t>
      </w:r>
    </w:p>
    <w:p>
      <w:pPr>
        <w:numPr>
          <w:ilvl w:val="1"/>
          <w:numId w:val="38"/>
        </w:numPr>
        <w:snapToGrid w:val="0"/>
        <w:spacing w:line="360" w:lineRule="auto"/>
        <w:ind w:left="720" w:hanging="539"/>
        <w:jc w:val="left"/>
        <w:rPr>
          <w:rFonts w:ascii="宋体" w:hAnsi="宋体"/>
          <w:sz w:val="21"/>
          <w:szCs w:val="21"/>
        </w:rPr>
      </w:pPr>
      <w:r>
        <w:rPr>
          <w:rFonts w:hint="eastAsia" w:ascii="宋体" w:hAnsi="宋体"/>
          <w:sz w:val="21"/>
          <w:szCs w:val="21"/>
        </w:rPr>
        <w:t>评标有关记录由评标委员核定并签名，存档备查。</w:t>
      </w:r>
    </w:p>
    <w:p>
      <w:pPr>
        <w:numPr>
          <w:ilvl w:val="0"/>
          <w:numId w:val="38"/>
        </w:numPr>
        <w:snapToGrid w:val="0"/>
        <w:spacing w:line="360" w:lineRule="auto"/>
        <w:jc w:val="left"/>
        <w:outlineLvl w:val="1"/>
        <w:rPr>
          <w:rFonts w:ascii="宋体" w:hAnsi="宋体"/>
          <w:b/>
          <w:sz w:val="21"/>
          <w:szCs w:val="21"/>
        </w:rPr>
      </w:pPr>
      <w:bookmarkStart w:id="107" w:name="_Toc5296"/>
      <w:bookmarkStart w:id="108" w:name="_Toc368513816"/>
      <w:r>
        <w:rPr>
          <w:rFonts w:hint="eastAsia" w:ascii="宋体" w:hAnsi="宋体"/>
          <w:b/>
          <w:sz w:val="21"/>
          <w:szCs w:val="21"/>
        </w:rPr>
        <w:t>评标方法</w:t>
      </w:r>
      <w:bookmarkEnd w:id="107"/>
    </w:p>
    <w:p>
      <w:pPr>
        <w:ind w:firstLine="422" w:firstLineChars="200"/>
        <w:jc w:val="left"/>
        <w:rPr>
          <w:rFonts w:ascii="宋体" w:hAnsi="宋体"/>
          <w:b/>
          <w:sz w:val="21"/>
          <w:szCs w:val="21"/>
        </w:rPr>
      </w:pPr>
      <w:r>
        <w:rPr>
          <w:rFonts w:hint="eastAsia" w:ascii="宋体" w:hAnsi="宋体"/>
          <w:b/>
          <w:sz w:val="21"/>
          <w:szCs w:val="21"/>
        </w:rPr>
        <w:t>综合评分法。</w:t>
      </w:r>
      <w:bookmarkEnd w:id="108"/>
    </w:p>
    <w:p>
      <w:pPr>
        <w:numPr>
          <w:ilvl w:val="0"/>
          <w:numId w:val="38"/>
        </w:numPr>
        <w:snapToGrid w:val="0"/>
        <w:spacing w:line="360" w:lineRule="auto"/>
        <w:jc w:val="left"/>
        <w:outlineLvl w:val="1"/>
        <w:rPr>
          <w:rFonts w:ascii="宋体" w:hAnsi="宋体"/>
          <w:b/>
          <w:sz w:val="21"/>
          <w:szCs w:val="21"/>
        </w:rPr>
      </w:pPr>
      <w:bookmarkStart w:id="109" w:name="_Toc211245893"/>
      <w:bookmarkStart w:id="110" w:name="_Toc205104138"/>
      <w:bookmarkStart w:id="111" w:name="_Toc23938"/>
      <w:bookmarkStart w:id="112" w:name="_Toc368513817"/>
      <w:r>
        <w:rPr>
          <w:rFonts w:hint="eastAsia" w:ascii="宋体" w:hAnsi="宋体"/>
          <w:b/>
          <w:sz w:val="21"/>
          <w:szCs w:val="21"/>
        </w:rPr>
        <w:t>评标</w:t>
      </w:r>
      <w:bookmarkEnd w:id="109"/>
      <w:bookmarkEnd w:id="110"/>
      <w:r>
        <w:rPr>
          <w:rFonts w:hint="eastAsia" w:ascii="宋体" w:hAnsi="宋体"/>
          <w:b/>
          <w:sz w:val="21"/>
          <w:szCs w:val="21"/>
        </w:rPr>
        <w:t>程序</w:t>
      </w:r>
      <w:bookmarkEnd w:id="111"/>
      <w:bookmarkEnd w:id="112"/>
    </w:p>
    <w:p>
      <w:pPr>
        <w:numPr>
          <w:ilvl w:val="0"/>
          <w:numId w:val="39"/>
        </w:numPr>
        <w:snapToGrid w:val="0"/>
        <w:spacing w:line="360" w:lineRule="auto"/>
        <w:ind w:left="709" w:hanging="567"/>
        <w:jc w:val="left"/>
        <w:rPr>
          <w:rFonts w:ascii="宋体" w:hAnsi="宋体"/>
          <w:sz w:val="21"/>
          <w:szCs w:val="21"/>
        </w:rPr>
      </w:pPr>
      <w:r>
        <w:rPr>
          <w:rFonts w:hint="eastAsia" w:ascii="宋体" w:hAnsi="宋体"/>
          <w:sz w:val="21"/>
          <w:szCs w:val="21"/>
        </w:rPr>
        <w:t>综合评分法评标步骤：项目开标结束后，由采购人或者采购代理机构依法对投标人的资格进行审查。评标委员会对符合资格的投标人的投标文件进行符合性审查，以确定其是否满足招标文件的实质性要求。通过资格、符合性审查的投标人即为入围投标人。评标委员会对入围投标人进行技术、商务及价格的详细评审。</w:t>
      </w:r>
    </w:p>
    <w:p>
      <w:pPr>
        <w:numPr>
          <w:ilvl w:val="1"/>
          <w:numId w:val="40"/>
        </w:numPr>
        <w:spacing w:line="360" w:lineRule="auto"/>
        <w:ind w:left="748" w:hanging="28"/>
        <w:jc w:val="left"/>
        <w:rPr>
          <w:rFonts w:ascii="宋体" w:hAnsi="宋体"/>
          <w:sz w:val="21"/>
          <w:szCs w:val="21"/>
        </w:rPr>
      </w:pPr>
      <w:r>
        <w:rPr>
          <w:rFonts w:hint="eastAsia" w:ascii="宋体" w:hAnsi="宋体"/>
          <w:sz w:val="21"/>
          <w:szCs w:val="21"/>
        </w:rPr>
        <w:t>资格审查表（详见附表一）</w:t>
      </w:r>
    </w:p>
    <w:p>
      <w:pPr>
        <w:numPr>
          <w:ilvl w:val="1"/>
          <w:numId w:val="40"/>
        </w:numPr>
        <w:spacing w:line="360" w:lineRule="auto"/>
        <w:ind w:left="748" w:hanging="28"/>
        <w:jc w:val="left"/>
        <w:rPr>
          <w:rFonts w:ascii="宋体" w:hAnsi="宋体"/>
          <w:sz w:val="21"/>
          <w:szCs w:val="21"/>
        </w:rPr>
      </w:pPr>
      <w:r>
        <w:rPr>
          <w:rFonts w:hint="eastAsia" w:ascii="宋体" w:hAnsi="宋体"/>
          <w:sz w:val="21"/>
          <w:szCs w:val="21"/>
        </w:rPr>
        <w:t>符合性审查表（详见附表二）</w:t>
      </w:r>
    </w:p>
    <w:p>
      <w:pPr>
        <w:numPr>
          <w:ilvl w:val="1"/>
          <w:numId w:val="40"/>
        </w:numPr>
        <w:spacing w:line="360" w:lineRule="auto"/>
        <w:ind w:left="748" w:hanging="28"/>
        <w:jc w:val="left"/>
        <w:rPr>
          <w:rFonts w:ascii="宋体" w:hAnsi="宋体"/>
          <w:sz w:val="21"/>
          <w:szCs w:val="21"/>
        </w:rPr>
      </w:pPr>
      <w:r>
        <w:rPr>
          <w:rFonts w:hint="eastAsia" w:ascii="宋体" w:hAnsi="宋体"/>
          <w:sz w:val="21"/>
          <w:szCs w:val="21"/>
        </w:rPr>
        <w:t>技术评审表（详见附表三）</w:t>
      </w:r>
    </w:p>
    <w:p>
      <w:pPr>
        <w:numPr>
          <w:ilvl w:val="1"/>
          <w:numId w:val="40"/>
        </w:numPr>
        <w:spacing w:line="360" w:lineRule="auto"/>
        <w:ind w:left="748" w:hanging="28"/>
        <w:jc w:val="left"/>
        <w:rPr>
          <w:rFonts w:ascii="宋体" w:hAnsi="宋体"/>
          <w:sz w:val="21"/>
          <w:szCs w:val="21"/>
        </w:rPr>
      </w:pPr>
      <w:r>
        <w:rPr>
          <w:rFonts w:hint="eastAsia" w:ascii="宋体" w:hAnsi="宋体"/>
          <w:sz w:val="21"/>
          <w:szCs w:val="21"/>
        </w:rPr>
        <w:t>商务评审表（详见附表四）</w:t>
      </w:r>
    </w:p>
    <w:p>
      <w:pPr>
        <w:numPr>
          <w:ilvl w:val="1"/>
          <w:numId w:val="40"/>
        </w:numPr>
        <w:spacing w:line="360" w:lineRule="auto"/>
        <w:ind w:left="748" w:hanging="28"/>
        <w:jc w:val="left"/>
        <w:rPr>
          <w:rFonts w:ascii="宋体" w:hAnsi="宋体"/>
          <w:sz w:val="21"/>
          <w:szCs w:val="21"/>
        </w:rPr>
      </w:pPr>
      <w:r>
        <w:rPr>
          <w:rFonts w:hint="eastAsia" w:ascii="宋体" w:hAnsi="宋体"/>
          <w:sz w:val="21"/>
          <w:szCs w:val="21"/>
        </w:rPr>
        <w:t>价格评审（详见附表五）</w:t>
      </w:r>
    </w:p>
    <w:p>
      <w:pPr>
        <w:numPr>
          <w:ilvl w:val="0"/>
          <w:numId w:val="39"/>
        </w:numPr>
        <w:snapToGrid w:val="0"/>
        <w:spacing w:line="360" w:lineRule="auto"/>
        <w:ind w:left="709" w:hanging="567"/>
        <w:jc w:val="left"/>
        <w:rPr>
          <w:rFonts w:ascii="宋体" w:hAnsi="宋体"/>
          <w:b/>
          <w:sz w:val="21"/>
          <w:szCs w:val="21"/>
        </w:rPr>
      </w:pPr>
      <w:r>
        <w:rPr>
          <w:rFonts w:hint="eastAsia" w:ascii="宋体" w:hAnsi="宋体"/>
          <w:b/>
          <w:sz w:val="21"/>
          <w:szCs w:val="21"/>
        </w:rPr>
        <w:t>比较与评价。</w:t>
      </w:r>
      <w:r>
        <w:rPr>
          <w:rFonts w:hint="eastAsia" w:ascii="宋体" w:hAnsi="宋体"/>
          <w:sz w:val="21"/>
          <w:szCs w:val="21"/>
        </w:rPr>
        <w:t>评标委员会按招标文件中规定的评标方法和标准，对资格审查和符合性审查合格的投标文件进行商务和技术评估，综合比较与评价。技术、商务、价格部分分值分配如下：</w:t>
      </w:r>
    </w:p>
    <w:tbl>
      <w:tblPr>
        <w:tblStyle w:val="46"/>
        <w:tblW w:w="8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889"/>
        <w:gridCol w:w="1701"/>
        <w:gridCol w:w="1701"/>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16" w:type="dxa"/>
            <w:vAlign w:val="center"/>
          </w:tcPr>
          <w:p>
            <w:pPr>
              <w:autoSpaceDE w:val="0"/>
              <w:autoSpaceDN w:val="0"/>
              <w:adjustRightInd w:val="0"/>
              <w:jc w:val="center"/>
              <w:rPr>
                <w:rFonts w:ascii="宋体" w:hAnsi="宋体" w:cs="宋体"/>
                <w:b/>
                <w:kern w:val="0"/>
                <w:sz w:val="21"/>
                <w:szCs w:val="21"/>
              </w:rPr>
            </w:pPr>
            <w:r>
              <w:rPr>
                <w:rFonts w:hint="eastAsia" w:ascii="宋体" w:hAnsi="宋体" w:cs="宋体"/>
                <w:b/>
                <w:kern w:val="0"/>
                <w:sz w:val="21"/>
                <w:szCs w:val="21"/>
              </w:rPr>
              <w:t>评分项目</w:t>
            </w:r>
          </w:p>
        </w:tc>
        <w:tc>
          <w:tcPr>
            <w:tcW w:w="1889" w:type="dxa"/>
            <w:vAlign w:val="center"/>
          </w:tcPr>
          <w:p>
            <w:pPr>
              <w:autoSpaceDE w:val="0"/>
              <w:autoSpaceDN w:val="0"/>
              <w:adjustRightInd w:val="0"/>
              <w:jc w:val="center"/>
              <w:rPr>
                <w:rFonts w:ascii="宋体" w:hAnsi="宋体" w:cs="宋体"/>
                <w:b/>
                <w:kern w:val="0"/>
                <w:sz w:val="21"/>
                <w:szCs w:val="21"/>
              </w:rPr>
            </w:pPr>
            <w:r>
              <w:rPr>
                <w:rFonts w:hint="eastAsia" w:ascii="宋体" w:hAnsi="宋体" w:cs="宋体"/>
                <w:b/>
                <w:kern w:val="0"/>
                <w:sz w:val="21"/>
                <w:szCs w:val="21"/>
              </w:rPr>
              <w:t>技术评分</w:t>
            </w:r>
          </w:p>
        </w:tc>
        <w:tc>
          <w:tcPr>
            <w:tcW w:w="1701" w:type="dxa"/>
            <w:vAlign w:val="center"/>
          </w:tcPr>
          <w:p>
            <w:pPr>
              <w:autoSpaceDE w:val="0"/>
              <w:autoSpaceDN w:val="0"/>
              <w:adjustRightInd w:val="0"/>
              <w:jc w:val="center"/>
              <w:rPr>
                <w:rFonts w:ascii="宋体" w:hAnsi="宋体" w:cs="宋体"/>
                <w:b/>
                <w:kern w:val="0"/>
                <w:sz w:val="21"/>
                <w:szCs w:val="21"/>
              </w:rPr>
            </w:pPr>
            <w:r>
              <w:rPr>
                <w:rFonts w:hint="eastAsia" w:ascii="宋体" w:hAnsi="宋体" w:cs="宋体"/>
                <w:b/>
                <w:kern w:val="0"/>
                <w:sz w:val="21"/>
                <w:szCs w:val="21"/>
              </w:rPr>
              <w:t>商务评分</w:t>
            </w:r>
          </w:p>
        </w:tc>
        <w:tc>
          <w:tcPr>
            <w:tcW w:w="1701" w:type="dxa"/>
            <w:vAlign w:val="center"/>
          </w:tcPr>
          <w:p>
            <w:pPr>
              <w:autoSpaceDE w:val="0"/>
              <w:autoSpaceDN w:val="0"/>
              <w:adjustRightInd w:val="0"/>
              <w:ind w:left="-14" w:leftChars="-51" w:hanging="108" w:hangingChars="51"/>
              <w:jc w:val="center"/>
              <w:rPr>
                <w:rFonts w:ascii="宋体" w:hAnsi="宋体" w:cs="宋体"/>
                <w:b/>
                <w:kern w:val="0"/>
                <w:sz w:val="21"/>
                <w:szCs w:val="21"/>
              </w:rPr>
            </w:pPr>
            <w:r>
              <w:rPr>
                <w:rFonts w:hint="eastAsia" w:ascii="宋体" w:hAnsi="宋体" w:cs="宋体"/>
                <w:b/>
                <w:kern w:val="0"/>
                <w:sz w:val="21"/>
                <w:szCs w:val="21"/>
              </w:rPr>
              <w:t>价格评分</w:t>
            </w:r>
          </w:p>
        </w:tc>
        <w:tc>
          <w:tcPr>
            <w:tcW w:w="1609" w:type="dxa"/>
            <w:vAlign w:val="center"/>
          </w:tcPr>
          <w:p>
            <w:pPr>
              <w:spacing w:line="360" w:lineRule="auto"/>
              <w:jc w:val="center"/>
              <w:rPr>
                <w:rFonts w:ascii="宋体" w:hAnsi="宋体"/>
                <w:b/>
                <w:sz w:val="21"/>
                <w:szCs w:val="21"/>
              </w:rPr>
            </w:pPr>
            <w:r>
              <w:rPr>
                <w:rFonts w:hint="eastAsia" w:ascii="宋体" w:hAnsi="宋体"/>
                <w:b/>
                <w:sz w:val="21"/>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16" w:type="dxa"/>
            <w:vAlign w:val="center"/>
          </w:tcPr>
          <w:p>
            <w:pPr>
              <w:autoSpaceDE w:val="0"/>
              <w:autoSpaceDN w:val="0"/>
              <w:adjustRightInd w:val="0"/>
              <w:jc w:val="center"/>
              <w:rPr>
                <w:rFonts w:ascii="宋体" w:hAnsi="宋体" w:cs="宋体"/>
                <w:b/>
                <w:kern w:val="0"/>
                <w:sz w:val="21"/>
                <w:szCs w:val="21"/>
              </w:rPr>
            </w:pPr>
            <w:r>
              <w:rPr>
                <w:rFonts w:hint="eastAsia" w:ascii="宋体" w:hAnsi="宋体" w:cs="宋体"/>
                <w:b/>
                <w:kern w:val="0"/>
                <w:sz w:val="21"/>
                <w:szCs w:val="21"/>
              </w:rPr>
              <w:t>分值</w:t>
            </w:r>
          </w:p>
        </w:tc>
        <w:tc>
          <w:tcPr>
            <w:tcW w:w="1889" w:type="dxa"/>
            <w:vAlign w:val="center"/>
          </w:tcPr>
          <w:p>
            <w:pPr>
              <w:autoSpaceDE w:val="0"/>
              <w:autoSpaceDN w:val="0"/>
              <w:adjustRightInd w:val="0"/>
              <w:spacing w:line="360" w:lineRule="auto"/>
              <w:jc w:val="center"/>
              <w:rPr>
                <w:rFonts w:ascii="宋体" w:hAnsi="宋体" w:cs="宋体"/>
                <w:b/>
                <w:kern w:val="0"/>
                <w:sz w:val="21"/>
                <w:szCs w:val="21"/>
              </w:rPr>
            </w:pPr>
            <w:r>
              <w:rPr>
                <w:rFonts w:hint="eastAsia" w:ascii="宋体" w:hAnsi="宋体" w:cs="宋体"/>
                <w:b/>
                <w:kern w:val="0"/>
                <w:sz w:val="21"/>
                <w:szCs w:val="21"/>
              </w:rPr>
              <w:t>55分</w:t>
            </w:r>
          </w:p>
        </w:tc>
        <w:tc>
          <w:tcPr>
            <w:tcW w:w="1701" w:type="dxa"/>
            <w:vAlign w:val="center"/>
          </w:tcPr>
          <w:p>
            <w:pPr>
              <w:autoSpaceDE w:val="0"/>
              <w:autoSpaceDN w:val="0"/>
              <w:adjustRightInd w:val="0"/>
              <w:spacing w:line="360" w:lineRule="auto"/>
              <w:jc w:val="center"/>
              <w:rPr>
                <w:rFonts w:ascii="宋体" w:hAnsi="宋体" w:cs="宋体"/>
                <w:b/>
                <w:kern w:val="0"/>
                <w:sz w:val="21"/>
                <w:szCs w:val="21"/>
              </w:rPr>
            </w:pPr>
            <w:r>
              <w:rPr>
                <w:rFonts w:hint="eastAsia" w:ascii="宋体" w:hAnsi="宋体" w:cs="宋体"/>
                <w:b/>
                <w:kern w:val="0"/>
                <w:sz w:val="21"/>
                <w:szCs w:val="21"/>
              </w:rPr>
              <w:t>15分</w:t>
            </w:r>
          </w:p>
        </w:tc>
        <w:tc>
          <w:tcPr>
            <w:tcW w:w="1701" w:type="dxa"/>
            <w:vAlign w:val="center"/>
          </w:tcPr>
          <w:p>
            <w:pPr>
              <w:autoSpaceDE w:val="0"/>
              <w:autoSpaceDN w:val="0"/>
              <w:adjustRightInd w:val="0"/>
              <w:spacing w:line="360" w:lineRule="auto"/>
              <w:ind w:left="-14" w:leftChars="-51" w:hanging="108" w:hangingChars="51"/>
              <w:jc w:val="center"/>
              <w:rPr>
                <w:rFonts w:ascii="宋体" w:hAnsi="宋体" w:cs="宋体"/>
                <w:b/>
                <w:kern w:val="0"/>
                <w:sz w:val="21"/>
                <w:szCs w:val="21"/>
              </w:rPr>
            </w:pPr>
            <w:r>
              <w:rPr>
                <w:rFonts w:ascii="宋体" w:hAnsi="宋体" w:cs="宋体"/>
                <w:b/>
                <w:kern w:val="0"/>
                <w:sz w:val="21"/>
                <w:szCs w:val="21"/>
              </w:rPr>
              <w:t>3</w:t>
            </w:r>
            <w:r>
              <w:rPr>
                <w:rFonts w:hint="eastAsia" w:ascii="宋体" w:hAnsi="宋体" w:cs="宋体"/>
                <w:b/>
                <w:kern w:val="0"/>
                <w:sz w:val="21"/>
                <w:szCs w:val="21"/>
              </w:rPr>
              <w:t>0分</w:t>
            </w:r>
          </w:p>
        </w:tc>
        <w:tc>
          <w:tcPr>
            <w:tcW w:w="1609" w:type="dxa"/>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100分</w:t>
            </w:r>
          </w:p>
        </w:tc>
      </w:tr>
    </w:tbl>
    <w:p>
      <w:pPr>
        <w:snapToGrid w:val="0"/>
        <w:spacing w:line="360" w:lineRule="auto"/>
        <w:ind w:firstLine="420" w:firstLineChars="200"/>
        <w:jc w:val="left"/>
        <w:rPr>
          <w:rFonts w:ascii="宋体" w:hAnsi="宋体"/>
          <w:sz w:val="21"/>
          <w:szCs w:val="21"/>
        </w:rPr>
      </w:pPr>
      <w:r>
        <w:rPr>
          <w:rFonts w:hint="eastAsia" w:ascii="宋体" w:hAnsi="宋体"/>
          <w:sz w:val="21"/>
          <w:szCs w:val="21"/>
        </w:rPr>
        <w:t>具体量化打分标准如下：</w:t>
      </w:r>
    </w:p>
    <w:p>
      <w:pPr>
        <w:numPr>
          <w:ilvl w:val="0"/>
          <w:numId w:val="41"/>
        </w:numPr>
        <w:snapToGrid w:val="0"/>
        <w:spacing w:line="360" w:lineRule="auto"/>
        <w:jc w:val="left"/>
        <w:rPr>
          <w:rFonts w:ascii="宋体" w:hAnsi="宋体"/>
          <w:b/>
          <w:sz w:val="21"/>
          <w:szCs w:val="21"/>
        </w:rPr>
      </w:pPr>
      <w:r>
        <w:rPr>
          <w:rFonts w:hint="eastAsia" w:ascii="宋体" w:hAnsi="宋体"/>
          <w:b/>
          <w:sz w:val="21"/>
          <w:szCs w:val="21"/>
        </w:rPr>
        <w:t>技术、商务评分：</w:t>
      </w:r>
    </w:p>
    <w:p>
      <w:pPr>
        <w:snapToGrid w:val="0"/>
        <w:spacing w:line="360" w:lineRule="auto"/>
        <w:ind w:left="420"/>
        <w:jc w:val="left"/>
        <w:rPr>
          <w:rFonts w:ascii="宋体" w:hAnsi="宋体"/>
          <w:sz w:val="21"/>
          <w:szCs w:val="21"/>
        </w:rPr>
      </w:pPr>
      <w:r>
        <w:rPr>
          <w:rFonts w:hint="eastAsia" w:ascii="宋体" w:hAnsi="宋体"/>
          <w:sz w:val="21"/>
          <w:szCs w:val="21"/>
        </w:rPr>
        <w:t>评标委员会分别对各投标的技术、商务响应文件中的各项内容进行评议比较，详细对比其技术、商务方案等各种因素方面是否满足招标文件的要求。在技术、商务评审表的相应项各自记名打分。</w:t>
      </w:r>
    </w:p>
    <w:p>
      <w:pPr>
        <w:numPr>
          <w:ilvl w:val="0"/>
          <w:numId w:val="41"/>
        </w:numPr>
        <w:snapToGrid w:val="0"/>
        <w:spacing w:line="360" w:lineRule="auto"/>
        <w:jc w:val="left"/>
        <w:rPr>
          <w:rFonts w:ascii="宋体" w:hAnsi="宋体"/>
          <w:b/>
          <w:sz w:val="21"/>
          <w:szCs w:val="21"/>
        </w:rPr>
      </w:pPr>
      <w:r>
        <w:rPr>
          <w:rFonts w:hint="eastAsia" w:ascii="宋体" w:hAnsi="宋体"/>
          <w:b/>
          <w:sz w:val="21"/>
          <w:szCs w:val="21"/>
        </w:rPr>
        <w:t>技术商务得分统计</w:t>
      </w:r>
    </w:p>
    <w:p>
      <w:pPr>
        <w:numPr>
          <w:ilvl w:val="1"/>
          <w:numId w:val="42"/>
        </w:numPr>
        <w:spacing w:line="360" w:lineRule="auto"/>
        <w:jc w:val="left"/>
        <w:rPr>
          <w:rFonts w:ascii="宋体" w:hAnsi="宋体"/>
          <w:sz w:val="21"/>
          <w:szCs w:val="21"/>
        </w:rPr>
      </w:pPr>
      <w:r>
        <w:rPr>
          <w:rFonts w:hint="eastAsia" w:ascii="宋体" w:hAnsi="宋体"/>
          <w:sz w:val="21"/>
          <w:szCs w:val="21"/>
        </w:rPr>
        <w:t>将所有评委的技术评分的算术平均值即为每个有效投标人的技术得分（四舍五入后，精确到0.01）。</w:t>
      </w:r>
    </w:p>
    <w:p>
      <w:pPr>
        <w:numPr>
          <w:ilvl w:val="1"/>
          <w:numId w:val="42"/>
        </w:numPr>
        <w:spacing w:line="360" w:lineRule="auto"/>
        <w:jc w:val="left"/>
        <w:rPr>
          <w:rFonts w:ascii="宋体" w:hAnsi="宋体"/>
          <w:sz w:val="21"/>
          <w:szCs w:val="21"/>
        </w:rPr>
      </w:pPr>
      <w:r>
        <w:rPr>
          <w:rFonts w:hint="eastAsia" w:ascii="宋体" w:hAnsi="宋体"/>
          <w:sz w:val="21"/>
          <w:szCs w:val="21"/>
        </w:rPr>
        <w:t>将所有评委的商务评分的算术平均值即为每个有效投标人的商务得分（四舍五入后，精确到0.01）。</w:t>
      </w:r>
    </w:p>
    <w:p>
      <w:pPr>
        <w:numPr>
          <w:ilvl w:val="1"/>
          <w:numId w:val="42"/>
        </w:numPr>
        <w:spacing w:line="360" w:lineRule="auto"/>
        <w:jc w:val="left"/>
        <w:rPr>
          <w:rFonts w:ascii="宋体" w:hAnsi="宋体"/>
          <w:sz w:val="21"/>
          <w:szCs w:val="21"/>
        </w:rPr>
      </w:pPr>
      <w:r>
        <w:rPr>
          <w:rFonts w:hint="eastAsia" w:ascii="宋体" w:hAnsi="宋体"/>
          <w:sz w:val="21"/>
          <w:szCs w:val="21"/>
        </w:rPr>
        <w:t>将技术得分、商务得分相加得出商务技术得分。</w:t>
      </w:r>
    </w:p>
    <w:p>
      <w:pPr>
        <w:numPr>
          <w:ilvl w:val="0"/>
          <w:numId w:val="41"/>
        </w:numPr>
        <w:snapToGrid w:val="0"/>
        <w:spacing w:line="360" w:lineRule="auto"/>
        <w:jc w:val="left"/>
        <w:rPr>
          <w:rFonts w:ascii="宋体" w:hAnsi="宋体"/>
          <w:b/>
          <w:sz w:val="21"/>
          <w:szCs w:val="21"/>
        </w:rPr>
      </w:pPr>
      <w:r>
        <w:rPr>
          <w:rFonts w:hint="eastAsia" w:ascii="宋体" w:hAnsi="宋体"/>
          <w:b/>
          <w:sz w:val="21"/>
          <w:szCs w:val="21"/>
        </w:rPr>
        <w:t>价格核准和评分</w:t>
      </w:r>
    </w:p>
    <w:p>
      <w:pPr>
        <w:spacing w:line="360" w:lineRule="auto"/>
        <w:ind w:firstLine="411" w:firstLineChars="196"/>
        <w:jc w:val="left"/>
        <w:rPr>
          <w:rFonts w:ascii="宋体" w:hAnsi="宋体"/>
          <w:sz w:val="21"/>
          <w:szCs w:val="21"/>
        </w:rPr>
      </w:pPr>
      <w:r>
        <w:rPr>
          <w:rFonts w:hint="eastAsia" w:ascii="宋体" w:hAnsi="宋体"/>
          <w:sz w:val="21"/>
          <w:szCs w:val="21"/>
        </w:rPr>
        <w:t>评标委员会认为投标人的报价明显低于其他通过符合性审查投标人的报价，有可能影响产品质量或者不能诚信履约的，将要求其在评标现场在评委规定的时间内提供书面说明，必要时提交相关证明材料；投标人不能证明其报价合理性的，评标委员会将其作为无效投标处理。</w:t>
      </w:r>
    </w:p>
    <w:p>
      <w:pPr>
        <w:spacing w:line="360" w:lineRule="auto"/>
        <w:ind w:firstLine="413" w:firstLineChars="196"/>
        <w:jc w:val="left"/>
        <w:rPr>
          <w:rFonts w:ascii="宋体" w:hAnsi="宋体"/>
          <w:sz w:val="21"/>
          <w:szCs w:val="21"/>
        </w:rPr>
      </w:pPr>
      <w:r>
        <w:rPr>
          <w:rFonts w:hint="eastAsia" w:ascii="宋体" w:hAnsi="宋体"/>
          <w:b/>
          <w:sz w:val="21"/>
          <w:szCs w:val="21"/>
        </w:rPr>
        <w:t>价格的核准：</w:t>
      </w:r>
    </w:p>
    <w:p>
      <w:pPr>
        <w:spacing w:line="360" w:lineRule="auto"/>
        <w:ind w:firstLine="420" w:firstLineChars="200"/>
        <w:jc w:val="left"/>
        <w:rPr>
          <w:rFonts w:ascii="宋体" w:hAnsi="宋体"/>
          <w:sz w:val="21"/>
          <w:szCs w:val="21"/>
        </w:rPr>
      </w:pPr>
      <w:r>
        <w:rPr>
          <w:rFonts w:hint="eastAsia" w:ascii="宋体" w:hAnsi="宋体"/>
          <w:sz w:val="21"/>
          <w:szCs w:val="21"/>
        </w:rPr>
        <w:t>评委先对入围投标人的投标报价进行复核，投标文件报价出现前后不一致的，按照下列规定修正：</w:t>
      </w:r>
    </w:p>
    <w:p>
      <w:pPr>
        <w:spacing w:line="360" w:lineRule="auto"/>
        <w:ind w:firstLine="420" w:firstLineChars="200"/>
        <w:jc w:val="left"/>
        <w:rPr>
          <w:rFonts w:ascii="宋体" w:hAnsi="宋体"/>
          <w:sz w:val="21"/>
          <w:szCs w:val="21"/>
        </w:rPr>
      </w:pPr>
      <w:r>
        <w:rPr>
          <w:rFonts w:hint="eastAsia" w:ascii="宋体" w:hAnsi="宋体"/>
          <w:sz w:val="21"/>
          <w:szCs w:val="21"/>
        </w:rPr>
        <w:t>a.投标文件中开标一览表内容与投标文件中相应内容不一致的，以开标一览表为准；</w:t>
      </w:r>
    </w:p>
    <w:p>
      <w:pPr>
        <w:spacing w:line="360" w:lineRule="auto"/>
        <w:ind w:firstLine="420" w:firstLineChars="200"/>
        <w:jc w:val="left"/>
        <w:rPr>
          <w:rFonts w:ascii="宋体" w:hAnsi="宋体"/>
          <w:sz w:val="21"/>
          <w:szCs w:val="21"/>
        </w:rPr>
      </w:pPr>
      <w:r>
        <w:rPr>
          <w:rFonts w:hint="eastAsia" w:ascii="宋体" w:hAnsi="宋体"/>
          <w:sz w:val="21"/>
          <w:szCs w:val="21"/>
        </w:rPr>
        <w:t>b.大写金额和小写金额不一致的，以大写金额为准；</w:t>
      </w:r>
    </w:p>
    <w:p>
      <w:pPr>
        <w:spacing w:line="360" w:lineRule="auto"/>
        <w:ind w:firstLine="420" w:firstLineChars="200"/>
        <w:jc w:val="left"/>
        <w:rPr>
          <w:rFonts w:ascii="宋体" w:hAnsi="宋体"/>
          <w:sz w:val="21"/>
          <w:szCs w:val="21"/>
        </w:rPr>
      </w:pPr>
      <w:r>
        <w:rPr>
          <w:rFonts w:hint="eastAsia" w:ascii="宋体" w:hAnsi="宋体"/>
          <w:sz w:val="21"/>
          <w:szCs w:val="21"/>
        </w:rPr>
        <w:t>c.单价金额小数点或者百分比有明显错位的，以开标一览表的总价为准，并修改单价；</w:t>
      </w:r>
    </w:p>
    <w:p>
      <w:pPr>
        <w:spacing w:line="360" w:lineRule="auto"/>
        <w:ind w:firstLine="420" w:firstLineChars="200"/>
        <w:jc w:val="left"/>
        <w:rPr>
          <w:rFonts w:ascii="宋体" w:hAnsi="宋体"/>
          <w:sz w:val="21"/>
          <w:szCs w:val="21"/>
        </w:rPr>
      </w:pPr>
      <w:r>
        <w:rPr>
          <w:rFonts w:hint="eastAsia" w:ascii="宋体" w:hAnsi="宋体"/>
          <w:sz w:val="21"/>
          <w:szCs w:val="21"/>
        </w:rPr>
        <w:t>d.总价金额与按单价汇总金额不一致的，以单价金额计算结果为准。</w:t>
      </w:r>
    </w:p>
    <w:p>
      <w:pPr>
        <w:spacing w:line="360" w:lineRule="auto"/>
        <w:ind w:firstLine="420" w:firstLineChars="200"/>
        <w:jc w:val="left"/>
        <w:rPr>
          <w:rFonts w:ascii="宋体" w:hAnsi="宋体"/>
          <w:sz w:val="21"/>
          <w:szCs w:val="21"/>
        </w:rPr>
      </w:pPr>
      <w:r>
        <w:rPr>
          <w:rFonts w:hint="eastAsia" w:ascii="宋体" w:hAnsi="宋体"/>
          <w:sz w:val="21"/>
          <w:szCs w:val="21"/>
        </w:rPr>
        <w:t>同时出现两种以上不一致的，按照前款规定的顺序修正。对不同文字文本投标文件的解释发生异议的，以中文文本为准。</w:t>
      </w:r>
    </w:p>
    <w:p>
      <w:pPr>
        <w:spacing w:line="360" w:lineRule="auto"/>
        <w:ind w:firstLine="420" w:firstLineChars="200"/>
        <w:jc w:val="left"/>
        <w:rPr>
          <w:rFonts w:ascii="宋体" w:hAnsi="宋体"/>
          <w:sz w:val="21"/>
          <w:szCs w:val="21"/>
        </w:rPr>
      </w:pPr>
      <w:r>
        <w:rPr>
          <w:rFonts w:hint="eastAsia" w:ascii="宋体" w:hAnsi="宋体"/>
          <w:sz w:val="21"/>
          <w:szCs w:val="21"/>
        </w:rPr>
        <w:t>对投标货物/服务的关键、主要内容，投标供应商报价漏项的，作非实质性响应投标处理。</w:t>
      </w:r>
    </w:p>
    <w:p>
      <w:pPr>
        <w:spacing w:line="360" w:lineRule="auto"/>
        <w:ind w:firstLine="420" w:firstLineChars="200"/>
        <w:jc w:val="left"/>
        <w:rPr>
          <w:rFonts w:ascii="宋体" w:hAnsi="宋体"/>
          <w:sz w:val="21"/>
          <w:szCs w:val="21"/>
        </w:rPr>
      </w:pPr>
      <w:r>
        <w:rPr>
          <w:rFonts w:hint="eastAsia" w:ascii="宋体" w:hAnsi="宋体"/>
          <w:sz w:val="21"/>
          <w:szCs w:val="21"/>
        </w:rPr>
        <w:t>对投标货物/服务的非关键、非主要内容的费用，如果投标供应商是另行单独报价的，评标时也相应另行计入其评标价。对投标货物/服务的非关键、非主要内容，投标供应商报价漏项的，评标委员会将以其它投标供应商对应项的最高投标报价补充计入其评标价，</w:t>
      </w:r>
      <w:r>
        <w:rPr>
          <w:rFonts w:ascii="宋体" w:hAnsi="宋体"/>
          <w:sz w:val="21"/>
          <w:szCs w:val="21"/>
        </w:rPr>
        <w:t>若其获得中标资格，该项目的中标价为其原来的</w:t>
      </w:r>
      <w:r>
        <w:rPr>
          <w:rFonts w:hint="eastAsia" w:ascii="宋体" w:hAnsi="宋体"/>
          <w:sz w:val="21"/>
          <w:szCs w:val="21"/>
        </w:rPr>
        <w:t>开标</w:t>
      </w:r>
      <w:r>
        <w:rPr>
          <w:rFonts w:ascii="宋体" w:hAnsi="宋体"/>
          <w:sz w:val="21"/>
          <w:szCs w:val="21"/>
        </w:rPr>
        <w:t>一览表价格，其漏项部分风险自担，视作已含在</w:t>
      </w:r>
      <w:r>
        <w:rPr>
          <w:rFonts w:hint="eastAsia" w:ascii="宋体" w:hAnsi="宋体"/>
          <w:sz w:val="21"/>
          <w:szCs w:val="21"/>
        </w:rPr>
        <w:t>投标</w:t>
      </w:r>
      <w:r>
        <w:rPr>
          <w:rFonts w:ascii="宋体" w:hAnsi="宋体"/>
          <w:sz w:val="21"/>
          <w:szCs w:val="21"/>
        </w:rPr>
        <w:t>报价中，并</w:t>
      </w:r>
      <w:r>
        <w:rPr>
          <w:rFonts w:hint="eastAsia" w:ascii="宋体" w:hAnsi="宋体"/>
          <w:sz w:val="21"/>
          <w:szCs w:val="21"/>
        </w:rPr>
        <w:t>以开标</w:t>
      </w:r>
      <w:r>
        <w:rPr>
          <w:rFonts w:ascii="宋体" w:hAnsi="宋体"/>
          <w:sz w:val="21"/>
          <w:szCs w:val="21"/>
        </w:rPr>
        <w:t>一览表价格签订合同。</w:t>
      </w:r>
    </w:p>
    <w:p>
      <w:pPr>
        <w:spacing w:line="360" w:lineRule="auto"/>
        <w:ind w:firstLine="420" w:firstLineChars="200"/>
        <w:jc w:val="left"/>
        <w:rPr>
          <w:rFonts w:ascii="宋体" w:hAnsi="宋体"/>
          <w:sz w:val="21"/>
          <w:szCs w:val="21"/>
        </w:rPr>
      </w:pPr>
      <w:r>
        <w:rPr>
          <w:rFonts w:hint="eastAsia" w:ascii="宋体" w:hAnsi="宋体"/>
          <w:sz w:val="21"/>
          <w:szCs w:val="21"/>
        </w:rPr>
        <w:t>对数量的评审，以第三部分《招标需求》所明示数量为准；《招标需求》未明示的，由评标委员会以其专业知识判断，必要时参考投标供应商的澄清文件决定。</w:t>
      </w:r>
    </w:p>
    <w:p>
      <w:pPr>
        <w:spacing w:line="360" w:lineRule="auto"/>
        <w:ind w:firstLine="411" w:firstLineChars="196"/>
        <w:jc w:val="left"/>
        <w:rPr>
          <w:rFonts w:ascii="宋体" w:hAnsi="宋体"/>
          <w:sz w:val="21"/>
          <w:szCs w:val="21"/>
        </w:rPr>
      </w:pPr>
      <w:r>
        <w:rPr>
          <w:rFonts w:hint="eastAsia" w:ascii="宋体" w:hAnsi="宋体"/>
          <w:sz w:val="21"/>
          <w:szCs w:val="21"/>
        </w:rPr>
        <w:t>对出现以上情况或因明显笔误而需修正任何内容时，均以评委会审定通过方为有效。按上述修正错误的方法调整后的投标报价，需由投标人加盖公章或者由法定代表人或其授权的代表签字确认。投标报价经投标人确认后产生约束力，投标人不确认的，其投标无效。</w:t>
      </w:r>
    </w:p>
    <w:p>
      <w:pPr>
        <w:spacing w:line="360" w:lineRule="auto"/>
        <w:ind w:firstLine="413" w:firstLineChars="196"/>
        <w:jc w:val="left"/>
        <w:rPr>
          <w:rFonts w:hAnsi="宋体"/>
          <w:sz w:val="21"/>
          <w:szCs w:val="21"/>
        </w:rPr>
      </w:pPr>
      <w:r>
        <w:rPr>
          <w:rFonts w:hint="eastAsia" w:ascii="宋体" w:hAnsi="宋体"/>
          <w:b/>
          <w:sz w:val="21"/>
          <w:szCs w:val="21"/>
        </w:rPr>
        <w:t>小型和微型企业产品价格扣除：</w:t>
      </w:r>
    </w:p>
    <w:p>
      <w:pPr>
        <w:spacing w:line="360" w:lineRule="auto"/>
        <w:ind w:firstLine="420" w:firstLineChars="200"/>
        <w:jc w:val="left"/>
        <w:rPr>
          <w:rFonts w:hAnsi="宋体"/>
          <w:sz w:val="21"/>
          <w:szCs w:val="21"/>
        </w:rPr>
      </w:pPr>
      <w:r>
        <w:rPr>
          <w:rFonts w:hint="eastAsia" w:hAnsi="宋体"/>
          <w:sz w:val="21"/>
          <w:szCs w:val="21"/>
        </w:rPr>
        <w:t>投标人为小型或微型企业（包括成员均为小型或微型企业的联合体）且投标产品/服务含小型或微型企业产品/服务时，报价给予K</w:t>
      </w:r>
      <w:r>
        <w:rPr>
          <w:rFonts w:hint="eastAsia" w:hAnsi="宋体"/>
          <w:sz w:val="21"/>
          <w:szCs w:val="21"/>
          <w:vertAlign w:val="subscript"/>
        </w:rPr>
        <w:t>1</w:t>
      </w:r>
      <w:r>
        <w:rPr>
          <w:rFonts w:hint="eastAsia" w:hAnsi="宋体"/>
          <w:sz w:val="21"/>
          <w:szCs w:val="21"/>
        </w:rPr>
        <w:t>的价格扣除（K</w:t>
      </w:r>
      <w:r>
        <w:rPr>
          <w:rFonts w:hint="eastAsia" w:hAnsi="宋体"/>
          <w:sz w:val="21"/>
          <w:szCs w:val="21"/>
          <w:vertAlign w:val="subscript"/>
        </w:rPr>
        <w:t>1</w:t>
      </w:r>
      <w:r>
        <w:rPr>
          <w:rFonts w:hint="eastAsia" w:hAnsi="宋体"/>
          <w:sz w:val="21"/>
          <w:szCs w:val="21"/>
        </w:rPr>
        <w:t>的取值为6%），即：评标价＝核实价-小微企业产品核实价×K</w:t>
      </w:r>
      <w:r>
        <w:rPr>
          <w:rFonts w:hint="eastAsia" w:hAnsi="宋体"/>
          <w:sz w:val="21"/>
          <w:szCs w:val="21"/>
          <w:vertAlign w:val="subscript"/>
        </w:rPr>
        <w:t xml:space="preserve">1 </w:t>
      </w:r>
      <w:r>
        <w:rPr>
          <w:rFonts w:hint="eastAsia" w:hAnsi="宋体"/>
          <w:sz w:val="21"/>
          <w:szCs w:val="21"/>
        </w:rPr>
        <w:t>；</w:t>
      </w:r>
    </w:p>
    <w:p>
      <w:pPr>
        <w:pStyle w:val="22"/>
        <w:numPr>
          <w:ilvl w:val="0"/>
          <w:numId w:val="43"/>
        </w:numPr>
        <w:adjustRightInd w:val="0"/>
        <w:snapToGrid w:val="0"/>
        <w:ind w:left="851"/>
        <w:jc w:val="left"/>
        <w:rPr>
          <w:rFonts w:hAnsi="宋体"/>
          <w:sz w:val="21"/>
        </w:rPr>
      </w:pPr>
      <w:r>
        <w:rPr>
          <w:rFonts w:hint="eastAsia" w:hAnsi="宋体"/>
          <w:sz w:val="21"/>
        </w:rPr>
        <w:t>投标人为大中型企业和其他自然人、法人或者其他组织与小型、微型企业组成的联合体，且联合体协议中约定小型、微型企业的协议合同金额（必须为本企业承担的服务）占到联合体协议合同总金额30%以上的，对联合体报价给予K</w:t>
      </w:r>
      <w:r>
        <w:rPr>
          <w:rFonts w:hint="eastAsia" w:hAnsi="宋体"/>
          <w:sz w:val="21"/>
          <w:vertAlign w:val="subscript"/>
        </w:rPr>
        <w:t>2</w:t>
      </w:r>
      <w:r>
        <w:rPr>
          <w:rFonts w:hint="eastAsia" w:hAnsi="宋体"/>
          <w:sz w:val="21"/>
        </w:rPr>
        <w:t>的价格扣除（K</w:t>
      </w:r>
      <w:r>
        <w:rPr>
          <w:rFonts w:hint="eastAsia" w:hAnsi="宋体"/>
          <w:sz w:val="21"/>
          <w:vertAlign w:val="subscript"/>
        </w:rPr>
        <w:t>2</w:t>
      </w:r>
      <w:r>
        <w:rPr>
          <w:rFonts w:hint="eastAsia" w:hAnsi="宋体"/>
          <w:sz w:val="21"/>
        </w:rPr>
        <w:t>的取值为2%），即：评标价＝核实价-小微企业产品核实价×K</w:t>
      </w:r>
      <w:r>
        <w:rPr>
          <w:rFonts w:hint="eastAsia" w:hAnsi="宋体"/>
          <w:sz w:val="21"/>
          <w:vertAlign w:val="subscript"/>
        </w:rPr>
        <w:t>2</w:t>
      </w:r>
      <w:r>
        <w:rPr>
          <w:rFonts w:hint="eastAsia" w:hAnsi="宋体"/>
          <w:sz w:val="21"/>
        </w:rPr>
        <w:t>；</w:t>
      </w:r>
    </w:p>
    <w:p>
      <w:pPr>
        <w:pStyle w:val="22"/>
        <w:numPr>
          <w:ilvl w:val="0"/>
          <w:numId w:val="43"/>
        </w:numPr>
        <w:adjustRightInd w:val="0"/>
        <w:snapToGrid w:val="0"/>
        <w:ind w:left="851"/>
        <w:jc w:val="left"/>
        <w:rPr>
          <w:rFonts w:hAnsi="宋体"/>
          <w:sz w:val="21"/>
        </w:rPr>
      </w:pPr>
      <w:r>
        <w:rPr>
          <w:rFonts w:hint="eastAsia" w:hAnsi="宋体"/>
          <w:sz w:val="21"/>
        </w:rPr>
        <w:t>本条款所称小型或微型企业应当符合以下条件：符合《工业和信息化部、国家统计局、国家发展和改革委员会、财政部关于印发中小企业划型标准规定的通知》（工信部联企业[2011]300号）规定的对小型或微型企业的划分标准，并且提供本企业承担的服务；</w:t>
      </w:r>
    </w:p>
    <w:p>
      <w:pPr>
        <w:pStyle w:val="22"/>
        <w:numPr>
          <w:ilvl w:val="0"/>
          <w:numId w:val="43"/>
        </w:numPr>
        <w:adjustRightInd w:val="0"/>
        <w:snapToGrid w:val="0"/>
        <w:ind w:left="851"/>
        <w:jc w:val="left"/>
        <w:rPr>
          <w:rFonts w:hAnsi="宋体"/>
          <w:sz w:val="21"/>
        </w:rPr>
      </w:pPr>
      <w:r>
        <w:rPr>
          <w:rFonts w:hint="eastAsia" w:hAnsi="宋体"/>
          <w:sz w:val="21"/>
        </w:rPr>
        <w:t>参加政府采购活动的中小企业应当提供《中小微企业声明函》（见第五部分投标文件格式）。</w:t>
      </w:r>
    </w:p>
    <w:p>
      <w:pPr>
        <w:pStyle w:val="22"/>
        <w:numPr>
          <w:ilvl w:val="0"/>
          <w:numId w:val="43"/>
        </w:numPr>
        <w:adjustRightInd w:val="0"/>
        <w:snapToGrid w:val="0"/>
        <w:ind w:left="851"/>
        <w:jc w:val="left"/>
        <w:rPr>
          <w:rFonts w:hAnsi="宋体"/>
          <w:sz w:val="21"/>
        </w:rPr>
      </w:pPr>
      <w:r>
        <w:rPr>
          <w:rFonts w:hint="eastAsia" w:hAnsi="宋体"/>
          <w:sz w:val="21"/>
        </w:rPr>
        <w:t>组成联合体的大中型企业和其他自然人、法人或者其他组织，与联合体中的小型、微型企业之间不得存在投资关系；</w:t>
      </w:r>
    </w:p>
    <w:p>
      <w:pPr>
        <w:pStyle w:val="22"/>
        <w:numPr>
          <w:ilvl w:val="0"/>
          <w:numId w:val="43"/>
        </w:numPr>
        <w:adjustRightInd w:val="0"/>
        <w:snapToGrid w:val="0"/>
        <w:ind w:left="851"/>
        <w:jc w:val="left"/>
        <w:rPr>
          <w:rFonts w:hAnsi="宋体"/>
          <w:sz w:val="21"/>
        </w:rPr>
      </w:pPr>
      <w:r>
        <w:rPr>
          <w:rFonts w:hint="eastAsia" w:hAnsi="宋体"/>
          <w:sz w:val="21"/>
        </w:rPr>
        <w:t>本条款中</w:t>
      </w:r>
      <w:r>
        <w:rPr>
          <w:rFonts w:hAnsi="宋体"/>
          <w:sz w:val="21"/>
        </w:rPr>
        <w:t>a)</w:t>
      </w:r>
      <w:r>
        <w:rPr>
          <w:rFonts w:hint="eastAsia" w:hAnsi="宋体"/>
          <w:sz w:val="21"/>
        </w:rPr>
        <w:t>和</w:t>
      </w:r>
      <w:r>
        <w:rPr>
          <w:rFonts w:hAnsi="宋体"/>
          <w:sz w:val="21"/>
        </w:rPr>
        <w:t>b)</w:t>
      </w:r>
      <w:r>
        <w:rPr>
          <w:rFonts w:hint="eastAsia" w:hAnsi="宋体"/>
          <w:sz w:val="21"/>
        </w:rPr>
        <w:t>两种价格扣除规则不得同时适用。</w:t>
      </w:r>
    </w:p>
    <w:p>
      <w:pPr>
        <w:pStyle w:val="22"/>
        <w:numPr>
          <w:ilvl w:val="0"/>
          <w:numId w:val="43"/>
        </w:numPr>
        <w:adjustRightInd w:val="0"/>
        <w:snapToGrid w:val="0"/>
        <w:ind w:left="851"/>
        <w:jc w:val="left"/>
        <w:rPr>
          <w:rFonts w:hAnsi="宋体"/>
          <w:sz w:val="21"/>
        </w:rPr>
      </w:pPr>
      <w:r>
        <w:rPr>
          <w:rFonts w:hint="eastAsia" w:hAnsi="宋体"/>
          <w:sz w:val="21"/>
        </w:rPr>
        <w:t>监狱企业、残疾人福利性单位视同小型、微型企业，享受以上价格扣除政策。</w:t>
      </w:r>
    </w:p>
    <w:p>
      <w:pPr>
        <w:pStyle w:val="22"/>
        <w:numPr>
          <w:ilvl w:val="0"/>
          <w:numId w:val="43"/>
        </w:numPr>
        <w:adjustRightInd w:val="0"/>
        <w:snapToGrid w:val="0"/>
        <w:ind w:left="851"/>
        <w:jc w:val="left"/>
        <w:rPr>
          <w:rFonts w:hAnsi="宋体"/>
          <w:sz w:val="21"/>
        </w:rPr>
      </w:pPr>
      <w:r>
        <w:rPr>
          <w:rFonts w:hint="eastAsia" w:hAnsi="宋体"/>
          <w:sz w:val="21"/>
        </w:rPr>
        <w:t>监狱企业、残疾人福利性单位本身属于小型、微型企业的，不重复享受政策。</w:t>
      </w:r>
    </w:p>
    <w:p>
      <w:pPr>
        <w:snapToGrid w:val="0"/>
        <w:spacing w:line="360" w:lineRule="auto"/>
        <w:ind w:firstLine="422" w:firstLineChars="200"/>
        <w:jc w:val="left"/>
        <w:rPr>
          <w:rFonts w:ascii="宋体" w:hAnsi="宋体"/>
          <w:b/>
          <w:sz w:val="21"/>
          <w:szCs w:val="21"/>
        </w:rPr>
      </w:pPr>
      <w:r>
        <w:rPr>
          <w:rFonts w:hint="eastAsia" w:ascii="宋体" w:hAnsi="宋体"/>
          <w:b/>
          <w:sz w:val="21"/>
          <w:szCs w:val="21"/>
        </w:rPr>
        <w:t>价格评分：</w:t>
      </w:r>
    </w:p>
    <w:p>
      <w:pPr>
        <w:snapToGrid w:val="0"/>
        <w:spacing w:line="360" w:lineRule="auto"/>
        <w:ind w:firstLine="420" w:firstLineChars="200"/>
        <w:jc w:val="left"/>
        <w:rPr>
          <w:rFonts w:ascii="宋体" w:hAnsi="宋体"/>
          <w:sz w:val="21"/>
          <w:szCs w:val="21"/>
        </w:rPr>
      </w:pPr>
      <w:r>
        <w:rPr>
          <w:rFonts w:hint="eastAsia" w:ascii="宋体" w:hAnsi="宋体"/>
          <w:sz w:val="21"/>
          <w:szCs w:val="21"/>
        </w:rPr>
        <w:t>评标委员会对入围的投标人的投标价格进行修正核实得出评标价。综合评分法中的价格分统一采用低价优先法计算，即满足招标文件要求（通过资格、符合性审查）且价格最低的有效投标报价（指修正核实后的价格，下同）为评标基准价，其价格分为满分。其他投标人的价格分统一按照下列公式计算：</w:t>
      </w:r>
    </w:p>
    <w:p>
      <w:pPr>
        <w:snapToGrid w:val="0"/>
        <w:spacing w:line="360" w:lineRule="auto"/>
        <w:ind w:firstLine="420" w:firstLineChars="200"/>
        <w:jc w:val="left"/>
        <w:rPr>
          <w:rFonts w:ascii="宋体" w:hAnsi="宋体"/>
          <w:sz w:val="21"/>
          <w:szCs w:val="21"/>
        </w:rPr>
      </w:pPr>
      <w:r>
        <w:rPr>
          <w:rFonts w:hint="eastAsia" w:ascii="宋体" w:hAnsi="宋体"/>
          <w:sz w:val="21"/>
          <w:szCs w:val="21"/>
        </w:rPr>
        <w:t>投标报价得分=（评标基准价/投标报价）x30%x100。（精确到0.01）。</w:t>
      </w:r>
    </w:p>
    <w:p>
      <w:pPr>
        <w:numPr>
          <w:ilvl w:val="0"/>
          <w:numId w:val="38"/>
        </w:numPr>
        <w:snapToGrid w:val="0"/>
        <w:spacing w:line="360" w:lineRule="auto"/>
        <w:jc w:val="left"/>
        <w:outlineLvl w:val="1"/>
        <w:rPr>
          <w:rFonts w:ascii="宋体" w:hAnsi="宋体"/>
          <w:b/>
          <w:sz w:val="21"/>
          <w:szCs w:val="21"/>
        </w:rPr>
      </w:pPr>
      <w:bookmarkStart w:id="113" w:name="_Toc26921"/>
      <w:r>
        <w:rPr>
          <w:rFonts w:hint="eastAsia" w:ascii="宋体" w:hAnsi="宋体"/>
          <w:b/>
          <w:sz w:val="21"/>
          <w:szCs w:val="21"/>
        </w:rPr>
        <w:t>推荐中标候选人名单</w:t>
      </w:r>
      <w:bookmarkEnd w:id="113"/>
    </w:p>
    <w:p>
      <w:pPr>
        <w:snapToGrid w:val="0"/>
        <w:spacing w:line="360" w:lineRule="auto"/>
        <w:ind w:firstLine="420" w:firstLineChars="200"/>
        <w:jc w:val="left"/>
        <w:rPr>
          <w:rFonts w:ascii="宋体" w:hAnsi="宋体"/>
          <w:sz w:val="21"/>
          <w:szCs w:val="21"/>
        </w:rPr>
      </w:pPr>
      <w:r>
        <w:rPr>
          <w:rFonts w:hint="eastAsia" w:ascii="宋体" w:hAnsi="宋体"/>
          <w:sz w:val="21"/>
          <w:szCs w:val="21"/>
        </w:rPr>
        <w:t>详见投标须知前附表第12项。</w:t>
      </w:r>
    </w:p>
    <w:p>
      <w:pPr>
        <w:numPr>
          <w:ilvl w:val="0"/>
          <w:numId w:val="44"/>
        </w:numPr>
        <w:snapToGrid w:val="0"/>
        <w:spacing w:line="360" w:lineRule="auto"/>
        <w:jc w:val="left"/>
        <w:outlineLvl w:val="1"/>
        <w:rPr>
          <w:rFonts w:ascii="宋体" w:hAnsi="宋体"/>
          <w:b/>
          <w:sz w:val="21"/>
          <w:szCs w:val="21"/>
        </w:rPr>
      </w:pPr>
      <w:bookmarkStart w:id="114" w:name="_Toc10380"/>
      <w:bookmarkStart w:id="115" w:name="_Toc368513818"/>
      <w:r>
        <w:rPr>
          <w:rFonts w:hint="eastAsia" w:ascii="宋体" w:hAnsi="宋体"/>
          <w:b/>
          <w:sz w:val="21"/>
          <w:szCs w:val="21"/>
        </w:rPr>
        <w:t>确定中标人</w:t>
      </w:r>
      <w:bookmarkEnd w:id="114"/>
      <w:bookmarkEnd w:id="115"/>
    </w:p>
    <w:p>
      <w:pPr>
        <w:snapToGrid w:val="0"/>
        <w:spacing w:line="360" w:lineRule="auto"/>
        <w:ind w:firstLine="420" w:firstLineChars="200"/>
        <w:jc w:val="left"/>
        <w:rPr>
          <w:rFonts w:ascii="宋体" w:hAnsi="宋体"/>
          <w:sz w:val="21"/>
          <w:szCs w:val="21"/>
        </w:rPr>
      </w:pPr>
      <w:r>
        <w:rPr>
          <w:rFonts w:hint="eastAsia" w:ascii="宋体" w:hAnsi="宋体"/>
          <w:sz w:val="21"/>
          <w:szCs w:val="21"/>
        </w:rPr>
        <w:t>采购人将根据评标结果，确定中标人。采购代理机构受采购人委托在规定的媒体</w:t>
      </w:r>
      <w:r>
        <w:rPr>
          <w:rFonts w:ascii="宋体" w:hAnsi="宋体"/>
          <w:bCs/>
          <w:sz w:val="21"/>
          <w:szCs w:val="21"/>
        </w:rPr>
        <w:t>上</w:t>
      </w:r>
      <w:r>
        <w:rPr>
          <w:rFonts w:hint="eastAsia" w:ascii="宋体" w:hAnsi="宋体"/>
          <w:bCs/>
          <w:sz w:val="21"/>
          <w:szCs w:val="21"/>
        </w:rPr>
        <w:t>发布中标公告，同时</w:t>
      </w:r>
      <w:r>
        <w:rPr>
          <w:rFonts w:hint="eastAsia" w:ascii="宋体" w:hAnsi="宋体"/>
          <w:sz w:val="21"/>
          <w:szCs w:val="21"/>
        </w:rPr>
        <w:t>向中标人发出书面《中标通知书》，向所有</w:t>
      </w:r>
      <w:r>
        <w:rPr>
          <w:rFonts w:ascii="宋体" w:hAnsi="宋体"/>
          <w:bCs/>
          <w:sz w:val="21"/>
          <w:szCs w:val="21"/>
        </w:rPr>
        <w:t>未中标人</w:t>
      </w:r>
      <w:r>
        <w:rPr>
          <w:rFonts w:hint="eastAsia" w:ascii="宋体" w:hAnsi="宋体"/>
          <w:sz w:val="21"/>
          <w:szCs w:val="21"/>
        </w:rPr>
        <w:t>发出《招标结果通知书》。</w:t>
      </w:r>
    </w:p>
    <w:p>
      <w:pPr>
        <w:pStyle w:val="22"/>
        <w:ind w:firstLine="601"/>
        <w:jc w:val="left"/>
        <w:rPr>
          <w:rFonts w:hAnsi="宋体"/>
          <w:b/>
          <w:bCs/>
          <w:sz w:val="21"/>
        </w:rPr>
      </w:pPr>
      <w:r>
        <w:rPr>
          <w:rFonts w:hAnsi="宋体"/>
          <w:b/>
          <w:bCs/>
          <w:sz w:val="21"/>
        </w:rPr>
        <w:t>注：本评审办法入围投标人指所有通过</w:t>
      </w:r>
      <w:r>
        <w:rPr>
          <w:rFonts w:hint="eastAsia" w:hAnsi="宋体"/>
          <w:b/>
          <w:bCs/>
          <w:sz w:val="21"/>
        </w:rPr>
        <w:t>资格、</w:t>
      </w:r>
      <w:r>
        <w:rPr>
          <w:rFonts w:hAnsi="宋体"/>
          <w:b/>
          <w:bCs/>
          <w:sz w:val="21"/>
        </w:rPr>
        <w:t>符合性审查的投标人。</w:t>
      </w:r>
      <w:r>
        <w:rPr>
          <w:rFonts w:hAnsi="宋体"/>
          <w:sz w:val="21"/>
        </w:rPr>
        <w:br w:type="page"/>
      </w:r>
      <w:r>
        <w:rPr>
          <w:rFonts w:hint="eastAsia" w:hAnsi="宋体"/>
          <w:b/>
          <w:bCs/>
          <w:sz w:val="21"/>
        </w:rPr>
        <w:t>附表一：</w:t>
      </w:r>
    </w:p>
    <w:p>
      <w:pPr>
        <w:spacing w:line="400" w:lineRule="exact"/>
        <w:jc w:val="center"/>
        <w:rPr>
          <w:rFonts w:ascii="宋体" w:hAnsi="宋体"/>
          <w:b/>
          <w:bCs/>
          <w:sz w:val="21"/>
          <w:szCs w:val="21"/>
        </w:rPr>
      </w:pPr>
      <w:r>
        <w:rPr>
          <w:rFonts w:hint="eastAsia" w:ascii="宋体" w:hAnsi="宋体"/>
          <w:b/>
          <w:bCs/>
          <w:sz w:val="21"/>
          <w:szCs w:val="21"/>
        </w:rPr>
        <w:t>资格审查表</w:t>
      </w:r>
    </w:p>
    <w:p>
      <w:pPr>
        <w:spacing w:line="400" w:lineRule="exact"/>
        <w:jc w:val="left"/>
        <w:rPr>
          <w:rFonts w:hint="eastAsia" w:ascii="宋体" w:hAnsi="宋体" w:eastAsia="宋体"/>
          <w:sz w:val="21"/>
          <w:szCs w:val="21"/>
          <w:lang w:eastAsia="zh-CN"/>
        </w:rPr>
      </w:pPr>
      <w:r>
        <w:rPr>
          <w:rFonts w:hint="eastAsia" w:ascii="宋体" w:hAnsi="宋体" w:cs="宋体"/>
          <w:sz w:val="21"/>
          <w:szCs w:val="21"/>
        </w:rPr>
        <w:t>项目名称：</w:t>
      </w:r>
      <w:r>
        <w:rPr>
          <w:rFonts w:hint="eastAsia" w:ascii="宋体" w:hAnsi="宋体"/>
          <w:sz w:val="21"/>
          <w:szCs w:val="21"/>
        </w:rPr>
        <w:t>气相色谱-质谱联用仪离子色谱仪</w:t>
      </w:r>
      <w:r>
        <w:rPr>
          <w:rFonts w:hint="eastAsia" w:ascii="宋体" w:hAnsi="宋体"/>
          <w:sz w:val="21"/>
          <w:szCs w:val="21"/>
          <w:lang w:eastAsia="zh-CN"/>
        </w:rPr>
        <w:t>等仪器设备采购(重新采购)</w:t>
      </w:r>
    </w:p>
    <w:p>
      <w:pPr>
        <w:spacing w:line="400" w:lineRule="exact"/>
        <w:jc w:val="left"/>
        <w:rPr>
          <w:rFonts w:ascii="宋体" w:hAnsi="宋体"/>
          <w:sz w:val="21"/>
          <w:szCs w:val="21"/>
        </w:rPr>
      </w:pPr>
      <w:r>
        <w:rPr>
          <w:rFonts w:hint="eastAsia" w:ascii="宋体" w:hAnsi="宋体" w:cs="宋体"/>
          <w:sz w:val="21"/>
          <w:szCs w:val="21"/>
        </w:rPr>
        <w:t>项目编号：</w:t>
      </w:r>
      <w:r>
        <w:rPr>
          <w:rFonts w:hint="eastAsia" w:ascii="宋体" w:hAnsi="宋体"/>
          <w:sz w:val="21"/>
          <w:szCs w:val="21"/>
        </w:rPr>
        <w:t>441900-201905-0007004001-0003</w:t>
      </w:r>
    </w:p>
    <w:tbl>
      <w:tblPr>
        <w:tblStyle w:val="46"/>
        <w:tblW w:w="9450" w:type="dxa"/>
        <w:tblInd w:w="108"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317"/>
        <w:gridCol w:w="4983"/>
        <w:gridCol w:w="1050"/>
        <w:gridCol w:w="1050"/>
        <w:gridCol w:w="105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trPr>
        <w:tc>
          <w:tcPr>
            <w:tcW w:w="6300" w:type="dxa"/>
            <w:gridSpan w:val="2"/>
            <w:vAlign w:val="center"/>
          </w:tcPr>
          <w:p>
            <w:pPr>
              <w:jc w:val="left"/>
              <w:rPr>
                <w:rFonts w:ascii="宋体" w:hAnsi="宋体" w:cs="宋体"/>
                <w:sz w:val="21"/>
                <w:szCs w:val="21"/>
              </w:rPr>
            </w:pPr>
            <w:r>
              <w:rPr>
                <w:rFonts w:hint="eastAsia" w:ascii="宋体" w:hAnsi="宋体" w:cs="宋体"/>
                <w:sz w:val="21"/>
                <w:szCs w:val="21"/>
              </w:rPr>
              <w:t>评审内容</w:t>
            </w:r>
          </w:p>
        </w:tc>
        <w:tc>
          <w:tcPr>
            <w:tcW w:w="1050" w:type="dxa"/>
            <w:vAlign w:val="center"/>
          </w:tcPr>
          <w:p>
            <w:pPr>
              <w:jc w:val="left"/>
              <w:rPr>
                <w:rFonts w:ascii="宋体" w:hAnsi="宋体" w:cs="宋体"/>
                <w:sz w:val="21"/>
                <w:szCs w:val="21"/>
              </w:rPr>
            </w:pPr>
            <w:r>
              <w:rPr>
                <w:rFonts w:hint="eastAsia" w:ascii="宋体" w:hAnsi="宋体" w:cs="宋体"/>
                <w:sz w:val="21"/>
                <w:szCs w:val="21"/>
              </w:rPr>
              <w:t>投标人</w:t>
            </w:r>
            <w:r>
              <w:rPr>
                <w:rFonts w:ascii="宋体" w:hAnsi="宋体" w:cs="宋体"/>
                <w:sz w:val="21"/>
                <w:szCs w:val="21"/>
              </w:rPr>
              <w:t>A</w:t>
            </w:r>
          </w:p>
        </w:tc>
        <w:tc>
          <w:tcPr>
            <w:tcW w:w="1050" w:type="dxa"/>
            <w:vAlign w:val="center"/>
          </w:tcPr>
          <w:p>
            <w:pPr>
              <w:jc w:val="left"/>
              <w:rPr>
                <w:rFonts w:ascii="宋体" w:hAnsi="宋体" w:cs="宋体"/>
                <w:sz w:val="21"/>
                <w:szCs w:val="21"/>
              </w:rPr>
            </w:pPr>
            <w:r>
              <w:rPr>
                <w:rFonts w:hint="eastAsia" w:ascii="宋体" w:hAnsi="宋体" w:cs="宋体"/>
                <w:sz w:val="21"/>
                <w:szCs w:val="21"/>
              </w:rPr>
              <w:t>投标人</w:t>
            </w:r>
            <w:r>
              <w:rPr>
                <w:rFonts w:ascii="宋体" w:hAnsi="宋体" w:cs="宋体"/>
                <w:sz w:val="21"/>
                <w:szCs w:val="21"/>
              </w:rPr>
              <w:t>B</w:t>
            </w:r>
          </w:p>
        </w:tc>
        <w:tc>
          <w:tcPr>
            <w:tcW w:w="1050" w:type="dxa"/>
            <w:vAlign w:val="center"/>
          </w:tcPr>
          <w:p>
            <w:pPr>
              <w:jc w:val="left"/>
              <w:rPr>
                <w:rFonts w:ascii="宋体" w:hAnsi="宋体" w:cs="宋体"/>
                <w:sz w:val="21"/>
                <w:szCs w:val="21"/>
              </w:rPr>
            </w:pPr>
            <w:r>
              <w:rPr>
                <w:rFonts w:hint="eastAsia" w:ascii="宋体" w:hAnsi="宋体" w:cs="宋体"/>
                <w:sz w:val="21"/>
                <w:szCs w:val="21"/>
              </w:rPr>
              <w:t>投标人</w:t>
            </w:r>
            <w:r>
              <w:rPr>
                <w:rFonts w:ascii="宋体" w:hAnsi="宋体" w:cs="宋体"/>
                <w:sz w:val="21"/>
                <w:szCs w:val="21"/>
              </w:rPr>
              <w:t>C</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rPr>
        <w:tc>
          <w:tcPr>
            <w:tcW w:w="1317" w:type="dxa"/>
            <w:vAlign w:val="center"/>
          </w:tcPr>
          <w:p>
            <w:pPr>
              <w:jc w:val="left"/>
              <w:rPr>
                <w:rFonts w:ascii="宋体" w:hAnsi="宋体" w:cs="宋体"/>
                <w:sz w:val="21"/>
                <w:szCs w:val="21"/>
              </w:rPr>
            </w:pPr>
            <w:r>
              <w:rPr>
                <w:rFonts w:hint="eastAsia" w:ascii="宋体" w:hAnsi="宋体" w:cs="宋体"/>
                <w:sz w:val="21"/>
                <w:szCs w:val="21"/>
              </w:rPr>
              <w:t>资格检查</w:t>
            </w:r>
          </w:p>
        </w:tc>
        <w:tc>
          <w:tcPr>
            <w:tcW w:w="4983" w:type="dxa"/>
            <w:vAlign w:val="center"/>
          </w:tcPr>
          <w:p>
            <w:pPr>
              <w:jc w:val="left"/>
              <w:rPr>
                <w:rFonts w:ascii="宋体" w:hAnsi="宋体" w:cs="宋体"/>
                <w:sz w:val="21"/>
                <w:szCs w:val="21"/>
              </w:rPr>
            </w:pPr>
            <w:r>
              <w:rPr>
                <w:rFonts w:hint="eastAsia" w:ascii="宋体" w:hAnsi="宋体" w:cs="宋体"/>
                <w:sz w:val="21"/>
                <w:szCs w:val="21"/>
              </w:rPr>
              <w:t>符合投标人的资格要求</w:t>
            </w: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818" w:hRule="atLeast"/>
        </w:trPr>
        <w:tc>
          <w:tcPr>
            <w:tcW w:w="1317" w:type="dxa"/>
            <w:vAlign w:val="center"/>
          </w:tcPr>
          <w:p>
            <w:pPr>
              <w:jc w:val="left"/>
              <w:rPr>
                <w:rFonts w:ascii="宋体" w:hAnsi="宋体" w:cs="宋体"/>
                <w:sz w:val="21"/>
                <w:szCs w:val="21"/>
              </w:rPr>
            </w:pPr>
            <w:r>
              <w:rPr>
                <w:rFonts w:hint="eastAsia" w:ascii="宋体" w:hAnsi="宋体" w:cs="宋体"/>
                <w:sz w:val="21"/>
                <w:szCs w:val="21"/>
              </w:rPr>
              <w:t>结论</w:t>
            </w:r>
          </w:p>
        </w:tc>
        <w:tc>
          <w:tcPr>
            <w:tcW w:w="4983" w:type="dxa"/>
            <w:vAlign w:val="center"/>
          </w:tcPr>
          <w:p>
            <w:pPr>
              <w:jc w:val="left"/>
              <w:rPr>
                <w:rFonts w:ascii="宋体" w:hAnsi="宋体" w:cs="宋体"/>
                <w:sz w:val="21"/>
                <w:szCs w:val="21"/>
              </w:rPr>
            </w:pPr>
            <w:r>
              <w:rPr>
                <w:rFonts w:hint="eastAsia" w:ascii="宋体" w:hAnsi="宋体" w:cs="宋体"/>
                <w:sz w:val="21"/>
                <w:szCs w:val="21"/>
              </w:rPr>
              <w:t>是否通过资格审查</w:t>
            </w:r>
          </w:p>
          <w:p>
            <w:pPr>
              <w:jc w:val="left"/>
              <w:rPr>
                <w:rFonts w:ascii="宋体" w:hAnsi="宋体" w:cs="宋体"/>
                <w:sz w:val="21"/>
                <w:szCs w:val="21"/>
              </w:rPr>
            </w:pPr>
            <w:r>
              <w:rPr>
                <w:rFonts w:hint="eastAsia" w:ascii="宋体" w:hAnsi="宋体" w:cs="宋体"/>
                <w:sz w:val="21"/>
                <w:szCs w:val="21"/>
              </w:rPr>
              <w:t>（写“通过”或“不通过”）</w:t>
            </w: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818" w:hRule="atLeast"/>
        </w:trPr>
        <w:tc>
          <w:tcPr>
            <w:tcW w:w="6300" w:type="dxa"/>
            <w:gridSpan w:val="2"/>
            <w:vAlign w:val="center"/>
          </w:tcPr>
          <w:p>
            <w:pPr>
              <w:jc w:val="left"/>
              <w:rPr>
                <w:rFonts w:ascii="宋体" w:hAnsi="宋体" w:cs="宋体"/>
                <w:sz w:val="21"/>
                <w:szCs w:val="21"/>
              </w:rPr>
            </w:pPr>
            <w:r>
              <w:rPr>
                <w:rFonts w:hint="eastAsia" w:ascii="宋体" w:hAnsi="宋体" w:cs="宋体"/>
                <w:sz w:val="21"/>
                <w:szCs w:val="21"/>
              </w:rPr>
              <w:t>不通过资格审查的原因说明</w:t>
            </w:r>
          </w:p>
        </w:tc>
        <w:tc>
          <w:tcPr>
            <w:tcW w:w="3150" w:type="dxa"/>
            <w:gridSpan w:val="3"/>
            <w:vAlign w:val="center"/>
          </w:tcPr>
          <w:p>
            <w:pPr>
              <w:jc w:val="left"/>
              <w:rPr>
                <w:rFonts w:ascii="宋体" w:hAnsi="宋体" w:cs="宋体"/>
                <w:sz w:val="21"/>
                <w:szCs w:val="21"/>
              </w:rPr>
            </w:pPr>
          </w:p>
        </w:tc>
      </w:tr>
    </w:tbl>
    <w:p>
      <w:pPr>
        <w:numPr>
          <w:ilvl w:val="0"/>
          <w:numId w:val="45"/>
        </w:numPr>
        <w:tabs>
          <w:tab w:val="left" w:pos="540"/>
        </w:tabs>
        <w:spacing w:line="400" w:lineRule="exact"/>
        <w:ind w:left="540" w:hanging="360"/>
        <w:jc w:val="left"/>
        <w:rPr>
          <w:rFonts w:ascii="宋体" w:hAnsi="宋体"/>
          <w:sz w:val="21"/>
          <w:szCs w:val="21"/>
        </w:rPr>
      </w:pPr>
      <w:r>
        <w:rPr>
          <w:rFonts w:hint="eastAsia" w:ascii="宋体" w:hAnsi="宋体"/>
          <w:sz w:val="21"/>
          <w:szCs w:val="21"/>
        </w:rPr>
        <w:t>每一项目符合的打“○</w:t>
      </w:r>
      <w:r>
        <w:rPr>
          <w:rFonts w:ascii="宋体" w:hAnsi="宋体"/>
          <w:sz w:val="21"/>
          <w:szCs w:val="21"/>
        </w:rPr>
        <w:t>”</w:t>
      </w:r>
      <w:r>
        <w:rPr>
          <w:rFonts w:hint="eastAsia" w:ascii="宋体" w:hAnsi="宋体"/>
          <w:sz w:val="21"/>
          <w:szCs w:val="21"/>
        </w:rPr>
        <w:t>，不符合的打“×”；出现一个“×”的结论为不通过资格审查；</w:t>
      </w:r>
    </w:p>
    <w:p>
      <w:pPr>
        <w:numPr>
          <w:ilvl w:val="0"/>
          <w:numId w:val="45"/>
        </w:numPr>
        <w:tabs>
          <w:tab w:val="left" w:pos="540"/>
        </w:tabs>
        <w:spacing w:line="400" w:lineRule="exact"/>
        <w:ind w:left="540" w:hanging="360"/>
        <w:jc w:val="left"/>
        <w:rPr>
          <w:rFonts w:ascii="宋体" w:hAnsi="宋体"/>
          <w:sz w:val="21"/>
          <w:szCs w:val="21"/>
        </w:rPr>
      </w:pPr>
      <w:r>
        <w:rPr>
          <w:rFonts w:hint="eastAsia" w:ascii="宋体" w:hAnsi="宋体"/>
          <w:sz w:val="21"/>
          <w:szCs w:val="21"/>
        </w:rPr>
        <w:t>表中全部条件满足为通过审查，</w:t>
      </w:r>
      <w:r>
        <w:rPr>
          <w:rFonts w:ascii="宋体" w:hAnsi="宋体"/>
          <w:sz w:val="21"/>
          <w:szCs w:val="21"/>
        </w:rPr>
        <w:t xml:space="preserve"> 同意进入符合性审查阶段</w:t>
      </w:r>
      <w:r>
        <w:rPr>
          <w:rFonts w:hint="eastAsia" w:ascii="宋体" w:hAnsi="宋体"/>
          <w:sz w:val="21"/>
          <w:szCs w:val="21"/>
        </w:rPr>
        <w:t>。</w:t>
      </w:r>
    </w:p>
    <w:p>
      <w:pPr>
        <w:spacing w:line="400" w:lineRule="exact"/>
        <w:jc w:val="left"/>
        <w:rPr>
          <w:rFonts w:ascii="宋体" w:hAnsi="宋体" w:cs="宋体"/>
          <w:b/>
          <w:bCs/>
          <w:sz w:val="21"/>
          <w:szCs w:val="21"/>
        </w:rPr>
      </w:pPr>
    </w:p>
    <w:p>
      <w:pPr>
        <w:spacing w:line="400" w:lineRule="exact"/>
        <w:jc w:val="left"/>
        <w:rPr>
          <w:rFonts w:ascii="宋体" w:hAnsi="宋体"/>
          <w:b/>
          <w:bCs/>
          <w:sz w:val="21"/>
          <w:szCs w:val="21"/>
        </w:rPr>
      </w:pPr>
      <w:r>
        <w:rPr>
          <w:rFonts w:ascii="宋体" w:hAnsi="宋体"/>
          <w:b/>
          <w:bCs/>
          <w:sz w:val="21"/>
          <w:szCs w:val="21"/>
        </w:rPr>
        <w:br w:type="page"/>
      </w:r>
      <w:r>
        <w:rPr>
          <w:rFonts w:ascii="宋体" w:hAnsi="宋体"/>
          <w:b/>
          <w:bCs/>
          <w:sz w:val="21"/>
          <w:szCs w:val="21"/>
        </w:rPr>
        <w:t>附表二</w:t>
      </w:r>
      <w:r>
        <w:rPr>
          <w:rFonts w:hint="eastAsia" w:ascii="宋体" w:hAnsi="宋体"/>
          <w:b/>
          <w:bCs/>
          <w:sz w:val="21"/>
          <w:szCs w:val="21"/>
        </w:rPr>
        <w:t>：</w:t>
      </w:r>
    </w:p>
    <w:p>
      <w:pPr>
        <w:spacing w:line="400" w:lineRule="exact"/>
        <w:jc w:val="center"/>
        <w:rPr>
          <w:rFonts w:ascii="宋体" w:hAnsi="宋体"/>
          <w:b/>
          <w:bCs/>
          <w:sz w:val="21"/>
          <w:szCs w:val="21"/>
        </w:rPr>
      </w:pPr>
      <w:r>
        <w:rPr>
          <w:rFonts w:hint="eastAsia" w:ascii="宋体" w:hAnsi="宋体"/>
          <w:b/>
          <w:bCs/>
          <w:sz w:val="21"/>
          <w:szCs w:val="21"/>
        </w:rPr>
        <w:t>符合性审查表</w:t>
      </w:r>
    </w:p>
    <w:tbl>
      <w:tblPr>
        <w:tblStyle w:val="46"/>
        <w:tblW w:w="9450" w:type="dxa"/>
        <w:tblInd w:w="108"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317"/>
        <w:gridCol w:w="4983"/>
        <w:gridCol w:w="1050"/>
        <w:gridCol w:w="1050"/>
        <w:gridCol w:w="105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trPr>
        <w:tc>
          <w:tcPr>
            <w:tcW w:w="6300" w:type="dxa"/>
            <w:gridSpan w:val="2"/>
            <w:vAlign w:val="center"/>
          </w:tcPr>
          <w:p>
            <w:pPr>
              <w:jc w:val="left"/>
              <w:rPr>
                <w:rFonts w:ascii="宋体" w:hAnsi="宋体" w:cs="宋体"/>
                <w:sz w:val="21"/>
                <w:szCs w:val="21"/>
              </w:rPr>
            </w:pPr>
            <w:r>
              <w:rPr>
                <w:rFonts w:hint="eastAsia" w:ascii="宋体" w:hAnsi="宋体" w:cs="宋体"/>
                <w:sz w:val="21"/>
                <w:szCs w:val="21"/>
              </w:rPr>
              <w:t>评审内容</w:t>
            </w:r>
          </w:p>
        </w:tc>
        <w:tc>
          <w:tcPr>
            <w:tcW w:w="1050" w:type="dxa"/>
            <w:vAlign w:val="center"/>
          </w:tcPr>
          <w:p>
            <w:pPr>
              <w:jc w:val="left"/>
              <w:rPr>
                <w:rFonts w:ascii="宋体" w:hAnsi="宋体" w:cs="宋体"/>
                <w:sz w:val="21"/>
                <w:szCs w:val="21"/>
              </w:rPr>
            </w:pPr>
            <w:r>
              <w:rPr>
                <w:rFonts w:hint="eastAsia" w:ascii="宋体" w:hAnsi="宋体" w:cs="宋体"/>
                <w:sz w:val="21"/>
                <w:szCs w:val="21"/>
              </w:rPr>
              <w:t>投标人</w:t>
            </w:r>
            <w:r>
              <w:rPr>
                <w:rFonts w:ascii="宋体" w:hAnsi="宋体" w:cs="宋体"/>
                <w:sz w:val="21"/>
                <w:szCs w:val="21"/>
              </w:rPr>
              <w:t>A</w:t>
            </w:r>
          </w:p>
        </w:tc>
        <w:tc>
          <w:tcPr>
            <w:tcW w:w="1050" w:type="dxa"/>
            <w:vAlign w:val="center"/>
          </w:tcPr>
          <w:p>
            <w:pPr>
              <w:jc w:val="left"/>
              <w:rPr>
                <w:rFonts w:ascii="宋体" w:hAnsi="宋体" w:cs="宋体"/>
                <w:sz w:val="21"/>
                <w:szCs w:val="21"/>
              </w:rPr>
            </w:pPr>
            <w:r>
              <w:rPr>
                <w:rFonts w:hint="eastAsia" w:ascii="宋体" w:hAnsi="宋体" w:cs="宋体"/>
                <w:sz w:val="21"/>
                <w:szCs w:val="21"/>
              </w:rPr>
              <w:t>投标人</w:t>
            </w:r>
            <w:r>
              <w:rPr>
                <w:rFonts w:ascii="宋体" w:hAnsi="宋体" w:cs="宋体"/>
                <w:sz w:val="21"/>
                <w:szCs w:val="21"/>
              </w:rPr>
              <w:t>B</w:t>
            </w:r>
          </w:p>
        </w:tc>
        <w:tc>
          <w:tcPr>
            <w:tcW w:w="1050" w:type="dxa"/>
            <w:vAlign w:val="center"/>
          </w:tcPr>
          <w:p>
            <w:pPr>
              <w:jc w:val="left"/>
              <w:rPr>
                <w:rFonts w:ascii="宋体" w:hAnsi="宋体" w:cs="宋体"/>
                <w:sz w:val="21"/>
                <w:szCs w:val="21"/>
              </w:rPr>
            </w:pPr>
            <w:r>
              <w:rPr>
                <w:rFonts w:hint="eastAsia" w:ascii="宋体" w:hAnsi="宋体" w:cs="宋体"/>
                <w:sz w:val="21"/>
                <w:szCs w:val="21"/>
              </w:rPr>
              <w:t>投标人</w:t>
            </w:r>
            <w:r>
              <w:rPr>
                <w:rFonts w:ascii="宋体" w:hAnsi="宋体" w:cs="宋体"/>
                <w:sz w:val="21"/>
                <w:szCs w:val="21"/>
              </w:rPr>
              <w:t>C</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rPr>
        <w:tc>
          <w:tcPr>
            <w:tcW w:w="1317" w:type="dxa"/>
            <w:vMerge w:val="restart"/>
            <w:vAlign w:val="center"/>
          </w:tcPr>
          <w:p>
            <w:pPr>
              <w:jc w:val="left"/>
              <w:rPr>
                <w:rFonts w:ascii="宋体" w:hAnsi="宋体" w:cs="宋体"/>
                <w:sz w:val="21"/>
                <w:szCs w:val="21"/>
              </w:rPr>
            </w:pPr>
            <w:r>
              <w:rPr>
                <w:rFonts w:hint="eastAsia" w:ascii="宋体" w:hAnsi="宋体" w:cs="宋体"/>
                <w:sz w:val="21"/>
                <w:szCs w:val="21"/>
              </w:rPr>
              <w:t>符合性检查</w:t>
            </w:r>
          </w:p>
        </w:tc>
        <w:tc>
          <w:tcPr>
            <w:tcW w:w="4983" w:type="dxa"/>
            <w:vAlign w:val="center"/>
          </w:tcPr>
          <w:p>
            <w:pPr>
              <w:jc w:val="left"/>
              <w:rPr>
                <w:rFonts w:ascii="宋体" w:hAnsi="宋体" w:cs="宋体"/>
                <w:sz w:val="21"/>
                <w:szCs w:val="21"/>
              </w:rPr>
            </w:pPr>
            <w:r>
              <w:rPr>
                <w:rFonts w:hint="eastAsia" w:ascii="宋体" w:hAnsi="宋体" w:cs="宋体"/>
                <w:sz w:val="21"/>
                <w:szCs w:val="21"/>
              </w:rPr>
              <w:t>投标保证金按</w:t>
            </w:r>
            <w:r>
              <w:rPr>
                <w:rFonts w:ascii="宋体" w:hAnsi="宋体"/>
                <w:bCs/>
                <w:sz w:val="21"/>
                <w:szCs w:val="21"/>
              </w:rPr>
              <w:t>招标文件</w:t>
            </w:r>
            <w:r>
              <w:rPr>
                <w:rFonts w:hint="eastAsia" w:ascii="宋体" w:hAnsi="宋体" w:cs="宋体"/>
                <w:sz w:val="21"/>
                <w:szCs w:val="21"/>
              </w:rPr>
              <w:t>要求提交</w:t>
            </w: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rPr>
        <w:tc>
          <w:tcPr>
            <w:tcW w:w="1317" w:type="dxa"/>
            <w:vMerge w:val="continue"/>
            <w:vAlign w:val="center"/>
          </w:tcPr>
          <w:p>
            <w:pPr>
              <w:jc w:val="left"/>
              <w:rPr>
                <w:rFonts w:ascii="宋体" w:hAnsi="宋体" w:cs="宋体"/>
                <w:sz w:val="21"/>
                <w:szCs w:val="21"/>
              </w:rPr>
            </w:pPr>
          </w:p>
        </w:tc>
        <w:tc>
          <w:tcPr>
            <w:tcW w:w="4983" w:type="dxa"/>
            <w:vAlign w:val="center"/>
          </w:tcPr>
          <w:p>
            <w:pPr>
              <w:jc w:val="left"/>
              <w:rPr>
                <w:rFonts w:ascii="宋体" w:hAnsi="宋体" w:cs="宋体"/>
                <w:sz w:val="21"/>
                <w:szCs w:val="21"/>
              </w:rPr>
            </w:pPr>
            <w:r>
              <w:rPr>
                <w:rFonts w:hint="eastAsia" w:ascii="宋体" w:hAnsi="宋体" w:cs="宋体"/>
                <w:sz w:val="21"/>
                <w:szCs w:val="21"/>
              </w:rPr>
              <w:t>符合投标有效期</w:t>
            </w: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rPr>
        <w:tc>
          <w:tcPr>
            <w:tcW w:w="1317" w:type="dxa"/>
            <w:vMerge w:val="continue"/>
            <w:vAlign w:val="center"/>
          </w:tcPr>
          <w:p>
            <w:pPr>
              <w:jc w:val="left"/>
              <w:rPr>
                <w:rFonts w:ascii="宋体" w:hAnsi="宋体" w:cs="宋体"/>
                <w:sz w:val="21"/>
                <w:szCs w:val="21"/>
              </w:rPr>
            </w:pPr>
          </w:p>
        </w:tc>
        <w:tc>
          <w:tcPr>
            <w:tcW w:w="4983" w:type="dxa"/>
            <w:vAlign w:val="center"/>
          </w:tcPr>
          <w:p>
            <w:pPr>
              <w:jc w:val="left"/>
              <w:rPr>
                <w:rFonts w:ascii="宋体" w:hAnsi="宋体" w:cs="宋体"/>
                <w:sz w:val="21"/>
                <w:szCs w:val="21"/>
              </w:rPr>
            </w:pPr>
            <w:r>
              <w:rPr>
                <w:rFonts w:ascii="宋体" w:hAnsi="宋体"/>
                <w:bCs/>
                <w:sz w:val="21"/>
                <w:szCs w:val="21"/>
              </w:rPr>
              <w:t>投标文件</w:t>
            </w:r>
            <w:r>
              <w:rPr>
                <w:rFonts w:hint="eastAsia" w:ascii="宋体" w:hAnsi="宋体"/>
                <w:bCs/>
                <w:sz w:val="21"/>
                <w:szCs w:val="21"/>
              </w:rPr>
              <w:t>按照招标文件规定要求签署、盖章</w:t>
            </w: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rPr>
        <w:tc>
          <w:tcPr>
            <w:tcW w:w="1317" w:type="dxa"/>
            <w:vMerge w:val="continue"/>
            <w:vAlign w:val="center"/>
          </w:tcPr>
          <w:p>
            <w:pPr>
              <w:jc w:val="left"/>
              <w:rPr>
                <w:rFonts w:ascii="宋体" w:hAnsi="宋体" w:cs="宋体"/>
                <w:sz w:val="21"/>
                <w:szCs w:val="21"/>
              </w:rPr>
            </w:pPr>
          </w:p>
        </w:tc>
        <w:tc>
          <w:tcPr>
            <w:tcW w:w="4983" w:type="dxa"/>
            <w:vAlign w:val="center"/>
          </w:tcPr>
          <w:p>
            <w:pPr>
              <w:jc w:val="left"/>
              <w:rPr>
                <w:rFonts w:ascii="宋体" w:hAnsi="宋体" w:cs="宋体"/>
                <w:sz w:val="21"/>
                <w:szCs w:val="21"/>
              </w:rPr>
            </w:pPr>
            <w:r>
              <w:rPr>
                <w:rFonts w:hint="eastAsia" w:ascii="宋体" w:hAnsi="宋体" w:cs="宋体"/>
                <w:sz w:val="21"/>
                <w:szCs w:val="21"/>
              </w:rPr>
              <w:t>投标报价没有超出项目预算/最高限价</w:t>
            </w: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rPr>
        <w:tc>
          <w:tcPr>
            <w:tcW w:w="1317" w:type="dxa"/>
            <w:vMerge w:val="continue"/>
            <w:vAlign w:val="center"/>
          </w:tcPr>
          <w:p>
            <w:pPr>
              <w:jc w:val="left"/>
              <w:rPr>
                <w:rFonts w:ascii="宋体" w:hAnsi="宋体" w:cs="宋体"/>
                <w:sz w:val="21"/>
                <w:szCs w:val="21"/>
              </w:rPr>
            </w:pPr>
          </w:p>
        </w:tc>
        <w:tc>
          <w:tcPr>
            <w:tcW w:w="4983" w:type="dxa"/>
            <w:vAlign w:val="center"/>
          </w:tcPr>
          <w:p>
            <w:pPr>
              <w:jc w:val="left"/>
              <w:rPr>
                <w:rFonts w:ascii="宋体" w:hAnsi="宋体" w:cs="宋体"/>
                <w:sz w:val="21"/>
                <w:szCs w:val="21"/>
              </w:rPr>
            </w:pPr>
            <w:r>
              <w:rPr>
                <w:rFonts w:hint="eastAsia" w:ascii="宋体" w:hAnsi="宋体" w:cs="宋体"/>
                <w:sz w:val="21"/>
                <w:szCs w:val="21"/>
              </w:rPr>
              <w:t>完全满足招标文件中标注“★”的条款</w:t>
            </w: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rPr>
        <w:tc>
          <w:tcPr>
            <w:tcW w:w="1317" w:type="dxa"/>
            <w:vMerge w:val="continue"/>
            <w:vAlign w:val="center"/>
          </w:tcPr>
          <w:p>
            <w:pPr>
              <w:jc w:val="left"/>
              <w:rPr>
                <w:rFonts w:ascii="宋体" w:hAnsi="宋体" w:cs="宋体"/>
                <w:sz w:val="21"/>
                <w:szCs w:val="21"/>
              </w:rPr>
            </w:pPr>
          </w:p>
        </w:tc>
        <w:tc>
          <w:tcPr>
            <w:tcW w:w="4983" w:type="dxa"/>
            <w:vAlign w:val="center"/>
          </w:tcPr>
          <w:p>
            <w:pPr>
              <w:jc w:val="left"/>
              <w:rPr>
                <w:rFonts w:ascii="宋体" w:hAnsi="宋体" w:cs="宋体"/>
                <w:sz w:val="21"/>
                <w:szCs w:val="21"/>
              </w:rPr>
            </w:pPr>
            <w:r>
              <w:rPr>
                <w:rFonts w:hint="eastAsia" w:ascii="宋体" w:hAnsi="宋体" w:cs="宋体"/>
                <w:sz w:val="21"/>
                <w:szCs w:val="21"/>
              </w:rPr>
              <w:t>未出现有关法律、法规、规章或招标文件规定的属于投标无效的情形</w:t>
            </w: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rPr>
        <w:tc>
          <w:tcPr>
            <w:tcW w:w="1317" w:type="dxa"/>
            <w:vMerge w:val="continue"/>
            <w:vAlign w:val="center"/>
          </w:tcPr>
          <w:p>
            <w:pPr>
              <w:jc w:val="left"/>
              <w:rPr>
                <w:rFonts w:ascii="宋体" w:hAnsi="宋体" w:cs="宋体"/>
                <w:sz w:val="21"/>
                <w:szCs w:val="21"/>
              </w:rPr>
            </w:pPr>
          </w:p>
        </w:tc>
        <w:tc>
          <w:tcPr>
            <w:tcW w:w="4983" w:type="dxa"/>
            <w:vAlign w:val="center"/>
          </w:tcPr>
          <w:p>
            <w:pPr>
              <w:jc w:val="left"/>
              <w:rPr>
                <w:rFonts w:ascii="宋体" w:hAnsi="宋体" w:cs="宋体"/>
                <w:sz w:val="21"/>
                <w:szCs w:val="21"/>
              </w:rPr>
            </w:pPr>
            <w:r>
              <w:rPr>
                <w:rFonts w:hint="eastAsia" w:ascii="宋体" w:hAnsi="宋体" w:cs="宋体"/>
                <w:sz w:val="21"/>
                <w:szCs w:val="21"/>
              </w:rPr>
              <w:t>法定代表人证明\授权证明</w:t>
            </w: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818" w:hRule="atLeast"/>
        </w:trPr>
        <w:tc>
          <w:tcPr>
            <w:tcW w:w="1317" w:type="dxa"/>
            <w:vAlign w:val="center"/>
          </w:tcPr>
          <w:p>
            <w:pPr>
              <w:jc w:val="left"/>
              <w:rPr>
                <w:rFonts w:ascii="宋体" w:hAnsi="宋体" w:cs="宋体"/>
                <w:sz w:val="21"/>
                <w:szCs w:val="21"/>
              </w:rPr>
            </w:pPr>
            <w:r>
              <w:rPr>
                <w:rFonts w:hint="eastAsia" w:ascii="宋体" w:hAnsi="宋体" w:cs="宋体"/>
                <w:sz w:val="21"/>
                <w:szCs w:val="21"/>
              </w:rPr>
              <w:t>结论</w:t>
            </w:r>
          </w:p>
        </w:tc>
        <w:tc>
          <w:tcPr>
            <w:tcW w:w="4983" w:type="dxa"/>
            <w:vAlign w:val="center"/>
          </w:tcPr>
          <w:p>
            <w:pPr>
              <w:jc w:val="left"/>
              <w:rPr>
                <w:rFonts w:ascii="宋体" w:hAnsi="宋体" w:cs="宋体"/>
                <w:sz w:val="21"/>
                <w:szCs w:val="21"/>
              </w:rPr>
            </w:pPr>
            <w:r>
              <w:rPr>
                <w:rFonts w:hint="eastAsia" w:ascii="宋体" w:hAnsi="宋体" w:cs="宋体"/>
                <w:sz w:val="21"/>
                <w:szCs w:val="21"/>
              </w:rPr>
              <w:t>是否同意进入下一阶段评议</w:t>
            </w:r>
          </w:p>
          <w:p>
            <w:pPr>
              <w:jc w:val="left"/>
              <w:rPr>
                <w:rFonts w:ascii="宋体" w:hAnsi="宋体" w:cs="宋体"/>
                <w:sz w:val="21"/>
                <w:szCs w:val="21"/>
              </w:rPr>
            </w:pPr>
            <w:r>
              <w:rPr>
                <w:rFonts w:hint="eastAsia" w:ascii="宋体" w:hAnsi="宋体" w:cs="宋体"/>
                <w:sz w:val="21"/>
                <w:szCs w:val="21"/>
              </w:rPr>
              <w:t>（写“同意”或“不同意”）</w:t>
            </w: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c>
          <w:tcPr>
            <w:tcW w:w="1050" w:type="dxa"/>
            <w:vAlign w:val="center"/>
          </w:tcPr>
          <w:p>
            <w:pPr>
              <w:jc w:val="left"/>
              <w:rPr>
                <w:rFonts w:ascii="宋体" w:hAnsi="宋体" w:cs="宋体"/>
                <w:sz w:val="21"/>
                <w:szCs w:val="21"/>
              </w:rPr>
            </w:pPr>
          </w:p>
        </w:tc>
      </w:tr>
    </w:tbl>
    <w:p>
      <w:pPr>
        <w:spacing w:line="400" w:lineRule="exact"/>
        <w:jc w:val="left"/>
        <w:rPr>
          <w:rFonts w:ascii="宋体" w:hAnsi="宋体"/>
          <w:sz w:val="21"/>
          <w:szCs w:val="21"/>
        </w:rPr>
      </w:pPr>
    </w:p>
    <w:p>
      <w:pPr>
        <w:numPr>
          <w:ilvl w:val="0"/>
          <w:numId w:val="46"/>
        </w:numPr>
        <w:tabs>
          <w:tab w:val="left" w:pos="540"/>
        </w:tabs>
        <w:spacing w:line="400" w:lineRule="exact"/>
        <w:jc w:val="left"/>
        <w:rPr>
          <w:rFonts w:ascii="宋体" w:hAnsi="宋体"/>
          <w:sz w:val="21"/>
          <w:szCs w:val="21"/>
        </w:rPr>
      </w:pPr>
      <w:r>
        <w:rPr>
          <w:rFonts w:hint="eastAsia" w:ascii="宋体" w:hAnsi="宋体"/>
          <w:sz w:val="21"/>
          <w:szCs w:val="21"/>
        </w:rPr>
        <w:t>每一项目符合的打“○</w:t>
      </w:r>
      <w:r>
        <w:rPr>
          <w:rFonts w:ascii="宋体" w:hAnsi="宋体"/>
          <w:sz w:val="21"/>
          <w:szCs w:val="21"/>
        </w:rPr>
        <w:t>”</w:t>
      </w:r>
      <w:r>
        <w:rPr>
          <w:rFonts w:hint="eastAsia" w:ascii="宋体" w:hAnsi="宋体"/>
          <w:sz w:val="21"/>
          <w:szCs w:val="21"/>
        </w:rPr>
        <w:t>，不符合的打“×”；出现一个“×”的结论为不同意</w:t>
      </w:r>
      <w:r>
        <w:rPr>
          <w:rFonts w:ascii="宋体" w:hAnsi="宋体"/>
          <w:sz w:val="21"/>
          <w:szCs w:val="21"/>
        </w:rPr>
        <w:t>进入下一阶段评议</w:t>
      </w:r>
      <w:r>
        <w:rPr>
          <w:rFonts w:hint="eastAsia" w:ascii="宋体" w:hAnsi="宋体"/>
          <w:sz w:val="21"/>
          <w:szCs w:val="21"/>
        </w:rPr>
        <w:t>；</w:t>
      </w:r>
    </w:p>
    <w:p>
      <w:pPr>
        <w:numPr>
          <w:ilvl w:val="0"/>
          <w:numId w:val="46"/>
        </w:numPr>
        <w:tabs>
          <w:tab w:val="left" w:pos="540"/>
        </w:tabs>
        <w:spacing w:line="400" w:lineRule="exact"/>
        <w:ind w:left="540" w:hanging="360"/>
        <w:jc w:val="left"/>
        <w:rPr>
          <w:rFonts w:ascii="宋体" w:hAnsi="宋体"/>
          <w:sz w:val="21"/>
          <w:szCs w:val="21"/>
        </w:rPr>
      </w:pPr>
      <w:r>
        <w:rPr>
          <w:rFonts w:hint="eastAsia" w:ascii="宋体" w:hAnsi="宋体"/>
          <w:sz w:val="21"/>
          <w:szCs w:val="21"/>
        </w:rPr>
        <w:t>表中全部条件满足为通过</w:t>
      </w:r>
      <w:r>
        <w:rPr>
          <w:rFonts w:ascii="宋体" w:hAnsi="宋体"/>
          <w:sz w:val="21"/>
          <w:szCs w:val="21"/>
        </w:rPr>
        <w:t>, 同意进入下一阶段评议；</w:t>
      </w:r>
    </w:p>
    <w:p>
      <w:pPr>
        <w:numPr>
          <w:ilvl w:val="0"/>
          <w:numId w:val="46"/>
        </w:numPr>
        <w:tabs>
          <w:tab w:val="left" w:pos="540"/>
        </w:tabs>
        <w:spacing w:line="400" w:lineRule="exact"/>
        <w:ind w:left="540" w:hanging="360"/>
        <w:jc w:val="left"/>
        <w:rPr>
          <w:rFonts w:ascii="宋体" w:hAnsi="宋体"/>
          <w:sz w:val="21"/>
          <w:szCs w:val="21"/>
        </w:rPr>
      </w:pPr>
      <w:r>
        <w:rPr>
          <w:rFonts w:hint="eastAsia" w:ascii="宋体" w:hAnsi="宋体"/>
          <w:sz w:val="21"/>
          <w:szCs w:val="21"/>
        </w:rPr>
        <w:t>是否同意进入下一阶段评议一栏中应写 “同意”或“不同意”。</w:t>
      </w:r>
    </w:p>
    <w:p>
      <w:pPr>
        <w:numPr>
          <w:ilvl w:val="0"/>
          <w:numId w:val="46"/>
        </w:numPr>
        <w:tabs>
          <w:tab w:val="left" w:pos="540"/>
        </w:tabs>
        <w:spacing w:line="400" w:lineRule="exact"/>
        <w:ind w:left="540" w:hanging="360"/>
        <w:jc w:val="left"/>
        <w:rPr>
          <w:rFonts w:ascii="宋体" w:hAnsi="宋体"/>
          <w:sz w:val="21"/>
          <w:szCs w:val="21"/>
        </w:rPr>
      </w:pPr>
      <w:r>
        <w:rPr>
          <w:rFonts w:hint="eastAsia" w:ascii="宋体" w:hAnsi="宋体"/>
          <w:sz w:val="21"/>
          <w:szCs w:val="21"/>
        </w:rPr>
        <w:t>结论汇总意见采取少数服从多数原则，即超过半数评委的结论为“通过”，则该投标人通过</w:t>
      </w:r>
      <w:r>
        <w:rPr>
          <w:rFonts w:ascii="宋体" w:hAnsi="宋体"/>
          <w:sz w:val="21"/>
          <w:szCs w:val="21"/>
        </w:rPr>
        <w:t>资格审查及符合性检查</w:t>
      </w:r>
      <w:r>
        <w:rPr>
          <w:rFonts w:hint="eastAsia" w:ascii="宋体" w:hAnsi="宋体"/>
          <w:sz w:val="21"/>
          <w:szCs w:val="21"/>
        </w:rPr>
        <w:t>，否则不通过。</w:t>
      </w:r>
    </w:p>
    <w:p>
      <w:pPr>
        <w:ind w:left="769" w:leftChars="200" w:hanging="289" w:hangingChars="137"/>
        <w:jc w:val="left"/>
        <w:rPr>
          <w:rFonts w:ascii="宋体" w:hAnsi="宋体"/>
          <w:b/>
          <w:bCs/>
          <w:sz w:val="21"/>
          <w:szCs w:val="21"/>
        </w:rPr>
      </w:pPr>
      <w:r>
        <w:rPr>
          <w:rFonts w:ascii="宋体" w:hAnsi="宋体"/>
          <w:b/>
          <w:bCs/>
          <w:sz w:val="21"/>
          <w:szCs w:val="21"/>
        </w:rPr>
        <w:br w:type="textWrapping"/>
      </w:r>
    </w:p>
    <w:p>
      <w:pPr>
        <w:spacing w:line="400" w:lineRule="exact"/>
        <w:jc w:val="left"/>
        <w:rPr>
          <w:rFonts w:ascii="宋体" w:hAnsi="宋体"/>
          <w:b/>
          <w:bCs/>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tabs>
          <w:tab w:val="left" w:pos="5530"/>
        </w:tabs>
        <w:rPr>
          <w:rFonts w:ascii="宋体" w:hAnsi="宋体"/>
          <w:sz w:val="21"/>
          <w:szCs w:val="21"/>
        </w:rPr>
      </w:pPr>
      <w:r>
        <w:rPr>
          <w:rFonts w:ascii="宋体" w:hAnsi="宋体"/>
          <w:sz w:val="21"/>
          <w:szCs w:val="21"/>
        </w:rPr>
        <w:tab/>
      </w:r>
    </w:p>
    <w:p>
      <w:pPr>
        <w:rPr>
          <w:rFonts w:ascii="宋体" w:hAnsi="宋体"/>
          <w:sz w:val="21"/>
          <w:szCs w:val="21"/>
        </w:rPr>
      </w:pPr>
    </w:p>
    <w:p>
      <w:pPr>
        <w:spacing w:line="400" w:lineRule="exact"/>
        <w:jc w:val="left"/>
        <w:rPr>
          <w:rFonts w:ascii="宋体" w:hAnsi="宋体"/>
          <w:b/>
          <w:bCs/>
          <w:sz w:val="21"/>
          <w:szCs w:val="21"/>
        </w:rPr>
      </w:pPr>
      <w:r>
        <w:rPr>
          <w:rFonts w:ascii="宋体" w:hAnsi="宋体"/>
          <w:sz w:val="21"/>
          <w:szCs w:val="21"/>
        </w:rPr>
        <w:br w:type="page"/>
      </w:r>
      <w:r>
        <w:rPr>
          <w:rFonts w:hint="eastAsia" w:ascii="宋体" w:hAnsi="宋体"/>
          <w:b/>
          <w:bCs/>
          <w:sz w:val="21"/>
          <w:szCs w:val="21"/>
        </w:rPr>
        <w:t>附表三：</w:t>
      </w:r>
    </w:p>
    <w:p>
      <w:pPr>
        <w:spacing w:beforeLines="50" w:afterLines="50" w:line="400" w:lineRule="exact"/>
        <w:jc w:val="center"/>
        <w:rPr>
          <w:rFonts w:ascii="宋体" w:hAnsi="宋体"/>
          <w:b/>
          <w:bCs/>
          <w:sz w:val="21"/>
          <w:szCs w:val="21"/>
        </w:rPr>
      </w:pPr>
      <w:r>
        <w:rPr>
          <w:rFonts w:hint="eastAsia" w:ascii="宋体" w:hAnsi="宋体"/>
          <w:b/>
          <w:bCs/>
          <w:sz w:val="21"/>
          <w:szCs w:val="21"/>
        </w:rPr>
        <w:t>技术评审表</w:t>
      </w:r>
    </w:p>
    <w:tbl>
      <w:tblPr>
        <w:tblStyle w:val="46"/>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85"/>
        <w:gridCol w:w="798"/>
        <w:gridCol w:w="5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b/>
                <w:color w:val="000000"/>
                <w:sz w:val="22"/>
              </w:rPr>
            </w:pPr>
            <w:r>
              <w:rPr>
                <w:rFonts w:hint="eastAsia" w:ascii="宋体" w:eastAsia="宋体"/>
                <w:b/>
                <w:color w:val="000000"/>
                <w:sz w:val="22"/>
              </w:rPr>
              <w:t>序号</w:t>
            </w:r>
          </w:p>
        </w:tc>
        <w:tc>
          <w:tcPr>
            <w:tcW w:w="1685"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b/>
                <w:color w:val="000000"/>
                <w:sz w:val="22"/>
              </w:rPr>
            </w:pPr>
            <w:r>
              <w:rPr>
                <w:rFonts w:hint="eastAsia" w:ascii="宋体" w:eastAsia="宋体"/>
                <w:b/>
                <w:color w:val="000000"/>
                <w:sz w:val="22"/>
              </w:rPr>
              <w:t>评分内容</w:t>
            </w:r>
          </w:p>
        </w:tc>
        <w:tc>
          <w:tcPr>
            <w:tcW w:w="798"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b/>
                <w:color w:val="000000"/>
                <w:sz w:val="22"/>
              </w:rPr>
            </w:pPr>
            <w:r>
              <w:rPr>
                <w:rFonts w:hint="eastAsia" w:ascii="宋体" w:eastAsia="宋体"/>
                <w:b/>
                <w:color w:val="000000"/>
                <w:sz w:val="22"/>
              </w:rPr>
              <w:t>分值</w:t>
            </w:r>
          </w:p>
        </w:tc>
        <w:tc>
          <w:tcPr>
            <w:tcW w:w="5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b/>
                <w:color w:val="000000"/>
                <w:sz w:val="22"/>
              </w:rPr>
            </w:pPr>
            <w:r>
              <w:rPr>
                <w:rFonts w:hint="eastAsia" w:ascii="宋体" w:eastAsia="宋体"/>
                <w:b/>
                <w:color w:val="000000"/>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931" w:type="dxa"/>
            <w:gridSpan w:val="4"/>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b/>
                <w:color w:val="000000"/>
                <w:sz w:val="22"/>
              </w:rPr>
              <w:t>技术评分（55分）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1</w:t>
            </w:r>
          </w:p>
        </w:tc>
        <w:tc>
          <w:tcPr>
            <w:tcW w:w="1685"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技术响应</w:t>
            </w:r>
          </w:p>
        </w:tc>
        <w:tc>
          <w:tcPr>
            <w:tcW w:w="798"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45分</w:t>
            </w:r>
          </w:p>
        </w:tc>
        <w:tc>
          <w:tcPr>
            <w:tcW w:w="5724" w:type="dxa"/>
            <w:tcBorders>
              <w:top w:val="single" w:color="auto" w:sz="4" w:space="0"/>
              <w:left w:val="single" w:color="auto" w:sz="4" w:space="0"/>
              <w:bottom w:val="single" w:color="auto" w:sz="4" w:space="0"/>
              <w:right w:val="single" w:color="auto" w:sz="4" w:space="0"/>
            </w:tcBorders>
          </w:tcPr>
          <w:p>
            <w:pPr>
              <w:adjustRightInd w:val="0"/>
              <w:snapToGrid w:val="0"/>
              <w:spacing w:line="420" w:lineRule="exact"/>
              <w:rPr>
                <w:rFonts w:ascii="宋体" w:hAnsi="宋体" w:cs="宋体"/>
                <w:color w:val="000000"/>
                <w:sz w:val="22"/>
                <w:szCs w:val="22"/>
              </w:rPr>
            </w:pPr>
            <w:r>
              <w:rPr>
                <w:rFonts w:hint="eastAsia" w:ascii="宋体" w:hAnsi="宋体" w:cs="宋体"/>
                <w:color w:val="000000"/>
                <w:sz w:val="22"/>
                <w:szCs w:val="22"/>
              </w:rPr>
              <w:t>根据各投标人对用户需求技术参数响应情况进行评价，全部满足或优于得45分。其中带“▲”号技术参数每有一项负偏离或无响应的扣3分，扣完为止。</w:t>
            </w:r>
          </w:p>
          <w:p>
            <w:pPr>
              <w:adjustRightInd w:val="0"/>
              <w:snapToGrid w:val="0"/>
              <w:spacing w:line="420" w:lineRule="exact"/>
              <w:rPr>
                <w:rFonts w:ascii="宋体" w:hAnsi="宋体" w:cs="宋体"/>
                <w:color w:val="000000"/>
                <w:sz w:val="22"/>
                <w:szCs w:val="22"/>
              </w:rPr>
            </w:pPr>
            <w:r>
              <w:rPr>
                <w:rFonts w:hint="eastAsia" w:ascii="宋体" w:hAnsi="宋体" w:cs="宋体"/>
                <w:color w:val="000000"/>
                <w:sz w:val="22"/>
                <w:szCs w:val="22"/>
              </w:rPr>
              <w:t>①用户需求书有要求的按用户需求书要求提供证明材料；</w:t>
            </w:r>
          </w:p>
          <w:p>
            <w:pPr>
              <w:adjustRightInd w:val="0"/>
              <w:snapToGrid w:val="0"/>
              <w:spacing w:line="420" w:lineRule="exact"/>
              <w:rPr>
                <w:rFonts w:ascii="宋体" w:hAnsi="宋体" w:cs="宋体"/>
                <w:color w:val="000000"/>
                <w:sz w:val="22"/>
                <w:szCs w:val="22"/>
              </w:rPr>
            </w:pPr>
            <w:r>
              <w:rPr>
                <w:rFonts w:hint="eastAsia" w:ascii="宋体" w:hAnsi="宋体" w:cs="宋体"/>
                <w:color w:val="000000"/>
                <w:sz w:val="22"/>
                <w:szCs w:val="22"/>
              </w:rPr>
              <w:t>②用户需求书中无要求的须在投标文件中所投产品彩页原件或者制造商的公开网址链接及参数截图或厂家对所投设备技术参数出具证明。</w:t>
            </w:r>
            <w:r>
              <w:rPr>
                <w:rFonts w:hint="eastAsia" w:ascii="宋体" w:hAnsi="宋体" w:cs="宋体"/>
                <w:b/>
                <w:color w:val="000000"/>
                <w:sz w:val="22"/>
                <w:szCs w:val="22"/>
              </w:rPr>
              <w:t>投标人必须按货物实际参数进行响应，否则视为提供虚假材料谋取中标资格。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2</w:t>
            </w:r>
          </w:p>
        </w:tc>
        <w:tc>
          <w:tcPr>
            <w:tcW w:w="1685"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技术先进性</w:t>
            </w:r>
          </w:p>
        </w:tc>
        <w:tc>
          <w:tcPr>
            <w:tcW w:w="798"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3分</w:t>
            </w:r>
          </w:p>
        </w:tc>
        <w:tc>
          <w:tcPr>
            <w:tcW w:w="572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color w:val="000000"/>
                <w:sz w:val="22"/>
                <w:szCs w:val="22"/>
              </w:rPr>
            </w:pPr>
            <w:r>
              <w:rPr>
                <w:rFonts w:hint="eastAsia" w:ascii="宋体" w:hAnsi="宋体" w:cs="宋体"/>
                <w:color w:val="000000"/>
                <w:sz w:val="22"/>
                <w:szCs w:val="22"/>
              </w:rPr>
              <w:t>根据投标方案提供的设备管理功能是否方便，运维是否成本低廉、技术功能的先进性等进行综合评价与比较：</w:t>
            </w:r>
          </w:p>
          <w:p>
            <w:pPr>
              <w:spacing w:line="420" w:lineRule="exact"/>
              <w:rPr>
                <w:rFonts w:ascii="宋体" w:hAnsi="宋体" w:cs="宋体"/>
                <w:color w:val="000000"/>
                <w:sz w:val="22"/>
                <w:szCs w:val="22"/>
              </w:rPr>
            </w:pPr>
            <w:r>
              <w:rPr>
                <w:rFonts w:hint="eastAsia" w:ascii="宋体" w:hAnsi="宋体" w:cs="宋体"/>
                <w:color w:val="000000"/>
                <w:sz w:val="22"/>
                <w:szCs w:val="22"/>
              </w:rPr>
              <w:t>优：设备管理功能非常方便、运维成本非常低、技术非常先进，得3分；</w:t>
            </w:r>
          </w:p>
          <w:p>
            <w:pPr>
              <w:spacing w:line="420" w:lineRule="exact"/>
              <w:rPr>
                <w:rFonts w:ascii="宋体" w:hAnsi="宋体" w:cs="宋体"/>
                <w:color w:val="000000"/>
                <w:sz w:val="22"/>
                <w:szCs w:val="22"/>
              </w:rPr>
            </w:pPr>
            <w:r>
              <w:rPr>
                <w:rFonts w:hint="eastAsia" w:ascii="宋体" w:hAnsi="宋体" w:cs="宋体"/>
                <w:color w:val="000000"/>
                <w:sz w:val="22"/>
                <w:szCs w:val="22"/>
              </w:rPr>
              <w:t>良：设备管理功能较方便、运维成本较低、技术较先进，得2分；</w:t>
            </w:r>
          </w:p>
          <w:p>
            <w:pPr>
              <w:spacing w:line="420" w:lineRule="exact"/>
              <w:rPr>
                <w:rFonts w:ascii="宋体" w:hAnsi="宋体" w:cs="宋体"/>
                <w:color w:val="000000"/>
                <w:sz w:val="22"/>
                <w:szCs w:val="22"/>
              </w:rPr>
            </w:pPr>
            <w:r>
              <w:rPr>
                <w:rFonts w:hint="eastAsia" w:ascii="宋体" w:hAnsi="宋体" w:cs="宋体"/>
                <w:color w:val="000000"/>
                <w:sz w:val="22"/>
                <w:szCs w:val="22"/>
              </w:rPr>
              <w:t>中：设备管理功能一般方便、运维成本一般、技术一般，得1分；</w:t>
            </w:r>
          </w:p>
          <w:p>
            <w:pPr>
              <w:spacing w:line="420" w:lineRule="exact"/>
              <w:rPr>
                <w:rFonts w:ascii="宋体" w:hAnsi="宋体" w:cs="宋体"/>
                <w:color w:val="000000"/>
                <w:sz w:val="22"/>
                <w:szCs w:val="22"/>
              </w:rPr>
            </w:pPr>
            <w:r>
              <w:rPr>
                <w:rFonts w:hint="eastAsia" w:ascii="宋体" w:hAnsi="宋体" w:cs="宋体"/>
                <w:color w:val="000000"/>
                <w:sz w:val="22"/>
                <w:szCs w:val="22"/>
              </w:rPr>
              <w:t>差：设备管理功能不方便、运维成本高、技术不先进，得0.5分。</w:t>
            </w:r>
          </w:p>
          <w:p>
            <w:pPr>
              <w:spacing w:line="420" w:lineRule="exact"/>
              <w:rPr>
                <w:rFonts w:ascii="宋体" w:hAnsi="宋体" w:cs="宋体"/>
                <w:color w:val="000000"/>
                <w:sz w:val="22"/>
                <w:szCs w:val="22"/>
              </w:rPr>
            </w:pPr>
            <w:r>
              <w:rPr>
                <w:rFonts w:hint="eastAsia" w:ascii="宋体" w:hAnsi="宋体" w:cs="宋体"/>
                <w:color w:val="000000"/>
                <w:sz w:val="22"/>
                <w:szCs w:val="22"/>
              </w:rPr>
              <w:t>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3</w:t>
            </w:r>
          </w:p>
        </w:tc>
        <w:tc>
          <w:tcPr>
            <w:tcW w:w="1685"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产品成熟可靠性</w:t>
            </w:r>
          </w:p>
        </w:tc>
        <w:tc>
          <w:tcPr>
            <w:tcW w:w="798"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3分</w:t>
            </w:r>
          </w:p>
        </w:tc>
        <w:tc>
          <w:tcPr>
            <w:tcW w:w="572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color w:val="000000"/>
                <w:sz w:val="22"/>
                <w:szCs w:val="22"/>
              </w:rPr>
            </w:pPr>
            <w:r>
              <w:rPr>
                <w:rFonts w:hint="eastAsia" w:ascii="宋体" w:hAnsi="宋体" w:cs="宋体"/>
                <w:color w:val="000000"/>
                <w:sz w:val="22"/>
                <w:szCs w:val="22"/>
              </w:rPr>
              <w:t>对投标设备的配置（设备规格详细、产地明确）、技术性能证书完备情况等进行评审：</w:t>
            </w:r>
          </w:p>
          <w:p>
            <w:pPr>
              <w:spacing w:line="420" w:lineRule="exact"/>
              <w:rPr>
                <w:rFonts w:ascii="宋体" w:hAnsi="宋体" w:cs="宋体"/>
                <w:color w:val="000000"/>
                <w:sz w:val="22"/>
                <w:szCs w:val="22"/>
              </w:rPr>
            </w:pPr>
            <w:r>
              <w:rPr>
                <w:rFonts w:hint="eastAsia" w:ascii="宋体" w:hAnsi="宋体" w:cs="宋体"/>
                <w:color w:val="000000"/>
                <w:sz w:val="22"/>
                <w:szCs w:val="22"/>
              </w:rPr>
              <w:t>相关设备规格、产地、检测证书完备且最优得3分；</w:t>
            </w:r>
          </w:p>
          <w:p>
            <w:pPr>
              <w:spacing w:line="420" w:lineRule="exact"/>
              <w:rPr>
                <w:rFonts w:ascii="宋体" w:hAnsi="宋体" w:cs="宋体"/>
                <w:color w:val="000000"/>
                <w:sz w:val="22"/>
                <w:szCs w:val="22"/>
              </w:rPr>
            </w:pPr>
            <w:r>
              <w:rPr>
                <w:rFonts w:hint="eastAsia" w:ascii="宋体" w:hAnsi="宋体" w:cs="宋体"/>
                <w:color w:val="000000"/>
                <w:sz w:val="22"/>
                <w:szCs w:val="22"/>
              </w:rPr>
              <w:t>相关设备规格、产地、检测证书较完备且较优得2分；</w:t>
            </w:r>
          </w:p>
          <w:p>
            <w:pPr>
              <w:spacing w:line="420" w:lineRule="exact"/>
              <w:rPr>
                <w:rFonts w:ascii="宋体" w:hAnsi="宋体" w:cs="宋体"/>
                <w:color w:val="000000"/>
                <w:sz w:val="22"/>
                <w:szCs w:val="22"/>
              </w:rPr>
            </w:pPr>
            <w:r>
              <w:rPr>
                <w:rFonts w:hint="eastAsia" w:ascii="宋体" w:hAnsi="宋体" w:cs="宋体"/>
                <w:color w:val="000000"/>
                <w:sz w:val="22"/>
                <w:szCs w:val="22"/>
              </w:rPr>
              <w:t>相关设备规格、产地、检测证书完整性一般得1分；</w:t>
            </w:r>
          </w:p>
          <w:p>
            <w:pPr>
              <w:spacing w:line="420" w:lineRule="exact"/>
              <w:rPr>
                <w:rFonts w:ascii="宋体" w:hAnsi="宋体" w:cs="宋体"/>
                <w:color w:val="000000"/>
                <w:sz w:val="22"/>
                <w:szCs w:val="22"/>
              </w:rPr>
            </w:pPr>
            <w:r>
              <w:rPr>
                <w:rFonts w:hint="eastAsia" w:ascii="宋体" w:hAnsi="宋体" w:cs="宋体"/>
                <w:color w:val="000000"/>
                <w:sz w:val="22"/>
                <w:szCs w:val="22"/>
              </w:rPr>
              <w:t>无相关设备规格、产地、检测证书得0分。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4</w:t>
            </w:r>
          </w:p>
        </w:tc>
        <w:tc>
          <w:tcPr>
            <w:tcW w:w="1685" w:type="dxa"/>
            <w:tcBorders>
              <w:top w:val="single" w:color="auto" w:sz="4" w:space="0"/>
              <w:left w:val="single" w:color="auto" w:sz="4" w:space="0"/>
              <w:bottom w:val="single" w:color="auto" w:sz="4" w:space="0"/>
              <w:right w:val="single" w:color="auto" w:sz="4" w:space="0"/>
            </w:tcBorders>
            <w:vAlign w:val="center"/>
          </w:tcPr>
          <w:p>
            <w:pPr>
              <w:tabs>
                <w:tab w:val="left" w:pos="540"/>
                <w:tab w:val="left" w:pos="8610"/>
              </w:tabs>
              <w:spacing w:line="420" w:lineRule="exact"/>
              <w:jc w:val="center"/>
              <w:rPr>
                <w:rFonts w:ascii="宋体" w:hAnsi="宋体"/>
                <w:color w:val="000000"/>
                <w:sz w:val="22"/>
                <w:szCs w:val="22"/>
              </w:rPr>
            </w:pPr>
            <w:r>
              <w:rPr>
                <w:rFonts w:hint="eastAsia" w:ascii="宋体" w:hAnsi="宋体"/>
                <w:color w:val="000000"/>
                <w:sz w:val="22"/>
                <w:szCs w:val="22"/>
              </w:rPr>
              <w:t>售后技术力量支持情况</w:t>
            </w:r>
          </w:p>
        </w:tc>
        <w:tc>
          <w:tcPr>
            <w:tcW w:w="798"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4分</w:t>
            </w:r>
          </w:p>
        </w:tc>
        <w:tc>
          <w:tcPr>
            <w:tcW w:w="572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color w:val="000000"/>
                <w:sz w:val="22"/>
                <w:szCs w:val="22"/>
              </w:rPr>
            </w:pPr>
            <w:r>
              <w:rPr>
                <w:rFonts w:hint="eastAsia" w:ascii="宋体" w:hAnsi="宋体" w:cs="宋体"/>
                <w:color w:val="000000"/>
                <w:sz w:val="22"/>
                <w:szCs w:val="22"/>
              </w:rPr>
              <w:t>对投标设备的安装、调试、培训计划、实施执行方案，提供详细、合理可行的售后服务方案进行评审，切合实际，完全满足或者优于采购要求，提供优质服务，并订制质量保证措施进行综合评价与比较：</w:t>
            </w:r>
          </w:p>
          <w:p>
            <w:pPr>
              <w:spacing w:line="420" w:lineRule="exact"/>
              <w:rPr>
                <w:rFonts w:ascii="宋体" w:hAnsi="宋体"/>
                <w:color w:val="000000"/>
                <w:sz w:val="22"/>
                <w:szCs w:val="22"/>
              </w:rPr>
            </w:pPr>
            <w:r>
              <w:rPr>
                <w:rFonts w:hint="eastAsia" w:ascii="宋体" w:hAnsi="宋体"/>
                <w:color w:val="000000"/>
                <w:sz w:val="22"/>
                <w:szCs w:val="22"/>
              </w:rPr>
              <w:t>优：方案完整合理、可行性强，完全满足并优于招标文件要求，得4分；</w:t>
            </w:r>
          </w:p>
          <w:p>
            <w:pPr>
              <w:spacing w:line="420" w:lineRule="exact"/>
              <w:rPr>
                <w:rFonts w:ascii="宋体" w:hAnsi="宋体"/>
                <w:color w:val="000000"/>
                <w:sz w:val="22"/>
                <w:szCs w:val="22"/>
              </w:rPr>
            </w:pPr>
            <w:r>
              <w:rPr>
                <w:rFonts w:hint="eastAsia" w:ascii="宋体" w:hAnsi="宋体"/>
                <w:color w:val="000000"/>
                <w:sz w:val="22"/>
                <w:szCs w:val="22"/>
              </w:rPr>
              <w:t>良：方案完整、可行性一般，符合招标文件要求，得2分；</w:t>
            </w:r>
          </w:p>
          <w:p>
            <w:pPr>
              <w:spacing w:line="420" w:lineRule="exact"/>
              <w:rPr>
                <w:rFonts w:ascii="宋体" w:hAnsi="宋体"/>
                <w:color w:val="000000"/>
                <w:sz w:val="22"/>
                <w:szCs w:val="22"/>
              </w:rPr>
            </w:pPr>
            <w:r>
              <w:rPr>
                <w:rFonts w:hint="eastAsia" w:ascii="宋体" w:hAnsi="宋体"/>
                <w:color w:val="000000"/>
                <w:sz w:val="22"/>
                <w:szCs w:val="22"/>
              </w:rPr>
              <w:t>中：方案基本完整、可行性较差，基本符合招标文件要求，得1分；</w:t>
            </w:r>
          </w:p>
          <w:p>
            <w:pPr>
              <w:spacing w:line="420" w:lineRule="exact"/>
              <w:rPr>
                <w:rFonts w:ascii="宋体" w:hAnsi="宋体" w:cs="宋体"/>
                <w:color w:val="000000"/>
                <w:sz w:val="22"/>
                <w:szCs w:val="22"/>
              </w:rPr>
            </w:pPr>
            <w:r>
              <w:rPr>
                <w:rFonts w:hint="eastAsia" w:ascii="宋体" w:hAnsi="宋体"/>
                <w:color w:val="000000"/>
                <w:sz w:val="22"/>
                <w:szCs w:val="22"/>
              </w:rPr>
              <w:t>差：未提供方案得0分。</w:t>
            </w:r>
          </w:p>
        </w:tc>
      </w:tr>
    </w:tbl>
    <w:p>
      <w:pPr>
        <w:pStyle w:val="55"/>
        <w:rPr>
          <w:lang w:val="en-US"/>
        </w:rPr>
      </w:pPr>
    </w:p>
    <w:p>
      <w:pPr>
        <w:spacing w:line="400" w:lineRule="exact"/>
        <w:jc w:val="left"/>
        <w:rPr>
          <w:rFonts w:ascii="宋体" w:hAnsi="宋体"/>
          <w:b/>
          <w:bCs/>
          <w:sz w:val="21"/>
          <w:szCs w:val="21"/>
        </w:rPr>
      </w:pPr>
      <w:r>
        <w:rPr>
          <w:rFonts w:hint="eastAsia" w:ascii="宋体" w:hAnsi="宋体"/>
          <w:b/>
          <w:bCs/>
          <w:sz w:val="21"/>
          <w:szCs w:val="21"/>
        </w:rPr>
        <w:br w:type="page"/>
      </w:r>
      <w:r>
        <w:rPr>
          <w:rFonts w:hint="eastAsia" w:ascii="宋体" w:hAnsi="宋体"/>
          <w:b/>
          <w:bCs/>
          <w:sz w:val="21"/>
          <w:szCs w:val="21"/>
        </w:rPr>
        <w:t>附表四：</w:t>
      </w:r>
    </w:p>
    <w:p>
      <w:pPr>
        <w:pStyle w:val="55"/>
        <w:ind w:firstLine="4096" w:firstLineChars="1700"/>
        <w:rPr>
          <w:b/>
          <w:bCs/>
          <w:lang w:val="en-US"/>
        </w:rPr>
      </w:pPr>
      <w:r>
        <w:rPr>
          <w:rFonts w:hint="eastAsia"/>
          <w:b/>
          <w:bCs/>
          <w:lang w:val="en-US"/>
        </w:rPr>
        <w:t>商务评分</w:t>
      </w:r>
    </w:p>
    <w:p>
      <w:pPr>
        <w:pStyle w:val="55"/>
        <w:ind w:firstLine="4096" w:firstLineChars="1700"/>
        <w:rPr>
          <w:b/>
          <w:bCs/>
          <w:lang w:val="en-US"/>
        </w:rPr>
      </w:pPr>
    </w:p>
    <w:tbl>
      <w:tblPr>
        <w:tblStyle w:val="46"/>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85"/>
        <w:gridCol w:w="798"/>
        <w:gridCol w:w="5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b/>
                <w:color w:val="000000"/>
                <w:sz w:val="22"/>
              </w:rPr>
            </w:pPr>
            <w:r>
              <w:rPr>
                <w:rFonts w:hint="eastAsia" w:ascii="宋体" w:eastAsia="宋体"/>
                <w:b/>
                <w:color w:val="000000"/>
                <w:sz w:val="22"/>
              </w:rPr>
              <w:t>序号</w:t>
            </w:r>
          </w:p>
        </w:tc>
        <w:tc>
          <w:tcPr>
            <w:tcW w:w="1685"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b/>
                <w:color w:val="000000"/>
                <w:sz w:val="22"/>
              </w:rPr>
            </w:pPr>
            <w:r>
              <w:rPr>
                <w:rFonts w:hint="eastAsia" w:ascii="宋体" w:eastAsia="宋体"/>
                <w:b/>
                <w:color w:val="000000"/>
                <w:sz w:val="22"/>
              </w:rPr>
              <w:t>评分内容</w:t>
            </w:r>
          </w:p>
        </w:tc>
        <w:tc>
          <w:tcPr>
            <w:tcW w:w="798"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b/>
                <w:color w:val="000000"/>
                <w:sz w:val="22"/>
              </w:rPr>
            </w:pPr>
            <w:r>
              <w:rPr>
                <w:rFonts w:hint="eastAsia" w:ascii="宋体" w:eastAsia="宋体"/>
                <w:b/>
                <w:color w:val="000000"/>
                <w:sz w:val="22"/>
              </w:rPr>
              <w:t>分值</w:t>
            </w:r>
          </w:p>
        </w:tc>
        <w:tc>
          <w:tcPr>
            <w:tcW w:w="5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b/>
                <w:color w:val="000000"/>
                <w:sz w:val="22"/>
              </w:rPr>
            </w:pPr>
            <w:r>
              <w:rPr>
                <w:rFonts w:hint="eastAsia" w:ascii="宋体" w:eastAsia="宋体"/>
                <w:b/>
                <w:color w:val="000000"/>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931" w:type="dxa"/>
            <w:gridSpan w:val="4"/>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b/>
                <w:color w:val="000000"/>
                <w:sz w:val="22"/>
              </w:rPr>
            </w:pPr>
            <w:r>
              <w:rPr>
                <w:rFonts w:hint="eastAsia" w:ascii="宋体" w:eastAsia="宋体"/>
                <w:b/>
                <w:color w:val="000000"/>
                <w:sz w:val="22"/>
              </w:rPr>
              <w:t>商务评分（15分）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1</w:t>
            </w:r>
          </w:p>
        </w:tc>
        <w:tc>
          <w:tcPr>
            <w:tcW w:w="1685"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项目业绩</w:t>
            </w:r>
          </w:p>
        </w:tc>
        <w:tc>
          <w:tcPr>
            <w:tcW w:w="798"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2分</w:t>
            </w:r>
          </w:p>
        </w:tc>
        <w:tc>
          <w:tcPr>
            <w:tcW w:w="572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00000"/>
                <w:sz w:val="22"/>
                <w:szCs w:val="22"/>
              </w:rPr>
            </w:pPr>
            <w:r>
              <w:rPr>
                <w:rFonts w:hint="eastAsia" w:ascii="宋体" w:hAnsi="宋体"/>
                <w:color w:val="000000"/>
                <w:sz w:val="22"/>
                <w:szCs w:val="22"/>
              </w:rPr>
              <w:t>2017年1月1日至今（以合同签订时间为准）：投标人所投产品在国内环境监测站使用的证明文件，每提供一个得0.4分，以上满分为2分。</w:t>
            </w:r>
          </w:p>
          <w:p>
            <w:pPr>
              <w:spacing w:line="420" w:lineRule="exact"/>
              <w:rPr>
                <w:rFonts w:ascii="宋体" w:hAnsi="宋体"/>
                <w:color w:val="000000"/>
                <w:sz w:val="22"/>
                <w:szCs w:val="22"/>
              </w:rPr>
            </w:pPr>
            <w:r>
              <w:rPr>
                <w:rFonts w:hint="eastAsia" w:ascii="宋体" w:hAnsi="宋体"/>
                <w:color w:val="000000"/>
                <w:sz w:val="22"/>
                <w:szCs w:val="22"/>
              </w:rPr>
              <w:t>提供采购合同或验收报告复印件加盖投标人公章作为证明材料。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2</w:t>
            </w:r>
          </w:p>
        </w:tc>
        <w:tc>
          <w:tcPr>
            <w:tcW w:w="1685"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公司实力</w:t>
            </w:r>
          </w:p>
        </w:tc>
        <w:tc>
          <w:tcPr>
            <w:tcW w:w="798"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5分</w:t>
            </w:r>
          </w:p>
        </w:tc>
        <w:tc>
          <w:tcPr>
            <w:tcW w:w="5724" w:type="dxa"/>
            <w:tcBorders>
              <w:top w:val="single" w:color="auto" w:sz="4" w:space="0"/>
              <w:left w:val="single" w:color="auto" w:sz="4" w:space="0"/>
              <w:bottom w:val="single" w:color="auto" w:sz="4" w:space="0"/>
              <w:right w:val="single" w:color="auto" w:sz="4" w:space="0"/>
            </w:tcBorders>
            <w:vAlign w:val="center"/>
          </w:tcPr>
          <w:p>
            <w:pPr>
              <w:numPr>
                <w:ilvl w:val="0"/>
                <w:numId w:val="47"/>
              </w:numPr>
              <w:spacing w:line="420" w:lineRule="exact"/>
              <w:rPr>
                <w:rFonts w:ascii="宋体" w:hAnsi="宋体" w:cs="宋体"/>
                <w:color w:val="000000"/>
                <w:sz w:val="22"/>
                <w:szCs w:val="22"/>
              </w:rPr>
            </w:pPr>
            <w:r>
              <w:rPr>
                <w:rFonts w:hint="eastAsia" w:ascii="宋体" w:hAnsi="宋体" w:cs="宋体"/>
                <w:color w:val="000000"/>
                <w:sz w:val="22"/>
                <w:szCs w:val="22"/>
              </w:rPr>
              <w:t>根据投标人2016年至今的财务状况进行评价：连续3年（含）以上盈利的，得3分；2年盈利的，得1.5分；1年盈利的，得0.5分，其他不得分。</w:t>
            </w:r>
          </w:p>
          <w:p>
            <w:pPr>
              <w:spacing w:line="420" w:lineRule="exact"/>
              <w:rPr>
                <w:rFonts w:ascii="宋体" w:hAnsi="宋体" w:cs="宋体"/>
                <w:color w:val="000000"/>
                <w:sz w:val="22"/>
                <w:szCs w:val="22"/>
              </w:rPr>
            </w:pPr>
            <w:r>
              <w:rPr>
                <w:rFonts w:hint="eastAsia" w:ascii="宋体" w:hAnsi="宋体" w:cs="宋体"/>
                <w:color w:val="000000"/>
                <w:sz w:val="22"/>
                <w:szCs w:val="22"/>
              </w:rPr>
              <w:t>（以经会计师事务所审计的财务报表复印件并加盖投标人公章为准）</w:t>
            </w:r>
          </w:p>
          <w:p>
            <w:pPr>
              <w:numPr>
                <w:ilvl w:val="0"/>
                <w:numId w:val="47"/>
              </w:numPr>
              <w:spacing w:line="420" w:lineRule="exact"/>
              <w:rPr>
                <w:rFonts w:ascii="宋体" w:hAnsi="宋体" w:cs="宋体"/>
                <w:color w:val="000000"/>
                <w:sz w:val="22"/>
                <w:szCs w:val="22"/>
              </w:rPr>
            </w:pPr>
            <w:r>
              <w:rPr>
                <w:rFonts w:hint="eastAsia" w:ascii="宋体" w:hAnsi="宋体"/>
                <w:color w:val="000000"/>
                <w:sz w:val="22"/>
                <w:szCs w:val="22"/>
              </w:rPr>
              <w:t>投标人具有有效的质量管理体系认证证书得1分。（须提供由国家认证认可监督管理部门批准设立的认证机构颁发并在有效期内的证书复印件并加盖投标人公章，否则不得分）</w:t>
            </w:r>
          </w:p>
          <w:p>
            <w:pPr>
              <w:numPr>
                <w:ilvl w:val="0"/>
                <w:numId w:val="47"/>
              </w:numPr>
              <w:spacing w:line="420" w:lineRule="exact"/>
              <w:rPr>
                <w:rFonts w:ascii="宋体" w:hAnsi="宋体" w:cs="宋体"/>
                <w:color w:val="000000"/>
                <w:sz w:val="22"/>
                <w:szCs w:val="22"/>
              </w:rPr>
            </w:pPr>
            <w:r>
              <w:rPr>
                <w:rFonts w:hint="eastAsia" w:ascii="宋体" w:hAnsi="宋体"/>
                <w:color w:val="000000"/>
                <w:sz w:val="22"/>
                <w:szCs w:val="22"/>
              </w:rPr>
              <w:t>投标人2014年以来获得市级（含市级）以上行政管理部门颁发的重合同守信用企业或守合同重信用企业证书的得1分。</w:t>
            </w:r>
          </w:p>
          <w:p>
            <w:pPr>
              <w:spacing w:line="420" w:lineRule="exact"/>
              <w:ind w:left="360"/>
              <w:rPr>
                <w:rFonts w:ascii="宋体" w:hAnsi="宋体" w:cs="宋体"/>
                <w:color w:val="000000"/>
                <w:sz w:val="22"/>
                <w:szCs w:val="22"/>
              </w:rPr>
            </w:pPr>
            <w:r>
              <w:rPr>
                <w:rFonts w:hint="eastAsia" w:ascii="宋体" w:hAnsi="宋体"/>
                <w:color w:val="000000"/>
                <w:sz w:val="22"/>
                <w:szCs w:val="22"/>
              </w:rPr>
              <w:t>（提供证明资料复印件并加盖投标人公章）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3</w:t>
            </w:r>
          </w:p>
        </w:tc>
        <w:tc>
          <w:tcPr>
            <w:tcW w:w="1685"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质保期及售后服务安排</w:t>
            </w:r>
          </w:p>
        </w:tc>
        <w:tc>
          <w:tcPr>
            <w:tcW w:w="798"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5分</w:t>
            </w:r>
          </w:p>
        </w:tc>
        <w:tc>
          <w:tcPr>
            <w:tcW w:w="5724" w:type="dxa"/>
            <w:tcBorders>
              <w:top w:val="single" w:color="auto" w:sz="4" w:space="0"/>
              <w:left w:val="single" w:color="auto" w:sz="4" w:space="0"/>
              <w:bottom w:val="single" w:color="auto" w:sz="4" w:space="0"/>
              <w:right w:val="single" w:color="auto" w:sz="4" w:space="0"/>
            </w:tcBorders>
            <w:vAlign w:val="center"/>
          </w:tcPr>
          <w:p>
            <w:pPr>
              <w:numPr>
                <w:ilvl w:val="0"/>
                <w:numId w:val="48"/>
              </w:numPr>
              <w:spacing w:line="420" w:lineRule="exact"/>
              <w:rPr>
                <w:rFonts w:ascii="宋体" w:hAnsi="宋体"/>
                <w:color w:val="000000"/>
                <w:sz w:val="22"/>
                <w:szCs w:val="22"/>
              </w:rPr>
            </w:pPr>
            <w:r>
              <w:rPr>
                <w:rFonts w:hint="eastAsia" w:ascii="宋体" w:hAnsi="宋体"/>
                <w:color w:val="000000"/>
                <w:sz w:val="22"/>
                <w:szCs w:val="22"/>
              </w:rPr>
              <w:t>售后应急服务及响应到场服务时间：</w:t>
            </w:r>
          </w:p>
          <w:p>
            <w:pPr>
              <w:spacing w:beforeLines="10" w:after="30" w:line="380" w:lineRule="exact"/>
              <w:rPr>
                <w:rFonts w:ascii="宋体" w:hAnsi="宋体" w:cs="宋体"/>
                <w:bCs/>
                <w:sz w:val="21"/>
                <w:szCs w:val="21"/>
              </w:rPr>
            </w:pPr>
            <w:r>
              <w:rPr>
                <w:rFonts w:hint="eastAsia" w:ascii="宋体" w:hAnsi="宋体" w:cs="宋体"/>
                <w:bCs/>
                <w:sz w:val="21"/>
                <w:szCs w:val="21"/>
              </w:rPr>
              <w:t>优：响应到场服务时间≤12小时的，得3分；</w:t>
            </w:r>
          </w:p>
          <w:p>
            <w:pPr>
              <w:spacing w:beforeLines="10" w:after="30" w:line="380" w:lineRule="exact"/>
              <w:rPr>
                <w:rFonts w:ascii="宋体" w:hAnsi="宋体" w:cs="宋体"/>
                <w:bCs/>
                <w:sz w:val="21"/>
                <w:szCs w:val="21"/>
              </w:rPr>
            </w:pPr>
            <w:r>
              <w:rPr>
                <w:rFonts w:hint="eastAsia" w:ascii="宋体" w:hAnsi="宋体" w:cs="宋体"/>
                <w:bCs/>
                <w:sz w:val="21"/>
                <w:szCs w:val="21"/>
              </w:rPr>
              <w:t>良：12小时＜响应到场服务时间≤24小时的，得2分；</w:t>
            </w:r>
          </w:p>
          <w:p>
            <w:pPr>
              <w:spacing w:beforeLines="10" w:after="30" w:line="380" w:lineRule="exact"/>
              <w:rPr>
                <w:rFonts w:ascii="宋体" w:hAnsi="宋体" w:cs="宋体"/>
                <w:bCs/>
                <w:sz w:val="21"/>
                <w:szCs w:val="21"/>
              </w:rPr>
            </w:pPr>
            <w:r>
              <w:rPr>
                <w:rFonts w:hint="eastAsia" w:ascii="宋体" w:hAnsi="宋体" w:cs="宋体"/>
                <w:bCs/>
                <w:sz w:val="21"/>
                <w:szCs w:val="21"/>
              </w:rPr>
              <w:t>差：响应到场服务时间＞24小时的，得1分；</w:t>
            </w:r>
          </w:p>
          <w:p>
            <w:pPr>
              <w:pStyle w:val="15"/>
              <w:rPr>
                <w:rFonts w:ascii="宋体" w:hAnsi="宋体" w:cs="宋体"/>
                <w:bCs/>
                <w:szCs w:val="21"/>
              </w:rPr>
            </w:pPr>
            <w:r>
              <w:rPr>
                <w:rFonts w:hint="eastAsia" w:ascii="宋体" w:hAnsi="宋体" w:cs="宋体"/>
                <w:bCs/>
                <w:szCs w:val="21"/>
              </w:rPr>
              <w:t>（投标人须提供服务承诺书并加盖投标人公章并附上相应响应可行性证明和方案说明。）</w:t>
            </w:r>
          </w:p>
          <w:p>
            <w:pPr>
              <w:numPr>
                <w:ilvl w:val="0"/>
                <w:numId w:val="48"/>
              </w:numPr>
              <w:spacing w:line="420" w:lineRule="exact"/>
              <w:rPr>
                <w:rFonts w:ascii="宋体" w:hAnsi="宋体"/>
                <w:color w:val="000000"/>
                <w:sz w:val="22"/>
                <w:szCs w:val="22"/>
              </w:rPr>
            </w:pPr>
            <w:r>
              <w:rPr>
                <w:rFonts w:hint="eastAsia" w:ascii="宋体" w:hAnsi="宋体"/>
                <w:color w:val="000000"/>
                <w:sz w:val="22"/>
                <w:szCs w:val="22"/>
              </w:rPr>
              <w:t>在采购人要求质保期基础上，所有产品每增加半年递加0.5分，最高得分2分。（须提供承诺函）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4</w:t>
            </w:r>
          </w:p>
        </w:tc>
        <w:tc>
          <w:tcPr>
            <w:tcW w:w="1685" w:type="dxa"/>
            <w:tcBorders>
              <w:top w:val="single" w:color="auto" w:sz="4" w:space="0"/>
              <w:left w:val="single" w:color="auto" w:sz="4" w:space="0"/>
              <w:bottom w:val="single" w:color="auto" w:sz="4" w:space="0"/>
              <w:right w:val="single" w:color="auto" w:sz="4" w:space="0"/>
            </w:tcBorders>
            <w:vAlign w:val="center"/>
          </w:tcPr>
          <w:p>
            <w:pPr>
              <w:tabs>
                <w:tab w:val="left" w:pos="540"/>
                <w:tab w:val="left" w:pos="8610"/>
              </w:tabs>
              <w:spacing w:line="420" w:lineRule="exact"/>
              <w:jc w:val="center"/>
              <w:rPr>
                <w:rFonts w:ascii="宋体" w:hAnsi="宋体" w:cs="仿宋_GB2312"/>
                <w:color w:val="000000"/>
                <w:sz w:val="22"/>
                <w:szCs w:val="22"/>
              </w:rPr>
            </w:pPr>
            <w:r>
              <w:rPr>
                <w:rFonts w:hint="eastAsia" w:ascii="宋体" w:hAnsi="宋体"/>
                <w:color w:val="000000"/>
                <w:sz w:val="22"/>
                <w:szCs w:val="22"/>
              </w:rPr>
              <w:t>投标人的履约方案</w:t>
            </w:r>
          </w:p>
        </w:tc>
        <w:tc>
          <w:tcPr>
            <w:tcW w:w="798" w:type="dxa"/>
            <w:tcBorders>
              <w:top w:val="single" w:color="auto" w:sz="4" w:space="0"/>
              <w:left w:val="single" w:color="auto" w:sz="4" w:space="0"/>
              <w:bottom w:val="single" w:color="auto" w:sz="4" w:space="0"/>
              <w:right w:val="single" w:color="auto" w:sz="4" w:space="0"/>
            </w:tcBorders>
            <w:vAlign w:val="center"/>
          </w:tcPr>
          <w:p>
            <w:pPr>
              <w:pStyle w:val="106"/>
              <w:spacing w:line="420" w:lineRule="exact"/>
              <w:ind w:firstLine="0" w:firstLineChars="0"/>
              <w:jc w:val="center"/>
              <w:rPr>
                <w:rFonts w:ascii="宋体" w:eastAsia="宋体"/>
                <w:color w:val="000000"/>
                <w:sz w:val="22"/>
              </w:rPr>
            </w:pPr>
            <w:r>
              <w:rPr>
                <w:rFonts w:hint="eastAsia" w:ascii="宋体" w:eastAsia="宋体"/>
                <w:color w:val="000000"/>
                <w:sz w:val="22"/>
              </w:rPr>
              <w:t>3分</w:t>
            </w:r>
          </w:p>
        </w:tc>
        <w:tc>
          <w:tcPr>
            <w:tcW w:w="572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00000"/>
                <w:sz w:val="22"/>
                <w:szCs w:val="22"/>
              </w:rPr>
            </w:pPr>
            <w:r>
              <w:rPr>
                <w:rFonts w:hint="eastAsia" w:ascii="宋体" w:hAnsi="宋体"/>
                <w:color w:val="000000"/>
                <w:sz w:val="22"/>
                <w:szCs w:val="22"/>
              </w:rPr>
              <w:t>根据投标人提供针对本项目提供的履约方案进行评比：</w:t>
            </w:r>
          </w:p>
          <w:p>
            <w:pPr>
              <w:spacing w:line="420" w:lineRule="exact"/>
              <w:rPr>
                <w:rFonts w:ascii="宋体" w:hAnsi="宋体"/>
                <w:color w:val="000000"/>
                <w:sz w:val="22"/>
                <w:szCs w:val="22"/>
              </w:rPr>
            </w:pPr>
            <w:r>
              <w:rPr>
                <w:rFonts w:hint="eastAsia" w:ascii="宋体" w:hAnsi="宋体"/>
                <w:color w:val="000000"/>
                <w:sz w:val="22"/>
                <w:szCs w:val="22"/>
              </w:rPr>
              <w:t>优：履约方案非常详细，得3分；</w:t>
            </w:r>
          </w:p>
          <w:p>
            <w:pPr>
              <w:spacing w:line="420" w:lineRule="exact"/>
              <w:rPr>
                <w:rFonts w:ascii="宋体" w:hAnsi="宋体"/>
                <w:color w:val="000000"/>
                <w:sz w:val="22"/>
                <w:szCs w:val="22"/>
              </w:rPr>
            </w:pPr>
            <w:r>
              <w:rPr>
                <w:rFonts w:hint="eastAsia" w:ascii="宋体" w:hAnsi="宋体"/>
                <w:color w:val="000000"/>
                <w:sz w:val="22"/>
                <w:szCs w:val="22"/>
              </w:rPr>
              <w:t>良：履约方案详细，得2分；</w:t>
            </w:r>
          </w:p>
          <w:p>
            <w:pPr>
              <w:spacing w:line="420" w:lineRule="exact"/>
              <w:rPr>
                <w:rFonts w:ascii="宋体" w:hAnsi="宋体"/>
                <w:color w:val="000000"/>
                <w:sz w:val="22"/>
                <w:szCs w:val="22"/>
              </w:rPr>
            </w:pPr>
            <w:r>
              <w:rPr>
                <w:rFonts w:hint="eastAsia" w:ascii="宋体" w:hAnsi="宋体"/>
                <w:color w:val="000000"/>
                <w:sz w:val="22"/>
                <w:szCs w:val="22"/>
              </w:rPr>
              <w:t>中：履约方案较一般，得1分；</w:t>
            </w:r>
          </w:p>
          <w:p>
            <w:pPr>
              <w:spacing w:line="420" w:lineRule="exact"/>
              <w:rPr>
                <w:rFonts w:ascii="宋体" w:hAnsi="宋体"/>
                <w:color w:val="000000"/>
                <w:sz w:val="22"/>
                <w:szCs w:val="22"/>
              </w:rPr>
            </w:pPr>
            <w:r>
              <w:rPr>
                <w:rFonts w:hint="eastAsia" w:ascii="宋体" w:hAnsi="宋体"/>
                <w:color w:val="000000"/>
                <w:sz w:val="22"/>
                <w:szCs w:val="22"/>
              </w:rPr>
              <w:t>差：履约方案较差，得0.5分；</w:t>
            </w:r>
          </w:p>
          <w:p>
            <w:pPr>
              <w:spacing w:line="420" w:lineRule="exact"/>
              <w:rPr>
                <w:rFonts w:ascii="宋体" w:hAnsi="宋体"/>
                <w:color w:val="000000"/>
                <w:sz w:val="22"/>
                <w:szCs w:val="22"/>
              </w:rPr>
            </w:pPr>
            <w:r>
              <w:rPr>
                <w:rFonts w:hint="eastAsia" w:ascii="宋体" w:hAnsi="宋体"/>
                <w:color w:val="000000"/>
                <w:sz w:val="22"/>
                <w:szCs w:val="22"/>
              </w:rPr>
              <w:t>未提供方案得0分。</w:t>
            </w:r>
          </w:p>
        </w:tc>
      </w:tr>
    </w:tbl>
    <w:p>
      <w:pPr>
        <w:spacing w:line="400" w:lineRule="exact"/>
        <w:jc w:val="left"/>
        <w:rPr>
          <w:rFonts w:ascii="宋体" w:hAnsi="宋体"/>
          <w:b/>
          <w:bCs/>
          <w:sz w:val="21"/>
          <w:szCs w:val="21"/>
        </w:rPr>
      </w:pPr>
      <w:r>
        <w:rPr>
          <w:rFonts w:hint="eastAsia" w:ascii="宋体" w:hAnsi="宋体"/>
          <w:b/>
          <w:bCs/>
          <w:sz w:val="21"/>
          <w:szCs w:val="21"/>
        </w:rPr>
        <w:br w:type="page"/>
      </w:r>
    </w:p>
    <w:p>
      <w:pPr>
        <w:spacing w:line="400" w:lineRule="exact"/>
        <w:jc w:val="left"/>
        <w:rPr>
          <w:rFonts w:ascii="宋体" w:hAnsi="宋体"/>
          <w:b/>
          <w:bCs/>
          <w:sz w:val="21"/>
          <w:szCs w:val="21"/>
        </w:rPr>
      </w:pPr>
      <w:r>
        <w:rPr>
          <w:rFonts w:hint="eastAsia" w:ascii="宋体" w:hAnsi="宋体"/>
          <w:b/>
          <w:bCs/>
          <w:sz w:val="21"/>
          <w:szCs w:val="21"/>
        </w:rPr>
        <w:t>附表五：</w:t>
      </w:r>
    </w:p>
    <w:p>
      <w:pPr>
        <w:pStyle w:val="55"/>
        <w:ind w:firstLine="420"/>
        <w:jc w:val="left"/>
        <w:rPr>
          <w:sz w:val="21"/>
          <w:szCs w:val="21"/>
        </w:rPr>
      </w:pPr>
    </w:p>
    <w:p>
      <w:pPr>
        <w:spacing w:beforeLines="50" w:afterLines="50" w:line="400" w:lineRule="exact"/>
        <w:jc w:val="center"/>
        <w:rPr>
          <w:rFonts w:ascii="宋体" w:hAnsi="宋体"/>
          <w:b/>
          <w:bCs/>
          <w:sz w:val="21"/>
          <w:szCs w:val="21"/>
        </w:rPr>
      </w:pPr>
      <w:r>
        <w:rPr>
          <w:rFonts w:hint="eastAsia" w:ascii="宋体" w:hAnsi="宋体"/>
          <w:b/>
          <w:bCs/>
          <w:sz w:val="21"/>
          <w:szCs w:val="21"/>
        </w:rPr>
        <w:t>价格评审表</w:t>
      </w:r>
    </w:p>
    <w:tbl>
      <w:tblPr>
        <w:tblStyle w:val="46"/>
        <w:tblW w:w="9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056"/>
        <w:gridCol w:w="1534"/>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94" w:hRule="atLeast"/>
          <w:jc w:val="center"/>
        </w:trPr>
        <w:tc>
          <w:tcPr>
            <w:tcW w:w="1056" w:type="dxa"/>
            <w:vAlign w:val="center"/>
          </w:tcPr>
          <w:p>
            <w:pPr>
              <w:autoSpaceDE w:val="0"/>
              <w:autoSpaceDN w:val="0"/>
              <w:adjustRightInd w:val="0"/>
              <w:spacing w:line="276" w:lineRule="auto"/>
              <w:jc w:val="center"/>
              <w:rPr>
                <w:rFonts w:ascii="宋体" w:hAnsi="宋体" w:cs="宋体"/>
                <w:b/>
                <w:kern w:val="0"/>
                <w:sz w:val="21"/>
                <w:szCs w:val="21"/>
              </w:rPr>
            </w:pPr>
            <w:r>
              <w:rPr>
                <w:rFonts w:hint="eastAsia" w:ascii="宋体" w:hAnsi="宋体" w:cs="宋体"/>
                <w:b/>
                <w:kern w:val="0"/>
                <w:sz w:val="21"/>
                <w:szCs w:val="21"/>
              </w:rPr>
              <w:t>序号</w:t>
            </w:r>
          </w:p>
        </w:tc>
        <w:tc>
          <w:tcPr>
            <w:tcW w:w="1534" w:type="dxa"/>
            <w:vAlign w:val="center"/>
          </w:tcPr>
          <w:p>
            <w:pPr>
              <w:autoSpaceDE w:val="0"/>
              <w:autoSpaceDN w:val="0"/>
              <w:adjustRightInd w:val="0"/>
              <w:spacing w:line="276" w:lineRule="auto"/>
              <w:jc w:val="center"/>
              <w:rPr>
                <w:rFonts w:ascii="宋体" w:hAnsi="宋体" w:cs="宋体"/>
                <w:b/>
                <w:kern w:val="0"/>
                <w:sz w:val="21"/>
                <w:szCs w:val="21"/>
              </w:rPr>
            </w:pPr>
            <w:r>
              <w:rPr>
                <w:rFonts w:hint="eastAsia" w:ascii="宋体" w:hAnsi="宋体" w:cs="宋体"/>
                <w:b/>
                <w:kern w:val="0"/>
                <w:sz w:val="21"/>
                <w:szCs w:val="21"/>
              </w:rPr>
              <w:t>评审项目</w:t>
            </w:r>
          </w:p>
        </w:tc>
        <w:tc>
          <w:tcPr>
            <w:tcW w:w="7057" w:type="dxa"/>
            <w:vAlign w:val="center"/>
          </w:tcPr>
          <w:p>
            <w:pPr>
              <w:autoSpaceDE w:val="0"/>
              <w:autoSpaceDN w:val="0"/>
              <w:adjustRightInd w:val="0"/>
              <w:spacing w:line="276" w:lineRule="auto"/>
              <w:jc w:val="center"/>
              <w:rPr>
                <w:rFonts w:ascii="宋体" w:hAnsi="宋体" w:cs="宋体"/>
                <w:b/>
                <w:kern w:val="0"/>
                <w:sz w:val="21"/>
                <w:szCs w:val="21"/>
              </w:rPr>
            </w:pPr>
            <w:r>
              <w:rPr>
                <w:rFonts w:hint="eastAsia" w:ascii="宋体" w:hAnsi="宋体" w:cs="宋体"/>
                <w:b/>
                <w:kern w:val="0"/>
                <w:sz w:val="21"/>
                <w:szCs w:val="21"/>
              </w:rPr>
              <w:t>评议内容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34" w:hRule="atLeast"/>
          <w:jc w:val="center"/>
        </w:trPr>
        <w:tc>
          <w:tcPr>
            <w:tcW w:w="1056" w:type="dxa"/>
            <w:vAlign w:val="center"/>
          </w:tcPr>
          <w:p>
            <w:pPr>
              <w:autoSpaceDE w:val="0"/>
              <w:autoSpaceDN w:val="0"/>
              <w:adjustRightInd w:val="0"/>
              <w:spacing w:line="276" w:lineRule="auto"/>
              <w:jc w:val="center"/>
              <w:rPr>
                <w:rFonts w:ascii="宋体" w:hAnsi="宋体" w:cs="宋体"/>
                <w:kern w:val="0"/>
                <w:sz w:val="21"/>
                <w:szCs w:val="21"/>
              </w:rPr>
            </w:pPr>
            <w:r>
              <w:rPr>
                <w:rFonts w:ascii="宋体" w:hAnsi="宋体" w:cs="宋体"/>
                <w:kern w:val="0"/>
                <w:sz w:val="21"/>
                <w:szCs w:val="21"/>
              </w:rPr>
              <w:t>1</w:t>
            </w:r>
          </w:p>
        </w:tc>
        <w:tc>
          <w:tcPr>
            <w:tcW w:w="1534" w:type="dxa"/>
            <w:vAlign w:val="center"/>
          </w:tcPr>
          <w:p>
            <w:pPr>
              <w:autoSpaceDE w:val="0"/>
              <w:autoSpaceDN w:val="0"/>
              <w:adjustRightInd w:val="0"/>
              <w:spacing w:line="276" w:lineRule="auto"/>
              <w:jc w:val="center"/>
              <w:rPr>
                <w:rFonts w:ascii="宋体" w:hAnsi="宋体" w:cs="宋体"/>
                <w:kern w:val="0"/>
                <w:sz w:val="21"/>
                <w:szCs w:val="21"/>
              </w:rPr>
            </w:pPr>
            <w:r>
              <w:rPr>
                <w:rFonts w:hint="eastAsia" w:ascii="宋体" w:hAnsi="宋体" w:cs="宋体"/>
                <w:kern w:val="0"/>
                <w:sz w:val="21"/>
                <w:szCs w:val="21"/>
              </w:rPr>
              <w:t>价格（</w:t>
            </w:r>
            <w:r>
              <w:rPr>
                <w:rFonts w:ascii="宋体" w:hAnsi="宋体" w:cs="宋体"/>
                <w:kern w:val="0"/>
                <w:sz w:val="21"/>
                <w:szCs w:val="21"/>
              </w:rPr>
              <w:t>30</w:t>
            </w:r>
            <w:r>
              <w:rPr>
                <w:rFonts w:hint="eastAsia" w:ascii="宋体" w:hAnsi="宋体" w:cs="宋体"/>
                <w:kern w:val="0"/>
                <w:sz w:val="21"/>
                <w:szCs w:val="21"/>
              </w:rPr>
              <w:t>分）</w:t>
            </w:r>
          </w:p>
        </w:tc>
        <w:tc>
          <w:tcPr>
            <w:tcW w:w="7057" w:type="dxa"/>
            <w:vAlign w:val="center"/>
          </w:tcPr>
          <w:p>
            <w:pPr>
              <w:snapToGrid w:val="0"/>
              <w:spacing w:line="276" w:lineRule="auto"/>
              <w:ind w:firstLine="441" w:firstLineChars="210"/>
              <w:jc w:val="left"/>
              <w:rPr>
                <w:rFonts w:ascii="宋体" w:hAnsi="宋体"/>
                <w:b/>
                <w:sz w:val="21"/>
                <w:szCs w:val="21"/>
              </w:rPr>
            </w:pPr>
            <w:r>
              <w:rPr>
                <w:rFonts w:hint="eastAsia" w:ascii="宋体" w:hAnsi="宋体"/>
                <w:sz w:val="21"/>
                <w:szCs w:val="21"/>
              </w:rPr>
              <w:t>评标委员会对入围的投标人的投标价格进行修正核实得出评标价。综合评分法中的价格分统一采用低价优先法计算，即满足招标文件要求（通过资格、符合性审查）且价格最低的有效投标报价（指修正核实后的价格，下同）为评标基准价，其价格分为满分。其他投标人的价格分统一按照下列公式计算：</w:t>
            </w:r>
          </w:p>
          <w:p>
            <w:pPr>
              <w:autoSpaceDE w:val="0"/>
              <w:autoSpaceDN w:val="0"/>
              <w:adjustRightInd w:val="0"/>
              <w:spacing w:line="276" w:lineRule="auto"/>
              <w:ind w:firstLine="441" w:firstLineChars="210"/>
              <w:jc w:val="left"/>
              <w:rPr>
                <w:rFonts w:ascii="宋体" w:hAnsi="宋体"/>
                <w:sz w:val="21"/>
                <w:szCs w:val="21"/>
              </w:rPr>
            </w:pPr>
            <w:r>
              <w:rPr>
                <w:rFonts w:hint="eastAsia" w:ascii="宋体" w:hAnsi="宋体"/>
                <w:sz w:val="21"/>
                <w:szCs w:val="21"/>
              </w:rPr>
              <w:t>投标报价得分</w:t>
            </w:r>
            <w:r>
              <w:rPr>
                <w:rFonts w:ascii="宋体" w:hAnsi="宋体"/>
                <w:sz w:val="21"/>
                <w:szCs w:val="21"/>
              </w:rPr>
              <w:t>=</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投标报价）</w:t>
            </w:r>
            <w:r>
              <w:rPr>
                <w:rFonts w:ascii="宋体" w:hAnsi="宋体"/>
                <w:sz w:val="21"/>
                <w:szCs w:val="21"/>
              </w:rPr>
              <w:t>x</w:t>
            </w:r>
            <w:r>
              <w:rPr>
                <w:rFonts w:hint="eastAsia" w:ascii="宋体" w:hAnsi="宋体"/>
                <w:sz w:val="21"/>
                <w:szCs w:val="21"/>
              </w:rPr>
              <w:t>30%</w:t>
            </w:r>
            <w:r>
              <w:rPr>
                <w:rFonts w:ascii="宋体" w:hAnsi="宋体"/>
                <w:sz w:val="21"/>
                <w:szCs w:val="21"/>
              </w:rPr>
              <w:t>x</w:t>
            </w:r>
            <w:r>
              <w:rPr>
                <w:rFonts w:hint="eastAsia" w:ascii="宋体" w:hAnsi="宋体"/>
                <w:sz w:val="21"/>
                <w:szCs w:val="21"/>
              </w:rPr>
              <w:t>100。</w:t>
            </w:r>
            <w:r>
              <w:rPr>
                <w:rFonts w:ascii="宋体" w:hAnsi="宋体"/>
                <w:sz w:val="21"/>
                <w:szCs w:val="21"/>
              </w:rPr>
              <w:t>（精确到0.01）</w:t>
            </w:r>
            <w:r>
              <w:rPr>
                <w:rFonts w:hint="eastAsia" w:ascii="宋体" w:hAnsi="宋体"/>
                <w:sz w:val="21"/>
                <w:szCs w:val="21"/>
              </w:rPr>
              <w:t>。</w:t>
            </w:r>
          </w:p>
          <w:p>
            <w:pPr>
              <w:autoSpaceDE w:val="0"/>
              <w:autoSpaceDN w:val="0"/>
              <w:adjustRightInd w:val="0"/>
              <w:spacing w:line="276" w:lineRule="auto"/>
              <w:ind w:firstLine="441" w:firstLineChars="210"/>
              <w:jc w:val="left"/>
              <w:rPr>
                <w:rFonts w:ascii="宋体" w:hAnsi="宋体"/>
                <w:sz w:val="21"/>
                <w:szCs w:val="21"/>
              </w:rPr>
            </w:pPr>
            <w:r>
              <w:rPr>
                <w:rFonts w:hint="eastAsia" w:ascii="宋体" w:hAnsi="宋体"/>
                <w:sz w:val="21"/>
                <w:szCs w:val="21"/>
              </w:rPr>
              <w:t>如符合评标办法中“小型和微型企业产品价格扣除”规定的，则按扣除之后的价格作为评标价。</w:t>
            </w:r>
          </w:p>
        </w:tc>
      </w:tr>
    </w:tbl>
    <w:p>
      <w:pPr>
        <w:jc w:val="left"/>
        <w:rPr>
          <w:sz w:val="21"/>
          <w:szCs w:val="21"/>
        </w:rPr>
      </w:pPr>
    </w:p>
    <w:p>
      <w:pPr>
        <w:pStyle w:val="3"/>
        <w:spacing w:line="400" w:lineRule="exact"/>
        <w:jc w:val="center"/>
        <w:rPr>
          <w:rFonts w:ascii="宋体" w:hAnsi="宋体"/>
          <w:b/>
          <w:bCs/>
          <w:sz w:val="32"/>
          <w:szCs w:val="32"/>
        </w:rPr>
      </w:pPr>
      <w:r>
        <w:rPr>
          <w:rFonts w:ascii="宋体" w:hAnsi="宋体"/>
          <w:b/>
          <w:bCs/>
          <w:sz w:val="21"/>
          <w:szCs w:val="21"/>
        </w:rPr>
        <w:br w:type="page"/>
      </w:r>
      <w:bookmarkStart w:id="116" w:name="_Toc368513819"/>
      <w:bookmarkStart w:id="117" w:name="_Toc492488517"/>
      <w:bookmarkStart w:id="118" w:name="_Toc17740"/>
      <w:r>
        <w:rPr>
          <w:rFonts w:hint="eastAsia" w:ascii="宋体" w:hAnsi="宋体"/>
          <w:b/>
          <w:bCs/>
          <w:sz w:val="32"/>
          <w:szCs w:val="32"/>
        </w:rPr>
        <w:t>第五部分 商务技术部分格式</w:t>
      </w:r>
      <w:bookmarkEnd w:id="116"/>
      <w:bookmarkEnd w:id="117"/>
      <w:bookmarkEnd w:id="118"/>
    </w:p>
    <w:p>
      <w:pPr>
        <w:jc w:val="center"/>
        <w:rPr>
          <w:b/>
          <w:sz w:val="36"/>
          <w:szCs w:val="36"/>
        </w:rPr>
      </w:pPr>
      <w:r>
        <w:rPr>
          <w:rFonts w:hint="eastAsia"/>
          <w:b/>
          <w:sz w:val="36"/>
          <w:szCs w:val="36"/>
        </w:rPr>
        <w:t>（封面）</w:t>
      </w:r>
    </w:p>
    <w:p>
      <w:pPr>
        <w:jc w:val="center"/>
        <w:rPr>
          <w:b/>
          <w:sz w:val="52"/>
          <w:szCs w:val="52"/>
        </w:rPr>
      </w:pPr>
    </w:p>
    <w:p>
      <w:pPr>
        <w:jc w:val="center"/>
        <w:rPr>
          <w:b/>
          <w:sz w:val="52"/>
          <w:szCs w:val="52"/>
        </w:rPr>
      </w:pPr>
    </w:p>
    <w:p>
      <w:pPr>
        <w:pStyle w:val="55"/>
        <w:ind w:firstLine="1044"/>
        <w:jc w:val="center"/>
        <w:rPr>
          <w:rFonts w:hint="eastAsia" w:eastAsia="宋体"/>
          <w:b/>
          <w:sz w:val="52"/>
          <w:szCs w:val="52"/>
          <w:lang w:val="en-US" w:eastAsia="zh-CN"/>
        </w:rPr>
      </w:pPr>
      <w:r>
        <w:rPr>
          <w:rFonts w:hint="eastAsia"/>
          <w:b/>
          <w:sz w:val="52"/>
          <w:szCs w:val="52"/>
          <w:lang w:val="en-US"/>
        </w:rPr>
        <w:t>气相色谱-质谱联用仪离子色谱仪</w:t>
      </w:r>
      <w:r>
        <w:rPr>
          <w:rFonts w:hint="eastAsia"/>
          <w:b/>
          <w:sz w:val="52"/>
          <w:szCs w:val="52"/>
          <w:lang w:val="en-US" w:eastAsia="zh-CN"/>
        </w:rPr>
        <w:t>等仪器设备采购(重新采购)</w:t>
      </w:r>
    </w:p>
    <w:p>
      <w:pPr>
        <w:pStyle w:val="55"/>
        <w:ind w:firstLine="1044"/>
        <w:jc w:val="center"/>
        <w:rPr>
          <w:b/>
          <w:sz w:val="52"/>
          <w:szCs w:val="52"/>
          <w:lang w:val="en-US"/>
        </w:rPr>
      </w:pPr>
    </w:p>
    <w:p>
      <w:pPr>
        <w:jc w:val="center"/>
        <w:rPr>
          <w:b/>
          <w:sz w:val="52"/>
          <w:szCs w:val="52"/>
        </w:rPr>
      </w:pPr>
      <w:r>
        <w:rPr>
          <w:rFonts w:hint="eastAsia"/>
          <w:b/>
          <w:sz w:val="52"/>
          <w:szCs w:val="52"/>
        </w:rPr>
        <w:t>商务技术标</w: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left"/>
        <w:rPr>
          <w:sz w:val="21"/>
          <w:szCs w:val="21"/>
        </w:rPr>
      </w:pPr>
    </w:p>
    <w:p>
      <w:pPr>
        <w:spacing w:line="700" w:lineRule="exact"/>
        <w:rPr>
          <w:sz w:val="28"/>
          <w:szCs w:val="28"/>
          <w:u w:val="single"/>
        </w:rPr>
      </w:pPr>
      <w:r>
        <w:rPr>
          <w:rFonts w:hint="eastAsia"/>
          <w:sz w:val="28"/>
          <w:szCs w:val="28"/>
        </w:rPr>
        <w:t>投标人名称（盖公章）：</w:t>
      </w:r>
    </w:p>
    <w:p>
      <w:pPr>
        <w:spacing w:line="700" w:lineRule="exact"/>
        <w:rPr>
          <w:sz w:val="28"/>
          <w:szCs w:val="28"/>
        </w:rPr>
      </w:pPr>
      <w:r>
        <w:rPr>
          <w:rFonts w:hint="eastAsia"/>
          <w:sz w:val="28"/>
          <w:szCs w:val="28"/>
        </w:rPr>
        <w:t>法定代表人或授权委托人签名：</w:t>
      </w:r>
    </w:p>
    <w:p>
      <w:pPr>
        <w:spacing w:line="700" w:lineRule="exact"/>
        <w:rPr>
          <w:sz w:val="28"/>
          <w:szCs w:val="28"/>
        </w:rPr>
      </w:pPr>
      <w:r>
        <w:rPr>
          <w:rFonts w:hint="eastAsia"/>
          <w:sz w:val="28"/>
          <w:szCs w:val="28"/>
        </w:rPr>
        <w:t>投标人地址：</w:t>
      </w:r>
    </w:p>
    <w:p>
      <w:pPr>
        <w:spacing w:line="700" w:lineRule="exact"/>
        <w:rPr>
          <w:sz w:val="28"/>
          <w:szCs w:val="28"/>
        </w:rPr>
      </w:pPr>
      <w:r>
        <w:rPr>
          <w:rFonts w:hint="eastAsia"/>
          <w:sz w:val="28"/>
          <w:szCs w:val="28"/>
        </w:rPr>
        <w:t>联系电话：</w:t>
      </w:r>
    </w:p>
    <w:p>
      <w:pPr>
        <w:spacing w:line="700" w:lineRule="exact"/>
        <w:rPr>
          <w:sz w:val="28"/>
          <w:szCs w:val="28"/>
          <w:u w:val="single"/>
        </w:rPr>
      </w:pPr>
      <w:r>
        <w:rPr>
          <w:rFonts w:hint="eastAsia"/>
          <w:sz w:val="28"/>
          <w:szCs w:val="28"/>
        </w:rPr>
        <w:t>传真：</w:t>
      </w:r>
    </w:p>
    <w:p>
      <w:pPr>
        <w:spacing w:line="700" w:lineRule="exact"/>
        <w:jc w:val="left"/>
        <w:rPr>
          <w:sz w:val="21"/>
          <w:szCs w:val="21"/>
          <w:u w:val="single"/>
        </w:rPr>
      </w:pPr>
    </w:p>
    <w:p>
      <w:pPr>
        <w:pStyle w:val="55"/>
        <w:rPr>
          <w:lang w:val="en-US"/>
        </w:rPr>
      </w:pPr>
    </w:p>
    <w:p>
      <w:pPr>
        <w:pStyle w:val="2"/>
        <w:keepNext w:val="0"/>
        <w:keepLines w:val="0"/>
        <w:widowControl/>
        <w:spacing w:before="188" w:after="188" w:line="400" w:lineRule="exact"/>
        <w:jc w:val="center"/>
        <w:rPr>
          <w:rFonts w:ascii="宋体" w:hAnsi="宋体" w:eastAsia="宋体" w:cs="Times New Roman"/>
          <w:bCs/>
          <w:kern w:val="2"/>
        </w:rPr>
      </w:pPr>
      <w:bookmarkStart w:id="119" w:name="_Toc6275"/>
      <w:r>
        <w:rPr>
          <w:rFonts w:hint="eastAsia" w:ascii="宋体" w:hAnsi="宋体" w:eastAsia="宋体" w:cs="Times New Roman"/>
          <w:bCs/>
          <w:kern w:val="2"/>
        </w:rPr>
        <w:t>第一章</w:t>
      </w:r>
      <w:bookmarkStart w:id="120" w:name="_Toc367012682"/>
      <w:bookmarkStart w:id="121" w:name="_Toc368513820"/>
      <w:r>
        <w:rPr>
          <w:rFonts w:hint="eastAsia" w:ascii="宋体" w:hAnsi="宋体" w:eastAsia="宋体" w:cs="Times New Roman"/>
          <w:bCs/>
          <w:kern w:val="2"/>
        </w:rPr>
        <w:t xml:space="preserve"> 目录</w:t>
      </w:r>
      <w:bookmarkEnd w:id="119"/>
      <w:bookmarkEnd w:id="120"/>
      <w:bookmarkEnd w:id="121"/>
    </w:p>
    <w:tbl>
      <w:tblPr>
        <w:tblStyle w:val="46"/>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709"/>
        <w:gridCol w:w="5061"/>
        <w:gridCol w:w="1034"/>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526" w:type="dxa"/>
            <w:tcBorders>
              <w:right w:val="single" w:color="auto" w:sz="4" w:space="0"/>
            </w:tcBorders>
            <w:vAlign w:val="center"/>
          </w:tcPr>
          <w:p>
            <w:pPr>
              <w:widowControl/>
              <w:spacing w:line="300" w:lineRule="exact"/>
              <w:jc w:val="left"/>
              <w:rPr>
                <w:rFonts w:ascii="宋体" w:hAnsi="宋体"/>
                <w:b/>
                <w:bCs/>
                <w:sz w:val="21"/>
                <w:szCs w:val="21"/>
              </w:rPr>
            </w:pPr>
            <w:r>
              <w:rPr>
                <w:rFonts w:hint="eastAsia" w:ascii="宋体" w:hAnsi="宋体"/>
                <w:b/>
                <w:bCs/>
                <w:sz w:val="21"/>
                <w:szCs w:val="21"/>
              </w:rPr>
              <w:t>类型名称</w:t>
            </w:r>
          </w:p>
        </w:tc>
        <w:tc>
          <w:tcPr>
            <w:tcW w:w="709" w:type="dxa"/>
            <w:tcBorders>
              <w:left w:val="single" w:color="auto" w:sz="4" w:space="0"/>
            </w:tcBorders>
            <w:vAlign w:val="center"/>
          </w:tcPr>
          <w:p>
            <w:pPr>
              <w:widowControl/>
              <w:spacing w:line="300" w:lineRule="exact"/>
              <w:jc w:val="left"/>
              <w:rPr>
                <w:rFonts w:ascii="宋体" w:hAnsi="宋体"/>
                <w:b/>
                <w:bCs/>
                <w:sz w:val="21"/>
                <w:szCs w:val="21"/>
              </w:rPr>
            </w:pPr>
            <w:r>
              <w:rPr>
                <w:rFonts w:hint="eastAsia" w:ascii="宋体" w:hAnsi="宋体"/>
                <w:b/>
                <w:bCs/>
                <w:sz w:val="21"/>
                <w:szCs w:val="21"/>
              </w:rPr>
              <w:t>序号</w:t>
            </w: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文件名称</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r>
              <w:rPr>
                <w:rFonts w:hint="eastAsia" w:ascii="宋体" w:hAnsi="宋体"/>
                <w:b/>
                <w:bCs/>
                <w:sz w:val="21"/>
                <w:szCs w:val="21"/>
              </w:rPr>
              <w:t>页码</w:t>
            </w:r>
          </w:p>
        </w:tc>
        <w:tc>
          <w:tcPr>
            <w:tcW w:w="1417" w:type="dxa"/>
            <w:tcBorders>
              <w:left w:val="single" w:color="auto" w:sz="4" w:space="0"/>
            </w:tcBorders>
            <w:vAlign w:val="center"/>
          </w:tcPr>
          <w:p>
            <w:pPr>
              <w:widowControl/>
              <w:spacing w:line="300" w:lineRule="exact"/>
              <w:jc w:val="left"/>
              <w:rPr>
                <w:rFonts w:ascii="宋体" w:hAnsi="宋体"/>
                <w:b/>
                <w:bCs/>
                <w:sz w:val="21"/>
                <w:szCs w:val="21"/>
              </w:rPr>
            </w:pPr>
            <w:r>
              <w:rPr>
                <w:rFonts w:hint="eastAsia" w:ascii="宋体" w:hAnsi="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526" w:type="dxa"/>
            <w:vMerge w:val="restart"/>
            <w:tcBorders>
              <w:right w:val="single" w:color="auto" w:sz="4" w:space="0"/>
            </w:tcBorders>
            <w:vAlign w:val="center"/>
          </w:tcPr>
          <w:p>
            <w:pPr>
              <w:widowControl/>
              <w:spacing w:line="300" w:lineRule="exact"/>
              <w:jc w:val="left"/>
              <w:rPr>
                <w:rFonts w:ascii="宋体" w:hAnsi="宋体"/>
                <w:b/>
                <w:bCs/>
                <w:sz w:val="21"/>
                <w:szCs w:val="21"/>
              </w:rPr>
            </w:pPr>
            <w:r>
              <w:rPr>
                <w:rFonts w:hint="eastAsia" w:ascii="宋体" w:hAnsi="宋体"/>
                <w:b/>
                <w:bCs/>
                <w:sz w:val="21"/>
                <w:szCs w:val="21"/>
              </w:rPr>
              <w:t>索引</w:t>
            </w:r>
          </w:p>
        </w:tc>
        <w:tc>
          <w:tcPr>
            <w:tcW w:w="709" w:type="dxa"/>
            <w:tcBorders>
              <w:left w:val="single" w:color="auto" w:sz="4" w:space="0"/>
            </w:tcBorders>
            <w:vAlign w:val="center"/>
          </w:tcPr>
          <w:p>
            <w:pPr>
              <w:widowControl/>
              <w:numPr>
                <w:ilvl w:val="0"/>
                <w:numId w:val="49"/>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ascii="宋体" w:hAnsi="宋体"/>
                <w:b/>
                <w:bCs/>
                <w:sz w:val="21"/>
                <w:szCs w:val="21"/>
              </w:rPr>
              <w:t>资格</w:t>
            </w:r>
            <w:r>
              <w:rPr>
                <w:rFonts w:hint="eastAsia" w:ascii="宋体" w:hAnsi="宋体"/>
                <w:b/>
                <w:bCs/>
                <w:sz w:val="21"/>
                <w:szCs w:val="21"/>
              </w:rPr>
              <w:t>、</w:t>
            </w:r>
            <w:r>
              <w:rPr>
                <w:rFonts w:ascii="宋体" w:hAnsi="宋体"/>
                <w:b/>
                <w:bCs/>
                <w:sz w:val="21"/>
                <w:szCs w:val="21"/>
              </w:rPr>
              <w:t>符合性</w:t>
            </w:r>
            <w:r>
              <w:rPr>
                <w:rFonts w:hint="eastAsia" w:ascii="宋体" w:hAnsi="宋体"/>
                <w:b/>
                <w:bCs/>
                <w:sz w:val="21"/>
                <w:szCs w:val="21"/>
              </w:rPr>
              <w:t>审查</w:t>
            </w:r>
            <w:r>
              <w:rPr>
                <w:rFonts w:ascii="宋体" w:hAnsi="宋体"/>
                <w:b/>
                <w:bCs/>
                <w:sz w:val="21"/>
                <w:szCs w:val="21"/>
              </w:rPr>
              <w:t>自查表</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49"/>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ascii="宋体" w:hAnsi="宋体"/>
                <w:b/>
                <w:bCs/>
                <w:sz w:val="21"/>
                <w:szCs w:val="21"/>
              </w:rPr>
              <w:t>评审</w:t>
            </w:r>
            <w:r>
              <w:rPr>
                <w:rFonts w:hint="eastAsia" w:ascii="宋体" w:hAnsi="宋体"/>
                <w:b/>
                <w:bCs/>
                <w:sz w:val="21"/>
                <w:szCs w:val="21"/>
              </w:rPr>
              <w:t>要素</w:t>
            </w:r>
            <w:r>
              <w:rPr>
                <w:rFonts w:ascii="宋体" w:hAnsi="宋体"/>
                <w:b/>
                <w:bCs/>
                <w:sz w:val="21"/>
                <w:szCs w:val="21"/>
              </w:rPr>
              <w:t>投标资料</w:t>
            </w:r>
            <w:r>
              <w:rPr>
                <w:rFonts w:hint="eastAsia" w:ascii="宋体" w:hAnsi="宋体"/>
                <w:b/>
                <w:bCs/>
                <w:sz w:val="21"/>
                <w:szCs w:val="21"/>
              </w:rPr>
              <w:t>索引表</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restart"/>
            <w:tcBorders>
              <w:right w:val="single" w:color="auto" w:sz="4" w:space="0"/>
            </w:tcBorders>
            <w:vAlign w:val="center"/>
          </w:tcPr>
          <w:p>
            <w:pPr>
              <w:widowControl/>
              <w:spacing w:line="300" w:lineRule="exact"/>
              <w:jc w:val="left"/>
              <w:rPr>
                <w:rFonts w:ascii="宋体" w:hAnsi="宋体"/>
                <w:b/>
                <w:bCs/>
                <w:sz w:val="21"/>
                <w:szCs w:val="21"/>
              </w:rPr>
            </w:pPr>
            <w:r>
              <w:rPr>
                <w:rFonts w:hint="eastAsia" w:ascii="宋体" w:hAnsi="宋体"/>
                <w:b/>
                <w:bCs/>
                <w:sz w:val="21"/>
                <w:szCs w:val="21"/>
              </w:rPr>
              <w:t>资格审查文件</w:t>
            </w:r>
          </w:p>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0"/>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资格声明函</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spacing w:line="300" w:lineRule="exact"/>
              <w:jc w:val="left"/>
              <w:rPr>
                <w:rFonts w:ascii="宋体" w:hAnsi="宋体"/>
                <w:bCs/>
                <w:sz w:val="21"/>
                <w:szCs w:val="21"/>
              </w:rPr>
            </w:pPr>
            <w:r>
              <w:rPr>
                <w:rFonts w:hint="eastAsia" w:ascii="宋体" w:hAnsi="宋体"/>
                <w:bCs/>
                <w:sz w:val="21"/>
                <w:szCs w:val="21"/>
              </w:rPr>
              <w:t>1.1</w:t>
            </w:r>
          </w:p>
        </w:tc>
        <w:tc>
          <w:tcPr>
            <w:tcW w:w="5061" w:type="dxa"/>
          </w:tcPr>
          <w:p>
            <w:pPr>
              <w:tabs>
                <w:tab w:val="left" w:pos="426"/>
              </w:tabs>
              <w:adjustRightInd w:val="0"/>
              <w:snapToGrid w:val="0"/>
              <w:spacing w:line="360" w:lineRule="auto"/>
              <w:jc w:val="left"/>
              <w:rPr>
                <w:rFonts w:ascii="宋体" w:hAnsi="宋体"/>
                <w:bCs/>
                <w:sz w:val="21"/>
                <w:szCs w:val="21"/>
              </w:rPr>
            </w:pPr>
            <w:r>
              <w:rPr>
                <w:rFonts w:hint="eastAsia" w:ascii="宋体" w:hAnsi="宋体"/>
                <w:bCs/>
                <w:sz w:val="21"/>
                <w:szCs w:val="21"/>
              </w:rPr>
              <w:t>2018年财务状况报告复印件，其他组织或投标人新成立不足一年提供银行出具的资信证明材料复印件；</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spacing w:line="300" w:lineRule="exact"/>
              <w:jc w:val="left"/>
              <w:rPr>
                <w:rFonts w:ascii="宋体" w:hAnsi="宋体"/>
                <w:bCs/>
                <w:sz w:val="21"/>
                <w:szCs w:val="21"/>
              </w:rPr>
            </w:pPr>
            <w:r>
              <w:rPr>
                <w:rFonts w:hint="eastAsia" w:ascii="宋体" w:hAnsi="宋体"/>
                <w:bCs/>
                <w:sz w:val="21"/>
                <w:szCs w:val="21"/>
              </w:rPr>
              <w:t>1.2</w:t>
            </w:r>
          </w:p>
        </w:tc>
        <w:tc>
          <w:tcPr>
            <w:tcW w:w="5061" w:type="dxa"/>
          </w:tcPr>
          <w:p>
            <w:pPr>
              <w:tabs>
                <w:tab w:val="left" w:pos="426"/>
              </w:tabs>
              <w:adjustRightInd w:val="0"/>
              <w:snapToGrid w:val="0"/>
              <w:spacing w:line="360" w:lineRule="auto"/>
              <w:jc w:val="left"/>
              <w:rPr>
                <w:rFonts w:ascii="宋体" w:hAnsi="宋体"/>
                <w:bCs/>
                <w:sz w:val="21"/>
                <w:szCs w:val="21"/>
              </w:rPr>
            </w:pPr>
            <w:r>
              <w:rPr>
                <w:rFonts w:hint="eastAsia" w:ascii="宋体" w:hAnsi="宋体"/>
                <w:bCs/>
                <w:sz w:val="21"/>
                <w:szCs w:val="21"/>
              </w:rPr>
              <w:t>2019年开具的缴纳税收的凭据证明材料复印件；如依法免税的，应提供相应文件证明其依法免税；</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spacing w:line="300" w:lineRule="exact"/>
              <w:jc w:val="left"/>
              <w:rPr>
                <w:rFonts w:ascii="宋体" w:hAnsi="宋体"/>
                <w:bCs/>
                <w:sz w:val="21"/>
                <w:szCs w:val="21"/>
              </w:rPr>
            </w:pPr>
            <w:r>
              <w:rPr>
                <w:rFonts w:hint="eastAsia" w:ascii="宋体" w:hAnsi="宋体"/>
                <w:bCs/>
                <w:sz w:val="21"/>
                <w:szCs w:val="21"/>
              </w:rPr>
              <w:t>1.3</w:t>
            </w:r>
          </w:p>
        </w:tc>
        <w:tc>
          <w:tcPr>
            <w:tcW w:w="5061" w:type="dxa"/>
          </w:tcPr>
          <w:p>
            <w:pPr>
              <w:tabs>
                <w:tab w:val="left" w:pos="426"/>
              </w:tabs>
              <w:adjustRightInd w:val="0"/>
              <w:snapToGrid w:val="0"/>
              <w:spacing w:line="360" w:lineRule="auto"/>
              <w:jc w:val="left"/>
              <w:rPr>
                <w:rFonts w:ascii="宋体" w:hAnsi="宋体"/>
                <w:bCs/>
                <w:sz w:val="21"/>
                <w:szCs w:val="21"/>
              </w:rPr>
            </w:pPr>
            <w:r>
              <w:rPr>
                <w:rFonts w:hint="eastAsia" w:ascii="宋体" w:hAnsi="宋体"/>
                <w:bCs/>
                <w:sz w:val="21"/>
                <w:szCs w:val="21"/>
              </w:rPr>
              <w:t>2019年开具的缴纳社会保险的凭据证明材料复印件；如依法不需要缴纳社会保障资金的，应提供相应文件证明其依法不需要缴纳社会保障资金。</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0"/>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符合“供应商资格”要求的其他证明文件</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spacing w:line="300" w:lineRule="exact"/>
              <w:jc w:val="left"/>
              <w:rPr>
                <w:rFonts w:ascii="宋体" w:hAnsi="宋体"/>
                <w:b/>
                <w:bCs/>
                <w:sz w:val="21"/>
                <w:szCs w:val="21"/>
              </w:rPr>
            </w:pPr>
            <w:r>
              <w:rPr>
                <w:rFonts w:hint="eastAsia" w:ascii="宋体" w:hAnsi="宋体"/>
                <w:b/>
                <w:bCs/>
                <w:sz w:val="21"/>
                <w:szCs w:val="21"/>
              </w:rPr>
              <w:t>2.1</w:t>
            </w:r>
          </w:p>
        </w:tc>
        <w:tc>
          <w:tcPr>
            <w:tcW w:w="5061" w:type="dxa"/>
            <w:vAlign w:val="center"/>
          </w:tcPr>
          <w:p>
            <w:pPr>
              <w:widowControl/>
              <w:spacing w:line="300" w:lineRule="exact"/>
              <w:jc w:val="left"/>
              <w:rPr>
                <w:rFonts w:ascii="宋体" w:hAnsi="宋体"/>
                <w:b/>
                <w:bCs/>
                <w:sz w:val="21"/>
                <w:szCs w:val="21"/>
              </w:rPr>
            </w:pPr>
            <w:r>
              <w:rPr>
                <w:rFonts w:hint="eastAsia" w:ascii="宋体" w:hAnsi="宋体"/>
                <w:bCs/>
                <w:sz w:val="21"/>
                <w:szCs w:val="21"/>
              </w:rPr>
              <w:t>有效的企业法人营业执照（或法人登记证）或者其他组织的营业执照复印件。</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spacing w:line="300" w:lineRule="exact"/>
              <w:jc w:val="left"/>
              <w:rPr>
                <w:rFonts w:ascii="宋体" w:hAnsi="宋体"/>
                <w:b/>
                <w:bCs/>
                <w:sz w:val="21"/>
                <w:szCs w:val="21"/>
              </w:rPr>
            </w:pPr>
            <w:r>
              <w:rPr>
                <w:rFonts w:hint="eastAsia" w:ascii="宋体" w:hAnsi="宋体"/>
                <w:b/>
                <w:bCs/>
                <w:sz w:val="21"/>
                <w:szCs w:val="21"/>
              </w:rPr>
              <w:t>2.2</w:t>
            </w: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投标人认为必要的其他文件。</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restart"/>
            <w:tcBorders>
              <w:right w:val="single" w:color="auto" w:sz="4" w:space="0"/>
            </w:tcBorders>
            <w:vAlign w:val="center"/>
          </w:tcPr>
          <w:p>
            <w:pPr>
              <w:widowControl/>
              <w:spacing w:line="240" w:lineRule="atLeast"/>
              <w:jc w:val="left"/>
              <w:rPr>
                <w:rFonts w:ascii="宋体" w:hAnsi="宋体"/>
                <w:b/>
                <w:bCs/>
                <w:sz w:val="21"/>
                <w:szCs w:val="21"/>
              </w:rPr>
            </w:pPr>
            <w:r>
              <w:rPr>
                <w:rFonts w:hint="eastAsia" w:ascii="宋体" w:hAnsi="宋体"/>
                <w:b/>
                <w:bCs/>
                <w:sz w:val="21"/>
                <w:szCs w:val="21"/>
              </w:rPr>
              <w:t>商务部分</w:t>
            </w:r>
          </w:p>
          <w:p>
            <w:pPr>
              <w:widowControl/>
              <w:spacing w:line="240" w:lineRule="atLeas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投标函</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法定代表人证明书或法定代表人授权委托书</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sz w:val="21"/>
                <w:szCs w:val="21"/>
              </w:rPr>
              <w:t>中小微企业声明函（可选）</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sz w:val="21"/>
                <w:szCs w:val="21"/>
              </w:rPr>
            </w:pPr>
            <w:r>
              <w:rPr>
                <w:rFonts w:hint="eastAsia" w:ascii="宋体" w:hAnsi="宋体"/>
                <w:b/>
                <w:sz w:val="21"/>
                <w:szCs w:val="21"/>
              </w:rPr>
              <w:t>残疾人福利性单位声明函（可选）</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sz w:val="21"/>
                <w:szCs w:val="21"/>
              </w:rPr>
            </w:pPr>
            <w:r>
              <w:rPr>
                <w:rFonts w:hint="eastAsia" w:ascii="宋体" w:hAnsi="宋体"/>
                <w:b/>
                <w:sz w:val="21"/>
                <w:szCs w:val="21"/>
              </w:rPr>
              <w:t>政策适用性说明（可选）</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实质性响应一览表</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sz w:val="21"/>
                <w:szCs w:val="21"/>
              </w:rPr>
              <w:t>投标响应与招标文件差异一览表</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投标人基本情况表</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项目经理/项目负责人简历表</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拟为本项目配置人员情况表</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类似项目业绩一览表</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投标保证金退还说明</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招标代理服务费承诺书</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hAnsi="宋体"/>
                <w:b/>
                <w:bCs/>
                <w:sz w:val="21"/>
                <w:szCs w:val="21"/>
              </w:rPr>
              <w:t>投标人认为必要的其他商务资料</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hAnsi="宋体"/>
                <w:b/>
                <w:bCs/>
                <w:sz w:val="21"/>
                <w:szCs w:val="21"/>
              </w:rPr>
            </w:pPr>
            <w:r>
              <w:rPr>
                <w:rFonts w:hint="eastAsia" w:hAnsi="宋体"/>
                <w:b/>
                <w:bCs/>
                <w:sz w:val="21"/>
                <w:szCs w:val="21"/>
              </w:rPr>
              <w:t>银行保函</w:t>
            </w:r>
            <w:r>
              <w:rPr>
                <w:rFonts w:hint="eastAsia" w:ascii="宋体" w:hAnsi="宋体"/>
                <w:b/>
                <w:sz w:val="21"/>
                <w:szCs w:val="21"/>
              </w:rPr>
              <w:t>（如已缴纳保证金，无须提供）</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sz w:val="21"/>
                <w:szCs w:val="21"/>
              </w:rPr>
              <w:t>政府采购投标担保函（如已缴纳保证金，无须提供）</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sz w:val="21"/>
                <w:szCs w:val="21"/>
              </w:rPr>
            </w:pPr>
            <w:r>
              <w:rPr>
                <w:rFonts w:hint="eastAsia" w:ascii="宋体" w:hAnsi="宋体"/>
                <w:b/>
                <w:sz w:val="21"/>
                <w:szCs w:val="21"/>
              </w:rPr>
              <w:t>制造商（总代理商）授权委托书（要求提交授权书时选用）</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联合体共同投标协议书（如项目允许联合体投标，联合体各方需签订）</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restart"/>
            <w:tcBorders>
              <w:top w:val="single" w:color="auto" w:sz="4" w:space="0"/>
              <w:right w:val="single" w:color="auto" w:sz="4" w:space="0"/>
            </w:tcBorders>
            <w:vAlign w:val="center"/>
          </w:tcPr>
          <w:p>
            <w:pPr>
              <w:widowControl/>
              <w:spacing w:line="240" w:lineRule="atLeast"/>
              <w:jc w:val="left"/>
              <w:rPr>
                <w:rFonts w:ascii="宋体" w:hAnsi="宋体"/>
                <w:b/>
                <w:bCs/>
                <w:sz w:val="21"/>
                <w:szCs w:val="21"/>
              </w:rPr>
            </w:pPr>
            <w:r>
              <w:rPr>
                <w:rFonts w:hint="eastAsia" w:ascii="宋体" w:hAnsi="宋体"/>
                <w:b/>
                <w:bCs/>
                <w:sz w:val="21"/>
                <w:szCs w:val="21"/>
              </w:rPr>
              <w:t>技术部分</w:t>
            </w:r>
          </w:p>
          <w:p>
            <w:pPr>
              <w:spacing w:line="300" w:lineRule="exact"/>
              <w:jc w:val="left"/>
              <w:rPr>
                <w:rFonts w:ascii="宋体" w:hAnsi="宋体"/>
                <w:b/>
                <w:bCs/>
                <w:sz w:val="21"/>
                <w:szCs w:val="21"/>
              </w:rPr>
            </w:pPr>
          </w:p>
        </w:tc>
        <w:tc>
          <w:tcPr>
            <w:tcW w:w="709" w:type="dxa"/>
            <w:tcBorders>
              <w:top w:val="single" w:color="auto" w:sz="4" w:space="0"/>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tcBorders>
              <w:top w:val="single" w:color="auto" w:sz="4" w:space="0"/>
            </w:tcBorders>
            <w:vAlign w:val="center"/>
          </w:tcPr>
          <w:p>
            <w:pPr>
              <w:autoSpaceDE w:val="0"/>
              <w:autoSpaceDN w:val="0"/>
              <w:adjustRightInd w:val="0"/>
              <w:jc w:val="left"/>
              <w:rPr>
                <w:rFonts w:ascii="宋体" w:hAnsi="宋体"/>
                <w:b/>
                <w:bCs/>
                <w:sz w:val="21"/>
                <w:szCs w:val="21"/>
              </w:rPr>
            </w:pPr>
            <w:r>
              <w:rPr>
                <w:rFonts w:hint="eastAsia" w:ascii="宋体" w:hAnsi="宋体"/>
                <w:b/>
                <w:bCs/>
                <w:sz w:val="21"/>
                <w:szCs w:val="21"/>
              </w:rPr>
              <w:t>详见《第五章 投标文件技术部分》</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51"/>
              </w:numPr>
              <w:spacing w:line="300" w:lineRule="exact"/>
              <w:jc w:val="left"/>
              <w:rPr>
                <w:rFonts w:ascii="宋体" w:hAnsi="宋体"/>
                <w:b/>
                <w:bCs/>
                <w:sz w:val="21"/>
                <w:szCs w:val="21"/>
              </w:rPr>
            </w:pPr>
          </w:p>
        </w:tc>
        <w:tc>
          <w:tcPr>
            <w:tcW w:w="5061" w:type="dxa"/>
            <w:vAlign w:val="center"/>
          </w:tcPr>
          <w:p>
            <w:pPr>
              <w:pStyle w:val="22"/>
              <w:spacing w:line="240" w:lineRule="exact"/>
              <w:jc w:val="left"/>
              <w:rPr>
                <w:rFonts w:hAnsi="宋体"/>
                <w:b/>
                <w:bCs/>
                <w:sz w:val="21"/>
              </w:rPr>
            </w:pPr>
            <w:r>
              <w:rPr>
                <w:rFonts w:hint="eastAsia" w:hAnsi="宋体"/>
                <w:b/>
                <w:bCs/>
                <w:sz w:val="21"/>
              </w:rPr>
              <w:t>投标人认为必要的其他技术资料</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bl>
    <w:p>
      <w:pPr>
        <w:widowControl/>
        <w:spacing w:line="300" w:lineRule="exact"/>
        <w:jc w:val="left"/>
        <w:rPr>
          <w:rFonts w:ascii="宋体" w:hAnsi="宋体"/>
          <w:b/>
          <w:bCs/>
          <w:sz w:val="21"/>
          <w:szCs w:val="21"/>
        </w:rPr>
      </w:pPr>
    </w:p>
    <w:p>
      <w:pPr>
        <w:widowControl/>
        <w:spacing w:line="300" w:lineRule="exact"/>
        <w:jc w:val="left"/>
        <w:rPr>
          <w:rFonts w:ascii="宋体" w:hAnsi="宋体"/>
          <w:b/>
          <w:bCs/>
          <w:sz w:val="21"/>
          <w:szCs w:val="21"/>
        </w:rPr>
      </w:pPr>
    </w:p>
    <w:p>
      <w:pPr>
        <w:widowControl/>
        <w:spacing w:line="300" w:lineRule="exact"/>
        <w:jc w:val="left"/>
        <w:rPr>
          <w:rFonts w:ascii="宋体" w:hAnsi="宋体"/>
          <w:b/>
          <w:bCs/>
          <w:sz w:val="21"/>
          <w:szCs w:val="21"/>
        </w:rPr>
      </w:pPr>
    </w:p>
    <w:p>
      <w:pPr>
        <w:pStyle w:val="2"/>
        <w:keepNext w:val="0"/>
        <w:keepLines w:val="0"/>
        <w:widowControl/>
        <w:spacing w:before="188" w:after="188" w:line="400" w:lineRule="exact"/>
        <w:jc w:val="center"/>
        <w:rPr>
          <w:rFonts w:ascii="宋体" w:hAnsi="宋体" w:eastAsia="宋体" w:cs="Times New Roman"/>
          <w:bCs/>
          <w:kern w:val="2"/>
        </w:rPr>
      </w:pPr>
      <w:r>
        <w:rPr>
          <w:rFonts w:ascii="宋体" w:hAnsi="宋体"/>
          <w:sz w:val="21"/>
          <w:szCs w:val="21"/>
        </w:rPr>
        <w:br w:type="page"/>
      </w:r>
      <w:bookmarkStart w:id="122" w:name="_Toc13291"/>
      <w:r>
        <w:rPr>
          <w:rFonts w:hint="eastAsia" w:ascii="宋体" w:hAnsi="宋体" w:eastAsia="宋体" w:cs="Times New Roman"/>
          <w:bCs/>
          <w:kern w:val="2"/>
        </w:rPr>
        <w:t>第二章 索引</w:t>
      </w:r>
      <w:bookmarkEnd w:id="122"/>
    </w:p>
    <w:p>
      <w:pPr>
        <w:pStyle w:val="2"/>
        <w:keepNext w:val="0"/>
        <w:keepLines w:val="0"/>
        <w:widowControl/>
        <w:numPr>
          <w:ilvl w:val="1"/>
          <w:numId w:val="52"/>
        </w:numPr>
        <w:spacing w:before="188" w:after="188" w:line="400" w:lineRule="exact"/>
        <w:jc w:val="center"/>
        <w:rPr>
          <w:rFonts w:ascii="宋体" w:hAnsi="宋体" w:eastAsia="宋体"/>
          <w:sz w:val="21"/>
          <w:szCs w:val="21"/>
        </w:rPr>
      </w:pPr>
      <w:bookmarkStart w:id="123" w:name="_Toc11830"/>
      <w:r>
        <w:rPr>
          <w:rFonts w:ascii="宋体" w:hAnsi="宋体" w:eastAsia="宋体"/>
          <w:sz w:val="21"/>
          <w:szCs w:val="21"/>
        </w:rPr>
        <w:t>资格</w:t>
      </w:r>
      <w:r>
        <w:rPr>
          <w:rFonts w:hint="eastAsia" w:ascii="宋体" w:hAnsi="宋体" w:eastAsia="宋体"/>
          <w:sz w:val="21"/>
          <w:szCs w:val="21"/>
        </w:rPr>
        <w:t>审查</w:t>
      </w:r>
      <w:r>
        <w:rPr>
          <w:rFonts w:ascii="宋体" w:hAnsi="宋体" w:eastAsia="宋体"/>
          <w:sz w:val="21"/>
          <w:szCs w:val="21"/>
        </w:rPr>
        <w:t>自查表</w:t>
      </w:r>
      <w:bookmarkEnd w:id="123"/>
    </w:p>
    <w:tbl>
      <w:tblPr>
        <w:tblStyle w:val="46"/>
        <w:tblW w:w="96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7"/>
        <w:gridCol w:w="5103"/>
        <w:gridCol w:w="1040"/>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46" w:hRule="atLeast"/>
          <w:jc w:val="center"/>
        </w:trPr>
        <w:tc>
          <w:tcPr>
            <w:tcW w:w="1437" w:type="dxa"/>
            <w:vAlign w:val="center"/>
          </w:tcPr>
          <w:p>
            <w:pPr>
              <w:spacing w:line="320" w:lineRule="atLeast"/>
              <w:ind w:left="-171"/>
              <w:jc w:val="left"/>
              <w:rPr>
                <w:rFonts w:ascii="宋体" w:hAnsi="宋体"/>
                <w:b/>
                <w:bCs/>
                <w:sz w:val="21"/>
                <w:szCs w:val="21"/>
              </w:rPr>
            </w:pPr>
            <w:r>
              <w:rPr>
                <w:rFonts w:ascii="宋体" w:hAnsi="宋体"/>
                <w:b/>
                <w:bCs/>
                <w:sz w:val="21"/>
                <w:szCs w:val="21"/>
              </w:rPr>
              <w:t>评审内容</w:t>
            </w:r>
          </w:p>
        </w:tc>
        <w:tc>
          <w:tcPr>
            <w:tcW w:w="5103" w:type="dxa"/>
            <w:vAlign w:val="center"/>
          </w:tcPr>
          <w:p>
            <w:pPr>
              <w:spacing w:line="320" w:lineRule="atLeast"/>
              <w:ind w:left="-171"/>
              <w:jc w:val="left"/>
              <w:rPr>
                <w:rFonts w:ascii="宋体" w:hAnsi="宋体"/>
                <w:b/>
                <w:bCs/>
                <w:sz w:val="21"/>
                <w:szCs w:val="21"/>
              </w:rPr>
            </w:pPr>
            <w:r>
              <w:rPr>
                <w:rFonts w:ascii="宋体" w:hAnsi="宋体"/>
                <w:b/>
                <w:bCs/>
                <w:sz w:val="21"/>
                <w:szCs w:val="21"/>
              </w:rPr>
              <w:t>招标文件要求</w:t>
            </w:r>
          </w:p>
        </w:tc>
        <w:tc>
          <w:tcPr>
            <w:tcW w:w="1040" w:type="dxa"/>
            <w:vAlign w:val="center"/>
          </w:tcPr>
          <w:p>
            <w:pPr>
              <w:spacing w:line="320" w:lineRule="atLeast"/>
              <w:ind w:left="-171"/>
              <w:jc w:val="left"/>
              <w:rPr>
                <w:rFonts w:ascii="宋体" w:hAnsi="宋体"/>
                <w:b/>
                <w:bCs/>
                <w:sz w:val="21"/>
                <w:szCs w:val="21"/>
              </w:rPr>
            </w:pPr>
            <w:r>
              <w:rPr>
                <w:rFonts w:ascii="宋体" w:hAnsi="宋体"/>
                <w:b/>
                <w:bCs/>
                <w:sz w:val="21"/>
                <w:szCs w:val="21"/>
              </w:rPr>
              <w:t>自查结论</w:t>
            </w:r>
          </w:p>
        </w:tc>
        <w:tc>
          <w:tcPr>
            <w:tcW w:w="2096" w:type="dxa"/>
            <w:vAlign w:val="center"/>
          </w:tcPr>
          <w:p>
            <w:pPr>
              <w:spacing w:line="320" w:lineRule="atLeast"/>
              <w:ind w:left="-171"/>
              <w:jc w:val="left"/>
              <w:rPr>
                <w:rFonts w:ascii="宋体" w:hAnsi="宋体"/>
                <w:b/>
                <w:bCs/>
                <w:sz w:val="21"/>
                <w:szCs w:val="21"/>
              </w:rPr>
            </w:pPr>
            <w:r>
              <w:rPr>
                <w:rFonts w:ascii="宋体" w:hAnsi="宋体"/>
                <w:b/>
                <w:bCs/>
                <w:sz w:val="21"/>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1437" w:type="dxa"/>
            <w:vMerge w:val="restart"/>
            <w:vAlign w:val="center"/>
          </w:tcPr>
          <w:p>
            <w:pPr>
              <w:spacing w:line="320" w:lineRule="atLeast"/>
              <w:ind w:left="113" w:right="113"/>
              <w:jc w:val="left"/>
              <w:rPr>
                <w:rFonts w:ascii="宋体" w:hAnsi="宋体"/>
                <w:sz w:val="21"/>
                <w:szCs w:val="21"/>
              </w:rPr>
            </w:pPr>
            <w:r>
              <w:rPr>
                <w:rFonts w:ascii="宋体" w:hAnsi="宋体"/>
                <w:sz w:val="21"/>
                <w:szCs w:val="21"/>
              </w:rPr>
              <w:t>资格检查</w:t>
            </w:r>
          </w:p>
        </w:tc>
        <w:tc>
          <w:tcPr>
            <w:tcW w:w="5103" w:type="dxa"/>
            <w:vAlign w:val="center"/>
          </w:tcPr>
          <w:p>
            <w:pPr>
              <w:adjustRightInd w:val="0"/>
              <w:snapToGrid w:val="0"/>
              <w:jc w:val="left"/>
              <w:rPr>
                <w:rFonts w:ascii="宋体" w:hAnsi="宋体" w:cs="宋体"/>
                <w:sz w:val="21"/>
                <w:szCs w:val="21"/>
              </w:rPr>
            </w:pPr>
            <w:r>
              <w:rPr>
                <w:rFonts w:hint="eastAsia" w:ascii="宋体" w:hAnsi="宋体" w:cs="宋体"/>
                <w:sz w:val="21"/>
                <w:szCs w:val="21"/>
              </w:rPr>
              <w:t>1.供应商具备《政府采购法》第二十二条所规定的条件：</w:t>
            </w:r>
          </w:p>
        </w:tc>
        <w:tc>
          <w:tcPr>
            <w:tcW w:w="1040" w:type="dxa"/>
            <w:vMerge w:val="restart"/>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1437" w:type="dxa"/>
            <w:vMerge w:val="continue"/>
            <w:vAlign w:val="center"/>
          </w:tcPr>
          <w:p>
            <w:pPr>
              <w:spacing w:line="320" w:lineRule="atLeast"/>
              <w:jc w:val="left"/>
              <w:rPr>
                <w:rFonts w:ascii="宋体" w:hAnsi="宋体" w:cs="宋体"/>
                <w:sz w:val="21"/>
                <w:szCs w:val="21"/>
              </w:rPr>
            </w:pPr>
          </w:p>
        </w:tc>
        <w:tc>
          <w:tcPr>
            <w:tcW w:w="5103" w:type="dxa"/>
            <w:vAlign w:val="center"/>
          </w:tcPr>
          <w:p>
            <w:pPr>
              <w:adjustRightInd w:val="0"/>
              <w:snapToGrid w:val="0"/>
              <w:jc w:val="left"/>
              <w:rPr>
                <w:rFonts w:ascii="宋体" w:hAnsi="宋体" w:cs="宋体"/>
                <w:sz w:val="21"/>
                <w:szCs w:val="21"/>
              </w:rPr>
            </w:pPr>
            <w:r>
              <w:rPr>
                <w:rFonts w:hint="eastAsia" w:ascii="宋体" w:hAnsi="宋体" w:cs="宋体"/>
                <w:sz w:val="21"/>
                <w:szCs w:val="21"/>
              </w:rPr>
              <w:t>1.1投标人资格声明函</w:t>
            </w:r>
          </w:p>
        </w:tc>
        <w:tc>
          <w:tcPr>
            <w:tcW w:w="1040" w:type="dxa"/>
            <w:vMerge w:val="continue"/>
            <w:vAlign w:val="center"/>
          </w:tcPr>
          <w:p>
            <w:pPr>
              <w:spacing w:line="320" w:lineRule="atLeast"/>
              <w:jc w:val="left"/>
              <w:rPr>
                <w:rFonts w:ascii="宋体" w:hAnsi="宋体"/>
                <w:sz w:val="21"/>
                <w:szCs w:val="21"/>
              </w:rPr>
            </w:pP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1437" w:type="dxa"/>
            <w:vMerge w:val="continue"/>
            <w:vAlign w:val="center"/>
          </w:tcPr>
          <w:p>
            <w:pPr>
              <w:spacing w:line="320" w:lineRule="atLeast"/>
              <w:jc w:val="left"/>
              <w:rPr>
                <w:rFonts w:ascii="宋体" w:hAnsi="宋体" w:cs="宋体"/>
                <w:sz w:val="21"/>
                <w:szCs w:val="21"/>
              </w:rPr>
            </w:pPr>
          </w:p>
        </w:tc>
        <w:tc>
          <w:tcPr>
            <w:tcW w:w="5103" w:type="dxa"/>
            <w:vAlign w:val="center"/>
          </w:tcPr>
          <w:p>
            <w:pPr>
              <w:adjustRightInd w:val="0"/>
              <w:snapToGrid w:val="0"/>
              <w:jc w:val="left"/>
              <w:rPr>
                <w:rFonts w:ascii="宋体" w:hAnsi="宋体" w:cs="宋体"/>
                <w:sz w:val="21"/>
                <w:szCs w:val="21"/>
              </w:rPr>
            </w:pPr>
            <w:r>
              <w:rPr>
                <w:rFonts w:hint="eastAsia" w:ascii="宋体" w:hAnsi="宋体"/>
                <w:bCs/>
                <w:sz w:val="21"/>
                <w:szCs w:val="21"/>
              </w:rPr>
              <w:t>2018年财务状况报告复印件，其他组织或投标人新成立不足一年提供银行出具的资信证明材料复印件</w:t>
            </w:r>
          </w:p>
        </w:tc>
        <w:tc>
          <w:tcPr>
            <w:tcW w:w="1040" w:type="dxa"/>
            <w:vMerge w:val="continue"/>
            <w:vAlign w:val="center"/>
          </w:tcPr>
          <w:p>
            <w:pPr>
              <w:spacing w:line="320" w:lineRule="atLeast"/>
              <w:jc w:val="left"/>
              <w:rPr>
                <w:rFonts w:ascii="宋体" w:hAnsi="宋体"/>
                <w:sz w:val="21"/>
                <w:szCs w:val="21"/>
              </w:rPr>
            </w:pP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1437" w:type="dxa"/>
            <w:vMerge w:val="continue"/>
            <w:vAlign w:val="center"/>
          </w:tcPr>
          <w:p>
            <w:pPr>
              <w:spacing w:line="320" w:lineRule="atLeast"/>
              <w:jc w:val="left"/>
              <w:rPr>
                <w:rFonts w:ascii="宋体" w:hAnsi="宋体" w:cs="宋体"/>
                <w:sz w:val="21"/>
                <w:szCs w:val="21"/>
              </w:rPr>
            </w:pPr>
          </w:p>
        </w:tc>
        <w:tc>
          <w:tcPr>
            <w:tcW w:w="5103" w:type="dxa"/>
            <w:vAlign w:val="center"/>
          </w:tcPr>
          <w:p>
            <w:pPr>
              <w:tabs>
                <w:tab w:val="left" w:pos="567"/>
              </w:tabs>
              <w:adjustRightInd w:val="0"/>
              <w:snapToGrid w:val="0"/>
              <w:jc w:val="left"/>
              <w:rPr>
                <w:rFonts w:ascii="宋体" w:hAnsi="宋体"/>
                <w:bCs/>
                <w:sz w:val="21"/>
                <w:szCs w:val="21"/>
              </w:rPr>
            </w:pPr>
            <w:r>
              <w:rPr>
                <w:rFonts w:hint="eastAsia" w:ascii="宋体" w:hAnsi="宋体"/>
                <w:bCs/>
                <w:sz w:val="21"/>
                <w:szCs w:val="21"/>
              </w:rPr>
              <w:t>2019年开具的缴纳税收的凭据证明材料复印件；如依法免税的，应提供相应文件证明其依法免税</w:t>
            </w:r>
          </w:p>
        </w:tc>
        <w:tc>
          <w:tcPr>
            <w:tcW w:w="1040" w:type="dxa"/>
            <w:vMerge w:val="continue"/>
            <w:vAlign w:val="center"/>
          </w:tcPr>
          <w:p>
            <w:pPr>
              <w:spacing w:line="320" w:lineRule="atLeast"/>
              <w:jc w:val="left"/>
              <w:rPr>
                <w:rFonts w:ascii="宋体" w:hAnsi="宋体"/>
                <w:sz w:val="21"/>
                <w:szCs w:val="21"/>
              </w:rPr>
            </w:pP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1437" w:type="dxa"/>
            <w:vMerge w:val="continue"/>
            <w:vAlign w:val="center"/>
          </w:tcPr>
          <w:p>
            <w:pPr>
              <w:spacing w:line="320" w:lineRule="atLeast"/>
              <w:jc w:val="left"/>
              <w:rPr>
                <w:rFonts w:ascii="宋体" w:hAnsi="宋体" w:cs="宋体"/>
                <w:sz w:val="21"/>
                <w:szCs w:val="21"/>
              </w:rPr>
            </w:pPr>
          </w:p>
        </w:tc>
        <w:tc>
          <w:tcPr>
            <w:tcW w:w="5103" w:type="dxa"/>
            <w:vAlign w:val="center"/>
          </w:tcPr>
          <w:p>
            <w:pPr>
              <w:tabs>
                <w:tab w:val="left" w:pos="567"/>
              </w:tabs>
              <w:adjustRightInd w:val="0"/>
              <w:snapToGrid w:val="0"/>
              <w:jc w:val="left"/>
              <w:rPr>
                <w:rFonts w:ascii="宋体" w:hAnsi="宋体"/>
                <w:bCs/>
                <w:sz w:val="21"/>
                <w:szCs w:val="21"/>
              </w:rPr>
            </w:pPr>
            <w:r>
              <w:rPr>
                <w:rFonts w:hint="eastAsia" w:ascii="宋体" w:hAnsi="宋体"/>
                <w:bCs/>
                <w:sz w:val="21"/>
                <w:szCs w:val="21"/>
              </w:rPr>
              <w:t>2019年开具的缴纳社会保险的凭据证明材料复印件；如依法不需要缴纳社会保障资金的，应提供相应文件证明其依法不需要缴纳社会保障资金</w:t>
            </w:r>
          </w:p>
        </w:tc>
        <w:tc>
          <w:tcPr>
            <w:tcW w:w="1040" w:type="dxa"/>
            <w:vMerge w:val="continue"/>
            <w:vAlign w:val="center"/>
          </w:tcPr>
          <w:p>
            <w:pPr>
              <w:spacing w:line="320" w:lineRule="atLeast"/>
              <w:jc w:val="left"/>
              <w:rPr>
                <w:rFonts w:ascii="宋体" w:hAnsi="宋体"/>
                <w:sz w:val="21"/>
                <w:szCs w:val="21"/>
              </w:rPr>
            </w:pP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1437" w:type="dxa"/>
            <w:vMerge w:val="continue"/>
            <w:vAlign w:val="center"/>
          </w:tcPr>
          <w:p>
            <w:pPr>
              <w:spacing w:line="320" w:lineRule="atLeast"/>
              <w:jc w:val="left"/>
              <w:rPr>
                <w:rFonts w:ascii="宋体" w:hAnsi="宋体" w:cs="宋体"/>
                <w:sz w:val="21"/>
                <w:szCs w:val="21"/>
              </w:rPr>
            </w:pPr>
          </w:p>
        </w:tc>
        <w:tc>
          <w:tcPr>
            <w:tcW w:w="5103" w:type="dxa"/>
            <w:vAlign w:val="center"/>
          </w:tcPr>
          <w:p>
            <w:pPr>
              <w:adjustRightInd w:val="0"/>
              <w:snapToGrid w:val="0"/>
              <w:jc w:val="left"/>
              <w:rPr>
                <w:rFonts w:ascii="宋体" w:hAnsi="宋体" w:cs="宋体"/>
                <w:sz w:val="21"/>
                <w:szCs w:val="21"/>
              </w:rPr>
            </w:pPr>
            <w:r>
              <w:rPr>
                <w:rFonts w:hint="eastAsia" w:ascii="宋体" w:hAnsi="宋体" w:cs="宋体"/>
                <w:sz w:val="21"/>
                <w:szCs w:val="21"/>
              </w:rPr>
              <w:t>1.2 有效的企业法人营业执照（或法人登记证）或者其他组织的营业执照复印件</w:t>
            </w:r>
          </w:p>
        </w:tc>
        <w:tc>
          <w:tcPr>
            <w:tcW w:w="1040" w:type="dxa"/>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1437" w:type="dxa"/>
            <w:vMerge w:val="continue"/>
            <w:vAlign w:val="center"/>
          </w:tcPr>
          <w:p>
            <w:pPr>
              <w:spacing w:line="320" w:lineRule="atLeast"/>
              <w:jc w:val="left"/>
              <w:rPr>
                <w:rFonts w:ascii="宋体" w:hAnsi="宋体" w:cs="宋体"/>
                <w:sz w:val="21"/>
                <w:szCs w:val="21"/>
              </w:rPr>
            </w:pPr>
          </w:p>
        </w:tc>
        <w:tc>
          <w:tcPr>
            <w:tcW w:w="5103" w:type="dxa"/>
            <w:vAlign w:val="center"/>
          </w:tcPr>
          <w:p>
            <w:pPr>
              <w:adjustRightInd w:val="0"/>
              <w:snapToGrid w:val="0"/>
              <w:jc w:val="left"/>
              <w:rPr>
                <w:rFonts w:ascii="宋体" w:hAnsi="宋体" w:cs="黑体"/>
                <w:sz w:val="21"/>
                <w:szCs w:val="21"/>
              </w:rPr>
            </w:pPr>
            <w:r>
              <w:rPr>
                <w:rFonts w:hint="eastAsia" w:ascii="宋体" w:hAnsi="宋体" w:cs="宋体"/>
                <w:sz w:val="21"/>
                <w:szCs w:val="21"/>
              </w:rPr>
              <w:t>1.3若以不具有独立承担民事责任能力的分支机构投标，须取得</w:t>
            </w:r>
            <w:r>
              <w:rPr>
                <w:rFonts w:hint="eastAsia" w:ascii="宋体" w:hAnsi="宋体" w:cs="黑体"/>
                <w:sz w:val="21"/>
                <w:szCs w:val="21"/>
              </w:rPr>
              <w:t>具有法人资格的总公司的授权书，并提供总公司营业执照副本复印件</w:t>
            </w:r>
          </w:p>
        </w:tc>
        <w:tc>
          <w:tcPr>
            <w:tcW w:w="1040" w:type="dxa"/>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1437" w:type="dxa"/>
            <w:vMerge w:val="continue"/>
            <w:vAlign w:val="center"/>
          </w:tcPr>
          <w:p>
            <w:pPr>
              <w:spacing w:line="320" w:lineRule="atLeast"/>
              <w:jc w:val="left"/>
              <w:rPr>
                <w:rFonts w:ascii="宋体" w:hAnsi="宋体" w:cs="宋体"/>
                <w:sz w:val="21"/>
                <w:szCs w:val="21"/>
              </w:rPr>
            </w:pPr>
          </w:p>
        </w:tc>
        <w:tc>
          <w:tcPr>
            <w:tcW w:w="5103" w:type="dxa"/>
            <w:vAlign w:val="center"/>
          </w:tcPr>
          <w:p>
            <w:pPr>
              <w:adjustRightInd w:val="0"/>
              <w:snapToGrid w:val="0"/>
              <w:jc w:val="left"/>
              <w:rPr>
                <w:rFonts w:ascii="宋体" w:hAnsi="宋体" w:cs="宋体"/>
                <w:sz w:val="21"/>
                <w:szCs w:val="21"/>
              </w:rPr>
            </w:pPr>
            <w:r>
              <w:rPr>
                <w:rFonts w:hint="eastAsia" w:ascii="宋体" w:hAnsi="宋体" w:cs="宋体"/>
                <w:sz w:val="21"/>
                <w:szCs w:val="21"/>
              </w:rPr>
              <w:t>2.本项目不接受联合体投标</w:t>
            </w:r>
          </w:p>
        </w:tc>
        <w:tc>
          <w:tcPr>
            <w:tcW w:w="1040" w:type="dxa"/>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1437" w:type="dxa"/>
            <w:vMerge w:val="continue"/>
            <w:vAlign w:val="center"/>
          </w:tcPr>
          <w:p>
            <w:pPr>
              <w:spacing w:line="320" w:lineRule="atLeast"/>
              <w:jc w:val="left"/>
              <w:rPr>
                <w:rFonts w:ascii="宋体" w:hAnsi="宋体" w:cs="宋体"/>
                <w:sz w:val="21"/>
                <w:szCs w:val="21"/>
              </w:rPr>
            </w:pPr>
          </w:p>
        </w:tc>
        <w:tc>
          <w:tcPr>
            <w:tcW w:w="5103" w:type="dxa"/>
            <w:vAlign w:val="center"/>
          </w:tcPr>
          <w:p>
            <w:pPr>
              <w:adjustRightInd w:val="0"/>
              <w:snapToGrid w:val="0"/>
              <w:jc w:val="left"/>
              <w:rPr>
                <w:rFonts w:ascii="宋体" w:hAnsi="宋体" w:cs="宋体"/>
                <w:sz w:val="21"/>
                <w:szCs w:val="21"/>
              </w:rPr>
            </w:pPr>
            <w:r>
              <w:rPr>
                <w:rFonts w:hint="eastAsia" w:ascii="宋体" w:hAnsi="宋体" w:cs="宋体"/>
                <w:sz w:val="21"/>
                <w:szCs w:val="21"/>
              </w:rPr>
              <w:t>3. 已成功办理报名及登记，并购买本次招标文件</w:t>
            </w:r>
          </w:p>
        </w:tc>
        <w:tc>
          <w:tcPr>
            <w:tcW w:w="1040" w:type="dxa"/>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hint="eastAsia" w:ascii="宋体" w:hAnsi="宋体"/>
                <w:sz w:val="21"/>
                <w:szCs w:val="21"/>
              </w:rPr>
              <w:t>/</w:t>
            </w:r>
          </w:p>
        </w:tc>
      </w:tr>
    </w:tbl>
    <w:p>
      <w:pPr>
        <w:pStyle w:val="16"/>
        <w:spacing w:line="360" w:lineRule="auto"/>
        <w:jc w:val="left"/>
        <w:rPr>
          <w:sz w:val="21"/>
          <w:szCs w:val="21"/>
        </w:rPr>
      </w:pPr>
      <w:r>
        <w:rPr>
          <w:sz w:val="21"/>
          <w:szCs w:val="21"/>
        </w:rPr>
        <w:t>注：以上材料将作为投标人资格审核的重要内容之一，投标人</w:t>
      </w:r>
      <w:r>
        <w:rPr>
          <w:rFonts w:hint="eastAsia"/>
          <w:sz w:val="21"/>
          <w:szCs w:val="21"/>
        </w:rPr>
        <w:t>应</w:t>
      </w:r>
      <w:r>
        <w:rPr>
          <w:sz w:val="21"/>
          <w:szCs w:val="21"/>
        </w:rPr>
        <w:t>严格按照其内容及序列要求在投标文件中对应如实提供，</w:t>
      </w:r>
      <w:r>
        <w:rPr>
          <w:rFonts w:hint="eastAsia"/>
          <w:sz w:val="21"/>
          <w:szCs w:val="21"/>
        </w:rPr>
        <w:t>请</w:t>
      </w:r>
      <w:r>
        <w:rPr>
          <w:sz w:val="21"/>
          <w:szCs w:val="21"/>
        </w:rPr>
        <w:t>在对应的</w:t>
      </w:r>
      <w:r>
        <w:rPr>
          <w:rFonts w:ascii="宋体" w:hAnsi="宋体"/>
          <w:sz w:val="21"/>
          <w:szCs w:val="21"/>
        </w:rPr>
        <w:t>□</w:t>
      </w:r>
      <w:r>
        <w:rPr>
          <w:sz w:val="21"/>
          <w:szCs w:val="21"/>
        </w:rPr>
        <w:t>打“√”。</w:t>
      </w:r>
    </w:p>
    <w:p>
      <w:pPr>
        <w:pStyle w:val="2"/>
        <w:keepNext w:val="0"/>
        <w:keepLines w:val="0"/>
        <w:widowControl/>
        <w:numPr>
          <w:ilvl w:val="1"/>
          <w:numId w:val="52"/>
        </w:numPr>
        <w:spacing w:before="188" w:after="188" w:line="400" w:lineRule="exact"/>
        <w:jc w:val="center"/>
        <w:rPr>
          <w:rFonts w:ascii="宋体" w:hAnsi="宋体" w:eastAsia="宋体"/>
          <w:sz w:val="21"/>
          <w:szCs w:val="21"/>
        </w:rPr>
      </w:pPr>
      <w:r>
        <w:rPr>
          <w:sz w:val="21"/>
          <w:szCs w:val="21"/>
        </w:rPr>
        <w:br w:type="page"/>
      </w:r>
      <w:bookmarkStart w:id="124" w:name="_Toc30398"/>
      <w:r>
        <w:rPr>
          <w:rFonts w:ascii="宋体" w:hAnsi="宋体" w:eastAsia="宋体"/>
          <w:sz w:val="21"/>
          <w:szCs w:val="21"/>
        </w:rPr>
        <w:t>符合性</w:t>
      </w:r>
      <w:r>
        <w:rPr>
          <w:rFonts w:hint="eastAsia" w:ascii="宋体" w:hAnsi="宋体" w:eastAsia="宋体"/>
          <w:sz w:val="21"/>
          <w:szCs w:val="21"/>
        </w:rPr>
        <w:t>审查</w:t>
      </w:r>
      <w:r>
        <w:rPr>
          <w:rFonts w:ascii="宋体" w:hAnsi="宋体" w:eastAsia="宋体"/>
          <w:sz w:val="21"/>
          <w:szCs w:val="21"/>
        </w:rPr>
        <w:t>自查表</w:t>
      </w:r>
      <w:bookmarkEnd w:id="124"/>
    </w:p>
    <w:tbl>
      <w:tblPr>
        <w:tblStyle w:val="46"/>
        <w:tblW w:w="96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0"/>
        <w:gridCol w:w="1388"/>
        <w:gridCol w:w="3495"/>
        <w:gridCol w:w="1957"/>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46" w:hRule="atLeast"/>
          <w:jc w:val="center"/>
        </w:trPr>
        <w:tc>
          <w:tcPr>
            <w:tcW w:w="2128" w:type="dxa"/>
            <w:gridSpan w:val="2"/>
            <w:vAlign w:val="center"/>
          </w:tcPr>
          <w:p>
            <w:pPr>
              <w:spacing w:line="320" w:lineRule="atLeast"/>
              <w:ind w:left="-171"/>
              <w:jc w:val="center"/>
              <w:rPr>
                <w:rFonts w:ascii="宋体" w:hAnsi="宋体"/>
                <w:b/>
                <w:bCs/>
                <w:sz w:val="21"/>
                <w:szCs w:val="21"/>
              </w:rPr>
            </w:pPr>
            <w:r>
              <w:rPr>
                <w:rFonts w:ascii="宋体" w:hAnsi="宋体"/>
                <w:b/>
                <w:bCs/>
                <w:sz w:val="21"/>
                <w:szCs w:val="21"/>
              </w:rPr>
              <w:t>评审内容</w:t>
            </w:r>
          </w:p>
        </w:tc>
        <w:tc>
          <w:tcPr>
            <w:tcW w:w="3495" w:type="dxa"/>
            <w:vAlign w:val="center"/>
          </w:tcPr>
          <w:p>
            <w:pPr>
              <w:spacing w:line="320" w:lineRule="atLeast"/>
              <w:ind w:left="-171"/>
              <w:jc w:val="center"/>
              <w:rPr>
                <w:rFonts w:ascii="宋体" w:hAnsi="宋体"/>
                <w:b/>
                <w:bCs/>
                <w:sz w:val="21"/>
                <w:szCs w:val="21"/>
              </w:rPr>
            </w:pPr>
            <w:r>
              <w:rPr>
                <w:rFonts w:ascii="宋体" w:hAnsi="宋体"/>
                <w:b/>
                <w:bCs/>
                <w:sz w:val="21"/>
                <w:szCs w:val="21"/>
              </w:rPr>
              <w:t>招标文件要求</w:t>
            </w:r>
          </w:p>
        </w:tc>
        <w:tc>
          <w:tcPr>
            <w:tcW w:w="1957" w:type="dxa"/>
            <w:vAlign w:val="center"/>
          </w:tcPr>
          <w:p>
            <w:pPr>
              <w:spacing w:line="320" w:lineRule="atLeast"/>
              <w:ind w:left="-171"/>
              <w:jc w:val="center"/>
              <w:rPr>
                <w:rFonts w:ascii="宋体" w:hAnsi="宋体"/>
                <w:b/>
                <w:bCs/>
                <w:sz w:val="21"/>
                <w:szCs w:val="21"/>
              </w:rPr>
            </w:pPr>
            <w:r>
              <w:rPr>
                <w:rFonts w:ascii="宋体" w:hAnsi="宋体"/>
                <w:b/>
                <w:bCs/>
                <w:sz w:val="21"/>
                <w:szCs w:val="21"/>
              </w:rPr>
              <w:t>自查结论</w:t>
            </w:r>
          </w:p>
        </w:tc>
        <w:tc>
          <w:tcPr>
            <w:tcW w:w="2096" w:type="dxa"/>
            <w:vAlign w:val="center"/>
          </w:tcPr>
          <w:p>
            <w:pPr>
              <w:spacing w:line="320" w:lineRule="atLeast"/>
              <w:ind w:left="-171"/>
              <w:jc w:val="center"/>
              <w:rPr>
                <w:rFonts w:ascii="宋体" w:hAnsi="宋体"/>
                <w:b/>
                <w:bCs/>
                <w:sz w:val="21"/>
                <w:szCs w:val="21"/>
              </w:rPr>
            </w:pPr>
            <w:r>
              <w:rPr>
                <w:rFonts w:ascii="宋体" w:hAnsi="宋体"/>
                <w:b/>
                <w:bCs/>
                <w:sz w:val="21"/>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740" w:type="dxa"/>
            <w:vMerge w:val="restart"/>
            <w:vAlign w:val="center"/>
          </w:tcPr>
          <w:p>
            <w:pPr>
              <w:spacing w:line="320" w:lineRule="atLeast"/>
              <w:jc w:val="left"/>
              <w:rPr>
                <w:rFonts w:ascii="宋体" w:hAnsi="宋体"/>
                <w:sz w:val="21"/>
                <w:szCs w:val="21"/>
              </w:rPr>
            </w:pPr>
            <w:r>
              <w:rPr>
                <w:rFonts w:ascii="宋体" w:hAnsi="宋体"/>
                <w:sz w:val="21"/>
                <w:szCs w:val="21"/>
              </w:rPr>
              <w:t>符合性审查</w:t>
            </w:r>
          </w:p>
        </w:tc>
        <w:tc>
          <w:tcPr>
            <w:tcW w:w="1388" w:type="dxa"/>
            <w:vAlign w:val="center"/>
          </w:tcPr>
          <w:p>
            <w:pPr>
              <w:spacing w:line="320" w:lineRule="atLeast"/>
              <w:jc w:val="left"/>
              <w:rPr>
                <w:rFonts w:ascii="宋体" w:hAnsi="宋体"/>
                <w:sz w:val="21"/>
                <w:szCs w:val="21"/>
              </w:rPr>
            </w:pPr>
            <w:r>
              <w:rPr>
                <w:rFonts w:ascii="宋体" w:hAnsi="宋体"/>
                <w:sz w:val="21"/>
                <w:szCs w:val="21"/>
              </w:rPr>
              <w:t>保证金（投标保证金交纳凭证）</w:t>
            </w:r>
          </w:p>
        </w:tc>
        <w:tc>
          <w:tcPr>
            <w:tcW w:w="3495" w:type="dxa"/>
            <w:vAlign w:val="center"/>
          </w:tcPr>
          <w:p>
            <w:pPr>
              <w:spacing w:line="320" w:lineRule="atLeast"/>
              <w:ind w:left="142" w:leftChars="59" w:right="142" w:rightChars="59"/>
              <w:jc w:val="left"/>
              <w:rPr>
                <w:rFonts w:ascii="宋体" w:hAnsi="宋体"/>
                <w:sz w:val="21"/>
                <w:szCs w:val="21"/>
              </w:rPr>
            </w:pPr>
            <w:r>
              <w:rPr>
                <w:rFonts w:hint="eastAsia" w:ascii="宋体" w:hAnsi="宋体"/>
                <w:sz w:val="21"/>
                <w:szCs w:val="21"/>
              </w:rPr>
              <w:t>金额详见投标须知前附表</w:t>
            </w:r>
            <w:r>
              <w:rPr>
                <w:rFonts w:ascii="宋体" w:hAnsi="宋体"/>
                <w:sz w:val="21"/>
                <w:szCs w:val="21"/>
              </w:rPr>
              <w:t>（转账、汇款的提供复印件加盖公章）</w:t>
            </w:r>
          </w:p>
        </w:tc>
        <w:tc>
          <w:tcPr>
            <w:tcW w:w="1957" w:type="dxa"/>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740" w:type="dxa"/>
            <w:vMerge w:val="continue"/>
            <w:vAlign w:val="center"/>
          </w:tcPr>
          <w:p>
            <w:pPr>
              <w:spacing w:line="320" w:lineRule="atLeast"/>
              <w:jc w:val="left"/>
              <w:rPr>
                <w:rFonts w:ascii="宋体" w:hAnsi="宋体"/>
                <w:sz w:val="21"/>
                <w:szCs w:val="21"/>
              </w:rPr>
            </w:pPr>
          </w:p>
        </w:tc>
        <w:tc>
          <w:tcPr>
            <w:tcW w:w="1388" w:type="dxa"/>
            <w:vAlign w:val="center"/>
          </w:tcPr>
          <w:p>
            <w:pPr>
              <w:spacing w:line="320" w:lineRule="atLeast"/>
              <w:jc w:val="left"/>
              <w:rPr>
                <w:rFonts w:ascii="宋体" w:hAnsi="宋体"/>
                <w:sz w:val="21"/>
                <w:szCs w:val="21"/>
              </w:rPr>
            </w:pPr>
            <w:r>
              <w:rPr>
                <w:rFonts w:hint="eastAsia" w:ascii="宋体" w:hAnsi="宋体" w:cs="宋体"/>
                <w:sz w:val="21"/>
                <w:szCs w:val="21"/>
              </w:rPr>
              <w:t>投标有效期</w:t>
            </w:r>
          </w:p>
        </w:tc>
        <w:tc>
          <w:tcPr>
            <w:tcW w:w="3495" w:type="dxa"/>
            <w:vAlign w:val="center"/>
          </w:tcPr>
          <w:p>
            <w:pPr>
              <w:spacing w:line="320" w:lineRule="atLeast"/>
              <w:ind w:left="142" w:leftChars="59" w:right="142" w:rightChars="59"/>
              <w:jc w:val="left"/>
              <w:rPr>
                <w:rFonts w:ascii="宋体" w:hAnsi="宋体"/>
                <w:sz w:val="21"/>
                <w:szCs w:val="21"/>
              </w:rPr>
            </w:pPr>
            <w:r>
              <w:rPr>
                <w:rFonts w:ascii="宋体" w:hAnsi="宋体"/>
                <w:sz w:val="21"/>
                <w:szCs w:val="21"/>
              </w:rPr>
              <w:t>投标函</w:t>
            </w:r>
            <w:r>
              <w:rPr>
                <w:rFonts w:hint="eastAsia" w:ascii="宋体" w:hAnsi="宋体"/>
                <w:sz w:val="21"/>
                <w:szCs w:val="21"/>
              </w:rPr>
              <w:t>（投标人的投标有效期为自投标截止之日起90日）</w:t>
            </w:r>
          </w:p>
        </w:tc>
        <w:tc>
          <w:tcPr>
            <w:tcW w:w="1957" w:type="dxa"/>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740" w:type="dxa"/>
            <w:vMerge w:val="continue"/>
            <w:vAlign w:val="center"/>
          </w:tcPr>
          <w:p>
            <w:pPr>
              <w:spacing w:line="320" w:lineRule="atLeast"/>
              <w:jc w:val="left"/>
              <w:rPr>
                <w:rFonts w:ascii="宋体" w:hAnsi="宋体"/>
                <w:sz w:val="21"/>
                <w:szCs w:val="21"/>
              </w:rPr>
            </w:pPr>
          </w:p>
        </w:tc>
        <w:tc>
          <w:tcPr>
            <w:tcW w:w="1388" w:type="dxa"/>
            <w:vAlign w:val="center"/>
          </w:tcPr>
          <w:p>
            <w:pPr>
              <w:spacing w:line="320" w:lineRule="atLeast"/>
              <w:jc w:val="left"/>
              <w:rPr>
                <w:rFonts w:ascii="宋体" w:hAnsi="宋体"/>
                <w:sz w:val="21"/>
                <w:szCs w:val="21"/>
              </w:rPr>
            </w:pPr>
            <w:r>
              <w:rPr>
                <w:rFonts w:hint="eastAsia" w:ascii="宋体" w:hAnsi="宋体" w:cs="宋体"/>
                <w:sz w:val="21"/>
                <w:szCs w:val="21"/>
              </w:rPr>
              <w:t>项目预算/最高限价</w:t>
            </w:r>
          </w:p>
        </w:tc>
        <w:tc>
          <w:tcPr>
            <w:tcW w:w="3495" w:type="dxa"/>
            <w:vAlign w:val="center"/>
          </w:tcPr>
          <w:p>
            <w:pPr>
              <w:spacing w:line="320" w:lineRule="atLeast"/>
              <w:ind w:left="142" w:leftChars="59" w:right="142" w:rightChars="59"/>
              <w:jc w:val="left"/>
              <w:rPr>
                <w:rFonts w:ascii="宋体" w:hAnsi="宋体"/>
                <w:sz w:val="21"/>
                <w:szCs w:val="21"/>
              </w:rPr>
            </w:pPr>
            <w:r>
              <w:rPr>
                <w:rFonts w:hint="eastAsia" w:ascii="宋体" w:hAnsi="宋体" w:cs="宋体"/>
                <w:sz w:val="21"/>
                <w:szCs w:val="21"/>
              </w:rPr>
              <w:t>投标报价没有超出项目预算/最高限价</w:t>
            </w:r>
          </w:p>
        </w:tc>
        <w:tc>
          <w:tcPr>
            <w:tcW w:w="1957" w:type="dxa"/>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740" w:type="dxa"/>
            <w:vMerge w:val="continue"/>
            <w:vAlign w:val="center"/>
          </w:tcPr>
          <w:p>
            <w:pPr>
              <w:spacing w:line="320" w:lineRule="atLeast"/>
              <w:jc w:val="left"/>
              <w:rPr>
                <w:rFonts w:ascii="宋体" w:hAnsi="宋体"/>
                <w:sz w:val="21"/>
                <w:szCs w:val="21"/>
              </w:rPr>
            </w:pPr>
          </w:p>
        </w:tc>
        <w:tc>
          <w:tcPr>
            <w:tcW w:w="1388" w:type="dxa"/>
            <w:vAlign w:val="center"/>
          </w:tcPr>
          <w:p>
            <w:pPr>
              <w:spacing w:line="320" w:lineRule="atLeast"/>
              <w:jc w:val="left"/>
              <w:rPr>
                <w:rFonts w:ascii="宋体" w:hAnsi="宋体" w:cs="宋体"/>
                <w:sz w:val="21"/>
                <w:szCs w:val="21"/>
              </w:rPr>
            </w:pPr>
            <w:r>
              <w:rPr>
                <w:rFonts w:hint="eastAsia" w:ascii="宋体" w:hAnsi="宋体" w:cs="宋体"/>
                <w:sz w:val="21"/>
                <w:szCs w:val="21"/>
              </w:rPr>
              <w:t>投标文件签署合格</w:t>
            </w:r>
          </w:p>
        </w:tc>
        <w:tc>
          <w:tcPr>
            <w:tcW w:w="3495" w:type="dxa"/>
            <w:vAlign w:val="center"/>
          </w:tcPr>
          <w:p>
            <w:pPr>
              <w:spacing w:line="320" w:lineRule="atLeast"/>
              <w:ind w:left="142" w:leftChars="59" w:right="142" w:rightChars="59"/>
              <w:jc w:val="left"/>
              <w:rPr>
                <w:rFonts w:ascii="宋体" w:hAnsi="宋体"/>
                <w:sz w:val="21"/>
                <w:szCs w:val="21"/>
              </w:rPr>
            </w:pPr>
            <w:r>
              <w:rPr>
                <w:rFonts w:ascii="宋体" w:hAnsi="宋体"/>
                <w:sz w:val="21"/>
                <w:szCs w:val="21"/>
              </w:rPr>
              <w:t>按对应格式文件签署、盖章</w:t>
            </w:r>
          </w:p>
        </w:tc>
        <w:tc>
          <w:tcPr>
            <w:tcW w:w="1957" w:type="dxa"/>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740" w:type="dxa"/>
            <w:vMerge w:val="continue"/>
            <w:vAlign w:val="center"/>
          </w:tcPr>
          <w:p>
            <w:pPr>
              <w:spacing w:line="320" w:lineRule="atLeast"/>
              <w:jc w:val="left"/>
              <w:rPr>
                <w:rFonts w:ascii="宋体" w:hAnsi="宋体"/>
                <w:sz w:val="21"/>
                <w:szCs w:val="21"/>
              </w:rPr>
            </w:pPr>
          </w:p>
        </w:tc>
        <w:tc>
          <w:tcPr>
            <w:tcW w:w="1388" w:type="dxa"/>
            <w:vAlign w:val="center"/>
          </w:tcPr>
          <w:p>
            <w:pPr>
              <w:spacing w:line="320" w:lineRule="atLeast"/>
              <w:jc w:val="left"/>
              <w:rPr>
                <w:rFonts w:ascii="宋体" w:hAnsi="宋体" w:cs="宋体"/>
                <w:sz w:val="21"/>
                <w:szCs w:val="21"/>
              </w:rPr>
            </w:pPr>
            <w:r>
              <w:rPr>
                <w:rFonts w:hint="eastAsia" w:ascii="宋体" w:hAnsi="宋体" w:cs="宋体"/>
                <w:sz w:val="21"/>
                <w:szCs w:val="21"/>
              </w:rPr>
              <w:t>法定代表人证明\授权证明</w:t>
            </w:r>
          </w:p>
        </w:tc>
        <w:tc>
          <w:tcPr>
            <w:tcW w:w="3495" w:type="dxa"/>
            <w:vAlign w:val="center"/>
          </w:tcPr>
          <w:p>
            <w:pPr>
              <w:spacing w:line="320" w:lineRule="atLeast"/>
              <w:ind w:left="142" w:leftChars="59" w:right="142" w:rightChars="59"/>
              <w:jc w:val="left"/>
              <w:rPr>
                <w:rFonts w:ascii="宋体" w:hAnsi="宋体"/>
                <w:sz w:val="21"/>
                <w:szCs w:val="21"/>
              </w:rPr>
            </w:pPr>
            <w:r>
              <w:rPr>
                <w:rFonts w:hint="eastAsia" w:ascii="宋体" w:hAnsi="宋体"/>
                <w:sz w:val="21"/>
                <w:szCs w:val="21"/>
              </w:rPr>
              <w:t>如由法定代表人投标并签署投标文件，需提供法定代表人证明，否则需提供法定代表人证明书和法定代表人授权委托书</w:t>
            </w:r>
          </w:p>
        </w:tc>
        <w:tc>
          <w:tcPr>
            <w:tcW w:w="1957" w:type="dxa"/>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740" w:type="dxa"/>
            <w:vMerge w:val="continue"/>
            <w:vAlign w:val="center"/>
          </w:tcPr>
          <w:p>
            <w:pPr>
              <w:spacing w:line="320" w:lineRule="atLeast"/>
              <w:jc w:val="left"/>
              <w:rPr>
                <w:rFonts w:ascii="宋体" w:hAnsi="宋体"/>
                <w:sz w:val="21"/>
                <w:szCs w:val="21"/>
              </w:rPr>
            </w:pPr>
          </w:p>
        </w:tc>
        <w:tc>
          <w:tcPr>
            <w:tcW w:w="1388" w:type="dxa"/>
            <w:vAlign w:val="center"/>
          </w:tcPr>
          <w:p>
            <w:pPr>
              <w:spacing w:line="320" w:lineRule="atLeast"/>
              <w:jc w:val="left"/>
              <w:rPr>
                <w:rFonts w:ascii="宋体" w:hAnsi="宋体" w:cs="宋体"/>
                <w:sz w:val="21"/>
                <w:szCs w:val="21"/>
              </w:rPr>
            </w:pPr>
            <w:r>
              <w:rPr>
                <w:rFonts w:hint="eastAsia" w:ascii="宋体" w:hAnsi="宋体" w:cs="宋体"/>
                <w:sz w:val="21"/>
                <w:szCs w:val="21"/>
              </w:rPr>
              <w:t>招标文件</w:t>
            </w:r>
            <w:r>
              <w:rPr>
                <w:rFonts w:ascii="宋体" w:hAnsi="宋体" w:cs="宋体"/>
                <w:sz w:val="21"/>
                <w:szCs w:val="21"/>
              </w:rPr>
              <w:t>中</w:t>
            </w:r>
            <w:r>
              <w:rPr>
                <w:rFonts w:hint="eastAsia" w:ascii="宋体" w:hAnsi="宋体" w:cs="宋体"/>
                <w:sz w:val="21"/>
                <w:szCs w:val="21"/>
              </w:rPr>
              <w:t>标注</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”的</w:t>
            </w:r>
            <w:r>
              <w:rPr>
                <w:rFonts w:hint="eastAsia" w:ascii="宋体" w:hAnsi="宋体" w:cs="宋体"/>
                <w:sz w:val="21"/>
                <w:szCs w:val="21"/>
              </w:rPr>
              <w:t>条款</w:t>
            </w:r>
          </w:p>
        </w:tc>
        <w:tc>
          <w:tcPr>
            <w:tcW w:w="3495" w:type="dxa"/>
            <w:vAlign w:val="center"/>
          </w:tcPr>
          <w:p>
            <w:pPr>
              <w:spacing w:line="320" w:lineRule="atLeast"/>
              <w:ind w:left="142" w:leftChars="59" w:right="142" w:rightChars="59"/>
              <w:jc w:val="left"/>
              <w:rPr>
                <w:rFonts w:ascii="宋体" w:hAnsi="宋体" w:cs="宋体"/>
                <w:sz w:val="21"/>
                <w:szCs w:val="21"/>
              </w:rPr>
            </w:pPr>
            <w:r>
              <w:rPr>
                <w:rFonts w:hint="eastAsia" w:ascii="宋体" w:hAnsi="宋体" w:cs="宋体"/>
                <w:sz w:val="21"/>
                <w:szCs w:val="21"/>
              </w:rPr>
              <w:t>满足招标文件</w:t>
            </w:r>
            <w:r>
              <w:rPr>
                <w:rFonts w:ascii="宋体" w:hAnsi="宋体" w:cs="宋体"/>
                <w:sz w:val="21"/>
                <w:szCs w:val="21"/>
              </w:rPr>
              <w:t>中</w:t>
            </w:r>
            <w:r>
              <w:rPr>
                <w:rFonts w:hint="eastAsia" w:ascii="宋体" w:hAnsi="宋体" w:cs="宋体"/>
                <w:sz w:val="21"/>
                <w:szCs w:val="21"/>
              </w:rPr>
              <w:t>标注</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”的</w:t>
            </w:r>
            <w:r>
              <w:rPr>
                <w:rFonts w:hint="eastAsia" w:ascii="宋体" w:hAnsi="宋体" w:cs="宋体"/>
                <w:sz w:val="21"/>
                <w:szCs w:val="21"/>
              </w:rPr>
              <w:t>条款</w:t>
            </w:r>
          </w:p>
        </w:tc>
        <w:tc>
          <w:tcPr>
            <w:tcW w:w="1957" w:type="dxa"/>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740" w:type="dxa"/>
            <w:vMerge w:val="continue"/>
            <w:vAlign w:val="center"/>
          </w:tcPr>
          <w:p>
            <w:pPr>
              <w:spacing w:line="320" w:lineRule="atLeast"/>
              <w:jc w:val="left"/>
              <w:rPr>
                <w:rFonts w:ascii="宋体" w:hAnsi="宋体"/>
                <w:sz w:val="21"/>
                <w:szCs w:val="21"/>
              </w:rPr>
            </w:pPr>
          </w:p>
        </w:tc>
        <w:tc>
          <w:tcPr>
            <w:tcW w:w="1388" w:type="dxa"/>
            <w:vAlign w:val="center"/>
          </w:tcPr>
          <w:p>
            <w:pPr>
              <w:spacing w:line="320" w:lineRule="atLeast"/>
              <w:jc w:val="left"/>
              <w:rPr>
                <w:rFonts w:ascii="宋体" w:hAnsi="宋体" w:cs="宋体"/>
                <w:sz w:val="21"/>
                <w:szCs w:val="21"/>
              </w:rPr>
            </w:pPr>
            <w:r>
              <w:rPr>
                <w:rFonts w:hint="eastAsia" w:ascii="宋体" w:hAnsi="宋体"/>
                <w:sz w:val="21"/>
                <w:szCs w:val="21"/>
              </w:rPr>
              <w:t>其他</w:t>
            </w:r>
          </w:p>
        </w:tc>
        <w:tc>
          <w:tcPr>
            <w:tcW w:w="3495" w:type="dxa"/>
            <w:vAlign w:val="center"/>
          </w:tcPr>
          <w:p>
            <w:pPr>
              <w:spacing w:line="320" w:lineRule="atLeast"/>
              <w:ind w:left="142" w:leftChars="59" w:right="142" w:rightChars="59"/>
              <w:jc w:val="left"/>
              <w:rPr>
                <w:rFonts w:ascii="宋体" w:hAnsi="宋体" w:cs="宋体"/>
                <w:sz w:val="21"/>
                <w:szCs w:val="21"/>
              </w:rPr>
            </w:pPr>
            <w:r>
              <w:rPr>
                <w:rFonts w:hint="eastAsia" w:ascii="宋体" w:hAnsi="宋体" w:cs="宋体"/>
                <w:sz w:val="21"/>
                <w:szCs w:val="21"/>
              </w:rPr>
              <w:t>未出现有关法律、法规、规章或招标文件规定的属于投标无效的情形</w:t>
            </w:r>
          </w:p>
        </w:tc>
        <w:tc>
          <w:tcPr>
            <w:tcW w:w="1957" w:type="dxa"/>
            <w:vAlign w:val="center"/>
          </w:tcPr>
          <w:p>
            <w:pPr>
              <w:spacing w:line="320" w:lineRule="atLeast"/>
              <w:jc w:val="left"/>
              <w:rPr>
                <w:rFonts w:ascii="宋体" w:hAnsi="宋体"/>
                <w:sz w:val="21"/>
                <w:szCs w:val="21"/>
              </w:rPr>
            </w:pPr>
            <w:r>
              <w:rPr>
                <w:rFonts w:ascii="宋体" w:hAnsi="宋体"/>
                <w:sz w:val="21"/>
                <w:szCs w:val="21"/>
              </w:rPr>
              <w:t>□通过  □不通过</w:t>
            </w:r>
          </w:p>
        </w:tc>
        <w:tc>
          <w:tcPr>
            <w:tcW w:w="2096" w:type="dxa"/>
            <w:vAlign w:val="center"/>
          </w:tcPr>
          <w:p>
            <w:pPr>
              <w:spacing w:line="320" w:lineRule="atLeast"/>
              <w:jc w:val="left"/>
              <w:rPr>
                <w:rFonts w:ascii="宋体" w:hAnsi="宋体"/>
                <w:sz w:val="21"/>
                <w:szCs w:val="21"/>
              </w:rPr>
            </w:pPr>
            <w:r>
              <w:rPr>
                <w:rFonts w:ascii="宋体" w:hAnsi="宋体"/>
                <w:sz w:val="21"/>
                <w:szCs w:val="21"/>
              </w:rPr>
              <w:t>见投标文件第（）页</w:t>
            </w:r>
          </w:p>
        </w:tc>
      </w:tr>
    </w:tbl>
    <w:p>
      <w:pPr>
        <w:pStyle w:val="16"/>
        <w:spacing w:line="360" w:lineRule="auto"/>
        <w:jc w:val="left"/>
        <w:rPr>
          <w:sz w:val="21"/>
          <w:szCs w:val="21"/>
        </w:rPr>
      </w:pPr>
      <w:r>
        <w:rPr>
          <w:sz w:val="21"/>
          <w:szCs w:val="21"/>
        </w:rPr>
        <w:t>注：以上材料将作为投标人资格</w:t>
      </w:r>
      <w:r>
        <w:rPr>
          <w:rFonts w:hint="eastAsia"/>
          <w:sz w:val="21"/>
          <w:szCs w:val="21"/>
        </w:rPr>
        <w:t>、</w:t>
      </w:r>
      <w:r>
        <w:rPr>
          <w:sz w:val="21"/>
          <w:szCs w:val="21"/>
        </w:rPr>
        <w:t>符合性审核的重要内容之一，投标人</w:t>
      </w:r>
      <w:r>
        <w:rPr>
          <w:rFonts w:hint="eastAsia"/>
          <w:sz w:val="21"/>
          <w:szCs w:val="21"/>
        </w:rPr>
        <w:t>应</w:t>
      </w:r>
      <w:r>
        <w:rPr>
          <w:sz w:val="21"/>
          <w:szCs w:val="21"/>
        </w:rPr>
        <w:t>严格按照其内容及序列要求在投标文件中对应如实提供，对缺漏和不符合项将会直接导致无效投标！</w:t>
      </w:r>
      <w:r>
        <w:rPr>
          <w:rFonts w:hint="eastAsia"/>
          <w:sz w:val="21"/>
          <w:szCs w:val="21"/>
        </w:rPr>
        <w:t>请</w:t>
      </w:r>
      <w:r>
        <w:rPr>
          <w:sz w:val="21"/>
          <w:szCs w:val="21"/>
        </w:rPr>
        <w:t>在对应的</w:t>
      </w:r>
      <w:r>
        <w:rPr>
          <w:rFonts w:ascii="宋体" w:hAnsi="宋体"/>
          <w:sz w:val="21"/>
          <w:szCs w:val="21"/>
        </w:rPr>
        <w:t>□</w:t>
      </w:r>
      <w:r>
        <w:rPr>
          <w:sz w:val="21"/>
          <w:szCs w:val="21"/>
        </w:rPr>
        <w:t>打“√”。</w:t>
      </w:r>
    </w:p>
    <w:p>
      <w:pPr>
        <w:pStyle w:val="2"/>
        <w:keepNext w:val="0"/>
        <w:keepLines w:val="0"/>
        <w:widowControl/>
        <w:numPr>
          <w:ilvl w:val="1"/>
          <w:numId w:val="52"/>
        </w:numPr>
        <w:spacing w:before="188" w:after="188" w:line="400" w:lineRule="exact"/>
        <w:jc w:val="center"/>
        <w:rPr>
          <w:rFonts w:ascii="宋体" w:hAnsi="宋体" w:eastAsia="宋体"/>
          <w:sz w:val="21"/>
          <w:szCs w:val="21"/>
        </w:rPr>
      </w:pPr>
      <w:r>
        <w:rPr>
          <w:rFonts w:ascii="宋体" w:hAnsi="宋体"/>
          <w:b w:val="0"/>
          <w:bCs/>
          <w:sz w:val="21"/>
          <w:szCs w:val="21"/>
        </w:rPr>
        <w:br w:type="page"/>
      </w:r>
      <w:bookmarkStart w:id="125" w:name="_Toc24604"/>
      <w:r>
        <w:rPr>
          <w:rFonts w:ascii="宋体" w:hAnsi="宋体" w:eastAsia="宋体"/>
          <w:sz w:val="21"/>
          <w:szCs w:val="21"/>
        </w:rPr>
        <w:t>评审</w:t>
      </w:r>
      <w:r>
        <w:rPr>
          <w:rFonts w:hint="eastAsia" w:ascii="宋体" w:hAnsi="宋体" w:eastAsia="宋体"/>
          <w:sz w:val="21"/>
          <w:szCs w:val="21"/>
        </w:rPr>
        <w:t>要素</w:t>
      </w:r>
      <w:r>
        <w:rPr>
          <w:rFonts w:ascii="宋体" w:hAnsi="宋体" w:eastAsia="宋体"/>
          <w:sz w:val="21"/>
          <w:szCs w:val="21"/>
        </w:rPr>
        <w:t>投标资料表</w:t>
      </w:r>
      <w:bookmarkEnd w:id="125"/>
    </w:p>
    <w:tbl>
      <w:tblPr>
        <w:tblStyle w:val="46"/>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5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548" w:type="dxa"/>
            <w:vAlign w:val="center"/>
          </w:tcPr>
          <w:p>
            <w:pPr>
              <w:pStyle w:val="296"/>
              <w:keepNext w:val="0"/>
              <w:adjustRightInd/>
              <w:spacing w:before="0" w:after="0" w:line="360" w:lineRule="auto"/>
              <w:jc w:val="left"/>
              <w:textAlignment w:val="auto"/>
              <w:rPr>
                <w:rFonts w:ascii="宋体" w:hAnsi="宋体"/>
                <w:b/>
                <w:bCs/>
                <w:snapToGrid/>
                <w:spacing w:val="0"/>
                <w:kern w:val="2"/>
                <w:sz w:val="21"/>
                <w:szCs w:val="21"/>
              </w:rPr>
            </w:pPr>
            <w:bookmarkStart w:id="126" w:name="_Toc424115983"/>
            <w:bookmarkStart w:id="127" w:name="_Toc368513821"/>
            <w:r>
              <w:rPr>
                <w:rFonts w:ascii="宋体" w:hAnsi="宋体"/>
                <w:b/>
                <w:bCs/>
                <w:snapToGrid/>
                <w:spacing w:val="0"/>
                <w:kern w:val="2"/>
                <w:sz w:val="21"/>
                <w:szCs w:val="21"/>
              </w:rPr>
              <w:t>商务评审分项</w:t>
            </w:r>
          </w:p>
        </w:tc>
        <w:tc>
          <w:tcPr>
            <w:tcW w:w="5580" w:type="dxa"/>
            <w:vAlign w:val="center"/>
          </w:tcPr>
          <w:p>
            <w:pPr>
              <w:pStyle w:val="296"/>
              <w:keepNext w:val="0"/>
              <w:adjustRightInd/>
              <w:spacing w:before="0" w:after="0" w:line="360" w:lineRule="auto"/>
              <w:jc w:val="left"/>
              <w:textAlignment w:val="auto"/>
              <w:rPr>
                <w:rFonts w:ascii="宋体" w:hAnsi="宋体"/>
                <w:b/>
                <w:bCs/>
                <w:snapToGrid/>
                <w:spacing w:val="0"/>
                <w:kern w:val="2"/>
                <w:sz w:val="21"/>
                <w:szCs w:val="21"/>
              </w:rPr>
            </w:pPr>
            <w:r>
              <w:rPr>
                <w:rFonts w:ascii="宋体" w:hAnsi="宋体"/>
                <w:b/>
                <w:bCs/>
                <w:snapToGrid/>
                <w:spacing w:val="0"/>
                <w:kern w:val="2"/>
                <w:sz w:val="21"/>
                <w:szCs w:val="21"/>
              </w:rPr>
              <w:t>商务评审细则</w:t>
            </w:r>
          </w:p>
        </w:tc>
        <w:tc>
          <w:tcPr>
            <w:tcW w:w="2160" w:type="dxa"/>
            <w:vAlign w:val="center"/>
          </w:tcPr>
          <w:p>
            <w:pPr>
              <w:pStyle w:val="296"/>
              <w:keepNext w:val="0"/>
              <w:adjustRightInd/>
              <w:spacing w:before="0" w:after="0" w:line="360" w:lineRule="auto"/>
              <w:jc w:val="left"/>
              <w:textAlignment w:val="auto"/>
              <w:rPr>
                <w:rFonts w:ascii="宋体" w:hAnsi="宋体"/>
                <w:b/>
                <w:bCs/>
                <w:snapToGrid/>
                <w:spacing w:val="0"/>
                <w:kern w:val="2"/>
                <w:sz w:val="21"/>
                <w:szCs w:val="21"/>
              </w:rPr>
            </w:pPr>
            <w:r>
              <w:rPr>
                <w:rFonts w:ascii="宋体" w:hAnsi="宋体"/>
                <w:b/>
                <w:bCs/>
                <w:snapToGrid/>
                <w:spacing w:val="0"/>
                <w:kern w:val="2"/>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pStyle w:val="272"/>
              <w:spacing w:before="0" w:after="0" w:line="360" w:lineRule="auto"/>
              <w:jc w:val="left"/>
              <w:rPr>
                <w:rFonts w:ascii="宋体" w:hAnsi="宋体"/>
                <w:sz w:val="21"/>
                <w:szCs w:val="21"/>
              </w:rPr>
            </w:pPr>
          </w:p>
        </w:tc>
        <w:tc>
          <w:tcPr>
            <w:tcW w:w="5580" w:type="dxa"/>
            <w:vAlign w:val="center"/>
          </w:tcPr>
          <w:p>
            <w:pPr>
              <w:pStyle w:val="31"/>
              <w:spacing w:line="360" w:lineRule="auto"/>
              <w:ind w:left="12" w:leftChars="5"/>
              <w:jc w:val="left"/>
              <w:rPr>
                <w:rFonts w:ascii="宋体" w:hAnsi="宋体"/>
                <w:bCs/>
                <w:iCs/>
                <w:szCs w:val="21"/>
              </w:rPr>
            </w:pPr>
          </w:p>
        </w:tc>
        <w:tc>
          <w:tcPr>
            <w:tcW w:w="2160" w:type="dxa"/>
            <w:vAlign w:val="center"/>
          </w:tcPr>
          <w:p>
            <w:pPr>
              <w:pStyle w:val="31"/>
              <w:spacing w:line="360" w:lineRule="auto"/>
              <w:jc w:val="left"/>
              <w:rPr>
                <w:rFonts w:ascii="宋体" w:hAnsi="宋体"/>
                <w:szCs w:val="21"/>
              </w:rPr>
            </w:pPr>
            <w:r>
              <w:rPr>
                <w:rFonts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p>
        </w:tc>
        <w:tc>
          <w:tcPr>
            <w:tcW w:w="5580" w:type="dxa"/>
            <w:vAlign w:val="center"/>
          </w:tcPr>
          <w:p>
            <w:pPr>
              <w:pStyle w:val="31"/>
              <w:spacing w:line="360" w:lineRule="auto"/>
              <w:ind w:left="12" w:leftChars="5"/>
              <w:jc w:val="left"/>
              <w:rPr>
                <w:rFonts w:ascii="宋体" w:hAnsi="宋体"/>
                <w:szCs w:val="21"/>
              </w:rPr>
            </w:pPr>
          </w:p>
        </w:tc>
        <w:tc>
          <w:tcPr>
            <w:tcW w:w="2160" w:type="dxa"/>
            <w:vAlign w:val="center"/>
          </w:tcPr>
          <w:p>
            <w:pPr>
              <w:pStyle w:val="31"/>
              <w:spacing w:line="360" w:lineRule="auto"/>
              <w:jc w:val="left"/>
              <w:rPr>
                <w:rFonts w:ascii="宋体" w:hAnsi="宋体"/>
                <w:szCs w:val="21"/>
              </w:rPr>
            </w:pPr>
            <w:r>
              <w:rPr>
                <w:rFonts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p>
        </w:tc>
        <w:tc>
          <w:tcPr>
            <w:tcW w:w="5580" w:type="dxa"/>
            <w:vAlign w:val="center"/>
          </w:tcPr>
          <w:p>
            <w:pPr>
              <w:pStyle w:val="31"/>
              <w:spacing w:line="360" w:lineRule="auto"/>
              <w:ind w:left="12" w:leftChars="5"/>
              <w:jc w:val="left"/>
              <w:rPr>
                <w:rFonts w:ascii="宋体" w:hAnsi="宋体"/>
                <w:bCs/>
                <w:iCs/>
                <w:szCs w:val="21"/>
              </w:rPr>
            </w:pPr>
          </w:p>
        </w:tc>
        <w:tc>
          <w:tcPr>
            <w:tcW w:w="2160" w:type="dxa"/>
            <w:vAlign w:val="center"/>
          </w:tcPr>
          <w:p>
            <w:pPr>
              <w:pStyle w:val="31"/>
              <w:spacing w:line="360" w:lineRule="auto"/>
              <w:jc w:val="left"/>
              <w:rPr>
                <w:rFonts w:ascii="宋体" w:hAnsi="宋体"/>
                <w:szCs w:val="21"/>
              </w:rPr>
            </w:pPr>
            <w:r>
              <w:rPr>
                <w:rFonts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p>
        </w:tc>
        <w:tc>
          <w:tcPr>
            <w:tcW w:w="5580" w:type="dxa"/>
            <w:vAlign w:val="center"/>
          </w:tcPr>
          <w:p>
            <w:pPr>
              <w:pStyle w:val="31"/>
              <w:spacing w:line="360" w:lineRule="auto"/>
              <w:ind w:left="12" w:leftChars="5"/>
              <w:jc w:val="left"/>
              <w:rPr>
                <w:rFonts w:ascii="宋体" w:hAnsi="宋体"/>
                <w:szCs w:val="21"/>
              </w:rPr>
            </w:pPr>
          </w:p>
        </w:tc>
        <w:tc>
          <w:tcPr>
            <w:tcW w:w="2160" w:type="dxa"/>
            <w:vAlign w:val="center"/>
          </w:tcPr>
          <w:p>
            <w:pPr>
              <w:pStyle w:val="31"/>
              <w:spacing w:line="360" w:lineRule="auto"/>
              <w:jc w:val="left"/>
              <w:rPr>
                <w:rFonts w:ascii="宋体" w:hAnsi="宋体"/>
                <w:szCs w:val="21"/>
              </w:rPr>
            </w:pPr>
            <w:r>
              <w:rPr>
                <w:rFonts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p>
        </w:tc>
        <w:tc>
          <w:tcPr>
            <w:tcW w:w="5580" w:type="dxa"/>
            <w:vAlign w:val="center"/>
          </w:tcPr>
          <w:p>
            <w:pPr>
              <w:pStyle w:val="31"/>
              <w:spacing w:line="360" w:lineRule="auto"/>
              <w:ind w:left="12" w:leftChars="5"/>
              <w:jc w:val="left"/>
              <w:rPr>
                <w:rFonts w:ascii="宋体" w:hAnsi="宋体"/>
                <w:szCs w:val="21"/>
              </w:rPr>
            </w:pPr>
          </w:p>
        </w:tc>
        <w:tc>
          <w:tcPr>
            <w:tcW w:w="2160" w:type="dxa"/>
            <w:vAlign w:val="center"/>
          </w:tcPr>
          <w:p>
            <w:pPr>
              <w:pStyle w:val="31"/>
              <w:spacing w:line="360" w:lineRule="auto"/>
              <w:jc w:val="left"/>
              <w:rPr>
                <w:rFonts w:ascii="宋体" w:hAnsi="宋体"/>
                <w:szCs w:val="21"/>
              </w:rPr>
            </w:pPr>
            <w:r>
              <w:rPr>
                <w:rFonts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p>
        </w:tc>
        <w:tc>
          <w:tcPr>
            <w:tcW w:w="5580" w:type="dxa"/>
            <w:vAlign w:val="center"/>
          </w:tcPr>
          <w:p>
            <w:pPr>
              <w:pStyle w:val="31"/>
              <w:spacing w:line="360" w:lineRule="auto"/>
              <w:ind w:left="12" w:leftChars="5"/>
              <w:jc w:val="left"/>
              <w:rPr>
                <w:rFonts w:ascii="宋体" w:hAnsi="宋体"/>
                <w:szCs w:val="21"/>
              </w:rPr>
            </w:pPr>
          </w:p>
        </w:tc>
        <w:tc>
          <w:tcPr>
            <w:tcW w:w="2160" w:type="dxa"/>
            <w:vAlign w:val="center"/>
          </w:tcPr>
          <w:p>
            <w:pPr>
              <w:pStyle w:val="31"/>
              <w:spacing w:line="360" w:lineRule="auto"/>
              <w:jc w:val="left"/>
              <w:rPr>
                <w:rFonts w:ascii="宋体" w:hAnsi="宋体"/>
                <w:szCs w:val="21"/>
              </w:rPr>
            </w:pPr>
            <w:r>
              <w:rPr>
                <w:rFonts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r>
              <w:rPr>
                <w:rFonts w:hint="eastAsia" w:ascii="宋体" w:hAnsi="宋体"/>
                <w:sz w:val="21"/>
                <w:szCs w:val="21"/>
              </w:rPr>
              <w:t>……</w:t>
            </w:r>
          </w:p>
        </w:tc>
        <w:tc>
          <w:tcPr>
            <w:tcW w:w="5580" w:type="dxa"/>
            <w:vAlign w:val="center"/>
          </w:tcPr>
          <w:p>
            <w:pPr>
              <w:pStyle w:val="31"/>
              <w:spacing w:line="360" w:lineRule="auto"/>
              <w:ind w:left="12" w:leftChars="5"/>
              <w:jc w:val="left"/>
              <w:rPr>
                <w:rFonts w:ascii="宋体" w:hAnsi="宋体"/>
                <w:szCs w:val="21"/>
              </w:rPr>
            </w:pPr>
            <w:r>
              <w:rPr>
                <w:rFonts w:hint="eastAsia" w:ascii="宋体" w:hAnsi="宋体"/>
                <w:szCs w:val="21"/>
              </w:rPr>
              <w:t>……</w:t>
            </w:r>
          </w:p>
        </w:tc>
        <w:tc>
          <w:tcPr>
            <w:tcW w:w="2160" w:type="dxa"/>
            <w:vAlign w:val="center"/>
          </w:tcPr>
          <w:p>
            <w:pPr>
              <w:pStyle w:val="31"/>
              <w:spacing w:line="360" w:lineRule="auto"/>
              <w:jc w:val="left"/>
              <w:rPr>
                <w:rFonts w:ascii="宋体" w:hAnsi="宋体"/>
                <w:szCs w:val="21"/>
              </w:rPr>
            </w:pPr>
            <w:r>
              <w:rPr>
                <w:rFonts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pStyle w:val="296"/>
              <w:keepNext w:val="0"/>
              <w:adjustRightInd/>
              <w:spacing w:before="0" w:after="0" w:line="360" w:lineRule="auto"/>
              <w:jc w:val="left"/>
              <w:textAlignment w:val="auto"/>
              <w:rPr>
                <w:rFonts w:ascii="宋体" w:hAnsi="宋体"/>
                <w:b/>
                <w:bCs/>
                <w:snapToGrid/>
                <w:spacing w:val="0"/>
                <w:kern w:val="2"/>
                <w:sz w:val="21"/>
                <w:szCs w:val="21"/>
              </w:rPr>
            </w:pPr>
            <w:r>
              <w:rPr>
                <w:rFonts w:ascii="宋体" w:hAnsi="宋体"/>
                <w:b/>
                <w:bCs/>
                <w:snapToGrid/>
                <w:spacing w:val="0"/>
                <w:kern w:val="2"/>
                <w:sz w:val="21"/>
                <w:szCs w:val="21"/>
              </w:rPr>
              <w:t>技术评审分项</w:t>
            </w:r>
          </w:p>
        </w:tc>
        <w:tc>
          <w:tcPr>
            <w:tcW w:w="5580" w:type="dxa"/>
            <w:vAlign w:val="center"/>
          </w:tcPr>
          <w:p>
            <w:pPr>
              <w:pStyle w:val="296"/>
              <w:keepNext w:val="0"/>
              <w:adjustRightInd/>
              <w:spacing w:before="0" w:after="0" w:line="360" w:lineRule="auto"/>
              <w:ind w:left="12" w:leftChars="5"/>
              <w:jc w:val="left"/>
              <w:textAlignment w:val="auto"/>
              <w:rPr>
                <w:rFonts w:ascii="宋体" w:hAnsi="宋体"/>
                <w:b/>
                <w:bCs/>
                <w:snapToGrid/>
                <w:spacing w:val="0"/>
                <w:kern w:val="2"/>
                <w:sz w:val="21"/>
                <w:szCs w:val="21"/>
              </w:rPr>
            </w:pPr>
            <w:r>
              <w:rPr>
                <w:rFonts w:hint="eastAsia" w:ascii="宋体" w:hAnsi="宋体"/>
                <w:b/>
                <w:bCs/>
                <w:snapToGrid/>
                <w:spacing w:val="0"/>
                <w:kern w:val="2"/>
                <w:sz w:val="21"/>
                <w:szCs w:val="21"/>
              </w:rPr>
              <w:t>技术</w:t>
            </w:r>
            <w:r>
              <w:rPr>
                <w:rFonts w:ascii="宋体" w:hAnsi="宋体"/>
                <w:b/>
                <w:bCs/>
                <w:snapToGrid/>
                <w:spacing w:val="0"/>
                <w:kern w:val="2"/>
                <w:sz w:val="21"/>
                <w:szCs w:val="21"/>
              </w:rPr>
              <w:t>评审细则</w:t>
            </w:r>
          </w:p>
        </w:tc>
        <w:tc>
          <w:tcPr>
            <w:tcW w:w="2160" w:type="dxa"/>
            <w:vAlign w:val="center"/>
          </w:tcPr>
          <w:p>
            <w:pPr>
              <w:pStyle w:val="296"/>
              <w:keepNext w:val="0"/>
              <w:adjustRightInd/>
              <w:spacing w:before="0" w:after="0" w:line="360" w:lineRule="auto"/>
              <w:jc w:val="left"/>
              <w:textAlignment w:val="auto"/>
              <w:rPr>
                <w:rFonts w:ascii="宋体" w:hAnsi="宋体"/>
                <w:b/>
                <w:bCs/>
                <w:snapToGrid/>
                <w:spacing w:val="0"/>
                <w:kern w:val="2"/>
                <w:sz w:val="21"/>
                <w:szCs w:val="21"/>
              </w:rPr>
            </w:pPr>
            <w:r>
              <w:rPr>
                <w:rFonts w:ascii="宋体" w:hAnsi="宋体"/>
                <w:b/>
                <w:bCs/>
                <w:snapToGrid/>
                <w:spacing w:val="0"/>
                <w:kern w:val="2"/>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p>
        </w:tc>
        <w:tc>
          <w:tcPr>
            <w:tcW w:w="5580" w:type="dxa"/>
            <w:vAlign w:val="center"/>
          </w:tcPr>
          <w:p>
            <w:pPr>
              <w:pStyle w:val="31"/>
              <w:spacing w:line="360" w:lineRule="auto"/>
              <w:ind w:left="12" w:leftChars="5"/>
              <w:jc w:val="left"/>
              <w:rPr>
                <w:rFonts w:ascii="宋体" w:hAnsi="宋体"/>
                <w:szCs w:val="21"/>
              </w:rPr>
            </w:pPr>
          </w:p>
        </w:tc>
        <w:tc>
          <w:tcPr>
            <w:tcW w:w="2160" w:type="dxa"/>
            <w:vAlign w:val="center"/>
          </w:tcPr>
          <w:p>
            <w:pPr>
              <w:pStyle w:val="31"/>
              <w:spacing w:line="360" w:lineRule="auto"/>
              <w:ind w:left="-38" w:leftChars="-16"/>
              <w:jc w:val="left"/>
              <w:rPr>
                <w:rFonts w:ascii="宋体" w:hAnsi="宋体"/>
                <w:szCs w:val="21"/>
              </w:rPr>
            </w:pPr>
            <w:r>
              <w:rPr>
                <w:rFonts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p>
        </w:tc>
        <w:tc>
          <w:tcPr>
            <w:tcW w:w="5580" w:type="dxa"/>
            <w:vAlign w:val="center"/>
          </w:tcPr>
          <w:p>
            <w:pPr>
              <w:spacing w:line="360" w:lineRule="auto"/>
              <w:ind w:left="12" w:leftChars="5"/>
              <w:jc w:val="left"/>
              <w:rPr>
                <w:rFonts w:ascii="宋体" w:hAnsi="宋体"/>
                <w:sz w:val="21"/>
                <w:szCs w:val="21"/>
              </w:rPr>
            </w:pPr>
          </w:p>
        </w:tc>
        <w:tc>
          <w:tcPr>
            <w:tcW w:w="2160" w:type="dxa"/>
            <w:vAlign w:val="center"/>
          </w:tcPr>
          <w:p>
            <w:pPr>
              <w:spacing w:line="360" w:lineRule="auto"/>
              <w:ind w:left="-38" w:leftChars="-16"/>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pStyle w:val="31"/>
              <w:spacing w:line="360" w:lineRule="auto"/>
              <w:jc w:val="left"/>
              <w:rPr>
                <w:rFonts w:ascii="宋体" w:hAnsi="宋体"/>
                <w:szCs w:val="21"/>
              </w:rPr>
            </w:pPr>
          </w:p>
        </w:tc>
        <w:tc>
          <w:tcPr>
            <w:tcW w:w="5580" w:type="dxa"/>
            <w:vAlign w:val="center"/>
          </w:tcPr>
          <w:p>
            <w:pPr>
              <w:spacing w:line="360" w:lineRule="auto"/>
              <w:ind w:left="12" w:leftChars="5"/>
              <w:jc w:val="left"/>
              <w:rPr>
                <w:rFonts w:ascii="宋体" w:hAnsi="宋体"/>
                <w:sz w:val="21"/>
                <w:szCs w:val="21"/>
              </w:rPr>
            </w:pPr>
          </w:p>
        </w:tc>
        <w:tc>
          <w:tcPr>
            <w:tcW w:w="2160" w:type="dxa"/>
            <w:vAlign w:val="center"/>
          </w:tcPr>
          <w:p>
            <w:pPr>
              <w:spacing w:line="360" w:lineRule="auto"/>
              <w:ind w:left="-38" w:leftChars="-16"/>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p>
        </w:tc>
        <w:tc>
          <w:tcPr>
            <w:tcW w:w="5580" w:type="dxa"/>
            <w:vAlign w:val="center"/>
          </w:tcPr>
          <w:p>
            <w:pPr>
              <w:spacing w:line="360" w:lineRule="auto"/>
              <w:ind w:left="12" w:leftChars="5"/>
              <w:jc w:val="left"/>
              <w:rPr>
                <w:rFonts w:ascii="宋体" w:hAnsi="宋体"/>
                <w:sz w:val="21"/>
                <w:szCs w:val="21"/>
              </w:rPr>
            </w:pPr>
          </w:p>
        </w:tc>
        <w:tc>
          <w:tcPr>
            <w:tcW w:w="2160" w:type="dxa"/>
            <w:vAlign w:val="center"/>
          </w:tcPr>
          <w:p>
            <w:pPr>
              <w:spacing w:line="360" w:lineRule="auto"/>
              <w:ind w:left="-38" w:leftChars="-16"/>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p>
        </w:tc>
        <w:tc>
          <w:tcPr>
            <w:tcW w:w="5580" w:type="dxa"/>
            <w:vAlign w:val="center"/>
          </w:tcPr>
          <w:p>
            <w:pPr>
              <w:spacing w:line="360" w:lineRule="auto"/>
              <w:ind w:left="12" w:leftChars="5"/>
              <w:jc w:val="left"/>
              <w:rPr>
                <w:rFonts w:ascii="宋体" w:hAnsi="宋体"/>
                <w:sz w:val="21"/>
                <w:szCs w:val="21"/>
              </w:rPr>
            </w:pPr>
          </w:p>
        </w:tc>
        <w:tc>
          <w:tcPr>
            <w:tcW w:w="2160" w:type="dxa"/>
            <w:vAlign w:val="center"/>
          </w:tcPr>
          <w:p>
            <w:pPr>
              <w:spacing w:line="360" w:lineRule="auto"/>
              <w:ind w:left="-38" w:leftChars="-16"/>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p>
        </w:tc>
        <w:tc>
          <w:tcPr>
            <w:tcW w:w="5580" w:type="dxa"/>
            <w:vAlign w:val="center"/>
          </w:tcPr>
          <w:p>
            <w:pPr>
              <w:spacing w:line="360" w:lineRule="auto"/>
              <w:ind w:left="12" w:leftChars="5"/>
              <w:jc w:val="left"/>
              <w:rPr>
                <w:rFonts w:ascii="宋体" w:hAnsi="宋体"/>
                <w:sz w:val="21"/>
                <w:szCs w:val="21"/>
              </w:rPr>
            </w:pPr>
          </w:p>
        </w:tc>
        <w:tc>
          <w:tcPr>
            <w:tcW w:w="2160" w:type="dxa"/>
            <w:vAlign w:val="center"/>
          </w:tcPr>
          <w:p>
            <w:pPr>
              <w:spacing w:line="360" w:lineRule="auto"/>
              <w:ind w:left="-38" w:leftChars="-16"/>
              <w:jc w:val="left"/>
              <w:rPr>
                <w:rFonts w:ascii="宋体" w:hAnsi="宋体"/>
                <w:sz w:val="21"/>
                <w:szCs w:val="21"/>
              </w:rPr>
            </w:pPr>
            <w:r>
              <w:rPr>
                <w:rFonts w:ascii="宋体" w:hAnsi="宋体"/>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left"/>
              <w:rPr>
                <w:rFonts w:ascii="宋体" w:hAnsi="宋体"/>
                <w:sz w:val="21"/>
                <w:szCs w:val="21"/>
              </w:rPr>
            </w:pPr>
            <w:r>
              <w:rPr>
                <w:rFonts w:hint="eastAsia" w:ascii="宋体" w:hAnsi="宋体"/>
                <w:sz w:val="21"/>
                <w:szCs w:val="21"/>
              </w:rPr>
              <w:t>……</w:t>
            </w:r>
          </w:p>
        </w:tc>
        <w:tc>
          <w:tcPr>
            <w:tcW w:w="5580" w:type="dxa"/>
            <w:vAlign w:val="center"/>
          </w:tcPr>
          <w:p>
            <w:pPr>
              <w:pStyle w:val="31"/>
              <w:spacing w:line="360" w:lineRule="auto"/>
              <w:ind w:left="12" w:leftChars="5"/>
              <w:jc w:val="left"/>
              <w:rPr>
                <w:rFonts w:ascii="宋体" w:hAnsi="宋体"/>
                <w:szCs w:val="21"/>
              </w:rPr>
            </w:pPr>
            <w:r>
              <w:rPr>
                <w:rFonts w:hint="eastAsia" w:ascii="宋体" w:hAnsi="宋体"/>
                <w:szCs w:val="21"/>
              </w:rPr>
              <w:t>……</w:t>
            </w:r>
          </w:p>
        </w:tc>
        <w:tc>
          <w:tcPr>
            <w:tcW w:w="2160" w:type="dxa"/>
            <w:vAlign w:val="center"/>
          </w:tcPr>
          <w:p>
            <w:pPr>
              <w:pStyle w:val="31"/>
              <w:spacing w:line="360" w:lineRule="auto"/>
              <w:ind w:left="-38" w:leftChars="-16"/>
              <w:jc w:val="left"/>
              <w:rPr>
                <w:rFonts w:ascii="宋体" w:hAnsi="宋体"/>
                <w:szCs w:val="21"/>
              </w:rPr>
            </w:pPr>
            <w:r>
              <w:rPr>
                <w:rFonts w:ascii="宋体" w:hAnsi="宋体"/>
                <w:szCs w:val="21"/>
              </w:rPr>
              <w:t>见投标文件第（）页</w:t>
            </w:r>
          </w:p>
        </w:tc>
      </w:tr>
    </w:tbl>
    <w:p>
      <w:pPr>
        <w:adjustRightInd w:val="0"/>
        <w:snapToGrid w:val="0"/>
        <w:spacing w:line="360" w:lineRule="auto"/>
        <w:jc w:val="left"/>
        <w:rPr>
          <w:rFonts w:ascii="宋体" w:hAnsi="宋体"/>
          <w:sz w:val="21"/>
          <w:szCs w:val="21"/>
        </w:rPr>
      </w:pPr>
    </w:p>
    <w:p>
      <w:pPr>
        <w:adjustRightInd w:val="0"/>
        <w:snapToGrid w:val="0"/>
        <w:spacing w:line="360" w:lineRule="auto"/>
        <w:jc w:val="left"/>
        <w:rPr>
          <w:rFonts w:ascii="宋体" w:hAnsi="宋体"/>
          <w:sz w:val="21"/>
          <w:szCs w:val="21"/>
        </w:rPr>
      </w:pPr>
      <w:r>
        <w:rPr>
          <w:rFonts w:hint="eastAsia" w:ascii="宋体" w:hAnsi="宋体"/>
          <w:sz w:val="21"/>
          <w:szCs w:val="21"/>
        </w:rPr>
        <w:t>注：1、投标供应商应根据《技术评审表》和《商务评审表》的各项内容填写此表，表格可延长。</w:t>
      </w:r>
    </w:p>
    <w:p>
      <w:pPr>
        <w:adjustRightInd w:val="0"/>
        <w:snapToGrid w:val="0"/>
        <w:spacing w:line="360" w:lineRule="auto"/>
        <w:ind w:firstLine="424" w:firstLineChars="202"/>
        <w:jc w:val="left"/>
        <w:rPr>
          <w:rFonts w:ascii="宋体" w:hAnsi="宋体"/>
          <w:sz w:val="21"/>
          <w:szCs w:val="21"/>
        </w:rPr>
      </w:pPr>
      <w:r>
        <w:rPr>
          <w:rFonts w:hint="eastAsia" w:ascii="宋体" w:hAnsi="宋体"/>
          <w:sz w:val="21"/>
          <w:szCs w:val="21"/>
        </w:rPr>
        <w:t>2、按评审项的顺序填写。</w:t>
      </w:r>
    </w:p>
    <w:p>
      <w:pPr>
        <w:jc w:val="left"/>
        <w:rPr>
          <w:sz w:val="21"/>
          <w:szCs w:val="21"/>
        </w:rPr>
      </w:pPr>
    </w:p>
    <w:p>
      <w:pPr>
        <w:jc w:val="left"/>
        <w:rPr>
          <w:sz w:val="21"/>
          <w:szCs w:val="21"/>
        </w:rPr>
      </w:pPr>
    </w:p>
    <w:p>
      <w:pPr>
        <w:pStyle w:val="2"/>
        <w:keepNext w:val="0"/>
        <w:keepLines w:val="0"/>
        <w:widowControl/>
        <w:spacing w:before="188" w:after="188" w:line="400" w:lineRule="exact"/>
        <w:jc w:val="center"/>
        <w:rPr>
          <w:rFonts w:ascii="宋体" w:hAnsi="宋体" w:eastAsia="宋体" w:cs="Times New Roman"/>
          <w:bCs/>
          <w:kern w:val="2"/>
        </w:rPr>
      </w:pPr>
      <w:r>
        <w:rPr>
          <w:rFonts w:ascii="宋体" w:hAnsi="宋体" w:eastAsia="宋体"/>
          <w:sz w:val="21"/>
          <w:szCs w:val="21"/>
        </w:rPr>
        <w:br w:type="page"/>
      </w:r>
      <w:bookmarkStart w:id="128" w:name="_Toc24464"/>
      <w:r>
        <w:rPr>
          <w:rFonts w:hint="eastAsia" w:ascii="宋体" w:hAnsi="宋体" w:eastAsia="宋体" w:cs="Times New Roman"/>
          <w:bCs/>
          <w:kern w:val="2"/>
        </w:rPr>
        <w:t>第三章 资格审查文件</w:t>
      </w:r>
      <w:bookmarkEnd w:id="128"/>
    </w:p>
    <w:bookmarkEnd w:id="126"/>
    <w:p>
      <w:pPr>
        <w:pStyle w:val="2"/>
        <w:keepNext w:val="0"/>
        <w:keepLines w:val="0"/>
        <w:widowControl/>
        <w:numPr>
          <w:ilvl w:val="1"/>
          <w:numId w:val="53"/>
        </w:numPr>
        <w:spacing w:before="188" w:after="188" w:line="400" w:lineRule="exact"/>
        <w:jc w:val="center"/>
        <w:rPr>
          <w:rFonts w:ascii="宋体" w:hAnsi="宋体" w:eastAsia="宋体"/>
          <w:sz w:val="21"/>
          <w:szCs w:val="21"/>
        </w:rPr>
      </w:pPr>
      <w:bookmarkStart w:id="129" w:name="_Toc24894"/>
      <w:bookmarkStart w:id="130" w:name="_Toc21297"/>
      <w:r>
        <w:rPr>
          <w:rFonts w:hint="eastAsia" w:ascii="宋体" w:hAnsi="宋体" w:eastAsia="宋体"/>
          <w:sz w:val="21"/>
          <w:szCs w:val="21"/>
        </w:rPr>
        <w:t>资格声明函</w:t>
      </w:r>
      <w:bookmarkEnd w:id="129"/>
      <w:bookmarkEnd w:id="130"/>
    </w:p>
    <w:p>
      <w:pPr>
        <w:jc w:val="left"/>
        <w:rPr>
          <w:b/>
          <w:sz w:val="21"/>
          <w:szCs w:val="21"/>
        </w:rPr>
      </w:pPr>
      <w:r>
        <w:rPr>
          <w:rFonts w:hint="eastAsia"/>
          <w:b/>
          <w:sz w:val="21"/>
          <w:szCs w:val="21"/>
        </w:rPr>
        <w:t>广东志正招标有限公司：</w:t>
      </w:r>
    </w:p>
    <w:p>
      <w:pPr>
        <w:snapToGrid w:val="0"/>
        <w:spacing w:beforeLines="50" w:line="360" w:lineRule="auto"/>
        <w:ind w:firstLine="525" w:firstLineChars="250"/>
        <w:jc w:val="left"/>
        <w:rPr>
          <w:rFonts w:ascii="宋体" w:hAnsi="宋体"/>
          <w:bCs/>
          <w:sz w:val="21"/>
          <w:szCs w:val="21"/>
        </w:rPr>
      </w:pPr>
      <w:r>
        <w:rPr>
          <w:rFonts w:hint="eastAsia" w:ascii="宋体" w:hAnsi="宋体"/>
          <w:sz w:val="21"/>
          <w:szCs w:val="21"/>
        </w:rPr>
        <w:t>关于贵公司的</w:t>
      </w:r>
      <w:r>
        <w:rPr>
          <w:rFonts w:hint="eastAsia" w:ascii="宋体" w:hAnsi="宋体"/>
          <w:sz w:val="21"/>
          <w:szCs w:val="21"/>
          <w:u w:val="single"/>
        </w:rPr>
        <w:t xml:space="preserve">     （项目名称）             </w:t>
      </w:r>
      <w:r>
        <w:rPr>
          <w:rFonts w:hint="eastAsia" w:ascii="宋体" w:hAnsi="宋体"/>
          <w:sz w:val="21"/>
          <w:szCs w:val="21"/>
        </w:rPr>
        <w:t>（项目编号：</w:t>
      </w:r>
      <w:r>
        <w:rPr>
          <w:rFonts w:hint="eastAsia" w:ascii="宋体" w:hAnsi="宋体" w:cs="Arial"/>
          <w:sz w:val="21"/>
          <w:szCs w:val="21"/>
          <w:u w:val="single"/>
        </w:rPr>
        <w:t>441900-201905-0007004001-0003</w:t>
      </w:r>
      <w:r>
        <w:rPr>
          <w:rFonts w:hint="eastAsia" w:ascii="宋体" w:hAnsi="宋体"/>
          <w:sz w:val="21"/>
          <w:szCs w:val="21"/>
        </w:rPr>
        <w:t>）的投标邀请，本单位（企业）自愿参加投标</w:t>
      </w:r>
      <w:r>
        <w:rPr>
          <w:rFonts w:hint="eastAsia" w:ascii="宋体" w:hAnsi="宋体"/>
          <w:bCs/>
          <w:sz w:val="21"/>
          <w:szCs w:val="21"/>
        </w:rPr>
        <w:t>，现声明如下：</w:t>
      </w:r>
    </w:p>
    <w:p>
      <w:pPr>
        <w:snapToGrid w:val="0"/>
        <w:spacing w:line="360" w:lineRule="auto"/>
        <w:ind w:firstLine="424" w:firstLineChars="202"/>
        <w:jc w:val="left"/>
        <w:rPr>
          <w:rFonts w:ascii="宋体" w:hAnsi="宋体"/>
          <w:sz w:val="21"/>
          <w:szCs w:val="21"/>
        </w:rPr>
      </w:pPr>
      <w:r>
        <w:rPr>
          <w:rFonts w:hint="eastAsia" w:ascii="宋体" w:hAnsi="宋体"/>
          <w:sz w:val="21"/>
          <w:szCs w:val="21"/>
        </w:rPr>
        <w:t>本单位具备</w:t>
      </w:r>
      <w:r>
        <w:rPr>
          <w:rFonts w:hint="eastAsia" w:ascii="宋体" w:hAnsi="宋体"/>
          <w:bCs/>
          <w:sz w:val="21"/>
          <w:szCs w:val="21"/>
        </w:rPr>
        <w:t>《中华人民共和国政府采购法》第二十二条资格条件，</w:t>
      </w:r>
      <w:r>
        <w:rPr>
          <w:rFonts w:hint="eastAsia" w:ascii="宋体" w:hAnsi="宋体"/>
          <w:sz w:val="21"/>
          <w:szCs w:val="21"/>
        </w:rPr>
        <w:t>并已清楚招标文件的要求及有关文件规定。</w:t>
      </w:r>
    </w:p>
    <w:p>
      <w:pPr>
        <w:snapToGrid w:val="0"/>
        <w:spacing w:line="360" w:lineRule="auto"/>
        <w:ind w:firstLine="424" w:firstLineChars="202"/>
        <w:jc w:val="left"/>
        <w:rPr>
          <w:rFonts w:ascii="宋体" w:hAnsi="宋体"/>
          <w:sz w:val="21"/>
          <w:szCs w:val="21"/>
        </w:rPr>
      </w:pPr>
      <w:r>
        <w:rPr>
          <w:rFonts w:hint="eastAsia" w:ascii="宋体" w:hAnsi="宋体"/>
          <w:sz w:val="21"/>
          <w:szCs w:val="21"/>
        </w:rPr>
        <w:t>本单位的法定代表人或单位负责人与所参投的本采购项目包组的其他投标人的法定代表人或单位负责人不为同一人且与其他投标人之间不存在直接控股、管理关系。</w:t>
      </w:r>
    </w:p>
    <w:p>
      <w:pPr>
        <w:snapToGrid w:val="0"/>
        <w:spacing w:line="360" w:lineRule="auto"/>
        <w:ind w:firstLine="424" w:firstLineChars="202"/>
        <w:jc w:val="left"/>
        <w:rPr>
          <w:rFonts w:ascii="宋体" w:hAnsi="宋体"/>
          <w:sz w:val="21"/>
          <w:szCs w:val="21"/>
        </w:rPr>
      </w:pPr>
      <w:r>
        <w:rPr>
          <w:rFonts w:hint="eastAsia" w:ascii="宋体" w:hAnsi="宋体"/>
          <w:sz w:val="21"/>
          <w:szCs w:val="21"/>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pPr>
        <w:snapToGrid w:val="0"/>
        <w:spacing w:line="360" w:lineRule="auto"/>
        <w:ind w:firstLine="424" w:firstLineChars="202"/>
        <w:jc w:val="left"/>
        <w:rPr>
          <w:rFonts w:ascii="宋体" w:hAnsi="宋体"/>
          <w:sz w:val="21"/>
          <w:szCs w:val="21"/>
        </w:rPr>
      </w:pPr>
      <w:r>
        <w:rPr>
          <w:rFonts w:hint="eastAsia" w:ascii="宋体" w:hAnsi="宋体"/>
          <w:sz w:val="21"/>
          <w:szCs w:val="21"/>
        </w:rPr>
        <w:t>本单位</w:t>
      </w:r>
      <w:r>
        <w:rPr>
          <w:rFonts w:ascii="宋体" w:hAnsi="宋体"/>
          <w:sz w:val="21"/>
          <w:szCs w:val="21"/>
        </w:rPr>
        <w:t>具有履行合同所必需的设备和专业技术能力</w:t>
      </w:r>
      <w:r>
        <w:rPr>
          <w:rFonts w:hint="eastAsia" w:ascii="宋体" w:hAnsi="宋体"/>
          <w:sz w:val="21"/>
          <w:szCs w:val="21"/>
        </w:rPr>
        <w:t>，且参加政府采购活动前</w:t>
      </w:r>
      <w:r>
        <w:rPr>
          <w:rFonts w:ascii="宋体" w:hAnsi="宋体"/>
          <w:sz w:val="21"/>
          <w:szCs w:val="21"/>
        </w:rPr>
        <w:t>3</w:t>
      </w:r>
      <w:r>
        <w:rPr>
          <w:rFonts w:hint="eastAsia" w:ascii="宋体" w:hAnsi="宋体"/>
          <w:sz w:val="21"/>
          <w:szCs w:val="21"/>
        </w:rPr>
        <w:t>年内在经营活动中没有重大违法记录。否则，由此所造成的损失、不良后果及法律责任，一律由我单位承担。</w:t>
      </w:r>
    </w:p>
    <w:p>
      <w:pPr>
        <w:snapToGrid w:val="0"/>
        <w:spacing w:line="360" w:lineRule="auto"/>
        <w:ind w:firstLine="424" w:firstLineChars="202"/>
        <w:jc w:val="left"/>
        <w:rPr>
          <w:rFonts w:ascii="宋体" w:hAnsi="宋体"/>
          <w:sz w:val="21"/>
          <w:szCs w:val="21"/>
        </w:rPr>
      </w:pPr>
      <w:r>
        <w:rPr>
          <w:rFonts w:hint="eastAsia" w:ascii="宋体" w:hAnsi="宋体"/>
          <w:sz w:val="21"/>
          <w:szCs w:val="21"/>
        </w:rPr>
        <w:t>本次招标采购活动中，如有违法、违规、弄虚作假行为，所造成的损失、不良后果及法律责任，一律由我单位承担。</w:t>
      </w:r>
    </w:p>
    <w:p>
      <w:pPr>
        <w:spacing w:line="360" w:lineRule="auto"/>
        <w:ind w:firstLine="420"/>
        <w:jc w:val="left"/>
        <w:rPr>
          <w:b/>
          <w:sz w:val="21"/>
          <w:szCs w:val="21"/>
        </w:rPr>
      </w:pPr>
      <w:r>
        <w:rPr>
          <w:rFonts w:hint="eastAsia"/>
          <w:b/>
          <w:sz w:val="21"/>
          <w:szCs w:val="21"/>
        </w:rPr>
        <w:t>特此声明！</w:t>
      </w:r>
    </w:p>
    <w:p>
      <w:pPr>
        <w:spacing w:line="360" w:lineRule="auto"/>
        <w:ind w:firstLine="420"/>
        <w:jc w:val="left"/>
        <w:rPr>
          <w:b/>
          <w:sz w:val="21"/>
          <w:szCs w:val="21"/>
        </w:rPr>
      </w:pPr>
    </w:p>
    <w:p>
      <w:pPr>
        <w:spacing w:line="360" w:lineRule="auto"/>
        <w:ind w:firstLine="420"/>
        <w:jc w:val="left"/>
        <w:rPr>
          <w:b/>
          <w:sz w:val="21"/>
          <w:szCs w:val="21"/>
        </w:rPr>
      </w:pPr>
    </w:p>
    <w:p>
      <w:pPr>
        <w:tabs>
          <w:tab w:val="left" w:pos="2268"/>
        </w:tabs>
        <w:spacing w:line="420" w:lineRule="exact"/>
        <w:jc w:val="left"/>
        <w:rPr>
          <w:rFonts w:ascii="宋体" w:hAnsi="宋体"/>
          <w:sz w:val="21"/>
          <w:szCs w:val="21"/>
        </w:rPr>
      </w:pPr>
      <w:r>
        <w:rPr>
          <w:rFonts w:hint="eastAsia" w:ascii="宋体" w:hAnsi="宋体"/>
          <w:sz w:val="21"/>
          <w:szCs w:val="21"/>
        </w:rPr>
        <w:t>投标人名称（并加盖法人公章）：</w:t>
      </w:r>
    </w:p>
    <w:p>
      <w:pPr>
        <w:tabs>
          <w:tab w:val="left" w:pos="2268"/>
        </w:tabs>
        <w:spacing w:line="420" w:lineRule="exact"/>
        <w:jc w:val="left"/>
        <w:rPr>
          <w:rFonts w:ascii="宋体" w:hAnsi="宋体"/>
          <w:sz w:val="21"/>
          <w:szCs w:val="21"/>
        </w:rPr>
      </w:pPr>
    </w:p>
    <w:p>
      <w:pPr>
        <w:tabs>
          <w:tab w:val="left" w:pos="2268"/>
        </w:tabs>
        <w:spacing w:line="420" w:lineRule="exact"/>
        <w:jc w:val="left"/>
        <w:rPr>
          <w:rFonts w:ascii="宋体" w:hAnsi="宋体"/>
          <w:sz w:val="21"/>
          <w:szCs w:val="21"/>
        </w:rPr>
      </w:pPr>
      <w:r>
        <w:rPr>
          <w:rFonts w:hint="eastAsia" w:ascii="宋体" w:hAnsi="宋体"/>
          <w:sz w:val="21"/>
          <w:szCs w:val="21"/>
        </w:rPr>
        <w:t>投标人法定代表人或其委托人签名或印鉴：</w:t>
      </w:r>
    </w:p>
    <w:p>
      <w:pPr>
        <w:tabs>
          <w:tab w:val="left" w:pos="2268"/>
        </w:tabs>
        <w:spacing w:line="420" w:lineRule="exact"/>
        <w:jc w:val="left"/>
        <w:rPr>
          <w:rFonts w:ascii="宋体" w:hAnsi="宋体"/>
          <w:sz w:val="21"/>
          <w:szCs w:val="21"/>
        </w:rPr>
      </w:pPr>
    </w:p>
    <w:p>
      <w:pPr>
        <w:tabs>
          <w:tab w:val="left" w:pos="2268"/>
        </w:tabs>
        <w:spacing w:line="420" w:lineRule="exact"/>
        <w:jc w:val="left"/>
        <w:rPr>
          <w:rFonts w:ascii="宋体" w:hAnsi="宋体"/>
          <w:sz w:val="21"/>
          <w:szCs w:val="21"/>
        </w:rPr>
      </w:pPr>
      <w:r>
        <w:rPr>
          <w:rFonts w:hint="eastAsia" w:ascii="宋体" w:hAnsi="宋体"/>
          <w:sz w:val="21"/>
          <w:szCs w:val="21"/>
        </w:rPr>
        <w:t>日期：年月日</w:t>
      </w:r>
    </w:p>
    <w:p>
      <w:pPr>
        <w:spacing w:line="360" w:lineRule="auto"/>
        <w:ind w:firstLine="420"/>
        <w:jc w:val="left"/>
        <w:rPr>
          <w:sz w:val="21"/>
          <w:szCs w:val="21"/>
        </w:rPr>
      </w:pPr>
    </w:p>
    <w:p>
      <w:pPr>
        <w:tabs>
          <w:tab w:val="left" w:pos="567"/>
        </w:tabs>
        <w:adjustRightInd w:val="0"/>
        <w:snapToGrid w:val="0"/>
        <w:spacing w:line="360" w:lineRule="auto"/>
        <w:jc w:val="left"/>
        <w:rPr>
          <w:b/>
          <w:sz w:val="21"/>
          <w:szCs w:val="21"/>
        </w:rPr>
      </w:pPr>
      <w:r>
        <w:rPr>
          <w:rFonts w:ascii="宋体" w:hAnsi="宋体"/>
          <w:b/>
          <w:sz w:val="21"/>
          <w:szCs w:val="21"/>
        </w:rPr>
        <w:br w:type="page"/>
      </w:r>
    </w:p>
    <w:p>
      <w:pPr>
        <w:tabs>
          <w:tab w:val="left" w:pos="567"/>
        </w:tabs>
        <w:adjustRightInd w:val="0"/>
        <w:snapToGrid w:val="0"/>
        <w:spacing w:line="360" w:lineRule="auto"/>
        <w:jc w:val="left"/>
        <w:rPr>
          <w:b/>
          <w:sz w:val="21"/>
          <w:szCs w:val="21"/>
        </w:rPr>
      </w:pPr>
      <w:r>
        <w:rPr>
          <w:rFonts w:hint="eastAsia"/>
          <w:b/>
          <w:sz w:val="21"/>
          <w:szCs w:val="21"/>
        </w:rPr>
        <w:t>附件：</w:t>
      </w:r>
    </w:p>
    <w:p>
      <w:pPr>
        <w:numPr>
          <w:ilvl w:val="0"/>
          <w:numId w:val="54"/>
        </w:numPr>
        <w:tabs>
          <w:tab w:val="left" w:pos="420"/>
        </w:tabs>
        <w:adjustRightInd w:val="0"/>
        <w:snapToGrid w:val="0"/>
        <w:spacing w:line="360" w:lineRule="auto"/>
        <w:jc w:val="left"/>
        <w:rPr>
          <w:rFonts w:ascii="宋体" w:hAnsi="宋体"/>
          <w:bCs/>
          <w:sz w:val="21"/>
          <w:szCs w:val="21"/>
        </w:rPr>
      </w:pPr>
      <w:r>
        <w:rPr>
          <w:rFonts w:hint="eastAsia" w:ascii="宋体" w:hAnsi="宋体"/>
          <w:bCs/>
          <w:sz w:val="21"/>
          <w:szCs w:val="21"/>
        </w:rPr>
        <w:t>2018年财务状况报告复印件，其他组织或投标人新成立不足一年提供银行出具的资信证明材料复印件；</w:t>
      </w:r>
    </w:p>
    <w:p>
      <w:pPr>
        <w:numPr>
          <w:ilvl w:val="0"/>
          <w:numId w:val="54"/>
        </w:numPr>
        <w:tabs>
          <w:tab w:val="left" w:pos="420"/>
        </w:tabs>
        <w:adjustRightInd w:val="0"/>
        <w:snapToGrid w:val="0"/>
        <w:spacing w:line="360" w:lineRule="auto"/>
        <w:jc w:val="left"/>
        <w:rPr>
          <w:rFonts w:ascii="宋体" w:hAnsi="宋体"/>
          <w:bCs/>
          <w:sz w:val="21"/>
          <w:szCs w:val="21"/>
        </w:rPr>
      </w:pPr>
      <w:r>
        <w:rPr>
          <w:rFonts w:hint="eastAsia" w:ascii="宋体" w:hAnsi="宋体"/>
          <w:bCs/>
          <w:sz w:val="21"/>
          <w:szCs w:val="21"/>
        </w:rPr>
        <w:t>2019年开具的缴纳税收的凭据证明材料复印件；如依法免税的，应提供相应文件证明其依法免税；</w:t>
      </w:r>
    </w:p>
    <w:p>
      <w:pPr>
        <w:numPr>
          <w:ilvl w:val="0"/>
          <w:numId w:val="54"/>
        </w:numPr>
        <w:tabs>
          <w:tab w:val="left" w:pos="420"/>
        </w:tabs>
        <w:adjustRightInd w:val="0"/>
        <w:snapToGrid w:val="0"/>
        <w:spacing w:line="360" w:lineRule="auto"/>
        <w:jc w:val="left"/>
        <w:rPr>
          <w:rFonts w:ascii="宋体" w:hAnsi="宋体"/>
          <w:bCs/>
          <w:sz w:val="21"/>
          <w:szCs w:val="21"/>
        </w:rPr>
      </w:pPr>
      <w:r>
        <w:rPr>
          <w:rFonts w:hint="eastAsia" w:ascii="宋体" w:hAnsi="宋体"/>
          <w:bCs/>
          <w:sz w:val="21"/>
          <w:szCs w:val="21"/>
        </w:rPr>
        <w:t>2019年开具的缴纳社会保险的凭据证明材料复印件；如依法不需要缴纳社会保障资金的，应提供相应文件证明其依法不需要缴纳社会保障资金。</w:t>
      </w:r>
    </w:p>
    <w:p>
      <w:pPr>
        <w:spacing w:line="360" w:lineRule="auto"/>
        <w:ind w:firstLine="420"/>
        <w:jc w:val="left"/>
        <w:rPr>
          <w:rFonts w:ascii="宋体" w:hAnsi="宋体"/>
          <w:b/>
          <w:bCs/>
          <w:sz w:val="21"/>
          <w:szCs w:val="21"/>
        </w:rPr>
      </w:pPr>
    </w:p>
    <w:p>
      <w:pPr>
        <w:snapToGrid w:val="0"/>
        <w:spacing w:line="360" w:lineRule="auto"/>
        <w:ind w:firstLine="480" w:firstLineChars="229"/>
        <w:jc w:val="left"/>
        <w:rPr>
          <w:rFonts w:ascii="宋体" w:hAnsi="宋体"/>
          <w:sz w:val="21"/>
          <w:szCs w:val="21"/>
        </w:rPr>
      </w:pPr>
    </w:p>
    <w:p>
      <w:pPr>
        <w:spacing w:line="360" w:lineRule="auto"/>
        <w:jc w:val="left"/>
        <w:rPr>
          <w:rFonts w:ascii="宋体" w:hAnsi="宋体"/>
          <w:sz w:val="21"/>
          <w:szCs w:val="21"/>
        </w:rPr>
      </w:pPr>
      <w:bookmarkStart w:id="131" w:name="_Toc466964793"/>
    </w:p>
    <w:p>
      <w:pPr>
        <w:pStyle w:val="2"/>
        <w:keepNext w:val="0"/>
        <w:keepLines w:val="0"/>
        <w:widowControl/>
        <w:numPr>
          <w:ilvl w:val="1"/>
          <w:numId w:val="53"/>
        </w:numPr>
        <w:spacing w:before="188" w:after="188" w:line="400" w:lineRule="exact"/>
        <w:jc w:val="center"/>
        <w:rPr>
          <w:rFonts w:ascii="宋体" w:hAnsi="宋体" w:eastAsia="宋体"/>
          <w:sz w:val="21"/>
          <w:szCs w:val="21"/>
        </w:rPr>
      </w:pPr>
      <w:r>
        <w:rPr>
          <w:rFonts w:ascii="宋体" w:hAnsi="宋体" w:eastAsia="宋体"/>
          <w:sz w:val="21"/>
          <w:szCs w:val="21"/>
        </w:rPr>
        <w:br w:type="page"/>
      </w:r>
      <w:bookmarkStart w:id="132" w:name="_Toc1031"/>
      <w:r>
        <w:rPr>
          <w:rFonts w:hint="eastAsia" w:ascii="宋体" w:hAnsi="宋体" w:eastAsia="宋体"/>
          <w:sz w:val="21"/>
          <w:szCs w:val="21"/>
        </w:rPr>
        <w:t>符合“供应商资格”要求的其他证明文件</w:t>
      </w:r>
      <w:bookmarkEnd w:id="131"/>
      <w:bookmarkEnd w:id="132"/>
    </w:p>
    <w:p>
      <w:pPr>
        <w:tabs>
          <w:tab w:val="left" w:pos="709"/>
        </w:tabs>
        <w:spacing w:line="440" w:lineRule="exact"/>
        <w:ind w:left="180"/>
        <w:jc w:val="left"/>
        <w:rPr>
          <w:rFonts w:ascii="宋体" w:hAnsi="宋体" w:cs="宋体"/>
          <w:sz w:val="21"/>
          <w:szCs w:val="21"/>
        </w:rPr>
      </w:pPr>
      <w:r>
        <w:rPr>
          <w:rFonts w:hint="eastAsia" w:ascii="宋体" w:hAnsi="宋体" w:cs="宋体"/>
          <w:sz w:val="21"/>
          <w:szCs w:val="21"/>
        </w:rPr>
        <w:t>附件1：有效的企业法人营业执照（或法人登记证）或者其他组织的营业执照复印件</w:t>
      </w:r>
    </w:p>
    <w:p>
      <w:pPr>
        <w:tabs>
          <w:tab w:val="left" w:pos="709"/>
        </w:tabs>
        <w:spacing w:line="440" w:lineRule="exact"/>
        <w:ind w:left="180"/>
        <w:jc w:val="left"/>
        <w:rPr>
          <w:rFonts w:ascii="宋体" w:hAnsi="宋体" w:cs="宋体"/>
          <w:sz w:val="21"/>
          <w:szCs w:val="21"/>
        </w:rPr>
      </w:pPr>
      <w:r>
        <w:rPr>
          <w:rFonts w:hint="eastAsia" w:ascii="宋体" w:hAnsi="宋体" w:cs="宋体"/>
          <w:sz w:val="21"/>
          <w:szCs w:val="21"/>
        </w:rPr>
        <w:t>附件2：供应商认为必要的其他材料</w:t>
      </w:r>
    </w:p>
    <w:p>
      <w:pPr>
        <w:spacing w:line="360" w:lineRule="auto"/>
        <w:jc w:val="left"/>
        <w:rPr>
          <w:rFonts w:ascii="宋体" w:hAnsi="宋体"/>
          <w:sz w:val="21"/>
          <w:szCs w:val="21"/>
        </w:rPr>
      </w:pPr>
    </w:p>
    <w:p>
      <w:pPr>
        <w:spacing w:line="360" w:lineRule="auto"/>
        <w:jc w:val="left"/>
        <w:rPr>
          <w:rFonts w:ascii="宋体" w:hAnsi="宋体"/>
          <w:sz w:val="21"/>
          <w:szCs w:val="21"/>
        </w:rPr>
      </w:pPr>
    </w:p>
    <w:p>
      <w:pPr>
        <w:pStyle w:val="2"/>
        <w:keepNext w:val="0"/>
        <w:keepLines w:val="0"/>
        <w:widowControl/>
        <w:spacing w:before="188" w:after="188" w:line="400" w:lineRule="exact"/>
        <w:jc w:val="center"/>
        <w:rPr>
          <w:rFonts w:ascii="宋体" w:hAnsi="宋体" w:eastAsia="宋体" w:cs="Times New Roman"/>
          <w:bCs/>
          <w:kern w:val="2"/>
        </w:rPr>
      </w:pPr>
      <w:r>
        <w:rPr>
          <w:rFonts w:ascii="宋体" w:hAnsi="宋体" w:eastAsia="宋体" w:cs="Times New Roman"/>
          <w:bCs/>
          <w:kern w:val="2"/>
          <w:sz w:val="21"/>
          <w:szCs w:val="21"/>
        </w:rPr>
        <w:br w:type="page"/>
      </w:r>
      <w:bookmarkStart w:id="133" w:name="_Toc27743"/>
      <w:r>
        <w:rPr>
          <w:rFonts w:hint="eastAsia" w:ascii="宋体" w:hAnsi="宋体" w:eastAsia="宋体" w:cs="Times New Roman"/>
          <w:bCs/>
          <w:kern w:val="2"/>
        </w:rPr>
        <w:t>第四章 投标文件商务部分</w:t>
      </w:r>
      <w:bookmarkEnd w:id="133"/>
    </w:p>
    <w:p>
      <w:pPr>
        <w:pStyle w:val="201"/>
        <w:widowControl/>
        <w:numPr>
          <w:ilvl w:val="0"/>
          <w:numId w:val="53"/>
        </w:numPr>
        <w:spacing w:line="400" w:lineRule="exact"/>
        <w:ind w:hanging="357" w:firstLineChars="0"/>
        <w:jc w:val="left"/>
        <w:outlineLvl w:val="1"/>
        <w:rPr>
          <w:rFonts w:ascii="宋体" w:hAnsi="宋体" w:cs="Arial"/>
          <w:b/>
          <w:vanish/>
          <w:kern w:val="44"/>
          <w:sz w:val="21"/>
          <w:szCs w:val="21"/>
        </w:rPr>
      </w:pPr>
      <w:bookmarkStart w:id="134" w:name="_Toc492486548"/>
      <w:bookmarkEnd w:id="134"/>
      <w:bookmarkStart w:id="135" w:name="_Toc30412"/>
      <w:bookmarkEnd w:id="135"/>
      <w:bookmarkStart w:id="136" w:name="_Toc466965317"/>
      <w:bookmarkEnd w:id="136"/>
      <w:bookmarkStart w:id="137" w:name="_Toc21798"/>
      <w:bookmarkEnd w:id="137"/>
      <w:bookmarkStart w:id="138" w:name="_Toc432770657"/>
      <w:bookmarkEnd w:id="138"/>
      <w:bookmarkStart w:id="139" w:name="_Toc425156077"/>
      <w:bookmarkEnd w:id="139"/>
      <w:bookmarkStart w:id="140" w:name="_Toc492475619"/>
      <w:bookmarkEnd w:id="140"/>
      <w:bookmarkStart w:id="141" w:name="_Toc517373635"/>
      <w:bookmarkEnd w:id="141"/>
      <w:bookmarkStart w:id="142" w:name="_Toc425155842"/>
      <w:bookmarkEnd w:id="142"/>
      <w:bookmarkStart w:id="143" w:name="_Toc464200496"/>
      <w:bookmarkEnd w:id="143"/>
      <w:bookmarkStart w:id="144" w:name="_Toc464638355"/>
      <w:bookmarkEnd w:id="144"/>
      <w:bookmarkStart w:id="145" w:name="_Toc466293975"/>
      <w:bookmarkEnd w:id="145"/>
      <w:bookmarkStart w:id="146" w:name="_Toc425155971"/>
      <w:bookmarkEnd w:id="146"/>
      <w:bookmarkStart w:id="147" w:name="_Toc31428"/>
      <w:bookmarkEnd w:id="147"/>
      <w:bookmarkStart w:id="148" w:name="_Toc523336531"/>
      <w:bookmarkEnd w:id="148"/>
      <w:bookmarkStart w:id="149" w:name="_Toc425155464"/>
      <w:bookmarkEnd w:id="149"/>
      <w:bookmarkStart w:id="150" w:name="_Toc425156141"/>
      <w:bookmarkEnd w:id="150"/>
      <w:bookmarkStart w:id="151" w:name="_Toc492475670"/>
      <w:bookmarkEnd w:id="151"/>
      <w:bookmarkStart w:id="152" w:name="_Toc492469416"/>
      <w:bookmarkEnd w:id="152"/>
      <w:bookmarkStart w:id="153" w:name="_Toc466987305"/>
      <w:bookmarkEnd w:id="153"/>
      <w:bookmarkStart w:id="154" w:name="_Toc464200112"/>
      <w:bookmarkEnd w:id="154"/>
      <w:bookmarkStart w:id="155" w:name="_Toc465177980"/>
      <w:bookmarkEnd w:id="155"/>
      <w:bookmarkStart w:id="156" w:name="_Toc492487427"/>
      <w:bookmarkEnd w:id="156"/>
      <w:bookmarkStart w:id="157" w:name="_Toc425337888"/>
      <w:bookmarkEnd w:id="157"/>
      <w:bookmarkStart w:id="158" w:name="_Toc463691708"/>
      <w:bookmarkEnd w:id="158"/>
      <w:bookmarkStart w:id="159" w:name="_Toc8835"/>
      <w:bookmarkEnd w:id="159"/>
      <w:bookmarkStart w:id="160" w:name="_Toc1416"/>
      <w:bookmarkEnd w:id="160"/>
      <w:bookmarkStart w:id="161" w:name="_Toc12262"/>
      <w:bookmarkEnd w:id="161"/>
      <w:bookmarkStart w:id="162" w:name="_Toc10413"/>
      <w:bookmarkEnd w:id="162"/>
      <w:bookmarkStart w:id="163" w:name="_Toc30959"/>
      <w:bookmarkEnd w:id="163"/>
      <w:bookmarkStart w:id="164" w:name="_Toc492483021"/>
      <w:bookmarkEnd w:id="164"/>
      <w:bookmarkStart w:id="165" w:name="_Toc425155190"/>
      <w:bookmarkEnd w:id="165"/>
      <w:bookmarkStart w:id="166" w:name="_Toc27231"/>
      <w:bookmarkEnd w:id="166"/>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bookmarkStart w:id="167" w:name="_Toc7535"/>
      <w:r>
        <w:rPr>
          <w:rFonts w:hint="eastAsia" w:ascii="宋体" w:hAnsi="宋体" w:eastAsia="宋体"/>
          <w:sz w:val="21"/>
          <w:szCs w:val="21"/>
        </w:rPr>
        <w:t>投标函</w:t>
      </w:r>
      <w:bookmarkEnd w:id="127"/>
      <w:bookmarkEnd w:id="167"/>
    </w:p>
    <w:p>
      <w:pPr>
        <w:spacing w:line="440" w:lineRule="exact"/>
        <w:ind w:left="748" w:hanging="567"/>
        <w:jc w:val="left"/>
        <w:rPr>
          <w:rFonts w:ascii="宋体" w:hAnsi="宋体"/>
          <w:sz w:val="21"/>
          <w:szCs w:val="21"/>
        </w:rPr>
      </w:pPr>
      <w:bookmarkStart w:id="168" w:name="_Toc72860202"/>
      <w:r>
        <w:rPr>
          <w:rFonts w:hint="eastAsia" w:ascii="宋体" w:hAnsi="宋体"/>
          <w:sz w:val="21"/>
          <w:szCs w:val="21"/>
        </w:rPr>
        <w:t>致：广东志正招标有限公司</w:t>
      </w:r>
      <w:bookmarkEnd w:id="168"/>
    </w:p>
    <w:p>
      <w:pPr>
        <w:spacing w:line="440" w:lineRule="exact"/>
        <w:ind w:left="180" w:leftChars="75" w:firstLine="500" w:firstLineChars="200"/>
        <w:jc w:val="left"/>
        <w:rPr>
          <w:rFonts w:ascii="宋体" w:hAnsi="宋体"/>
          <w:sz w:val="21"/>
          <w:szCs w:val="21"/>
        </w:rPr>
      </w:pPr>
      <w:r>
        <w:rPr>
          <w:rFonts w:hint="eastAsia" w:ascii="宋体" w:hAnsi="宋体"/>
          <w:spacing w:val="20"/>
          <w:sz w:val="21"/>
          <w:szCs w:val="21"/>
        </w:rPr>
        <w:t>我方收到贵方关于</w:t>
      </w:r>
      <w:r>
        <w:rPr>
          <w:rFonts w:hint="eastAsia" w:ascii="宋体" w:hAnsi="宋体" w:cs="Arial"/>
          <w:sz w:val="21"/>
          <w:szCs w:val="21"/>
          <w:u w:val="single"/>
        </w:rPr>
        <w:t>气相色谱-质谱联用仪离子色谱仪</w:t>
      </w:r>
      <w:r>
        <w:rPr>
          <w:rFonts w:hint="eastAsia" w:ascii="宋体" w:hAnsi="宋体" w:cs="Arial"/>
          <w:sz w:val="21"/>
          <w:szCs w:val="21"/>
          <w:u w:val="single"/>
          <w:lang w:eastAsia="zh-CN"/>
        </w:rPr>
        <w:t>等仪器设备采购(重新采购)</w:t>
      </w:r>
      <w:r>
        <w:rPr>
          <w:rFonts w:hint="eastAsia" w:ascii="宋体" w:hAnsi="宋体" w:cs="Arial"/>
          <w:sz w:val="21"/>
          <w:szCs w:val="21"/>
          <w:u w:val="single"/>
        </w:rPr>
        <w:t xml:space="preserve">  </w:t>
      </w:r>
      <w:r>
        <w:rPr>
          <w:rFonts w:hint="eastAsia" w:ascii="宋体" w:hAnsi="宋体"/>
          <w:spacing w:val="20"/>
          <w:sz w:val="21"/>
          <w:szCs w:val="21"/>
        </w:rPr>
        <w:t>（项目编号</w:t>
      </w:r>
      <w:r>
        <w:rPr>
          <w:rFonts w:hint="eastAsia" w:ascii="宋体" w:hAnsi="宋体"/>
          <w:spacing w:val="20"/>
          <w:sz w:val="21"/>
          <w:szCs w:val="21"/>
          <w:u w:val="single"/>
        </w:rPr>
        <w:t>：</w:t>
      </w:r>
      <w:r>
        <w:rPr>
          <w:rFonts w:hint="eastAsia" w:ascii="宋体" w:hAnsi="宋体" w:cs="Arial"/>
          <w:sz w:val="21"/>
          <w:szCs w:val="21"/>
          <w:u w:val="single"/>
        </w:rPr>
        <w:t>441900-201905-0007004001-0003</w:t>
      </w:r>
      <w:r>
        <w:rPr>
          <w:rFonts w:hint="eastAsia" w:ascii="宋体" w:hAnsi="宋体"/>
          <w:spacing w:val="20"/>
          <w:sz w:val="21"/>
          <w:szCs w:val="21"/>
        </w:rPr>
        <w:t>）的招标文件，</w:t>
      </w:r>
      <w:r>
        <w:rPr>
          <w:rFonts w:hint="eastAsia" w:ascii="宋体" w:hAnsi="宋体"/>
          <w:sz w:val="21"/>
          <w:szCs w:val="21"/>
        </w:rPr>
        <w:t>我方完全理解招标文件的所有内容，现决定投标本项目，据此我方承诺如下：</w:t>
      </w:r>
    </w:p>
    <w:p>
      <w:pPr>
        <w:numPr>
          <w:ilvl w:val="1"/>
          <w:numId w:val="55"/>
        </w:numPr>
        <w:spacing w:line="440" w:lineRule="exact"/>
        <w:jc w:val="left"/>
        <w:rPr>
          <w:rFonts w:ascii="宋体" w:hAnsi="宋体"/>
          <w:sz w:val="21"/>
          <w:szCs w:val="21"/>
        </w:rPr>
      </w:pPr>
      <w:r>
        <w:rPr>
          <w:rFonts w:hint="eastAsia" w:ascii="宋体" w:hAnsi="宋体"/>
          <w:sz w:val="21"/>
          <w:szCs w:val="21"/>
        </w:rPr>
        <w:t>我方的投标文件在投标截止日后90天（日历天）内保持有效，如中标，有效期将延至本项目《采购合同》执行期满日为止。</w:t>
      </w:r>
    </w:p>
    <w:p>
      <w:pPr>
        <w:numPr>
          <w:ilvl w:val="1"/>
          <w:numId w:val="55"/>
        </w:numPr>
        <w:spacing w:line="440" w:lineRule="exact"/>
        <w:jc w:val="left"/>
        <w:rPr>
          <w:rFonts w:ascii="宋体" w:hAnsi="宋体"/>
          <w:sz w:val="21"/>
          <w:szCs w:val="21"/>
        </w:rPr>
      </w:pPr>
      <w:r>
        <w:rPr>
          <w:rFonts w:ascii="宋体" w:hAnsi="宋体"/>
          <w:sz w:val="21"/>
          <w:szCs w:val="21"/>
        </w:rPr>
        <w:t>我方在参与投标前已仔细研究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sz w:val="21"/>
          <w:szCs w:val="21"/>
        </w:rPr>
        <w:t>利</w:t>
      </w:r>
      <w:r>
        <w:rPr>
          <w:rFonts w:ascii="宋体" w:hAnsi="宋体"/>
          <w:sz w:val="21"/>
          <w:szCs w:val="21"/>
        </w:rPr>
        <w:t>。</w:t>
      </w:r>
    </w:p>
    <w:p>
      <w:pPr>
        <w:numPr>
          <w:ilvl w:val="1"/>
          <w:numId w:val="55"/>
        </w:numPr>
        <w:spacing w:line="440" w:lineRule="exact"/>
        <w:jc w:val="left"/>
        <w:rPr>
          <w:rFonts w:ascii="宋体" w:hAnsi="宋体"/>
          <w:sz w:val="21"/>
          <w:szCs w:val="21"/>
        </w:rPr>
      </w:pPr>
      <w:r>
        <w:rPr>
          <w:rFonts w:hint="eastAsia" w:ascii="宋体" w:hAnsi="宋体"/>
          <w:sz w:val="21"/>
          <w:szCs w:val="21"/>
        </w:rPr>
        <w:t>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pPr>
        <w:numPr>
          <w:ilvl w:val="1"/>
          <w:numId w:val="55"/>
        </w:numPr>
        <w:spacing w:line="440" w:lineRule="exact"/>
        <w:jc w:val="left"/>
        <w:rPr>
          <w:rFonts w:ascii="宋体" w:hAnsi="宋体"/>
          <w:sz w:val="21"/>
          <w:szCs w:val="21"/>
        </w:rPr>
      </w:pPr>
      <w:r>
        <w:rPr>
          <w:rFonts w:hint="eastAsia" w:ascii="宋体" w:hAnsi="宋体"/>
          <w:sz w:val="21"/>
          <w:szCs w:val="21"/>
        </w:rPr>
        <w:t>我方理解贵方不一定接受最低报价的投标。</w:t>
      </w:r>
    </w:p>
    <w:p>
      <w:pPr>
        <w:numPr>
          <w:ilvl w:val="1"/>
          <w:numId w:val="55"/>
        </w:numPr>
        <w:spacing w:line="440" w:lineRule="exact"/>
        <w:jc w:val="left"/>
        <w:rPr>
          <w:rFonts w:ascii="宋体" w:hAnsi="宋体"/>
          <w:sz w:val="21"/>
          <w:szCs w:val="21"/>
        </w:rPr>
      </w:pPr>
      <w:r>
        <w:rPr>
          <w:rFonts w:hint="eastAsia" w:ascii="宋体" w:hAnsi="宋体"/>
          <w:sz w:val="21"/>
          <w:szCs w:val="21"/>
        </w:rPr>
        <w:t>我方同意如在本项目开标后、投标有效期之内撤回投标的，贵方将不退还投标保证金（如有）。</w:t>
      </w:r>
    </w:p>
    <w:p>
      <w:pPr>
        <w:numPr>
          <w:ilvl w:val="1"/>
          <w:numId w:val="55"/>
        </w:numPr>
        <w:spacing w:line="440" w:lineRule="exact"/>
        <w:jc w:val="left"/>
        <w:rPr>
          <w:rFonts w:ascii="宋体" w:hAnsi="宋体"/>
          <w:sz w:val="21"/>
          <w:szCs w:val="21"/>
        </w:rPr>
      </w:pPr>
      <w:r>
        <w:rPr>
          <w:rFonts w:hint="eastAsia" w:ascii="宋体" w:hAnsi="宋体"/>
          <w:sz w:val="21"/>
          <w:szCs w:val="21"/>
        </w:rPr>
        <w:t>我方如果中标，保证履行投标文件中承诺的全部责任和义务，切实履行《采购合同》中的全部条款并按照《招标文件》的要求向贵司足额交纳招标代理服务费。</w:t>
      </w:r>
    </w:p>
    <w:p>
      <w:pPr>
        <w:numPr>
          <w:ilvl w:val="1"/>
          <w:numId w:val="55"/>
        </w:numPr>
        <w:spacing w:line="440" w:lineRule="exact"/>
        <w:jc w:val="left"/>
        <w:rPr>
          <w:rFonts w:ascii="宋体" w:hAnsi="宋体"/>
          <w:sz w:val="21"/>
          <w:szCs w:val="21"/>
        </w:rPr>
      </w:pPr>
      <w:r>
        <w:rPr>
          <w:rFonts w:hint="eastAsia" w:ascii="宋体" w:hAnsi="宋体"/>
          <w:sz w:val="21"/>
          <w:szCs w:val="21"/>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numPr>
          <w:ilvl w:val="1"/>
          <w:numId w:val="55"/>
        </w:numPr>
        <w:spacing w:line="440" w:lineRule="exact"/>
        <w:jc w:val="left"/>
        <w:rPr>
          <w:rFonts w:ascii="宋体" w:hAnsi="宋体"/>
          <w:sz w:val="21"/>
          <w:szCs w:val="21"/>
        </w:rPr>
      </w:pPr>
      <w:r>
        <w:rPr>
          <w:rFonts w:hint="eastAsia" w:ascii="宋体" w:hAnsi="宋体"/>
          <w:sz w:val="21"/>
          <w:szCs w:val="21"/>
        </w:rPr>
        <w:t>与本投标有关的一切正式往来通讯请寄：</w:t>
      </w:r>
    </w:p>
    <w:p>
      <w:pPr>
        <w:tabs>
          <w:tab w:val="left" w:pos="900"/>
          <w:tab w:val="left" w:pos="5529"/>
        </w:tabs>
        <w:spacing w:line="440" w:lineRule="exact"/>
        <w:ind w:left="540"/>
        <w:jc w:val="left"/>
        <w:rPr>
          <w:rFonts w:ascii="宋体" w:hAnsi="宋体"/>
          <w:sz w:val="21"/>
          <w:szCs w:val="21"/>
        </w:rPr>
      </w:pPr>
      <w:r>
        <w:rPr>
          <w:rFonts w:hint="eastAsia" w:ascii="宋体" w:hAnsi="宋体"/>
          <w:sz w:val="21"/>
          <w:szCs w:val="21"/>
        </w:rPr>
        <w:t>地址：</w:t>
      </w:r>
      <w:r>
        <w:rPr>
          <w:rFonts w:hint="eastAsia" w:ascii="宋体" w:hAnsi="宋体"/>
          <w:sz w:val="21"/>
          <w:szCs w:val="21"/>
        </w:rPr>
        <w:tab/>
      </w:r>
      <w:r>
        <w:rPr>
          <w:rFonts w:hint="eastAsia" w:ascii="宋体" w:hAnsi="宋体"/>
          <w:sz w:val="21"/>
          <w:szCs w:val="21"/>
        </w:rPr>
        <w:t>邮编：</w:t>
      </w:r>
    </w:p>
    <w:p>
      <w:pPr>
        <w:tabs>
          <w:tab w:val="left" w:pos="900"/>
          <w:tab w:val="left" w:pos="5529"/>
        </w:tabs>
        <w:spacing w:line="440" w:lineRule="exact"/>
        <w:ind w:left="540"/>
        <w:jc w:val="left"/>
        <w:rPr>
          <w:rFonts w:ascii="宋体" w:hAnsi="宋体"/>
          <w:sz w:val="21"/>
          <w:szCs w:val="21"/>
        </w:rPr>
      </w:pPr>
      <w:r>
        <w:rPr>
          <w:rFonts w:hint="eastAsia" w:ascii="宋体" w:hAnsi="宋体"/>
          <w:sz w:val="21"/>
          <w:szCs w:val="21"/>
        </w:rPr>
        <w:t>电话：</w:t>
      </w:r>
      <w:r>
        <w:rPr>
          <w:rFonts w:hint="eastAsia" w:ascii="宋体" w:hAnsi="宋体"/>
          <w:sz w:val="21"/>
          <w:szCs w:val="21"/>
        </w:rPr>
        <w:tab/>
      </w:r>
      <w:r>
        <w:rPr>
          <w:rFonts w:hint="eastAsia" w:ascii="宋体" w:hAnsi="宋体"/>
          <w:sz w:val="21"/>
          <w:szCs w:val="21"/>
        </w:rPr>
        <w:t>传真：</w:t>
      </w:r>
    </w:p>
    <w:p>
      <w:pPr>
        <w:tabs>
          <w:tab w:val="left" w:pos="900"/>
        </w:tabs>
        <w:spacing w:line="440" w:lineRule="exact"/>
        <w:ind w:left="540"/>
        <w:jc w:val="left"/>
        <w:rPr>
          <w:rFonts w:ascii="宋体" w:hAnsi="宋体"/>
          <w:sz w:val="21"/>
          <w:szCs w:val="21"/>
        </w:rPr>
      </w:pPr>
      <w:r>
        <w:rPr>
          <w:rFonts w:hint="eastAsia" w:ascii="宋体" w:hAnsi="宋体"/>
          <w:sz w:val="21"/>
          <w:szCs w:val="21"/>
        </w:rPr>
        <w:t>投标人代表姓名、职务（印刷体）：</w:t>
      </w:r>
    </w:p>
    <w:p>
      <w:pPr>
        <w:tabs>
          <w:tab w:val="left" w:pos="900"/>
        </w:tabs>
        <w:spacing w:line="440" w:lineRule="exact"/>
        <w:ind w:left="540"/>
        <w:jc w:val="left"/>
        <w:rPr>
          <w:rFonts w:ascii="宋体" w:hAnsi="宋体"/>
          <w:sz w:val="21"/>
          <w:szCs w:val="21"/>
        </w:rPr>
      </w:pPr>
      <w:r>
        <w:rPr>
          <w:rFonts w:hint="eastAsia" w:ascii="宋体" w:hAnsi="宋体"/>
          <w:sz w:val="21"/>
          <w:szCs w:val="21"/>
        </w:rPr>
        <w:t>投标人名称：（</w:t>
      </w:r>
      <w:r>
        <w:rPr>
          <w:rFonts w:hint="eastAsia" w:ascii="宋体" w:hAnsi="宋体" w:cs="Arial"/>
          <w:sz w:val="21"/>
          <w:szCs w:val="21"/>
        </w:rPr>
        <w:t>并加盖法人公章</w:t>
      </w:r>
      <w:r>
        <w:rPr>
          <w:rFonts w:hint="eastAsia" w:ascii="宋体" w:hAnsi="宋体"/>
          <w:sz w:val="21"/>
          <w:szCs w:val="21"/>
        </w:rPr>
        <w:t>）</w:t>
      </w:r>
    </w:p>
    <w:p>
      <w:pPr>
        <w:tabs>
          <w:tab w:val="left" w:pos="900"/>
        </w:tabs>
        <w:spacing w:line="440" w:lineRule="exact"/>
        <w:ind w:left="540"/>
        <w:jc w:val="left"/>
        <w:rPr>
          <w:rFonts w:ascii="宋体" w:hAnsi="宋体"/>
          <w:sz w:val="21"/>
          <w:szCs w:val="21"/>
        </w:rPr>
      </w:pPr>
      <w:r>
        <w:rPr>
          <w:rFonts w:hint="eastAsia" w:ascii="宋体" w:hAnsi="宋体"/>
          <w:sz w:val="21"/>
          <w:szCs w:val="21"/>
        </w:rPr>
        <w:t>投标人法定代表人或其委托人签名或印鉴：</w:t>
      </w:r>
    </w:p>
    <w:p>
      <w:pPr>
        <w:tabs>
          <w:tab w:val="left" w:pos="900"/>
        </w:tabs>
        <w:spacing w:line="440" w:lineRule="exact"/>
        <w:ind w:left="540"/>
        <w:jc w:val="left"/>
        <w:rPr>
          <w:rFonts w:ascii="宋体" w:hAnsi="宋体"/>
          <w:sz w:val="21"/>
          <w:szCs w:val="21"/>
        </w:rPr>
      </w:pPr>
      <w:r>
        <w:rPr>
          <w:rFonts w:hint="eastAsia" w:ascii="宋体" w:hAnsi="宋体"/>
          <w:sz w:val="21"/>
          <w:szCs w:val="21"/>
        </w:rPr>
        <w:t>日期：年月日</w:t>
      </w:r>
    </w:p>
    <w:p>
      <w:pPr>
        <w:tabs>
          <w:tab w:val="left" w:pos="900"/>
        </w:tabs>
        <w:spacing w:line="440" w:lineRule="exact"/>
        <w:ind w:left="540"/>
        <w:jc w:val="left"/>
        <w:rPr>
          <w:rFonts w:ascii="宋体" w:hAnsi="宋体"/>
          <w:sz w:val="21"/>
          <w:szCs w:val="21"/>
        </w:rPr>
      </w:pPr>
      <w:r>
        <w:rPr>
          <w:rFonts w:hint="eastAsia" w:ascii="宋体" w:hAnsi="宋体"/>
          <w:b/>
          <w:sz w:val="21"/>
          <w:szCs w:val="21"/>
        </w:rPr>
        <w:t>注：法定代表人委托全权代表人，需附法定代表人签字或印鉴的授权书。</w:t>
      </w: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r>
        <w:rPr>
          <w:rFonts w:ascii="宋体" w:hAnsi="宋体" w:eastAsia="宋体"/>
          <w:sz w:val="21"/>
          <w:szCs w:val="21"/>
        </w:rPr>
        <w:br w:type="page"/>
      </w:r>
      <w:bookmarkStart w:id="169" w:name="_Toc25878"/>
      <w:bookmarkStart w:id="170" w:name="_Toc368513823"/>
      <w:r>
        <w:rPr>
          <w:rFonts w:hint="eastAsia" w:ascii="宋体" w:hAnsi="宋体" w:eastAsia="宋体"/>
          <w:sz w:val="21"/>
          <w:szCs w:val="21"/>
        </w:rPr>
        <w:t>法定代表人证明书/法定代表人授权书格式</w:t>
      </w:r>
      <w:bookmarkEnd w:id="169"/>
      <w:bookmarkEnd w:id="170"/>
    </w:p>
    <w:p>
      <w:pPr>
        <w:spacing w:line="360" w:lineRule="auto"/>
        <w:ind w:firstLine="422" w:firstLineChars="200"/>
        <w:jc w:val="left"/>
        <w:rPr>
          <w:rFonts w:ascii="宋体" w:hAnsi="宋体"/>
          <w:b/>
          <w:bCs/>
          <w:sz w:val="21"/>
          <w:szCs w:val="21"/>
        </w:rPr>
      </w:pPr>
      <w:r>
        <w:rPr>
          <w:rFonts w:hint="eastAsia" w:ascii="宋体" w:hAnsi="宋体"/>
          <w:b/>
          <w:bCs/>
          <w:sz w:val="21"/>
          <w:szCs w:val="21"/>
        </w:rPr>
        <w:t>法定代表人证明书和法定代表人授权书按以下格式填写，如由法定代表人投标并签署投标文件，需提供法定代表人证明书，否则需提供法定代表人证明书和法定代表人授权书。</w:t>
      </w:r>
    </w:p>
    <w:p>
      <w:pPr>
        <w:pStyle w:val="6"/>
        <w:ind w:left="0"/>
        <w:jc w:val="left"/>
        <w:rPr>
          <w:rFonts w:ascii="宋体" w:hAnsi="宋体"/>
          <w:b/>
          <w:sz w:val="21"/>
          <w:szCs w:val="21"/>
        </w:rPr>
      </w:pPr>
    </w:p>
    <w:p>
      <w:pPr>
        <w:pStyle w:val="6"/>
        <w:ind w:left="0"/>
        <w:jc w:val="left"/>
        <w:rPr>
          <w:rFonts w:ascii="宋体" w:hAnsi="宋体"/>
          <w:b/>
          <w:sz w:val="21"/>
          <w:szCs w:val="21"/>
        </w:rPr>
      </w:pPr>
      <w:r>
        <w:rPr>
          <w:rFonts w:hint="eastAsia" w:ascii="宋体" w:hAnsi="宋体"/>
          <w:b/>
          <w:sz w:val="21"/>
          <w:szCs w:val="21"/>
        </w:rPr>
        <w:t>法定代表人证明书</w:t>
      </w:r>
    </w:p>
    <w:p>
      <w:pPr>
        <w:spacing w:line="360" w:lineRule="auto"/>
        <w:jc w:val="left"/>
        <w:rPr>
          <w:rFonts w:ascii="宋体" w:hAnsi="宋体"/>
          <w:b/>
          <w:bCs/>
          <w:sz w:val="21"/>
          <w:szCs w:val="21"/>
        </w:rPr>
      </w:pPr>
    </w:p>
    <w:p>
      <w:pPr>
        <w:spacing w:line="360" w:lineRule="auto"/>
        <w:ind w:left="732" w:leftChars="305"/>
        <w:jc w:val="left"/>
        <w:rPr>
          <w:rFonts w:ascii="宋体" w:hAnsi="宋体" w:cs="Arial"/>
          <w:sz w:val="21"/>
          <w:szCs w:val="21"/>
        </w:rPr>
      </w:pPr>
      <w:r>
        <w:rPr>
          <w:rFonts w:hint="eastAsia" w:ascii="宋体" w:hAnsi="宋体" w:cs="Arial"/>
          <w:sz w:val="21"/>
          <w:szCs w:val="21"/>
        </w:rPr>
        <w:t>同志，现任我单位职务，为法定代表人，特此证明。</w:t>
      </w:r>
    </w:p>
    <w:p>
      <w:pPr>
        <w:spacing w:line="360" w:lineRule="auto"/>
        <w:ind w:left="748" w:hanging="567"/>
        <w:jc w:val="left"/>
        <w:rPr>
          <w:rFonts w:ascii="宋体" w:hAnsi="宋体" w:cs="Arial"/>
          <w:sz w:val="21"/>
          <w:szCs w:val="21"/>
        </w:rPr>
      </w:pPr>
      <w:r>
        <w:rPr>
          <w:rFonts w:hint="eastAsia" w:ascii="宋体" w:hAnsi="宋体" w:cs="Arial"/>
          <w:sz w:val="21"/>
          <w:szCs w:val="21"/>
        </w:rPr>
        <w:t>有效日期：年月日至年月日  签发日期：年月日</w:t>
      </w:r>
    </w:p>
    <w:p>
      <w:pPr>
        <w:spacing w:line="360" w:lineRule="auto"/>
        <w:ind w:left="748" w:hanging="567"/>
        <w:jc w:val="left"/>
        <w:rPr>
          <w:rFonts w:ascii="宋体" w:hAnsi="宋体" w:cs="Arial"/>
          <w:sz w:val="21"/>
          <w:szCs w:val="21"/>
        </w:rPr>
      </w:pPr>
      <w:r>
        <w:rPr>
          <w:rFonts w:hint="eastAsia" w:ascii="宋体" w:hAnsi="宋体" w:cs="Arial"/>
          <w:sz w:val="21"/>
          <w:szCs w:val="21"/>
        </w:rPr>
        <w:t>附：</w:t>
      </w:r>
    </w:p>
    <w:p>
      <w:pPr>
        <w:spacing w:line="360" w:lineRule="auto"/>
        <w:ind w:left="748" w:hanging="567"/>
        <w:jc w:val="left"/>
        <w:rPr>
          <w:rFonts w:ascii="宋体" w:hAnsi="宋体" w:cs="Arial"/>
          <w:sz w:val="21"/>
          <w:szCs w:val="21"/>
        </w:rPr>
      </w:pPr>
      <w:r>
        <w:rPr>
          <w:rFonts w:hint="eastAsia" w:ascii="宋体" w:hAnsi="宋体" w:cs="Arial"/>
          <w:sz w:val="21"/>
          <w:szCs w:val="21"/>
        </w:rPr>
        <w:t>营业执照/登记证书（注册号或登记号）：</w:t>
      </w:r>
    </w:p>
    <w:p>
      <w:pPr>
        <w:spacing w:line="360" w:lineRule="auto"/>
        <w:ind w:left="748" w:hanging="567"/>
        <w:jc w:val="left"/>
        <w:rPr>
          <w:rFonts w:ascii="宋体" w:hAnsi="宋体" w:cs="Arial"/>
          <w:sz w:val="21"/>
          <w:szCs w:val="21"/>
        </w:rPr>
      </w:pPr>
      <w:r>
        <w:rPr>
          <w:rFonts w:hint="eastAsia" w:ascii="宋体" w:hAnsi="宋体" w:cs="Arial"/>
          <w:sz w:val="21"/>
          <w:szCs w:val="21"/>
        </w:rPr>
        <w:t>经济性质：</w:t>
      </w:r>
    </w:p>
    <w:p>
      <w:pPr>
        <w:spacing w:line="360" w:lineRule="auto"/>
        <w:ind w:left="748" w:hanging="567"/>
        <w:jc w:val="left"/>
        <w:rPr>
          <w:rFonts w:ascii="宋体" w:hAnsi="宋体" w:cs="Arial"/>
          <w:sz w:val="21"/>
          <w:szCs w:val="21"/>
        </w:rPr>
      </w:pPr>
      <w:r>
        <w:rPr>
          <w:rFonts w:hint="eastAsia" w:ascii="宋体" w:hAnsi="宋体" w:cs="Arial"/>
          <w:sz w:val="21"/>
          <w:szCs w:val="21"/>
        </w:rPr>
        <w:t>主营（产）：</w:t>
      </w:r>
    </w:p>
    <w:p>
      <w:pPr>
        <w:spacing w:line="360" w:lineRule="auto"/>
        <w:ind w:left="748" w:hanging="567"/>
        <w:jc w:val="left"/>
        <w:rPr>
          <w:rFonts w:ascii="宋体" w:hAnsi="宋体" w:cs="Arial"/>
          <w:sz w:val="21"/>
          <w:szCs w:val="21"/>
        </w:rPr>
      </w:pPr>
      <w:r>
        <w:rPr>
          <w:rFonts w:hint="eastAsia" w:ascii="宋体" w:hAnsi="宋体" w:cs="Arial"/>
          <w:sz w:val="21"/>
          <w:szCs w:val="21"/>
        </w:rPr>
        <w:t>兼营（产）：</w:t>
      </w:r>
    </w:p>
    <w:p>
      <w:pPr>
        <w:spacing w:line="360" w:lineRule="auto"/>
        <w:ind w:left="748" w:hanging="567"/>
        <w:jc w:val="left"/>
        <w:rPr>
          <w:rFonts w:ascii="宋体" w:hAnsi="宋体" w:cs="Arial"/>
          <w:sz w:val="21"/>
          <w:szCs w:val="21"/>
        </w:rPr>
      </w:pPr>
    </w:p>
    <w:p>
      <w:pPr>
        <w:spacing w:line="360" w:lineRule="auto"/>
        <w:ind w:left="748" w:hanging="567"/>
        <w:jc w:val="left"/>
        <w:rPr>
          <w:rFonts w:ascii="宋体" w:hAnsi="宋体" w:cs="Arial"/>
          <w:sz w:val="21"/>
          <w:szCs w:val="21"/>
        </w:rPr>
      </w:pPr>
    </w:p>
    <w:p>
      <w:pPr>
        <w:spacing w:line="360" w:lineRule="auto"/>
        <w:ind w:left="748" w:hanging="567"/>
        <w:jc w:val="left"/>
        <w:rPr>
          <w:rFonts w:ascii="宋体" w:hAnsi="宋体" w:cs="Arial"/>
          <w:sz w:val="21"/>
          <w:szCs w:val="21"/>
        </w:rPr>
      </w:pPr>
    </w:p>
    <w:p>
      <w:pPr>
        <w:spacing w:line="360" w:lineRule="auto"/>
        <w:ind w:left="748" w:hanging="567"/>
        <w:jc w:val="left"/>
        <w:rPr>
          <w:rFonts w:ascii="宋体" w:hAnsi="宋体" w:cs="Arial"/>
          <w:sz w:val="21"/>
          <w:szCs w:val="21"/>
        </w:rPr>
      </w:pPr>
    </w:p>
    <w:p>
      <w:pPr>
        <w:spacing w:line="360" w:lineRule="auto"/>
        <w:ind w:left="748" w:hanging="567"/>
        <w:jc w:val="left"/>
        <w:rPr>
          <w:rFonts w:ascii="宋体" w:hAnsi="宋体" w:cs="Arial"/>
          <w:sz w:val="21"/>
          <w:szCs w:val="21"/>
        </w:rPr>
      </w:pPr>
      <w:r>
        <w:rPr>
          <w:rFonts w:hint="eastAsia" w:ascii="宋体" w:hAnsi="宋体" w:cs="Arial"/>
          <w:sz w:val="21"/>
          <w:szCs w:val="21"/>
        </w:rPr>
        <w:t>投标人名称（并加盖法人公章）：</w:t>
      </w:r>
    </w:p>
    <w:p>
      <w:pPr>
        <w:spacing w:line="360" w:lineRule="auto"/>
        <w:ind w:left="748" w:hanging="567"/>
        <w:jc w:val="left"/>
        <w:rPr>
          <w:rFonts w:ascii="宋体" w:hAnsi="宋体" w:cs="Arial"/>
          <w:sz w:val="21"/>
          <w:szCs w:val="21"/>
        </w:rPr>
      </w:pPr>
      <w:r>
        <w:rPr>
          <w:rFonts w:hint="eastAsia" w:ascii="宋体" w:hAnsi="宋体" w:cs="Arial"/>
          <w:sz w:val="21"/>
          <w:szCs w:val="21"/>
        </w:rPr>
        <w:t>地址：</w:t>
      </w:r>
    </w:p>
    <w:p>
      <w:pPr>
        <w:spacing w:line="360" w:lineRule="auto"/>
        <w:ind w:left="748" w:hanging="567"/>
        <w:jc w:val="left"/>
        <w:rPr>
          <w:rFonts w:ascii="宋体" w:hAnsi="宋体" w:cs="Arial"/>
          <w:sz w:val="21"/>
          <w:szCs w:val="21"/>
        </w:rPr>
      </w:pPr>
      <w:r>
        <w:rPr>
          <w:rFonts w:hint="eastAsia" w:ascii="宋体" w:hAnsi="宋体" w:cs="Arial"/>
          <w:sz w:val="21"/>
          <w:szCs w:val="21"/>
        </w:rPr>
        <w:t>日期：</w:t>
      </w:r>
    </w:p>
    <w:p>
      <w:pPr>
        <w:spacing w:line="400" w:lineRule="exact"/>
        <w:ind w:left="748" w:hanging="567"/>
        <w:jc w:val="left"/>
        <w:rPr>
          <w:rFonts w:ascii="宋体" w:hAnsi="宋体" w:cs="Arial"/>
          <w:sz w:val="21"/>
          <w:szCs w:val="21"/>
        </w:rPr>
      </w:pPr>
    </w:p>
    <w:p>
      <w:pPr>
        <w:pStyle w:val="6"/>
        <w:jc w:val="left"/>
        <w:rPr>
          <w:rFonts w:ascii="宋体" w:hAnsi="宋体"/>
          <w:b/>
          <w:sz w:val="21"/>
          <w:szCs w:val="21"/>
        </w:rPr>
      </w:pPr>
      <w:r>
        <w:rPr>
          <w:rFonts w:ascii="宋体" w:hAnsi="宋体"/>
          <w:b/>
          <w:sz w:val="21"/>
          <w:szCs w:val="21"/>
        </w:rPr>
        <mc:AlternateContent>
          <mc:Choice Requires="wps">
            <w:drawing>
              <wp:anchor distT="0" distB="0" distL="114300" distR="114300" simplePos="0" relativeHeight="251656192" behindDoc="0" locked="0" layoutInCell="1" allowOverlap="1">
                <wp:simplePos x="0" y="0"/>
                <wp:positionH relativeFrom="column">
                  <wp:posOffset>2846705</wp:posOffset>
                </wp:positionH>
                <wp:positionV relativeFrom="paragraph">
                  <wp:posOffset>355600</wp:posOffset>
                </wp:positionV>
                <wp:extent cx="2491740" cy="1596390"/>
                <wp:effectExtent l="4445" t="4445" r="18415" b="18415"/>
                <wp:wrapNone/>
                <wp:docPr id="4" name="矩形 16"/>
                <wp:cNvGraphicFramePr/>
                <a:graphic xmlns:a="http://schemas.openxmlformats.org/drawingml/2006/main">
                  <a:graphicData uri="http://schemas.microsoft.com/office/word/2010/wordprocessingShape">
                    <wps:wsp>
                      <wps:cNvSpPr/>
                      <wps:spPr>
                        <a:xfrm>
                          <a:off x="0" y="0"/>
                          <a:ext cx="2491740" cy="1596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rPr>
                                <w:sz w:val="21"/>
                                <w:szCs w:val="21"/>
                              </w:rPr>
                            </w:pPr>
                            <w:r>
                              <w:rPr>
                                <w:rFonts w:hint="eastAsia"/>
                                <w:sz w:val="21"/>
                                <w:szCs w:val="21"/>
                              </w:rPr>
                              <w:t>法定代表人</w:t>
                            </w:r>
                          </w:p>
                          <w:p>
                            <w:pPr>
                              <w:jc w:val="center"/>
                              <w:rPr>
                                <w:sz w:val="21"/>
                                <w:szCs w:val="21"/>
                              </w:rPr>
                            </w:pPr>
                            <w:r>
                              <w:rPr>
                                <w:rFonts w:hint="eastAsia"/>
                                <w:sz w:val="21"/>
                                <w:szCs w:val="21"/>
                              </w:rPr>
                              <w:t>居民身份证复印件（反面）粘贴处</w:t>
                            </w:r>
                          </w:p>
                          <w:p>
                            <w:pPr>
                              <w:jc w:val="center"/>
                              <w:rPr>
                                <w:sz w:val="21"/>
                                <w:szCs w:val="21"/>
                              </w:rPr>
                            </w:pPr>
                          </w:p>
                        </w:txbxContent>
                      </wps:txbx>
                      <wps:bodyPr upright="1"/>
                    </wps:wsp>
                  </a:graphicData>
                </a:graphic>
              </wp:anchor>
            </w:drawing>
          </mc:Choice>
          <mc:Fallback>
            <w:pict>
              <v:rect id="矩形 16" o:spid="_x0000_s1026" o:spt="1" style="position:absolute;left:0pt;margin-left:224.15pt;margin-top:28pt;height:125.7pt;width:196.2pt;z-index:251656192;mso-width-relative:page;mso-height-relative:page;" fillcolor="#FFFFFF" filled="t" stroked="t" coordsize="21600,21600"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3Cn42QAAAAoBAAAPAAAAAAAAAAEAIAAAACIAAABkcnMvZG93bnJldi54bWxQSwECFAAU&#10;AAAACACHTuJA4mfhx/ABAADrAwAADgAAAAAAAAABACAAAAAoAQAAZHJzL2Uyb0RvYy54bWxQSwUG&#10;AAAAAAYABgBZAQAAigUAAAAA&#10;">
                <v:fill on="t" focussize="0,0"/>
                <v:stroke color="#000000" joinstyle="miter"/>
                <v:imagedata o:title=""/>
                <o:lock v:ext="edit" aspectratio="f"/>
                <v:textbox>
                  <w:txbxContent>
                    <w:p>
                      <w:pPr>
                        <w:jc w:val="center"/>
                      </w:pPr>
                    </w:p>
                    <w:p>
                      <w:pPr>
                        <w:jc w:val="center"/>
                        <w:rPr>
                          <w:sz w:val="21"/>
                          <w:szCs w:val="21"/>
                        </w:rPr>
                      </w:pPr>
                      <w:r>
                        <w:rPr>
                          <w:rFonts w:hint="eastAsia"/>
                          <w:sz w:val="21"/>
                          <w:szCs w:val="21"/>
                        </w:rPr>
                        <w:t>法定代表人</w:t>
                      </w:r>
                    </w:p>
                    <w:p>
                      <w:pPr>
                        <w:jc w:val="center"/>
                        <w:rPr>
                          <w:sz w:val="21"/>
                          <w:szCs w:val="21"/>
                        </w:rPr>
                      </w:pPr>
                      <w:r>
                        <w:rPr>
                          <w:rFonts w:hint="eastAsia"/>
                          <w:sz w:val="21"/>
                          <w:szCs w:val="21"/>
                        </w:rPr>
                        <w:t>居民身份证复印件（反面）粘贴处</w:t>
                      </w:r>
                    </w:p>
                    <w:p>
                      <w:pPr>
                        <w:jc w:val="center"/>
                        <w:rPr>
                          <w:sz w:val="21"/>
                          <w:szCs w:val="21"/>
                        </w:rPr>
                      </w:pPr>
                    </w:p>
                  </w:txbxContent>
                </v:textbox>
              </v:rect>
            </w:pict>
          </mc:Fallback>
        </mc:AlternateContent>
      </w:r>
      <w:r>
        <w:rPr>
          <w:rFonts w:ascii="宋体" w:hAnsi="宋体"/>
          <w:b/>
          <w:sz w:val="21"/>
          <w:szCs w:val="21"/>
        </w:rPr>
        <mc:AlternateContent>
          <mc:Choice Requires="wps">
            <w:drawing>
              <wp:anchor distT="0" distB="0" distL="114300" distR="114300" simplePos="0" relativeHeight="251655168" behindDoc="0" locked="0" layoutInCell="1" allowOverlap="1">
                <wp:simplePos x="0" y="0"/>
                <wp:positionH relativeFrom="column">
                  <wp:posOffset>168275</wp:posOffset>
                </wp:positionH>
                <wp:positionV relativeFrom="paragraph">
                  <wp:posOffset>355600</wp:posOffset>
                </wp:positionV>
                <wp:extent cx="2479675" cy="1596390"/>
                <wp:effectExtent l="5080" t="4445" r="10795" b="18415"/>
                <wp:wrapNone/>
                <wp:docPr id="3" name="矩形 15"/>
                <wp:cNvGraphicFramePr/>
                <a:graphic xmlns:a="http://schemas.openxmlformats.org/drawingml/2006/main">
                  <a:graphicData uri="http://schemas.microsoft.com/office/word/2010/wordprocessingShape">
                    <wps:wsp>
                      <wps:cNvSpPr/>
                      <wps:spPr>
                        <a:xfrm>
                          <a:off x="0" y="0"/>
                          <a:ext cx="2479675" cy="1596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rPr>
                                <w:sz w:val="21"/>
                                <w:szCs w:val="21"/>
                              </w:rPr>
                            </w:pPr>
                            <w:r>
                              <w:rPr>
                                <w:rFonts w:hint="eastAsia"/>
                                <w:sz w:val="21"/>
                                <w:szCs w:val="21"/>
                              </w:rPr>
                              <w:t>法定代表人</w:t>
                            </w:r>
                          </w:p>
                          <w:p>
                            <w:pPr>
                              <w:jc w:val="center"/>
                              <w:rPr>
                                <w:sz w:val="21"/>
                                <w:szCs w:val="21"/>
                              </w:rPr>
                            </w:pPr>
                            <w:r>
                              <w:rPr>
                                <w:rFonts w:hint="eastAsia"/>
                                <w:sz w:val="21"/>
                                <w:szCs w:val="21"/>
                              </w:rPr>
                              <w:t>居民身份证复印件（正面）粘贴处</w:t>
                            </w:r>
                          </w:p>
                          <w:p>
                            <w:pPr>
                              <w:jc w:val="center"/>
                              <w:rPr>
                                <w:sz w:val="21"/>
                                <w:szCs w:val="21"/>
                              </w:rPr>
                            </w:pPr>
                          </w:p>
                        </w:txbxContent>
                      </wps:txbx>
                      <wps:bodyPr upright="1"/>
                    </wps:wsp>
                  </a:graphicData>
                </a:graphic>
              </wp:anchor>
            </w:drawing>
          </mc:Choice>
          <mc:Fallback>
            <w:pict>
              <v:rect id="矩形 15" o:spid="_x0000_s1026" o:spt="1" style="position:absolute;left:0pt;margin-left:13.25pt;margin-top:28pt;height:125.7pt;width:195.25pt;z-index:251655168;mso-width-relative:page;mso-height-relative:page;" fillcolor="#FFFFFF" filled="t" stroked="t" coordsize="21600,21600"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Ff1xrYAAAACQEAAA8AAAAAAAAAAQAgAAAAIgAAAGRycy9kb3ducmV2LnhtbFBLAQIUABQA&#10;AAAIAIdO4kB62KRO8AEAAOsDAAAOAAAAAAAAAAEAIAAAACcBAABkcnMvZTJvRG9jLnhtbFBLBQYA&#10;AAAABgAGAFkBAACJBQAAAAA=&#10;">
                <v:fill on="t" focussize="0,0"/>
                <v:stroke color="#000000" joinstyle="miter"/>
                <v:imagedata o:title=""/>
                <o:lock v:ext="edit" aspectratio="f"/>
                <v:textbox>
                  <w:txbxContent>
                    <w:p>
                      <w:pPr>
                        <w:jc w:val="center"/>
                      </w:pPr>
                    </w:p>
                    <w:p>
                      <w:pPr>
                        <w:jc w:val="center"/>
                        <w:rPr>
                          <w:sz w:val="21"/>
                          <w:szCs w:val="21"/>
                        </w:rPr>
                      </w:pPr>
                      <w:r>
                        <w:rPr>
                          <w:rFonts w:hint="eastAsia"/>
                          <w:sz w:val="21"/>
                          <w:szCs w:val="21"/>
                        </w:rPr>
                        <w:t>法定代表人</w:t>
                      </w:r>
                    </w:p>
                    <w:p>
                      <w:pPr>
                        <w:jc w:val="center"/>
                        <w:rPr>
                          <w:sz w:val="21"/>
                          <w:szCs w:val="21"/>
                        </w:rPr>
                      </w:pPr>
                      <w:r>
                        <w:rPr>
                          <w:rFonts w:hint="eastAsia"/>
                          <w:sz w:val="21"/>
                          <w:szCs w:val="21"/>
                        </w:rPr>
                        <w:t>居民身份证复印件（正面）粘贴处</w:t>
                      </w:r>
                    </w:p>
                    <w:p>
                      <w:pPr>
                        <w:jc w:val="center"/>
                        <w:rPr>
                          <w:sz w:val="21"/>
                          <w:szCs w:val="21"/>
                        </w:rPr>
                      </w:pPr>
                    </w:p>
                  </w:txbxContent>
                </v:textbox>
              </v:rect>
            </w:pict>
          </mc:Fallback>
        </mc:AlternateContent>
      </w:r>
    </w:p>
    <w:p>
      <w:pPr>
        <w:pStyle w:val="6"/>
        <w:jc w:val="left"/>
        <w:rPr>
          <w:rFonts w:ascii="宋体" w:hAnsi="宋体"/>
          <w:b/>
          <w:sz w:val="21"/>
          <w:szCs w:val="21"/>
        </w:rPr>
      </w:pPr>
    </w:p>
    <w:p>
      <w:pPr>
        <w:pStyle w:val="6"/>
        <w:jc w:val="left"/>
        <w:rPr>
          <w:rFonts w:ascii="宋体" w:hAnsi="宋体"/>
          <w:b/>
          <w:sz w:val="21"/>
          <w:szCs w:val="21"/>
        </w:rPr>
      </w:pPr>
    </w:p>
    <w:p>
      <w:pPr>
        <w:pStyle w:val="6"/>
        <w:jc w:val="left"/>
        <w:rPr>
          <w:rFonts w:ascii="宋体" w:hAnsi="宋体"/>
          <w:b/>
          <w:sz w:val="21"/>
          <w:szCs w:val="21"/>
        </w:rPr>
      </w:pPr>
    </w:p>
    <w:p>
      <w:pPr>
        <w:pStyle w:val="6"/>
        <w:jc w:val="left"/>
        <w:rPr>
          <w:rFonts w:ascii="宋体" w:hAnsi="宋体"/>
          <w:b/>
          <w:sz w:val="21"/>
          <w:szCs w:val="21"/>
        </w:rPr>
      </w:pPr>
    </w:p>
    <w:p>
      <w:pPr>
        <w:pStyle w:val="6"/>
        <w:spacing w:line="480" w:lineRule="auto"/>
        <w:ind w:left="0" w:firstLine="0"/>
        <w:jc w:val="left"/>
        <w:rPr>
          <w:rFonts w:ascii="宋体" w:hAnsi="宋体"/>
          <w:b/>
          <w:sz w:val="21"/>
          <w:szCs w:val="21"/>
        </w:rPr>
      </w:pPr>
    </w:p>
    <w:p>
      <w:pPr>
        <w:pStyle w:val="6"/>
        <w:ind w:left="0"/>
        <w:jc w:val="center"/>
        <w:rPr>
          <w:rFonts w:ascii="宋体" w:hAnsi="宋体"/>
          <w:b/>
          <w:sz w:val="21"/>
          <w:szCs w:val="21"/>
        </w:rPr>
      </w:pPr>
      <w:r>
        <w:rPr>
          <w:rFonts w:hint="eastAsia" w:ascii="宋体" w:hAnsi="宋体"/>
          <w:b/>
          <w:sz w:val="21"/>
          <w:szCs w:val="21"/>
        </w:rPr>
        <w:br w:type="page"/>
      </w:r>
      <w:r>
        <w:rPr>
          <w:rFonts w:hint="eastAsia" w:ascii="宋体" w:hAnsi="宋体" w:cs="Arial"/>
          <w:b/>
          <w:kern w:val="44"/>
          <w:sz w:val="21"/>
          <w:szCs w:val="21"/>
        </w:rPr>
        <w:t>法定代表人授权书</w:t>
      </w:r>
    </w:p>
    <w:p>
      <w:pPr>
        <w:jc w:val="left"/>
        <w:rPr>
          <w:rFonts w:ascii="宋体" w:hAnsi="宋体"/>
          <w:sz w:val="21"/>
          <w:szCs w:val="21"/>
        </w:rPr>
      </w:pPr>
    </w:p>
    <w:p>
      <w:pPr>
        <w:spacing w:line="360" w:lineRule="auto"/>
        <w:ind w:left="748" w:hanging="567"/>
        <w:jc w:val="left"/>
        <w:rPr>
          <w:rFonts w:ascii="宋体" w:hAnsi="宋体" w:cs="Arial"/>
          <w:sz w:val="21"/>
          <w:szCs w:val="21"/>
        </w:rPr>
      </w:pPr>
      <w:r>
        <w:rPr>
          <w:rFonts w:hint="eastAsia" w:ascii="宋体" w:hAnsi="宋体" w:cs="Arial"/>
          <w:sz w:val="21"/>
          <w:szCs w:val="21"/>
        </w:rPr>
        <w:t>致：广东志正招标有限公司</w:t>
      </w:r>
    </w:p>
    <w:p>
      <w:pPr>
        <w:spacing w:line="360" w:lineRule="auto"/>
        <w:ind w:firstLine="420" w:firstLineChars="200"/>
        <w:jc w:val="left"/>
        <w:rPr>
          <w:rFonts w:ascii="宋体" w:hAnsi="宋体" w:cs="Arial"/>
          <w:sz w:val="21"/>
          <w:szCs w:val="21"/>
        </w:rPr>
      </w:pPr>
      <w:r>
        <w:rPr>
          <w:rFonts w:hint="eastAsia" w:ascii="宋体" w:hAnsi="宋体" w:cs="Arial"/>
          <w:sz w:val="21"/>
          <w:szCs w:val="21"/>
        </w:rPr>
        <w:t>本授权书声明：注册于</w:t>
      </w:r>
      <w:r>
        <w:rPr>
          <w:rFonts w:hint="eastAsia" w:ascii="宋体" w:hAnsi="宋体" w:cs="Arial"/>
          <w:sz w:val="21"/>
          <w:szCs w:val="21"/>
          <w:u w:val="single"/>
        </w:rPr>
        <w:t xml:space="preserve">        （国家或地区）</w:t>
      </w:r>
      <w:r>
        <w:rPr>
          <w:rFonts w:hint="eastAsia" w:ascii="宋体" w:hAnsi="宋体" w:cs="Arial"/>
          <w:sz w:val="21"/>
          <w:szCs w:val="21"/>
        </w:rPr>
        <w:t>的</w:t>
      </w:r>
      <w:r>
        <w:rPr>
          <w:rFonts w:hint="eastAsia" w:ascii="宋体" w:hAnsi="宋体" w:cs="Arial"/>
          <w:sz w:val="21"/>
          <w:szCs w:val="21"/>
          <w:u w:val="single"/>
        </w:rPr>
        <w:t xml:space="preserve">        （投标人名称）</w:t>
      </w:r>
      <w:r>
        <w:rPr>
          <w:rFonts w:hint="eastAsia" w:ascii="宋体" w:hAnsi="宋体" w:cs="Arial"/>
          <w:sz w:val="21"/>
          <w:szCs w:val="21"/>
        </w:rPr>
        <w:t>在下面签字的</w:t>
      </w:r>
      <w:r>
        <w:rPr>
          <w:rFonts w:hint="eastAsia" w:ascii="宋体" w:hAnsi="宋体" w:cs="Arial"/>
          <w:sz w:val="21"/>
          <w:szCs w:val="21"/>
          <w:u w:val="single"/>
        </w:rPr>
        <w:t xml:space="preserve">   （法定代表人姓名、职务）</w:t>
      </w:r>
      <w:r>
        <w:rPr>
          <w:rFonts w:hint="eastAsia" w:ascii="宋体" w:hAnsi="宋体" w:cs="Arial"/>
          <w:sz w:val="21"/>
          <w:szCs w:val="21"/>
        </w:rPr>
        <w:t>代表本单位授权在下面签字的</w:t>
      </w:r>
      <w:r>
        <w:rPr>
          <w:rFonts w:hint="eastAsia" w:ascii="宋体" w:hAnsi="宋体" w:cs="Arial"/>
          <w:sz w:val="21"/>
          <w:szCs w:val="21"/>
          <w:u w:val="single"/>
        </w:rPr>
        <w:t xml:space="preserve">                          （被授权人的姓名、职务）</w:t>
      </w:r>
      <w:r>
        <w:rPr>
          <w:rFonts w:hint="eastAsia" w:ascii="宋体" w:hAnsi="宋体" w:cs="Arial"/>
          <w:sz w:val="21"/>
          <w:szCs w:val="21"/>
        </w:rPr>
        <w:t>为本单位的合法代表人，就</w:t>
      </w:r>
      <w:r>
        <w:rPr>
          <w:rFonts w:hint="eastAsia" w:ascii="宋体" w:hAnsi="宋体"/>
          <w:sz w:val="21"/>
          <w:szCs w:val="21"/>
          <w:u w:val="single"/>
        </w:rPr>
        <w:t>（项目名称）</w:t>
      </w:r>
      <w:r>
        <w:rPr>
          <w:rFonts w:hint="eastAsia" w:ascii="宋体" w:hAnsi="宋体"/>
          <w:sz w:val="21"/>
          <w:szCs w:val="21"/>
        </w:rPr>
        <w:t>（项目编号：</w:t>
      </w:r>
      <w:r>
        <w:rPr>
          <w:rFonts w:hint="eastAsia" w:ascii="宋体" w:hAnsi="宋体" w:cs="Arial"/>
          <w:sz w:val="21"/>
          <w:szCs w:val="21"/>
          <w:u w:val="single"/>
        </w:rPr>
        <w:t>441900-201905-0007004001-0003</w:t>
      </w:r>
      <w:r>
        <w:rPr>
          <w:rFonts w:hint="eastAsia" w:ascii="宋体" w:hAnsi="宋体"/>
          <w:sz w:val="21"/>
          <w:szCs w:val="21"/>
        </w:rPr>
        <w:t>）</w:t>
      </w:r>
      <w:r>
        <w:rPr>
          <w:rFonts w:hint="eastAsia" w:ascii="宋体" w:hAnsi="宋体" w:cs="Arial"/>
          <w:sz w:val="21"/>
          <w:szCs w:val="21"/>
        </w:rPr>
        <w:t>的</w:t>
      </w:r>
      <w:r>
        <w:rPr>
          <w:rFonts w:hint="eastAsia"/>
          <w:sz w:val="21"/>
          <w:szCs w:val="21"/>
        </w:rPr>
        <w:t>投标活动，提交投标文件及采购合同的签订、执行，作为投标人代表以我方的名义处理一切与之有关的事务。</w:t>
      </w:r>
    </w:p>
    <w:p>
      <w:pPr>
        <w:spacing w:line="360" w:lineRule="auto"/>
        <w:ind w:firstLine="420" w:firstLineChars="200"/>
        <w:jc w:val="left"/>
        <w:rPr>
          <w:rFonts w:ascii="宋体" w:hAnsi="宋体" w:cs="Arial"/>
          <w:sz w:val="21"/>
          <w:szCs w:val="21"/>
        </w:rPr>
      </w:pPr>
      <w:r>
        <w:rPr>
          <w:rFonts w:hint="eastAsia" w:ascii="宋体" w:hAnsi="宋体" w:cs="Arial"/>
          <w:sz w:val="21"/>
          <w:szCs w:val="21"/>
        </w:rPr>
        <w:t>本授权书于</w:t>
      </w:r>
      <w:r>
        <w:rPr>
          <w:rFonts w:hint="eastAsia" w:ascii="宋体" w:hAnsi="宋体" w:cs="Arial"/>
          <w:sz w:val="21"/>
          <w:szCs w:val="21"/>
          <w:u w:val="single"/>
        </w:rPr>
        <w:t xml:space="preserve">       年    月    日</w:t>
      </w:r>
      <w:r>
        <w:rPr>
          <w:rFonts w:hint="eastAsia" w:ascii="宋体" w:hAnsi="宋体" w:cs="Arial"/>
          <w:sz w:val="21"/>
          <w:szCs w:val="21"/>
        </w:rPr>
        <w:t>签字生效，特此声明。</w:t>
      </w:r>
    </w:p>
    <w:p>
      <w:pPr>
        <w:spacing w:line="360" w:lineRule="auto"/>
        <w:ind w:left="748" w:hanging="567"/>
        <w:jc w:val="left"/>
        <w:rPr>
          <w:rFonts w:ascii="宋体" w:hAnsi="宋体" w:cs="Arial"/>
          <w:sz w:val="21"/>
          <w:szCs w:val="21"/>
        </w:rPr>
      </w:pPr>
    </w:p>
    <w:p>
      <w:pPr>
        <w:spacing w:line="360" w:lineRule="auto"/>
        <w:ind w:left="748" w:hanging="567"/>
        <w:jc w:val="left"/>
        <w:rPr>
          <w:rFonts w:ascii="宋体" w:hAnsi="宋体" w:cs="Arial"/>
          <w:sz w:val="21"/>
          <w:szCs w:val="21"/>
        </w:rPr>
      </w:pPr>
      <w:r>
        <w:rPr>
          <w:rFonts w:hint="eastAsia" w:ascii="宋体" w:hAnsi="宋体" w:cs="Arial"/>
          <w:sz w:val="21"/>
          <w:szCs w:val="21"/>
        </w:rPr>
        <w:t>投 标 人 名 称（并加盖法人公章）：</w:t>
      </w:r>
    </w:p>
    <w:p>
      <w:pPr>
        <w:spacing w:line="360" w:lineRule="auto"/>
        <w:ind w:left="748" w:hanging="567"/>
        <w:jc w:val="left"/>
        <w:rPr>
          <w:rFonts w:ascii="宋体" w:hAnsi="宋体" w:cs="Arial"/>
          <w:sz w:val="21"/>
          <w:szCs w:val="21"/>
        </w:rPr>
      </w:pPr>
      <w:r>
        <w:rPr>
          <w:rFonts w:hint="eastAsia" w:ascii="宋体" w:hAnsi="宋体" w:cs="Arial"/>
          <w:sz w:val="21"/>
          <w:szCs w:val="21"/>
        </w:rPr>
        <w:t>地        址：</w:t>
      </w:r>
    </w:p>
    <w:p>
      <w:pPr>
        <w:spacing w:line="360" w:lineRule="auto"/>
        <w:ind w:left="748" w:hanging="567"/>
        <w:jc w:val="left"/>
        <w:rPr>
          <w:rFonts w:ascii="宋体" w:hAnsi="宋体" w:cs="Arial"/>
          <w:sz w:val="21"/>
          <w:szCs w:val="21"/>
        </w:rPr>
      </w:pPr>
      <w:r>
        <w:rPr>
          <w:rFonts w:hint="eastAsia" w:ascii="宋体" w:hAnsi="宋体" w:cs="Arial"/>
          <w:sz w:val="21"/>
          <w:szCs w:val="21"/>
        </w:rPr>
        <w:t>法定代表人（</w:t>
      </w:r>
      <w:r>
        <w:rPr>
          <w:rFonts w:hint="eastAsia" w:ascii="宋体" w:hAnsi="宋体"/>
          <w:sz w:val="21"/>
          <w:szCs w:val="21"/>
        </w:rPr>
        <w:t>签名或印鉴</w:t>
      </w:r>
      <w:r>
        <w:rPr>
          <w:rFonts w:hint="eastAsia" w:ascii="宋体" w:hAnsi="宋体" w:cs="Arial"/>
          <w:sz w:val="21"/>
          <w:szCs w:val="21"/>
        </w:rPr>
        <w:t>）：</w:t>
      </w:r>
    </w:p>
    <w:p>
      <w:pPr>
        <w:spacing w:line="360" w:lineRule="auto"/>
        <w:ind w:left="748" w:hanging="567"/>
        <w:jc w:val="left"/>
        <w:rPr>
          <w:rFonts w:ascii="宋体" w:hAnsi="宋体" w:cs="Arial"/>
          <w:sz w:val="21"/>
          <w:szCs w:val="21"/>
        </w:rPr>
      </w:pPr>
      <w:r>
        <w:rPr>
          <w:rFonts w:hint="eastAsia" w:ascii="宋体" w:hAnsi="宋体" w:cs="Arial"/>
          <w:sz w:val="21"/>
          <w:szCs w:val="21"/>
        </w:rPr>
        <w:t>职        务：</w:t>
      </w:r>
    </w:p>
    <w:p>
      <w:pPr>
        <w:spacing w:line="360" w:lineRule="auto"/>
        <w:ind w:left="748" w:hanging="567"/>
        <w:jc w:val="left"/>
        <w:rPr>
          <w:rFonts w:ascii="宋体" w:hAnsi="宋体" w:cs="Arial"/>
          <w:sz w:val="21"/>
          <w:szCs w:val="21"/>
        </w:rPr>
      </w:pPr>
      <w:r>
        <w:rPr>
          <w:rFonts w:hint="eastAsia" w:ascii="宋体" w:hAnsi="宋体" w:cs="Arial"/>
          <w:sz w:val="21"/>
          <w:szCs w:val="21"/>
        </w:rPr>
        <w:t>被授权人（</w:t>
      </w:r>
      <w:r>
        <w:rPr>
          <w:rFonts w:hint="eastAsia" w:ascii="宋体" w:hAnsi="宋体"/>
          <w:sz w:val="21"/>
          <w:szCs w:val="21"/>
        </w:rPr>
        <w:t>签名或印鉴</w:t>
      </w:r>
      <w:r>
        <w:rPr>
          <w:rFonts w:hint="eastAsia" w:ascii="宋体" w:hAnsi="宋体" w:cs="Arial"/>
          <w:sz w:val="21"/>
          <w:szCs w:val="21"/>
        </w:rPr>
        <w:t>）：</w:t>
      </w:r>
    </w:p>
    <w:p>
      <w:pPr>
        <w:spacing w:line="360" w:lineRule="auto"/>
        <w:ind w:left="748" w:hanging="567"/>
        <w:jc w:val="left"/>
        <w:rPr>
          <w:rFonts w:ascii="宋体" w:hAnsi="宋体" w:cs="Arial"/>
          <w:sz w:val="21"/>
          <w:szCs w:val="21"/>
        </w:rPr>
      </w:pPr>
      <w:r>
        <w:rPr>
          <w:rFonts w:hint="eastAsia" w:ascii="宋体" w:hAnsi="宋体" w:cs="Arial"/>
          <w:sz w:val="21"/>
          <w:szCs w:val="21"/>
        </w:rPr>
        <w:t>职        务：</w:t>
      </w:r>
    </w:p>
    <w:p>
      <w:pPr>
        <w:spacing w:line="400" w:lineRule="exact"/>
        <w:ind w:left="748" w:hanging="567"/>
        <w:jc w:val="left"/>
        <w:rPr>
          <w:rFonts w:ascii="宋体" w:hAnsi="宋体" w:cs="Arial"/>
          <w:sz w:val="21"/>
          <w:szCs w:val="21"/>
        </w:rPr>
      </w:pPr>
    </w:p>
    <w:p>
      <w:pPr>
        <w:spacing w:line="400" w:lineRule="exact"/>
        <w:ind w:left="748" w:hanging="567"/>
        <w:jc w:val="left"/>
        <w:rPr>
          <w:rFonts w:ascii="宋体" w:hAnsi="宋体" w:cs="Arial"/>
          <w:sz w:val="21"/>
          <w:szCs w:val="21"/>
        </w:rPr>
      </w:pPr>
    </w:p>
    <w:p>
      <w:pPr>
        <w:spacing w:line="400" w:lineRule="exact"/>
        <w:ind w:left="748" w:hanging="567"/>
        <w:jc w:val="left"/>
        <w:rPr>
          <w:rFonts w:ascii="宋体" w:hAnsi="宋体" w:cs="Arial"/>
          <w:sz w:val="21"/>
          <w:szCs w:val="21"/>
        </w:rPr>
      </w:pPr>
    </w:p>
    <w:p>
      <w:pPr>
        <w:spacing w:line="400" w:lineRule="exact"/>
        <w:ind w:left="748" w:hanging="567"/>
        <w:jc w:val="left"/>
        <w:rPr>
          <w:rFonts w:ascii="宋体" w:hAnsi="宋体" w:cs="Arial"/>
          <w:sz w:val="21"/>
          <w:szCs w:val="21"/>
        </w:rPr>
      </w:pPr>
      <w:r>
        <w:rPr>
          <w:rFonts w:ascii="宋体" w:hAnsi="宋体" w:cs="Arial"/>
          <w:sz w:val="21"/>
          <w:szCs w:val="21"/>
        </w:rPr>
        <mc:AlternateContent>
          <mc:Choice Requires="wps">
            <w:drawing>
              <wp:anchor distT="0" distB="0" distL="114300" distR="114300" simplePos="0" relativeHeight="251658240" behindDoc="0" locked="0" layoutInCell="1" allowOverlap="1">
                <wp:simplePos x="0" y="0"/>
                <wp:positionH relativeFrom="column">
                  <wp:posOffset>2999105</wp:posOffset>
                </wp:positionH>
                <wp:positionV relativeFrom="paragraph">
                  <wp:posOffset>220345</wp:posOffset>
                </wp:positionV>
                <wp:extent cx="2491740" cy="1596390"/>
                <wp:effectExtent l="4445" t="4445" r="18415" b="18415"/>
                <wp:wrapNone/>
                <wp:docPr id="6" name="矩形 18"/>
                <wp:cNvGraphicFramePr/>
                <a:graphic xmlns:a="http://schemas.openxmlformats.org/drawingml/2006/main">
                  <a:graphicData uri="http://schemas.microsoft.com/office/word/2010/wordprocessingShape">
                    <wps:wsp>
                      <wps:cNvSpPr/>
                      <wps:spPr>
                        <a:xfrm>
                          <a:off x="0" y="0"/>
                          <a:ext cx="2491740" cy="1596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居民身份证复印件（反面）粘贴处</w:t>
                            </w:r>
                          </w:p>
                          <w:p>
                            <w:pPr>
                              <w:jc w:val="center"/>
                              <w:rPr>
                                <w:sz w:val="21"/>
                                <w:szCs w:val="21"/>
                              </w:rPr>
                            </w:pPr>
                          </w:p>
                        </w:txbxContent>
                      </wps:txbx>
                      <wps:bodyPr upright="1"/>
                    </wps:wsp>
                  </a:graphicData>
                </a:graphic>
              </wp:anchor>
            </w:drawing>
          </mc:Choice>
          <mc:Fallback>
            <w:pict>
              <v:rect id="矩形 18" o:spid="_x0000_s1026" o:spt="1" style="position:absolute;left:0pt;margin-left:236.15pt;margin-top:17.35pt;height:125.7pt;width:196.2pt;z-index:251658240;mso-width-relative:page;mso-height-relative:page;" fillcolor="#FFFFFF" filled="t" stroked="t" coordsize="21600,21600"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8hI62QAAAAoBAAAPAAAAAAAAAAEAIAAAACIAAABkcnMvZG93bnJldi54bWxQSwECFAAU&#10;AAAACACHTuJAk8MpCvABAADrAwAADgAAAAAAAAABACAAAAAoAQAAZHJzL2Uyb0RvYy54bWxQSwUG&#10;AAAAAAYABgBZAQAAigUAAAAA&#10;">
                <v:fill on="t" focussize="0,0"/>
                <v:stroke color="#000000" joinstyle="miter"/>
                <v:imagedata o:title=""/>
                <o:lock v:ext="edit" aspectratio="f"/>
                <v:textbox>
                  <w:txbxContent>
                    <w:p>
                      <w:pPr>
                        <w:jc w:val="center"/>
                      </w:pPr>
                    </w:p>
                    <w:p>
                      <w:pPr>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居民身份证复印件（反面）粘贴处</w:t>
                      </w:r>
                    </w:p>
                    <w:p>
                      <w:pPr>
                        <w:jc w:val="center"/>
                        <w:rPr>
                          <w:sz w:val="21"/>
                          <w:szCs w:val="21"/>
                        </w:rPr>
                      </w:pPr>
                    </w:p>
                  </w:txbxContent>
                </v:textbox>
              </v:rect>
            </w:pict>
          </mc:Fallback>
        </mc:AlternateContent>
      </w:r>
      <w:r>
        <w:rPr>
          <w:rFonts w:ascii="宋体" w:hAnsi="宋体" w:cs="Arial"/>
          <w:sz w:val="21"/>
          <w:szCs w:val="21"/>
        </w:rPr>
        <mc:AlternateContent>
          <mc:Choice Requires="wps">
            <w:drawing>
              <wp:anchor distT="0" distB="0" distL="114300" distR="114300" simplePos="0" relativeHeight="251657216" behindDoc="0" locked="0" layoutInCell="1" allowOverlap="1">
                <wp:simplePos x="0" y="0"/>
                <wp:positionH relativeFrom="column">
                  <wp:posOffset>320675</wp:posOffset>
                </wp:positionH>
                <wp:positionV relativeFrom="paragraph">
                  <wp:posOffset>220345</wp:posOffset>
                </wp:positionV>
                <wp:extent cx="2479675" cy="1596390"/>
                <wp:effectExtent l="5080" t="4445" r="10795" b="18415"/>
                <wp:wrapNone/>
                <wp:docPr id="5" name="矩形 17"/>
                <wp:cNvGraphicFramePr/>
                <a:graphic xmlns:a="http://schemas.openxmlformats.org/drawingml/2006/main">
                  <a:graphicData uri="http://schemas.microsoft.com/office/word/2010/wordprocessingShape">
                    <wps:wsp>
                      <wps:cNvSpPr/>
                      <wps:spPr>
                        <a:xfrm>
                          <a:off x="0" y="0"/>
                          <a:ext cx="2479675" cy="1596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居民身份证复印件（正面）粘贴处</w:t>
                            </w:r>
                          </w:p>
                          <w:p>
                            <w:pPr>
                              <w:jc w:val="center"/>
                              <w:rPr>
                                <w:sz w:val="21"/>
                                <w:szCs w:val="21"/>
                              </w:rPr>
                            </w:pPr>
                          </w:p>
                        </w:txbxContent>
                      </wps:txbx>
                      <wps:bodyPr upright="1"/>
                    </wps:wsp>
                  </a:graphicData>
                </a:graphic>
              </wp:anchor>
            </w:drawing>
          </mc:Choice>
          <mc:Fallback>
            <w:pict>
              <v:rect id="矩形 17" o:spid="_x0000_s1026" o:spt="1" style="position:absolute;left:0pt;margin-left:25.25pt;margin-top:17.35pt;height:125.7pt;width:195.25pt;z-index:251657216;mso-width-relative:page;mso-height-relative:page;" fillcolor="#FFFFFF" filled="t" stroked="t" coordsize="21600,21600"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vmtudgAAAAJAQAADwAAAAAAAAABACAAAAAiAAAAZHJzL2Rvd25yZXYueG1sUEsBAhQAFAAA&#10;AAgAh07iQCywhAXvAQAA6wMAAA4AAAAAAAAAAQAgAAAAJwEAAGRycy9lMm9Eb2MueG1sUEsFBgAA&#10;AAAGAAYAWQEAAIgFAAAAAA==&#10;">
                <v:fill on="t" focussize="0,0"/>
                <v:stroke color="#000000" joinstyle="miter"/>
                <v:imagedata o:title=""/>
                <o:lock v:ext="edit" aspectratio="f"/>
                <v:textbox>
                  <w:txbxContent>
                    <w:p>
                      <w:pPr>
                        <w:jc w:val="center"/>
                      </w:pPr>
                    </w:p>
                    <w:p>
                      <w:pPr>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居民身份证复印件（正面）粘贴处</w:t>
                      </w:r>
                    </w:p>
                    <w:p>
                      <w:pPr>
                        <w:jc w:val="center"/>
                        <w:rPr>
                          <w:sz w:val="21"/>
                          <w:szCs w:val="21"/>
                        </w:rPr>
                      </w:pPr>
                    </w:p>
                  </w:txbxContent>
                </v:textbox>
              </v:rect>
            </w:pict>
          </mc:Fallback>
        </mc:AlternateContent>
      </w:r>
    </w:p>
    <w:p>
      <w:pPr>
        <w:spacing w:line="360" w:lineRule="auto"/>
        <w:ind w:left="748" w:hanging="567"/>
        <w:jc w:val="left"/>
        <w:rPr>
          <w:rFonts w:ascii="宋体" w:hAnsi="宋体" w:cs="Arial"/>
          <w:sz w:val="21"/>
          <w:szCs w:val="21"/>
        </w:rPr>
      </w:pPr>
    </w:p>
    <w:p>
      <w:pPr>
        <w:spacing w:line="360" w:lineRule="auto"/>
        <w:ind w:left="748" w:hanging="567"/>
        <w:jc w:val="left"/>
        <w:rPr>
          <w:rFonts w:ascii="宋体" w:hAnsi="宋体" w:cs="Arial"/>
          <w:sz w:val="21"/>
          <w:szCs w:val="21"/>
        </w:rPr>
      </w:pPr>
    </w:p>
    <w:p>
      <w:pPr>
        <w:spacing w:line="400" w:lineRule="exact"/>
        <w:ind w:left="748" w:hanging="567"/>
        <w:jc w:val="left"/>
        <w:rPr>
          <w:rFonts w:ascii="宋体" w:hAnsi="宋体" w:cs="Arial"/>
          <w:sz w:val="21"/>
          <w:szCs w:val="21"/>
        </w:rPr>
      </w:pPr>
    </w:p>
    <w:p>
      <w:pPr>
        <w:spacing w:line="400" w:lineRule="exact"/>
        <w:ind w:left="748" w:hanging="567"/>
        <w:jc w:val="left"/>
        <w:rPr>
          <w:rFonts w:ascii="宋体" w:hAnsi="宋体" w:cs="Arial"/>
          <w:sz w:val="21"/>
          <w:szCs w:val="21"/>
        </w:rPr>
      </w:pPr>
    </w:p>
    <w:p>
      <w:pPr>
        <w:spacing w:line="400" w:lineRule="exact"/>
        <w:ind w:left="748" w:hanging="567"/>
        <w:jc w:val="left"/>
        <w:rPr>
          <w:rFonts w:ascii="宋体" w:hAnsi="宋体" w:cs="Arial"/>
          <w:sz w:val="21"/>
          <w:szCs w:val="21"/>
        </w:rPr>
      </w:pPr>
    </w:p>
    <w:p>
      <w:pPr>
        <w:spacing w:line="400" w:lineRule="exact"/>
        <w:ind w:left="748" w:hanging="567"/>
        <w:jc w:val="left"/>
        <w:rPr>
          <w:rFonts w:ascii="宋体" w:hAnsi="宋体" w:cs="Arial"/>
          <w:sz w:val="21"/>
          <w:szCs w:val="21"/>
        </w:rPr>
      </w:pPr>
    </w:p>
    <w:p>
      <w:pPr>
        <w:spacing w:line="400" w:lineRule="exact"/>
        <w:ind w:left="748" w:hanging="567"/>
        <w:jc w:val="left"/>
        <w:rPr>
          <w:rFonts w:ascii="宋体" w:hAnsi="宋体" w:cs="Arial"/>
          <w:sz w:val="21"/>
          <w:szCs w:val="21"/>
        </w:rPr>
      </w:pP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bookmarkStart w:id="171" w:name="_Toc368513825"/>
      <w:bookmarkStart w:id="172" w:name="_Toc367012690"/>
      <w:bookmarkStart w:id="173" w:name="_Toc275865623"/>
      <w:bookmarkStart w:id="174" w:name="_Toc210275025"/>
      <w:bookmarkStart w:id="175" w:name="_Toc161571022"/>
      <w:r>
        <w:rPr>
          <w:rFonts w:ascii="宋体" w:hAnsi="宋体" w:eastAsia="宋体"/>
          <w:sz w:val="21"/>
          <w:szCs w:val="21"/>
        </w:rPr>
        <w:br w:type="page"/>
      </w:r>
      <w:bookmarkEnd w:id="171"/>
      <w:bookmarkEnd w:id="172"/>
      <w:bookmarkEnd w:id="173"/>
      <w:bookmarkStart w:id="176" w:name="_Toc435514874"/>
      <w:bookmarkStart w:id="177" w:name="_Toc435515314"/>
      <w:bookmarkStart w:id="178" w:name="_Toc29580"/>
      <w:bookmarkStart w:id="179" w:name="_Toc368513826"/>
      <w:r>
        <w:rPr>
          <w:rFonts w:hint="eastAsia" w:ascii="宋体" w:hAnsi="宋体" w:eastAsia="宋体"/>
          <w:sz w:val="21"/>
          <w:szCs w:val="21"/>
        </w:rPr>
        <w:t>政策适用性说明（可选）</w:t>
      </w:r>
      <w:bookmarkEnd w:id="176"/>
      <w:bookmarkEnd w:id="177"/>
      <w:bookmarkEnd w:id="178"/>
    </w:p>
    <w:p>
      <w:pPr>
        <w:autoSpaceDE w:val="0"/>
        <w:autoSpaceDN w:val="0"/>
        <w:adjustRightInd w:val="0"/>
        <w:snapToGrid w:val="0"/>
        <w:spacing w:line="360" w:lineRule="auto"/>
        <w:ind w:firstLine="420" w:firstLineChars="200"/>
        <w:jc w:val="left"/>
        <w:rPr>
          <w:rFonts w:ascii="宋体" w:hAnsi="宋体"/>
          <w:sz w:val="21"/>
          <w:szCs w:val="21"/>
          <w:lang w:val="en-GB"/>
        </w:rPr>
      </w:pPr>
      <w:r>
        <w:rPr>
          <w:rFonts w:hint="eastAsia" w:ascii="宋体" w:hAnsi="宋体"/>
          <w:sz w:val="21"/>
          <w:szCs w:val="21"/>
          <w:lang w:val="en-GB"/>
        </w:rPr>
        <w:t>按照政府采购有关政策的要求，在本次的技术方案中，采用符合节能产品、环境标志产品政策的产品，介绍说明如下：</w:t>
      </w:r>
    </w:p>
    <w:p>
      <w:pPr>
        <w:spacing w:line="360" w:lineRule="auto"/>
        <w:jc w:val="left"/>
        <w:rPr>
          <w:rFonts w:ascii="宋体" w:hAnsi="宋体"/>
          <w:sz w:val="21"/>
          <w:szCs w:val="21"/>
        </w:rPr>
      </w:pPr>
      <w:r>
        <w:rPr>
          <w:rFonts w:hint="eastAsia" w:ascii="宋体" w:hAnsi="宋体"/>
          <w:sz w:val="21"/>
          <w:szCs w:val="21"/>
        </w:rPr>
        <w:t>项目编号：</w:t>
      </w:r>
    </w:p>
    <w:tbl>
      <w:tblPr>
        <w:tblStyle w:val="46"/>
        <w:tblW w:w="985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812"/>
        <w:gridCol w:w="1590"/>
        <w:gridCol w:w="1744"/>
        <w:gridCol w:w="30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1" w:type="dxa"/>
            <w:vAlign w:val="center"/>
          </w:tcPr>
          <w:p>
            <w:pPr>
              <w:tabs>
                <w:tab w:val="left" w:pos="1260"/>
              </w:tabs>
              <w:spacing w:line="360" w:lineRule="auto"/>
              <w:ind w:left="-98" w:leftChars="-41" w:right="-82" w:rightChars="-34"/>
              <w:jc w:val="left"/>
              <w:rPr>
                <w:rFonts w:ascii="宋体" w:hAnsi="宋体"/>
                <w:sz w:val="21"/>
                <w:szCs w:val="21"/>
                <w:lang w:val="en-GB"/>
              </w:rPr>
            </w:pPr>
            <w:r>
              <w:rPr>
                <w:rFonts w:hint="eastAsia" w:ascii="宋体" w:hAnsi="宋体"/>
                <w:sz w:val="21"/>
                <w:szCs w:val="21"/>
                <w:lang w:val="en-GB"/>
              </w:rPr>
              <w:t>类别</w:t>
            </w:r>
          </w:p>
        </w:tc>
        <w:tc>
          <w:tcPr>
            <w:tcW w:w="2812" w:type="dxa"/>
            <w:vAlign w:val="center"/>
          </w:tcPr>
          <w:p>
            <w:pPr>
              <w:tabs>
                <w:tab w:val="left" w:pos="1260"/>
              </w:tabs>
              <w:spacing w:line="360" w:lineRule="auto"/>
              <w:ind w:left="-98" w:leftChars="-41" w:right="-82" w:rightChars="-34"/>
              <w:jc w:val="left"/>
              <w:rPr>
                <w:rFonts w:ascii="宋体" w:hAnsi="宋体"/>
                <w:sz w:val="21"/>
                <w:szCs w:val="21"/>
                <w:lang w:val="en-GB"/>
              </w:rPr>
            </w:pPr>
            <w:r>
              <w:rPr>
                <w:rFonts w:hint="eastAsia" w:ascii="宋体" w:hAnsi="宋体"/>
                <w:sz w:val="21"/>
                <w:szCs w:val="21"/>
                <w:lang w:val="en-GB"/>
              </w:rPr>
              <w:t>主要产品/技术名称</w:t>
            </w:r>
          </w:p>
          <w:p>
            <w:pPr>
              <w:tabs>
                <w:tab w:val="left" w:pos="1260"/>
              </w:tabs>
              <w:spacing w:line="360" w:lineRule="auto"/>
              <w:ind w:left="-98" w:leftChars="-41" w:right="-82" w:rightChars="-34"/>
              <w:jc w:val="left"/>
              <w:rPr>
                <w:rFonts w:ascii="宋体" w:hAnsi="宋体"/>
                <w:sz w:val="21"/>
                <w:szCs w:val="21"/>
                <w:lang w:val="en-GB"/>
              </w:rPr>
            </w:pPr>
            <w:r>
              <w:rPr>
                <w:rFonts w:hint="eastAsia" w:ascii="宋体" w:hAnsi="宋体"/>
                <w:sz w:val="21"/>
                <w:szCs w:val="21"/>
                <w:lang w:val="en-GB"/>
              </w:rPr>
              <w:t>（规格型号、注册商标）</w:t>
            </w:r>
          </w:p>
        </w:tc>
        <w:tc>
          <w:tcPr>
            <w:tcW w:w="1590" w:type="dxa"/>
            <w:vAlign w:val="center"/>
          </w:tcPr>
          <w:p>
            <w:pPr>
              <w:tabs>
                <w:tab w:val="left" w:pos="1260"/>
              </w:tabs>
              <w:spacing w:line="360" w:lineRule="auto"/>
              <w:ind w:left="-98" w:leftChars="-41" w:right="-82" w:rightChars="-34"/>
              <w:jc w:val="left"/>
              <w:rPr>
                <w:rFonts w:ascii="宋体" w:hAnsi="宋体"/>
                <w:sz w:val="21"/>
                <w:szCs w:val="21"/>
                <w:lang w:val="en-GB"/>
              </w:rPr>
            </w:pPr>
            <w:r>
              <w:rPr>
                <w:rFonts w:hint="eastAsia" w:ascii="宋体" w:hAnsi="宋体"/>
                <w:sz w:val="21"/>
                <w:szCs w:val="21"/>
                <w:lang w:val="en-GB"/>
              </w:rPr>
              <w:t>制造商/开发商</w:t>
            </w:r>
          </w:p>
        </w:tc>
        <w:tc>
          <w:tcPr>
            <w:tcW w:w="1744" w:type="dxa"/>
            <w:vAlign w:val="center"/>
          </w:tcPr>
          <w:p>
            <w:pPr>
              <w:tabs>
                <w:tab w:val="left" w:pos="1260"/>
              </w:tabs>
              <w:spacing w:line="360" w:lineRule="auto"/>
              <w:ind w:left="-98" w:leftChars="-41" w:right="-82" w:rightChars="-34"/>
              <w:jc w:val="left"/>
              <w:rPr>
                <w:rFonts w:ascii="宋体" w:hAnsi="宋体"/>
                <w:sz w:val="21"/>
                <w:szCs w:val="21"/>
                <w:lang w:val="en-GB"/>
              </w:rPr>
            </w:pPr>
            <w:r>
              <w:rPr>
                <w:rFonts w:hint="eastAsia" w:ascii="宋体" w:hAnsi="宋体"/>
                <w:sz w:val="21"/>
                <w:szCs w:val="21"/>
                <w:lang w:val="en-GB"/>
              </w:rPr>
              <w:t>认证证书编号</w:t>
            </w:r>
          </w:p>
        </w:tc>
        <w:tc>
          <w:tcPr>
            <w:tcW w:w="3007" w:type="dxa"/>
            <w:vAlign w:val="center"/>
          </w:tcPr>
          <w:p>
            <w:pPr>
              <w:tabs>
                <w:tab w:val="left" w:pos="1260"/>
              </w:tabs>
              <w:spacing w:line="360" w:lineRule="auto"/>
              <w:ind w:left="-98" w:leftChars="-41" w:right="-82" w:rightChars="-34"/>
              <w:jc w:val="left"/>
              <w:rPr>
                <w:rFonts w:ascii="宋体" w:hAnsi="宋体"/>
                <w:sz w:val="21"/>
                <w:szCs w:val="21"/>
                <w:lang w:val="en-GB"/>
              </w:rPr>
            </w:pPr>
            <w:r>
              <w:rPr>
                <w:rFonts w:hint="eastAsia" w:ascii="宋体" w:hAnsi="宋体"/>
                <w:sz w:val="21"/>
                <w:szCs w:val="21"/>
                <w:lang w:val="en-GB"/>
              </w:rPr>
              <w:t>清 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701" w:type="dxa"/>
            <w:vMerge w:val="restart"/>
            <w:vAlign w:val="center"/>
          </w:tcPr>
          <w:p>
            <w:pPr>
              <w:tabs>
                <w:tab w:val="left" w:pos="1260"/>
              </w:tabs>
              <w:spacing w:line="360" w:lineRule="auto"/>
              <w:ind w:left="-98" w:leftChars="-41" w:right="-82" w:rightChars="-34"/>
              <w:jc w:val="left"/>
              <w:rPr>
                <w:rFonts w:ascii="宋体" w:hAnsi="宋体"/>
                <w:sz w:val="21"/>
                <w:szCs w:val="21"/>
                <w:lang w:val="en-GB"/>
              </w:rPr>
            </w:pPr>
            <w:r>
              <w:rPr>
                <w:rFonts w:hint="eastAsia" w:ascii="宋体" w:hAnsi="宋体"/>
                <w:sz w:val="21"/>
                <w:szCs w:val="21"/>
                <w:lang w:val="en-GB"/>
              </w:rPr>
              <w:t>节能产品</w:t>
            </w:r>
          </w:p>
        </w:tc>
        <w:tc>
          <w:tcPr>
            <w:tcW w:w="2812" w:type="dxa"/>
            <w:vAlign w:val="center"/>
          </w:tcPr>
          <w:p>
            <w:pPr>
              <w:tabs>
                <w:tab w:val="left" w:pos="1260"/>
              </w:tabs>
              <w:spacing w:line="360" w:lineRule="auto"/>
              <w:jc w:val="left"/>
              <w:rPr>
                <w:rFonts w:ascii="宋体" w:hAnsi="宋体"/>
                <w:sz w:val="21"/>
                <w:szCs w:val="21"/>
                <w:lang w:val="en-GB"/>
              </w:rPr>
            </w:pPr>
          </w:p>
        </w:tc>
        <w:tc>
          <w:tcPr>
            <w:tcW w:w="1590" w:type="dxa"/>
            <w:vAlign w:val="center"/>
          </w:tcPr>
          <w:p>
            <w:pPr>
              <w:tabs>
                <w:tab w:val="left" w:pos="1260"/>
              </w:tabs>
              <w:spacing w:line="360" w:lineRule="auto"/>
              <w:jc w:val="left"/>
              <w:rPr>
                <w:rFonts w:ascii="宋体" w:hAnsi="宋体"/>
                <w:sz w:val="21"/>
                <w:szCs w:val="21"/>
                <w:lang w:val="en-GB"/>
              </w:rPr>
            </w:pPr>
          </w:p>
        </w:tc>
        <w:tc>
          <w:tcPr>
            <w:tcW w:w="1744" w:type="dxa"/>
            <w:vAlign w:val="center"/>
          </w:tcPr>
          <w:p>
            <w:pPr>
              <w:tabs>
                <w:tab w:val="left" w:pos="1260"/>
              </w:tabs>
              <w:spacing w:line="360" w:lineRule="auto"/>
              <w:jc w:val="left"/>
              <w:rPr>
                <w:rFonts w:ascii="宋体" w:hAnsi="宋体"/>
                <w:sz w:val="21"/>
                <w:szCs w:val="21"/>
                <w:lang w:val="en-GB"/>
              </w:rPr>
            </w:pPr>
          </w:p>
        </w:tc>
        <w:tc>
          <w:tcPr>
            <w:tcW w:w="3007" w:type="dxa"/>
            <w:vAlign w:val="center"/>
          </w:tcPr>
          <w:p>
            <w:pPr>
              <w:tabs>
                <w:tab w:val="left" w:pos="1260"/>
              </w:tabs>
              <w:spacing w:line="360" w:lineRule="auto"/>
              <w:jc w:val="left"/>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01" w:type="dxa"/>
            <w:vMerge w:val="continue"/>
            <w:vAlign w:val="center"/>
          </w:tcPr>
          <w:p>
            <w:pPr>
              <w:tabs>
                <w:tab w:val="left" w:pos="1260"/>
              </w:tabs>
              <w:spacing w:line="360" w:lineRule="auto"/>
              <w:jc w:val="left"/>
              <w:rPr>
                <w:rFonts w:ascii="宋体" w:hAnsi="宋体"/>
                <w:sz w:val="21"/>
                <w:szCs w:val="21"/>
                <w:lang w:val="en-GB"/>
              </w:rPr>
            </w:pPr>
          </w:p>
        </w:tc>
        <w:tc>
          <w:tcPr>
            <w:tcW w:w="2812" w:type="dxa"/>
            <w:vAlign w:val="center"/>
          </w:tcPr>
          <w:p>
            <w:pPr>
              <w:tabs>
                <w:tab w:val="left" w:pos="1260"/>
              </w:tabs>
              <w:spacing w:line="360" w:lineRule="auto"/>
              <w:jc w:val="left"/>
              <w:rPr>
                <w:rFonts w:ascii="宋体" w:hAnsi="宋体"/>
                <w:sz w:val="21"/>
                <w:szCs w:val="21"/>
                <w:lang w:val="en-GB"/>
              </w:rPr>
            </w:pPr>
          </w:p>
        </w:tc>
        <w:tc>
          <w:tcPr>
            <w:tcW w:w="1590" w:type="dxa"/>
            <w:vAlign w:val="center"/>
          </w:tcPr>
          <w:p>
            <w:pPr>
              <w:tabs>
                <w:tab w:val="left" w:pos="1260"/>
              </w:tabs>
              <w:spacing w:line="360" w:lineRule="auto"/>
              <w:jc w:val="left"/>
              <w:rPr>
                <w:rFonts w:ascii="宋体" w:hAnsi="宋体"/>
                <w:sz w:val="21"/>
                <w:szCs w:val="21"/>
                <w:lang w:val="en-GB"/>
              </w:rPr>
            </w:pPr>
          </w:p>
        </w:tc>
        <w:tc>
          <w:tcPr>
            <w:tcW w:w="1744" w:type="dxa"/>
            <w:vAlign w:val="center"/>
          </w:tcPr>
          <w:p>
            <w:pPr>
              <w:tabs>
                <w:tab w:val="left" w:pos="1260"/>
              </w:tabs>
              <w:spacing w:line="360" w:lineRule="auto"/>
              <w:jc w:val="left"/>
              <w:rPr>
                <w:rFonts w:ascii="宋体" w:hAnsi="宋体"/>
                <w:sz w:val="21"/>
                <w:szCs w:val="21"/>
                <w:lang w:val="en-GB"/>
              </w:rPr>
            </w:pPr>
          </w:p>
        </w:tc>
        <w:tc>
          <w:tcPr>
            <w:tcW w:w="3007" w:type="dxa"/>
            <w:vAlign w:val="center"/>
          </w:tcPr>
          <w:p>
            <w:pPr>
              <w:tabs>
                <w:tab w:val="left" w:pos="1260"/>
              </w:tabs>
              <w:spacing w:line="360" w:lineRule="auto"/>
              <w:jc w:val="left"/>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01" w:type="dxa"/>
            <w:vMerge w:val="restart"/>
            <w:vAlign w:val="center"/>
          </w:tcPr>
          <w:p>
            <w:pPr>
              <w:tabs>
                <w:tab w:val="left" w:pos="1260"/>
              </w:tabs>
              <w:spacing w:line="360" w:lineRule="auto"/>
              <w:ind w:left="-98" w:leftChars="-41" w:right="-82" w:rightChars="-34"/>
              <w:jc w:val="left"/>
              <w:rPr>
                <w:rFonts w:ascii="宋体" w:hAnsi="宋体"/>
                <w:sz w:val="21"/>
                <w:szCs w:val="21"/>
                <w:lang w:val="en-GB"/>
              </w:rPr>
            </w:pPr>
            <w:r>
              <w:rPr>
                <w:rFonts w:hint="eastAsia" w:ascii="宋体" w:hAnsi="宋体"/>
                <w:sz w:val="21"/>
                <w:szCs w:val="21"/>
                <w:lang w:val="en-GB"/>
              </w:rPr>
              <w:t>环境标志产品</w:t>
            </w:r>
          </w:p>
        </w:tc>
        <w:tc>
          <w:tcPr>
            <w:tcW w:w="2812" w:type="dxa"/>
            <w:vAlign w:val="center"/>
          </w:tcPr>
          <w:p>
            <w:pPr>
              <w:tabs>
                <w:tab w:val="left" w:pos="1260"/>
              </w:tabs>
              <w:spacing w:line="360" w:lineRule="auto"/>
              <w:jc w:val="left"/>
              <w:rPr>
                <w:rFonts w:ascii="宋体" w:hAnsi="宋体"/>
                <w:sz w:val="21"/>
                <w:szCs w:val="21"/>
                <w:lang w:val="en-GB"/>
              </w:rPr>
            </w:pPr>
          </w:p>
        </w:tc>
        <w:tc>
          <w:tcPr>
            <w:tcW w:w="1590" w:type="dxa"/>
            <w:vAlign w:val="center"/>
          </w:tcPr>
          <w:p>
            <w:pPr>
              <w:tabs>
                <w:tab w:val="left" w:pos="1260"/>
              </w:tabs>
              <w:spacing w:line="360" w:lineRule="auto"/>
              <w:jc w:val="left"/>
              <w:rPr>
                <w:rFonts w:ascii="宋体" w:hAnsi="宋体"/>
                <w:sz w:val="21"/>
                <w:szCs w:val="21"/>
                <w:lang w:val="en-GB"/>
              </w:rPr>
            </w:pPr>
          </w:p>
        </w:tc>
        <w:tc>
          <w:tcPr>
            <w:tcW w:w="1744" w:type="dxa"/>
            <w:vAlign w:val="center"/>
          </w:tcPr>
          <w:p>
            <w:pPr>
              <w:tabs>
                <w:tab w:val="left" w:pos="1260"/>
              </w:tabs>
              <w:spacing w:line="360" w:lineRule="auto"/>
              <w:jc w:val="left"/>
              <w:rPr>
                <w:rFonts w:ascii="宋体" w:hAnsi="宋体"/>
                <w:sz w:val="21"/>
                <w:szCs w:val="21"/>
                <w:lang w:val="en-GB"/>
              </w:rPr>
            </w:pPr>
          </w:p>
        </w:tc>
        <w:tc>
          <w:tcPr>
            <w:tcW w:w="3007" w:type="dxa"/>
            <w:vAlign w:val="center"/>
          </w:tcPr>
          <w:p>
            <w:pPr>
              <w:tabs>
                <w:tab w:val="left" w:pos="1260"/>
              </w:tabs>
              <w:spacing w:line="360" w:lineRule="auto"/>
              <w:jc w:val="left"/>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01" w:type="dxa"/>
            <w:vMerge w:val="continue"/>
            <w:vAlign w:val="center"/>
          </w:tcPr>
          <w:p>
            <w:pPr>
              <w:tabs>
                <w:tab w:val="left" w:pos="1260"/>
              </w:tabs>
              <w:spacing w:line="360" w:lineRule="auto"/>
              <w:ind w:left="-98" w:leftChars="-41" w:right="-82" w:rightChars="-34"/>
              <w:jc w:val="left"/>
              <w:rPr>
                <w:rFonts w:ascii="宋体" w:hAnsi="宋体"/>
                <w:sz w:val="21"/>
                <w:szCs w:val="21"/>
                <w:lang w:val="en-GB"/>
              </w:rPr>
            </w:pPr>
          </w:p>
        </w:tc>
        <w:tc>
          <w:tcPr>
            <w:tcW w:w="2812" w:type="dxa"/>
            <w:vAlign w:val="center"/>
          </w:tcPr>
          <w:p>
            <w:pPr>
              <w:tabs>
                <w:tab w:val="left" w:pos="1260"/>
              </w:tabs>
              <w:spacing w:line="360" w:lineRule="auto"/>
              <w:jc w:val="left"/>
              <w:rPr>
                <w:rFonts w:ascii="宋体" w:hAnsi="宋体"/>
                <w:sz w:val="21"/>
                <w:szCs w:val="21"/>
                <w:lang w:val="en-GB"/>
              </w:rPr>
            </w:pPr>
          </w:p>
        </w:tc>
        <w:tc>
          <w:tcPr>
            <w:tcW w:w="1590" w:type="dxa"/>
            <w:vAlign w:val="center"/>
          </w:tcPr>
          <w:p>
            <w:pPr>
              <w:tabs>
                <w:tab w:val="left" w:pos="1260"/>
              </w:tabs>
              <w:spacing w:line="360" w:lineRule="auto"/>
              <w:jc w:val="left"/>
              <w:rPr>
                <w:rFonts w:ascii="宋体" w:hAnsi="宋体"/>
                <w:sz w:val="21"/>
                <w:szCs w:val="21"/>
                <w:lang w:val="en-GB"/>
              </w:rPr>
            </w:pPr>
          </w:p>
        </w:tc>
        <w:tc>
          <w:tcPr>
            <w:tcW w:w="1744" w:type="dxa"/>
            <w:vAlign w:val="center"/>
          </w:tcPr>
          <w:p>
            <w:pPr>
              <w:tabs>
                <w:tab w:val="left" w:pos="1260"/>
              </w:tabs>
              <w:spacing w:line="360" w:lineRule="auto"/>
              <w:jc w:val="left"/>
              <w:rPr>
                <w:rFonts w:ascii="宋体" w:hAnsi="宋体"/>
                <w:sz w:val="21"/>
                <w:szCs w:val="21"/>
                <w:lang w:val="en-GB"/>
              </w:rPr>
            </w:pPr>
          </w:p>
        </w:tc>
        <w:tc>
          <w:tcPr>
            <w:tcW w:w="3007" w:type="dxa"/>
            <w:vAlign w:val="center"/>
          </w:tcPr>
          <w:p>
            <w:pPr>
              <w:tabs>
                <w:tab w:val="left" w:pos="1260"/>
              </w:tabs>
              <w:spacing w:line="360" w:lineRule="auto"/>
              <w:jc w:val="left"/>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701" w:type="dxa"/>
            <w:vAlign w:val="center"/>
          </w:tcPr>
          <w:p>
            <w:pPr>
              <w:tabs>
                <w:tab w:val="left" w:pos="1260"/>
              </w:tabs>
              <w:spacing w:line="360" w:lineRule="auto"/>
              <w:ind w:left="-98" w:leftChars="-41" w:right="-82" w:rightChars="-34"/>
              <w:jc w:val="left"/>
              <w:rPr>
                <w:rFonts w:ascii="宋体" w:hAnsi="宋体"/>
                <w:sz w:val="21"/>
                <w:szCs w:val="21"/>
                <w:lang w:val="en-GB"/>
              </w:rPr>
            </w:pPr>
            <w:r>
              <w:rPr>
                <w:rFonts w:hint="eastAsia" w:ascii="宋体" w:hAnsi="宋体"/>
                <w:sz w:val="21"/>
                <w:szCs w:val="21"/>
                <w:lang w:val="en-GB"/>
              </w:rPr>
              <w:t>说明</w:t>
            </w:r>
          </w:p>
        </w:tc>
        <w:tc>
          <w:tcPr>
            <w:tcW w:w="9153" w:type="dxa"/>
            <w:gridSpan w:val="4"/>
            <w:vAlign w:val="center"/>
          </w:tcPr>
          <w:p>
            <w:pPr>
              <w:tabs>
                <w:tab w:val="left" w:pos="1260"/>
              </w:tabs>
              <w:spacing w:line="360" w:lineRule="auto"/>
              <w:jc w:val="left"/>
              <w:rPr>
                <w:rFonts w:ascii="宋体" w:hAnsi="宋体"/>
                <w:sz w:val="21"/>
                <w:szCs w:val="21"/>
                <w:lang w:val="en-GB"/>
              </w:rPr>
            </w:pPr>
          </w:p>
        </w:tc>
      </w:tr>
    </w:tbl>
    <w:p>
      <w:pPr>
        <w:tabs>
          <w:tab w:val="left" w:pos="360"/>
          <w:tab w:val="left" w:pos="993"/>
        </w:tabs>
        <w:spacing w:line="360" w:lineRule="auto"/>
        <w:jc w:val="left"/>
        <w:rPr>
          <w:rFonts w:ascii="宋体" w:hAnsi="宋体"/>
          <w:sz w:val="21"/>
          <w:szCs w:val="21"/>
          <w:lang w:val="en-GB"/>
        </w:rPr>
      </w:pPr>
      <w:r>
        <w:rPr>
          <w:rFonts w:hint="eastAsia" w:ascii="宋体" w:hAnsi="宋体"/>
          <w:sz w:val="21"/>
          <w:szCs w:val="21"/>
          <w:lang w:val="en-GB"/>
        </w:rPr>
        <w:t>备注：</w:t>
      </w:r>
    </w:p>
    <w:p>
      <w:pPr>
        <w:pStyle w:val="22"/>
        <w:numPr>
          <w:ilvl w:val="0"/>
          <w:numId w:val="56"/>
        </w:numPr>
        <w:tabs>
          <w:tab w:val="clear" w:pos="1260"/>
        </w:tabs>
        <w:snapToGrid w:val="0"/>
        <w:ind w:left="360" w:right="137" w:rightChars="57"/>
        <w:jc w:val="left"/>
        <w:rPr>
          <w:rFonts w:hAnsi="宋体" w:cs="Arial"/>
          <w:sz w:val="21"/>
        </w:rPr>
      </w:pPr>
      <w:r>
        <w:rPr>
          <w:rFonts w:hint="eastAsia" w:hAnsi="宋体" w:cs="Arial"/>
          <w:sz w:val="21"/>
        </w:rPr>
        <w:t>节能产品、环境标志产品是属于国家行业主管部门颁布的清单目录中的产品，须填写认证证书编号，并在“清单”栏中填写属于“第　期清单”的产品（产品被列入多期清单的，以最新一期为准），同时提供有效期内的证书复印件以及下述文件（均为复印件，加盖投标人公章）；</w:t>
      </w:r>
    </w:p>
    <w:p>
      <w:pPr>
        <w:pStyle w:val="22"/>
        <w:numPr>
          <w:ilvl w:val="0"/>
          <w:numId w:val="56"/>
        </w:numPr>
        <w:tabs>
          <w:tab w:val="clear" w:pos="1260"/>
        </w:tabs>
        <w:snapToGrid w:val="0"/>
        <w:ind w:left="360" w:right="137" w:rightChars="57"/>
        <w:jc w:val="left"/>
        <w:rPr>
          <w:rFonts w:hAnsi="宋体" w:cs="Arial"/>
          <w:sz w:val="21"/>
        </w:rPr>
      </w:pPr>
      <w:r>
        <w:rPr>
          <w:rFonts w:hint="eastAsia" w:hAnsi="宋体" w:cs="Arial"/>
          <w:sz w:val="21"/>
        </w:rPr>
        <w:t>属于“节能产品政府采购清单</w:t>
      </w:r>
      <w:r>
        <w:rPr>
          <w:rFonts w:hAnsi="宋体" w:cs="Arial"/>
          <w:sz w:val="21"/>
        </w:rPr>
        <w:t>”</w:t>
      </w:r>
      <w:r>
        <w:rPr>
          <w:rFonts w:hint="eastAsia" w:hAnsi="宋体" w:cs="Arial"/>
          <w:sz w:val="21"/>
        </w:rPr>
        <w:t>中品目的产品，提供</w:t>
      </w:r>
      <w:r>
        <w:rPr>
          <w:rFonts w:hAnsi="宋体" w:cs="Arial"/>
          <w:sz w:val="21"/>
        </w:rPr>
        <w:t>“</w:t>
      </w:r>
      <w:r>
        <w:rPr>
          <w:rFonts w:hint="eastAsia" w:hAnsi="宋体" w:cs="Arial"/>
          <w:sz w:val="21"/>
        </w:rPr>
        <w:t>节能产品政府采购清单（第___期）”中投标产品所在清单页并加盖投标人公章，节能清单在中华人民共和国财政部网站（http://www.mof.gov.cn）、中国政府采购网（http://www.ccgp.gov.cn/）、国家发展改革委网站（http://hzs.ndrc.gov.cn/）和中国质量认证中心网站（http://www.cqc.com.cn/）上发布；</w:t>
      </w:r>
    </w:p>
    <w:p>
      <w:pPr>
        <w:pStyle w:val="22"/>
        <w:numPr>
          <w:ilvl w:val="0"/>
          <w:numId w:val="56"/>
        </w:numPr>
        <w:tabs>
          <w:tab w:val="clear" w:pos="1260"/>
        </w:tabs>
        <w:snapToGrid w:val="0"/>
        <w:ind w:left="360" w:right="137" w:rightChars="57"/>
        <w:jc w:val="left"/>
        <w:rPr>
          <w:rFonts w:hAnsi="宋体" w:cs="Arial"/>
          <w:sz w:val="21"/>
        </w:rPr>
      </w:pPr>
      <w:r>
        <w:rPr>
          <w:rFonts w:hint="eastAsia" w:hAnsi="宋体" w:cs="Arial"/>
          <w:sz w:val="21"/>
        </w:rPr>
        <w:t>属于“环境标志产品政府采购清单”中品目的产品，提供最新“环境标志产品政府采购清单”中投标产品所在清单页并加盖投标人公章，清单在中华人民共和国财政部网站（http://www.mof.gov.cn）、中国政府采购网（http://www.ccgp.gov.cn/）、中华人民共和国环境保护部网站（http://www.zhb.gov.cn）、中国绿色采购网（http://www.cgpn.org/）上发布。</w:t>
      </w:r>
    </w:p>
    <w:p>
      <w:pPr>
        <w:pStyle w:val="22"/>
        <w:snapToGrid w:val="0"/>
        <w:ind w:right="137" w:rightChars="57"/>
        <w:jc w:val="left"/>
        <w:rPr>
          <w:rFonts w:hAnsi="宋体" w:cs="Arial"/>
          <w:sz w:val="21"/>
        </w:rPr>
      </w:pPr>
    </w:p>
    <w:p>
      <w:pPr>
        <w:spacing w:line="400" w:lineRule="exact"/>
        <w:ind w:firstLine="539" w:firstLineChars="257"/>
        <w:jc w:val="left"/>
        <w:rPr>
          <w:rFonts w:ascii="宋体" w:hAnsi="宋体"/>
          <w:sz w:val="21"/>
          <w:szCs w:val="21"/>
        </w:rPr>
      </w:pPr>
      <w:r>
        <w:rPr>
          <w:rFonts w:hint="eastAsia" w:ascii="宋体" w:hAnsi="宋体"/>
          <w:sz w:val="21"/>
          <w:szCs w:val="21"/>
        </w:rPr>
        <w:t>投标人名称（并加盖公章）：</w:t>
      </w:r>
    </w:p>
    <w:p>
      <w:pPr>
        <w:spacing w:line="400" w:lineRule="exact"/>
        <w:ind w:firstLine="539" w:firstLineChars="257"/>
        <w:jc w:val="left"/>
        <w:rPr>
          <w:rFonts w:ascii="宋体" w:hAnsi="宋体"/>
          <w:sz w:val="21"/>
          <w:szCs w:val="21"/>
        </w:rPr>
      </w:pPr>
    </w:p>
    <w:p>
      <w:pPr>
        <w:spacing w:line="400" w:lineRule="exact"/>
        <w:ind w:firstLine="539" w:firstLineChars="257"/>
        <w:jc w:val="left"/>
        <w:rPr>
          <w:rFonts w:ascii="宋体" w:hAnsi="宋体"/>
          <w:sz w:val="21"/>
          <w:szCs w:val="21"/>
        </w:rPr>
      </w:pPr>
      <w:r>
        <w:rPr>
          <w:rFonts w:hint="eastAsia" w:ascii="宋体" w:hAnsi="宋体"/>
          <w:sz w:val="21"/>
          <w:szCs w:val="21"/>
        </w:rPr>
        <w:t>投标人法定代表人或其委托人签名或印鉴：</w:t>
      </w:r>
    </w:p>
    <w:p>
      <w:pPr>
        <w:spacing w:line="400" w:lineRule="exact"/>
        <w:ind w:firstLine="539" w:firstLineChars="257"/>
        <w:jc w:val="left"/>
        <w:rPr>
          <w:rFonts w:ascii="宋体" w:hAnsi="宋体"/>
          <w:sz w:val="21"/>
          <w:szCs w:val="21"/>
        </w:rPr>
      </w:pPr>
    </w:p>
    <w:p>
      <w:pPr>
        <w:spacing w:line="400" w:lineRule="exact"/>
        <w:ind w:firstLine="539" w:firstLineChars="257"/>
        <w:jc w:val="left"/>
        <w:rPr>
          <w:rFonts w:ascii="宋体" w:hAnsi="宋体"/>
          <w:sz w:val="21"/>
          <w:szCs w:val="21"/>
        </w:rPr>
      </w:pPr>
      <w:r>
        <w:rPr>
          <w:rFonts w:hint="eastAsia" w:ascii="宋体" w:hAnsi="宋体"/>
          <w:sz w:val="21"/>
          <w:szCs w:val="21"/>
        </w:rPr>
        <w:t>日期：</w:t>
      </w:r>
    </w:p>
    <w:p>
      <w:pPr>
        <w:pStyle w:val="22"/>
        <w:snapToGrid w:val="0"/>
        <w:ind w:right="137" w:rightChars="57"/>
        <w:jc w:val="left"/>
        <w:rPr>
          <w:rFonts w:hAnsi="宋体" w:cs="Arial"/>
          <w:sz w:val="21"/>
        </w:rPr>
      </w:pP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r>
        <w:rPr>
          <w:rFonts w:ascii="宋体" w:hAnsi="宋体" w:eastAsia="宋体" w:cs="宋体"/>
          <w:kern w:val="0"/>
          <w:sz w:val="21"/>
          <w:szCs w:val="21"/>
        </w:rPr>
        <w:br w:type="page"/>
      </w:r>
      <w:bookmarkStart w:id="180" w:name="_Toc21079"/>
      <w:r>
        <w:rPr>
          <w:rFonts w:hint="eastAsia" w:ascii="宋体" w:hAnsi="宋体" w:eastAsia="宋体"/>
          <w:sz w:val="21"/>
          <w:szCs w:val="21"/>
        </w:rPr>
        <w:t>实质性响应一览表</w:t>
      </w:r>
      <w:bookmarkEnd w:id="180"/>
    </w:p>
    <w:p>
      <w:pPr>
        <w:spacing w:before="50" w:after="188" w:line="400" w:lineRule="exact"/>
        <w:ind w:left="540" w:leftChars="225" w:firstLine="105" w:firstLineChars="50"/>
        <w:jc w:val="left"/>
        <w:rPr>
          <w:rFonts w:ascii="宋体" w:hAnsi="宋体"/>
          <w:sz w:val="21"/>
          <w:szCs w:val="21"/>
        </w:rPr>
      </w:pPr>
      <w:r>
        <w:rPr>
          <w:rFonts w:hint="eastAsia" w:ascii="宋体" w:hAnsi="宋体" w:cs="Arial"/>
          <w:sz w:val="21"/>
          <w:szCs w:val="21"/>
        </w:rPr>
        <w:t>项目编号：441900-201905-0007004001-0003</w:t>
      </w:r>
    </w:p>
    <w:tbl>
      <w:tblPr>
        <w:tblStyle w:val="46"/>
        <w:tblW w:w="9801" w:type="dxa"/>
        <w:jc w:val="center"/>
        <w:tblInd w:w="0" w:type="dxa"/>
        <w:tblLayout w:type="fixed"/>
        <w:tblCellMar>
          <w:top w:w="0" w:type="dxa"/>
          <w:left w:w="30" w:type="dxa"/>
          <w:bottom w:w="0" w:type="dxa"/>
          <w:right w:w="30" w:type="dxa"/>
        </w:tblCellMar>
      </w:tblPr>
      <w:tblGrid>
        <w:gridCol w:w="686"/>
        <w:gridCol w:w="4641"/>
        <w:gridCol w:w="2126"/>
        <w:gridCol w:w="930"/>
        <w:gridCol w:w="1418"/>
      </w:tblGrid>
      <w:tr>
        <w:tblPrEx>
          <w:tblLayout w:type="fixed"/>
          <w:tblCellMar>
            <w:top w:w="0" w:type="dxa"/>
            <w:left w:w="30" w:type="dxa"/>
            <w:bottom w:w="0" w:type="dxa"/>
            <w:right w:w="30" w:type="dxa"/>
          </w:tblCellMar>
        </w:tblPrEx>
        <w:trPr>
          <w:trHeight w:val="318" w:hRule="atLeast"/>
          <w:jc w:val="center"/>
        </w:trPr>
        <w:tc>
          <w:tcPr>
            <w:tcW w:w="686"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center"/>
              <w:rPr>
                <w:rFonts w:ascii="宋体" w:hAnsi="宋体" w:cs="Arial"/>
                <w:bCs/>
                <w:sz w:val="21"/>
                <w:szCs w:val="21"/>
              </w:rPr>
            </w:pPr>
            <w:r>
              <w:rPr>
                <w:rFonts w:hint="eastAsia" w:ascii="宋体" w:hAnsi="宋体" w:cs="Arial"/>
                <w:bCs/>
                <w:sz w:val="21"/>
                <w:szCs w:val="21"/>
              </w:rPr>
              <w:t>序号</w:t>
            </w:r>
          </w:p>
        </w:tc>
        <w:tc>
          <w:tcPr>
            <w:tcW w:w="4641"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center"/>
              <w:rPr>
                <w:rFonts w:ascii="宋体" w:hAnsi="宋体" w:cs="Arial"/>
                <w:bCs/>
                <w:sz w:val="21"/>
                <w:szCs w:val="21"/>
              </w:rPr>
            </w:pPr>
            <w:r>
              <w:rPr>
                <w:rFonts w:hint="eastAsia" w:ascii="宋体" w:hAnsi="宋体" w:cs="Arial"/>
                <w:bCs/>
                <w:sz w:val="21"/>
                <w:szCs w:val="21"/>
              </w:rPr>
              <w:t>招标文件要求</w:t>
            </w:r>
          </w:p>
        </w:tc>
        <w:tc>
          <w:tcPr>
            <w:tcW w:w="2126"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 w:val="21"/>
                <w:szCs w:val="21"/>
              </w:rPr>
            </w:pPr>
            <w:r>
              <w:rPr>
                <w:rFonts w:hint="eastAsia" w:ascii="宋体" w:hAnsi="宋体"/>
                <w:sz w:val="21"/>
                <w:szCs w:val="21"/>
              </w:rPr>
              <w:t>投标人响应情况描述</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 w:val="21"/>
                <w:szCs w:val="21"/>
              </w:rPr>
            </w:pPr>
            <w:r>
              <w:rPr>
                <w:rFonts w:hint="eastAsia" w:ascii="宋体" w:hAnsi="宋体"/>
                <w:sz w:val="21"/>
                <w:szCs w:val="21"/>
              </w:rPr>
              <w:t>偏离说明（正偏离/完全响应/负偏离）</w:t>
            </w:r>
          </w:p>
        </w:tc>
        <w:tc>
          <w:tcPr>
            <w:tcW w:w="1418"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 w:val="21"/>
                <w:szCs w:val="21"/>
              </w:rPr>
            </w:pPr>
            <w:r>
              <w:rPr>
                <w:rFonts w:hint="eastAsia" w:ascii="宋体" w:hAnsi="宋体"/>
                <w:sz w:val="21"/>
                <w:szCs w:val="21"/>
              </w:rPr>
              <w:t>对应投标文件位置及页码</w:t>
            </w:r>
          </w:p>
        </w:tc>
      </w:tr>
      <w:tr>
        <w:tblPrEx>
          <w:tblLayout w:type="fixed"/>
          <w:tblCellMar>
            <w:top w:w="0" w:type="dxa"/>
            <w:left w:w="30" w:type="dxa"/>
            <w:bottom w:w="0" w:type="dxa"/>
            <w:right w:w="30" w:type="dxa"/>
          </w:tblCellMar>
        </w:tblPrEx>
        <w:trPr>
          <w:trHeight w:val="318" w:hRule="atLeast"/>
          <w:jc w:val="center"/>
        </w:trPr>
        <w:tc>
          <w:tcPr>
            <w:tcW w:w="686" w:type="dxa"/>
            <w:tcBorders>
              <w:top w:val="single" w:color="auto" w:sz="6" w:space="0"/>
              <w:left w:val="single" w:color="auto" w:sz="6" w:space="0"/>
              <w:bottom w:val="single" w:color="auto" w:sz="6" w:space="0"/>
              <w:right w:val="single" w:color="auto" w:sz="6" w:space="0"/>
            </w:tcBorders>
            <w:vAlign w:val="center"/>
          </w:tcPr>
          <w:p>
            <w:pPr>
              <w:widowControl/>
              <w:numPr>
                <w:ilvl w:val="0"/>
                <w:numId w:val="57"/>
              </w:numPr>
              <w:spacing w:line="300" w:lineRule="exact"/>
              <w:jc w:val="center"/>
              <w:rPr>
                <w:rFonts w:ascii="宋体" w:hAnsi="宋体" w:cs="Arial"/>
                <w:bCs/>
                <w:sz w:val="21"/>
                <w:szCs w:val="21"/>
              </w:rPr>
            </w:pPr>
          </w:p>
        </w:tc>
        <w:tc>
          <w:tcPr>
            <w:tcW w:w="4641" w:type="dxa"/>
            <w:tcBorders>
              <w:top w:val="single" w:color="auto" w:sz="6" w:space="0"/>
              <w:left w:val="single" w:color="auto" w:sz="6" w:space="0"/>
              <w:bottom w:val="single" w:color="auto" w:sz="6" w:space="0"/>
              <w:right w:val="single" w:color="auto" w:sz="6" w:space="0"/>
            </w:tcBorders>
            <w:vAlign w:val="center"/>
          </w:tcPr>
          <w:p>
            <w:pPr>
              <w:tabs>
                <w:tab w:val="left" w:pos="709"/>
              </w:tabs>
              <w:spacing w:line="440" w:lineRule="exact"/>
              <w:jc w:val="left"/>
              <w:rPr>
                <w:rFonts w:ascii="宋体" w:hAnsi="宋体" w:cs="宋体"/>
                <w:sz w:val="21"/>
                <w:szCs w:val="21"/>
              </w:rPr>
            </w:pPr>
            <w:r>
              <w:rPr>
                <w:rFonts w:hint="eastAsia" w:ascii="宋体" w:hAnsi="宋体" w:cs="宋体"/>
                <w:sz w:val="21"/>
                <w:szCs w:val="21"/>
              </w:rPr>
              <w:t>具备《中华人民共和国政府采购法》第二十二条规定的条件：</w:t>
            </w:r>
          </w:p>
          <w:p>
            <w:pPr>
              <w:tabs>
                <w:tab w:val="left" w:pos="709"/>
              </w:tabs>
              <w:spacing w:line="440" w:lineRule="exact"/>
              <w:jc w:val="left"/>
              <w:rPr>
                <w:rFonts w:ascii="宋体" w:hAnsi="宋体" w:cs="宋体"/>
                <w:sz w:val="21"/>
                <w:szCs w:val="21"/>
              </w:rPr>
            </w:pPr>
            <w:r>
              <w:rPr>
                <w:rFonts w:hint="eastAsia" w:ascii="宋体" w:hAnsi="宋体" w:cs="宋体"/>
                <w:sz w:val="21"/>
                <w:szCs w:val="21"/>
              </w:rPr>
              <w:t>1）具有独立承担民事责任的能力；</w:t>
            </w:r>
          </w:p>
          <w:p>
            <w:pPr>
              <w:tabs>
                <w:tab w:val="left" w:pos="709"/>
              </w:tabs>
              <w:spacing w:line="440" w:lineRule="exact"/>
              <w:jc w:val="left"/>
              <w:rPr>
                <w:rFonts w:ascii="宋体" w:hAnsi="宋体" w:cs="宋体"/>
                <w:sz w:val="21"/>
                <w:szCs w:val="21"/>
              </w:rPr>
            </w:pPr>
            <w:r>
              <w:rPr>
                <w:rFonts w:hint="eastAsia" w:ascii="宋体" w:hAnsi="宋体" w:cs="宋体"/>
                <w:sz w:val="21"/>
                <w:szCs w:val="21"/>
              </w:rPr>
              <w:t>2）具有良好的商业信誉和健全的财务会计制度；</w:t>
            </w:r>
          </w:p>
          <w:p>
            <w:pPr>
              <w:tabs>
                <w:tab w:val="left" w:pos="709"/>
              </w:tabs>
              <w:spacing w:line="440" w:lineRule="exact"/>
              <w:jc w:val="left"/>
              <w:rPr>
                <w:rFonts w:ascii="宋体" w:hAnsi="宋体" w:cs="宋体"/>
                <w:sz w:val="21"/>
                <w:szCs w:val="21"/>
              </w:rPr>
            </w:pPr>
            <w:r>
              <w:rPr>
                <w:rFonts w:hint="eastAsia" w:ascii="宋体" w:hAnsi="宋体" w:cs="宋体"/>
                <w:sz w:val="21"/>
                <w:szCs w:val="21"/>
              </w:rPr>
              <w:t>3）具有履行合同所必需的设备和专业技术能力；</w:t>
            </w:r>
          </w:p>
          <w:p>
            <w:pPr>
              <w:tabs>
                <w:tab w:val="left" w:pos="709"/>
              </w:tabs>
              <w:spacing w:line="440" w:lineRule="exact"/>
              <w:jc w:val="left"/>
              <w:rPr>
                <w:rFonts w:ascii="宋体" w:hAnsi="宋体" w:cs="宋体"/>
                <w:sz w:val="21"/>
                <w:szCs w:val="21"/>
              </w:rPr>
            </w:pPr>
            <w:r>
              <w:rPr>
                <w:rFonts w:hint="eastAsia" w:ascii="宋体" w:hAnsi="宋体" w:cs="宋体"/>
                <w:sz w:val="21"/>
                <w:szCs w:val="21"/>
              </w:rPr>
              <w:t>4）有依法缴纳税收和社会保障资金的良好记录；</w:t>
            </w:r>
          </w:p>
          <w:p>
            <w:pPr>
              <w:tabs>
                <w:tab w:val="left" w:pos="709"/>
              </w:tabs>
              <w:spacing w:line="440" w:lineRule="exact"/>
              <w:jc w:val="left"/>
              <w:rPr>
                <w:rFonts w:ascii="宋体" w:hAnsi="宋体" w:cs="宋体"/>
                <w:sz w:val="21"/>
                <w:szCs w:val="21"/>
              </w:rPr>
            </w:pPr>
            <w:r>
              <w:rPr>
                <w:rFonts w:hint="eastAsia" w:ascii="宋体" w:hAnsi="宋体" w:cs="宋体"/>
                <w:sz w:val="21"/>
                <w:szCs w:val="21"/>
              </w:rPr>
              <w:t>5）参加政府采购活动前三年内，在经营活动中没有重大违法记录；</w:t>
            </w:r>
          </w:p>
          <w:p>
            <w:pPr>
              <w:tabs>
                <w:tab w:val="left" w:pos="709"/>
              </w:tabs>
              <w:spacing w:line="440" w:lineRule="exact"/>
              <w:jc w:val="left"/>
              <w:rPr>
                <w:rFonts w:ascii="宋体" w:hAnsi="宋体" w:cs="宋体"/>
                <w:sz w:val="21"/>
                <w:szCs w:val="21"/>
              </w:rPr>
            </w:pPr>
            <w:r>
              <w:rPr>
                <w:rFonts w:hint="eastAsia" w:ascii="宋体" w:hAnsi="宋体" w:cs="宋体"/>
                <w:sz w:val="21"/>
                <w:szCs w:val="21"/>
              </w:rPr>
              <w:t>6）法律、行政法规规定的其他条件。</w:t>
            </w:r>
          </w:p>
        </w:tc>
        <w:tc>
          <w:tcPr>
            <w:tcW w:w="2126"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930"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r>
      <w:tr>
        <w:tblPrEx>
          <w:tblLayout w:type="fixed"/>
          <w:tblCellMar>
            <w:top w:w="0" w:type="dxa"/>
            <w:left w:w="30" w:type="dxa"/>
            <w:bottom w:w="0" w:type="dxa"/>
            <w:right w:w="30" w:type="dxa"/>
          </w:tblCellMar>
        </w:tblPrEx>
        <w:trPr>
          <w:trHeight w:val="318" w:hRule="atLeast"/>
          <w:jc w:val="center"/>
        </w:trPr>
        <w:tc>
          <w:tcPr>
            <w:tcW w:w="686" w:type="dxa"/>
            <w:tcBorders>
              <w:top w:val="single" w:color="auto" w:sz="6" w:space="0"/>
              <w:left w:val="single" w:color="auto" w:sz="6" w:space="0"/>
              <w:bottom w:val="single" w:color="auto" w:sz="6" w:space="0"/>
              <w:right w:val="single" w:color="auto" w:sz="6" w:space="0"/>
            </w:tcBorders>
            <w:vAlign w:val="center"/>
          </w:tcPr>
          <w:p>
            <w:pPr>
              <w:widowControl/>
              <w:numPr>
                <w:ilvl w:val="0"/>
                <w:numId w:val="57"/>
              </w:numPr>
              <w:spacing w:line="300" w:lineRule="exact"/>
              <w:jc w:val="center"/>
              <w:rPr>
                <w:rFonts w:ascii="宋体" w:hAnsi="宋体" w:cs="Arial"/>
                <w:bCs/>
                <w:sz w:val="21"/>
                <w:szCs w:val="21"/>
              </w:rPr>
            </w:pPr>
          </w:p>
        </w:tc>
        <w:tc>
          <w:tcPr>
            <w:tcW w:w="4641" w:type="dxa"/>
            <w:tcBorders>
              <w:top w:val="single" w:color="auto" w:sz="6" w:space="0"/>
              <w:left w:val="single" w:color="auto" w:sz="6" w:space="0"/>
              <w:bottom w:val="single" w:color="auto" w:sz="6" w:space="0"/>
              <w:right w:val="single" w:color="auto" w:sz="6" w:space="0"/>
            </w:tcBorders>
            <w:vAlign w:val="center"/>
          </w:tcPr>
          <w:p>
            <w:pPr>
              <w:tabs>
                <w:tab w:val="left" w:pos="567"/>
              </w:tabs>
              <w:spacing w:line="440" w:lineRule="exact"/>
              <w:jc w:val="left"/>
              <w:rPr>
                <w:rFonts w:ascii="宋体" w:hAnsi="宋体"/>
                <w:bCs/>
                <w:sz w:val="21"/>
                <w:szCs w:val="21"/>
              </w:rPr>
            </w:pPr>
            <w:r>
              <w:rPr>
                <w:rFonts w:hint="eastAsia" w:ascii="宋体" w:hAnsi="宋体" w:cs="宋体"/>
                <w:sz w:val="21"/>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http://www.ccgp.gov.cn/）查询结果为准，如相关失信记录已失效，供应商需提供相关证明资料）。</w:t>
            </w:r>
          </w:p>
        </w:tc>
        <w:tc>
          <w:tcPr>
            <w:tcW w:w="2126"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930"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r>
      <w:tr>
        <w:tblPrEx>
          <w:tblLayout w:type="fixed"/>
          <w:tblCellMar>
            <w:top w:w="0" w:type="dxa"/>
            <w:left w:w="30" w:type="dxa"/>
            <w:bottom w:w="0" w:type="dxa"/>
            <w:right w:w="30" w:type="dxa"/>
          </w:tblCellMar>
        </w:tblPrEx>
        <w:trPr>
          <w:trHeight w:val="318" w:hRule="atLeast"/>
          <w:jc w:val="center"/>
        </w:trPr>
        <w:tc>
          <w:tcPr>
            <w:tcW w:w="686" w:type="dxa"/>
            <w:tcBorders>
              <w:top w:val="single" w:color="auto" w:sz="6" w:space="0"/>
              <w:left w:val="single" w:color="auto" w:sz="6" w:space="0"/>
              <w:bottom w:val="single" w:color="auto" w:sz="6" w:space="0"/>
              <w:right w:val="single" w:color="auto" w:sz="6" w:space="0"/>
            </w:tcBorders>
            <w:vAlign w:val="center"/>
          </w:tcPr>
          <w:p>
            <w:pPr>
              <w:widowControl/>
              <w:numPr>
                <w:ilvl w:val="0"/>
                <w:numId w:val="57"/>
              </w:numPr>
              <w:spacing w:line="300" w:lineRule="exact"/>
              <w:jc w:val="center"/>
              <w:rPr>
                <w:rFonts w:ascii="宋体" w:hAnsi="宋体" w:cs="Arial"/>
                <w:bCs/>
                <w:sz w:val="21"/>
                <w:szCs w:val="21"/>
              </w:rPr>
            </w:pPr>
          </w:p>
        </w:tc>
        <w:tc>
          <w:tcPr>
            <w:tcW w:w="4641" w:type="dxa"/>
            <w:tcBorders>
              <w:top w:val="single" w:color="auto" w:sz="6" w:space="0"/>
              <w:left w:val="single" w:color="auto" w:sz="6" w:space="0"/>
              <w:bottom w:val="single" w:color="auto" w:sz="6" w:space="0"/>
              <w:right w:val="single" w:color="auto" w:sz="6" w:space="0"/>
            </w:tcBorders>
            <w:vAlign w:val="center"/>
          </w:tcPr>
          <w:p>
            <w:pPr>
              <w:tabs>
                <w:tab w:val="left" w:pos="709"/>
              </w:tabs>
              <w:spacing w:line="440" w:lineRule="exact"/>
              <w:jc w:val="left"/>
              <w:rPr>
                <w:rFonts w:ascii="宋体" w:hAnsi="宋体" w:cs="宋体"/>
                <w:sz w:val="21"/>
                <w:szCs w:val="21"/>
              </w:rPr>
            </w:pPr>
            <w:r>
              <w:rPr>
                <w:rFonts w:hint="eastAsia" w:ascii="宋体" w:hAnsi="宋体" w:cs="宋体"/>
                <w:sz w:val="21"/>
                <w:szCs w:val="21"/>
              </w:rPr>
              <w:t>已成功办理报名及登记，并购买本次招标文件</w:t>
            </w:r>
          </w:p>
        </w:tc>
        <w:tc>
          <w:tcPr>
            <w:tcW w:w="2126"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930"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r>
      <w:tr>
        <w:tblPrEx>
          <w:tblLayout w:type="fixed"/>
          <w:tblCellMar>
            <w:top w:w="0" w:type="dxa"/>
            <w:left w:w="30" w:type="dxa"/>
            <w:bottom w:w="0" w:type="dxa"/>
            <w:right w:w="30" w:type="dxa"/>
          </w:tblCellMar>
        </w:tblPrEx>
        <w:trPr>
          <w:trHeight w:val="318" w:hRule="atLeast"/>
          <w:jc w:val="center"/>
        </w:trPr>
        <w:tc>
          <w:tcPr>
            <w:tcW w:w="686" w:type="dxa"/>
            <w:tcBorders>
              <w:top w:val="single" w:color="auto" w:sz="6" w:space="0"/>
              <w:left w:val="single" w:color="auto" w:sz="6" w:space="0"/>
              <w:bottom w:val="single" w:color="auto" w:sz="6" w:space="0"/>
              <w:right w:val="single" w:color="auto" w:sz="6" w:space="0"/>
            </w:tcBorders>
            <w:vAlign w:val="center"/>
          </w:tcPr>
          <w:p>
            <w:pPr>
              <w:widowControl/>
              <w:numPr>
                <w:ilvl w:val="0"/>
                <w:numId w:val="57"/>
              </w:numPr>
              <w:spacing w:line="300" w:lineRule="exact"/>
              <w:jc w:val="center"/>
              <w:rPr>
                <w:rFonts w:ascii="宋体" w:hAnsi="宋体" w:cs="Arial"/>
                <w:bCs/>
                <w:sz w:val="21"/>
                <w:szCs w:val="21"/>
              </w:rPr>
            </w:pPr>
          </w:p>
        </w:tc>
        <w:tc>
          <w:tcPr>
            <w:tcW w:w="4641"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r>
              <w:rPr>
                <w:rFonts w:hint="eastAsia" w:ascii="宋体" w:hAnsi="宋体" w:cs="宋体"/>
                <w:sz w:val="21"/>
                <w:szCs w:val="21"/>
              </w:rPr>
              <w:t>本项目不接受联合体投标。</w:t>
            </w:r>
          </w:p>
        </w:tc>
        <w:tc>
          <w:tcPr>
            <w:tcW w:w="2126"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930"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r>
      <w:tr>
        <w:tblPrEx>
          <w:tblLayout w:type="fixed"/>
          <w:tblCellMar>
            <w:top w:w="0" w:type="dxa"/>
            <w:left w:w="30" w:type="dxa"/>
            <w:bottom w:w="0" w:type="dxa"/>
            <w:right w:w="30" w:type="dxa"/>
          </w:tblCellMar>
        </w:tblPrEx>
        <w:trPr>
          <w:trHeight w:val="318" w:hRule="atLeast"/>
          <w:jc w:val="center"/>
        </w:trPr>
        <w:tc>
          <w:tcPr>
            <w:tcW w:w="686" w:type="dxa"/>
            <w:tcBorders>
              <w:top w:val="single" w:color="auto" w:sz="6" w:space="0"/>
              <w:left w:val="single" w:color="auto" w:sz="6" w:space="0"/>
              <w:bottom w:val="single" w:color="auto" w:sz="6" w:space="0"/>
              <w:right w:val="single" w:color="auto" w:sz="6" w:space="0"/>
            </w:tcBorders>
            <w:vAlign w:val="center"/>
          </w:tcPr>
          <w:p>
            <w:pPr>
              <w:widowControl/>
              <w:numPr>
                <w:ilvl w:val="0"/>
                <w:numId w:val="57"/>
              </w:numPr>
              <w:spacing w:line="300" w:lineRule="exact"/>
              <w:jc w:val="center"/>
              <w:rPr>
                <w:rFonts w:ascii="宋体" w:hAnsi="宋体" w:cs="Arial"/>
                <w:bCs/>
                <w:sz w:val="21"/>
                <w:szCs w:val="21"/>
              </w:rPr>
            </w:pPr>
          </w:p>
        </w:tc>
        <w:tc>
          <w:tcPr>
            <w:tcW w:w="4641" w:type="dxa"/>
            <w:tcBorders>
              <w:top w:val="single" w:color="auto" w:sz="6" w:space="0"/>
              <w:left w:val="single" w:color="auto" w:sz="6" w:space="0"/>
              <w:bottom w:val="single" w:color="auto" w:sz="6" w:space="0"/>
              <w:right w:val="single" w:color="auto" w:sz="6" w:space="0"/>
            </w:tcBorders>
            <w:vAlign w:val="center"/>
          </w:tcPr>
          <w:p>
            <w:pPr>
              <w:tabs>
                <w:tab w:val="left" w:pos="709"/>
              </w:tabs>
              <w:spacing w:line="440" w:lineRule="exact"/>
              <w:jc w:val="left"/>
              <w:rPr>
                <w:rFonts w:ascii="宋体" w:hAnsi="宋体" w:cs="宋体"/>
                <w:sz w:val="21"/>
                <w:szCs w:val="21"/>
              </w:rPr>
            </w:pPr>
            <w:r>
              <w:rPr>
                <w:rFonts w:hint="eastAsia" w:ascii="宋体" w:hAnsi="宋体" w:cs="宋体"/>
                <w:sz w:val="21"/>
                <w:szCs w:val="21"/>
              </w:rPr>
              <w:t>投标保证金：按投标须知前附表要求提交</w:t>
            </w:r>
          </w:p>
        </w:tc>
        <w:tc>
          <w:tcPr>
            <w:tcW w:w="2126"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930"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r>
      <w:tr>
        <w:tblPrEx>
          <w:tblLayout w:type="fixed"/>
          <w:tblCellMar>
            <w:top w:w="0" w:type="dxa"/>
            <w:left w:w="30" w:type="dxa"/>
            <w:bottom w:w="0" w:type="dxa"/>
            <w:right w:w="30" w:type="dxa"/>
          </w:tblCellMar>
        </w:tblPrEx>
        <w:trPr>
          <w:trHeight w:val="318" w:hRule="atLeast"/>
          <w:jc w:val="center"/>
        </w:trPr>
        <w:tc>
          <w:tcPr>
            <w:tcW w:w="686" w:type="dxa"/>
            <w:tcBorders>
              <w:top w:val="single" w:color="auto" w:sz="6" w:space="0"/>
              <w:left w:val="single" w:color="auto" w:sz="6" w:space="0"/>
              <w:bottom w:val="single" w:color="auto" w:sz="6" w:space="0"/>
              <w:right w:val="single" w:color="auto" w:sz="6" w:space="0"/>
            </w:tcBorders>
            <w:vAlign w:val="center"/>
          </w:tcPr>
          <w:p>
            <w:pPr>
              <w:widowControl/>
              <w:numPr>
                <w:ilvl w:val="0"/>
                <w:numId w:val="57"/>
              </w:numPr>
              <w:spacing w:line="300" w:lineRule="exact"/>
              <w:jc w:val="center"/>
              <w:rPr>
                <w:rFonts w:ascii="宋体" w:hAnsi="宋体" w:cs="Arial"/>
                <w:bCs/>
                <w:sz w:val="21"/>
                <w:szCs w:val="21"/>
              </w:rPr>
            </w:pPr>
          </w:p>
        </w:tc>
        <w:tc>
          <w:tcPr>
            <w:tcW w:w="4641" w:type="dxa"/>
            <w:tcBorders>
              <w:top w:val="single" w:color="auto" w:sz="6" w:space="0"/>
              <w:left w:val="single" w:color="auto" w:sz="6" w:space="0"/>
              <w:bottom w:val="single" w:color="auto" w:sz="6" w:space="0"/>
              <w:right w:val="single" w:color="auto" w:sz="6" w:space="0"/>
            </w:tcBorders>
            <w:vAlign w:val="center"/>
          </w:tcPr>
          <w:p>
            <w:pPr>
              <w:tabs>
                <w:tab w:val="left" w:pos="709"/>
              </w:tabs>
              <w:spacing w:line="440" w:lineRule="exact"/>
              <w:jc w:val="left"/>
              <w:rPr>
                <w:rFonts w:ascii="宋体" w:hAnsi="宋体" w:cs="宋体"/>
                <w:sz w:val="21"/>
                <w:szCs w:val="21"/>
              </w:rPr>
            </w:pPr>
            <w:r>
              <w:rPr>
                <w:rFonts w:hint="eastAsia" w:ascii="宋体" w:hAnsi="宋体" w:cs="宋体"/>
                <w:sz w:val="21"/>
                <w:szCs w:val="21"/>
              </w:rPr>
              <w:t>最高限价（预算金额）</w:t>
            </w:r>
          </w:p>
        </w:tc>
        <w:tc>
          <w:tcPr>
            <w:tcW w:w="2126"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930"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r>
      <w:tr>
        <w:tblPrEx>
          <w:tblLayout w:type="fixed"/>
          <w:tblCellMar>
            <w:top w:w="0" w:type="dxa"/>
            <w:left w:w="30" w:type="dxa"/>
            <w:bottom w:w="0" w:type="dxa"/>
            <w:right w:w="30" w:type="dxa"/>
          </w:tblCellMar>
        </w:tblPrEx>
        <w:trPr>
          <w:trHeight w:val="318" w:hRule="atLeast"/>
          <w:jc w:val="center"/>
        </w:trPr>
        <w:tc>
          <w:tcPr>
            <w:tcW w:w="686" w:type="dxa"/>
            <w:tcBorders>
              <w:top w:val="single" w:color="auto" w:sz="6" w:space="0"/>
              <w:left w:val="single" w:color="auto" w:sz="6" w:space="0"/>
              <w:bottom w:val="single" w:color="auto" w:sz="6" w:space="0"/>
              <w:right w:val="single" w:color="auto" w:sz="6" w:space="0"/>
            </w:tcBorders>
            <w:vAlign w:val="center"/>
          </w:tcPr>
          <w:p>
            <w:pPr>
              <w:widowControl/>
              <w:numPr>
                <w:ilvl w:val="0"/>
                <w:numId w:val="57"/>
              </w:numPr>
              <w:spacing w:line="300" w:lineRule="exact"/>
              <w:jc w:val="center"/>
              <w:rPr>
                <w:rFonts w:ascii="宋体" w:hAnsi="宋体" w:cs="Arial"/>
                <w:bCs/>
                <w:sz w:val="21"/>
                <w:szCs w:val="21"/>
              </w:rPr>
            </w:pPr>
          </w:p>
        </w:tc>
        <w:tc>
          <w:tcPr>
            <w:tcW w:w="4641" w:type="dxa"/>
            <w:tcBorders>
              <w:top w:val="single" w:color="auto" w:sz="6" w:space="0"/>
              <w:left w:val="single" w:color="auto" w:sz="6" w:space="0"/>
              <w:bottom w:val="single" w:color="auto" w:sz="6" w:space="0"/>
              <w:right w:val="single" w:color="auto" w:sz="6" w:space="0"/>
            </w:tcBorders>
            <w:vAlign w:val="center"/>
          </w:tcPr>
          <w:p>
            <w:pPr>
              <w:tabs>
                <w:tab w:val="left" w:pos="709"/>
              </w:tabs>
              <w:spacing w:line="440" w:lineRule="exact"/>
              <w:jc w:val="left"/>
              <w:rPr>
                <w:rFonts w:ascii="宋体" w:hAnsi="宋体" w:cs="宋体"/>
                <w:sz w:val="21"/>
                <w:szCs w:val="21"/>
              </w:rPr>
            </w:pPr>
            <w:r>
              <w:rPr>
                <w:rFonts w:hint="eastAsia" w:ascii="宋体" w:hAnsi="宋体" w:cs="宋体"/>
                <w:sz w:val="21"/>
                <w:szCs w:val="21"/>
              </w:rPr>
              <w:t>投标有效期：从投标截止之日起 90 日内</w:t>
            </w:r>
          </w:p>
        </w:tc>
        <w:tc>
          <w:tcPr>
            <w:tcW w:w="2126"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930"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r>
      <w:tr>
        <w:tblPrEx>
          <w:tblLayout w:type="fixed"/>
          <w:tblCellMar>
            <w:top w:w="0" w:type="dxa"/>
            <w:left w:w="30" w:type="dxa"/>
            <w:bottom w:w="0" w:type="dxa"/>
            <w:right w:w="30" w:type="dxa"/>
          </w:tblCellMar>
        </w:tblPrEx>
        <w:trPr>
          <w:trHeight w:val="318" w:hRule="atLeast"/>
          <w:jc w:val="center"/>
        </w:trPr>
        <w:tc>
          <w:tcPr>
            <w:tcW w:w="686" w:type="dxa"/>
            <w:tcBorders>
              <w:top w:val="single" w:color="auto" w:sz="6" w:space="0"/>
              <w:left w:val="single" w:color="auto" w:sz="6" w:space="0"/>
              <w:bottom w:val="single" w:color="auto" w:sz="6" w:space="0"/>
              <w:right w:val="single" w:color="auto" w:sz="6" w:space="0"/>
            </w:tcBorders>
            <w:vAlign w:val="center"/>
          </w:tcPr>
          <w:p>
            <w:pPr>
              <w:widowControl/>
              <w:numPr>
                <w:ilvl w:val="0"/>
                <w:numId w:val="57"/>
              </w:numPr>
              <w:spacing w:line="300" w:lineRule="exact"/>
              <w:jc w:val="center"/>
              <w:rPr>
                <w:rFonts w:ascii="宋体" w:hAnsi="宋体" w:cs="Arial"/>
                <w:bCs/>
                <w:sz w:val="21"/>
                <w:szCs w:val="21"/>
              </w:rPr>
            </w:pPr>
          </w:p>
        </w:tc>
        <w:tc>
          <w:tcPr>
            <w:tcW w:w="4641" w:type="dxa"/>
            <w:tcBorders>
              <w:top w:val="single" w:color="auto" w:sz="6" w:space="0"/>
              <w:left w:val="single" w:color="auto" w:sz="6" w:space="0"/>
              <w:bottom w:val="single" w:color="auto" w:sz="6" w:space="0"/>
              <w:right w:val="single" w:color="auto" w:sz="6" w:space="0"/>
            </w:tcBorders>
            <w:vAlign w:val="center"/>
          </w:tcPr>
          <w:p>
            <w:pPr>
              <w:tabs>
                <w:tab w:val="left" w:pos="709"/>
              </w:tabs>
              <w:spacing w:line="440" w:lineRule="exact"/>
              <w:jc w:val="left"/>
              <w:rPr>
                <w:rFonts w:ascii="宋体" w:hAnsi="宋体" w:cs="宋体"/>
                <w:sz w:val="21"/>
                <w:szCs w:val="21"/>
              </w:rPr>
            </w:pPr>
            <w:r>
              <w:rPr>
                <w:rFonts w:hint="eastAsia" w:ascii="宋体" w:hAnsi="宋体" w:cs="宋体"/>
                <w:sz w:val="21"/>
                <w:szCs w:val="21"/>
              </w:rPr>
              <w:t>投标文件签署和盖章符合要求</w:t>
            </w:r>
          </w:p>
        </w:tc>
        <w:tc>
          <w:tcPr>
            <w:tcW w:w="2126"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930"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r>
      <w:tr>
        <w:tblPrEx>
          <w:tblLayout w:type="fixed"/>
          <w:tblCellMar>
            <w:top w:w="0" w:type="dxa"/>
            <w:left w:w="30" w:type="dxa"/>
            <w:bottom w:w="0" w:type="dxa"/>
            <w:right w:w="30" w:type="dxa"/>
          </w:tblCellMar>
        </w:tblPrEx>
        <w:trPr>
          <w:trHeight w:val="318" w:hRule="atLeast"/>
          <w:jc w:val="center"/>
        </w:trPr>
        <w:tc>
          <w:tcPr>
            <w:tcW w:w="686" w:type="dxa"/>
            <w:tcBorders>
              <w:top w:val="single" w:color="auto" w:sz="6" w:space="0"/>
              <w:left w:val="single" w:color="auto" w:sz="6" w:space="0"/>
              <w:bottom w:val="single" w:color="auto" w:sz="6" w:space="0"/>
              <w:right w:val="single" w:color="auto" w:sz="6" w:space="0"/>
            </w:tcBorders>
            <w:vAlign w:val="center"/>
          </w:tcPr>
          <w:p>
            <w:pPr>
              <w:widowControl/>
              <w:numPr>
                <w:ilvl w:val="0"/>
                <w:numId w:val="57"/>
              </w:numPr>
              <w:spacing w:line="300" w:lineRule="exact"/>
              <w:jc w:val="center"/>
              <w:rPr>
                <w:rFonts w:ascii="宋体" w:hAnsi="宋体" w:cs="Arial"/>
                <w:bCs/>
                <w:sz w:val="21"/>
                <w:szCs w:val="21"/>
              </w:rPr>
            </w:pPr>
          </w:p>
        </w:tc>
        <w:tc>
          <w:tcPr>
            <w:tcW w:w="4641" w:type="dxa"/>
            <w:tcBorders>
              <w:top w:val="single" w:color="auto" w:sz="6" w:space="0"/>
              <w:left w:val="single" w:color="auto" w:sz="6" w:space="0"/>
              <w:bottom w:val="single" w:color="auto" w:sz="6" w:space="0"/>
              <w:right w:val="single" w:color="auto" w:sz="6" w:space="0"/>
            </w:tcBorders>
            <w:vAlign w:val="center"/>
          </w:tcPr>
          <w:p>
            <w:pPr>
              <w:tabs>
                <w:tab w:val="left" w:pos="709"/>
              </w:tabs>
              <w:spacing w:line="440" w:lineRule="exact"/>
              <w:jc w:val="left"/>
              <w:rPr>
                <w:rFonts w:ascii="宋体" w:hAnsi="宋体" w:cs="宋体"/>
                <w:sz w:val="21"/>
                <w:szCs w:val="21"/>
              </w:rPr>
            </w:pPr>
            <w:r>
              <w:rPr>
                <w:rFonts w:hint="eastAsia" w:ascii="宋体" w:hAnsi="宋体" w:cs="宋体"/>
                <w:sz w:val="21"/>
                <w:szCs w:val="21"/>
              </w:rPr>
              <w:t>招标文件中标注“★”的条款(请自行在下面一一列出)</w:t>
            </w:r>
          </w:p>
        </w:tc>
        <w:tc>
          <w:tcPr>
            <w:tcW w:w="2126"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930"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r>
      <w:tr>
        <w:tblPrEx>
          <w:tblLayout w:type="fixed"/>
          <w:tblCellMar>
            <w:top w:w="0" w:type="dxa"/>
            <w:left w:w="30" w:type="dxa"/>
            <w:bottom w:w="0" w:type="dxa"/>
            <w:right w:w="30" w:type="dxa"/>
          </w:tblCellMar>
        </w:tblPrEx>
        <w:trPr>
          <w:trHeight w:val="318" w:hRule="atLeast"/>
          <w:jc w:val="center"/>
        </w:trPr>
        <w:tc>
          <w:tcPr>
            <w:tcW w:w="686" w:type="dxa"/>
            <w:tcBorders>
              <w:top w:val="single" w:color="auto" w:sz="6" w:space="0"/>
              <w:left w:val="single" w:color="auto" w:sz="6" w:space="0"/>
              <w:bottom w:val="single" w:color="auto" w:sz="6" w:space="0"/>
              <w:right w:val="single" w:color="auto" w:sz="6" w:space="0"/>
            </w:tcBorders>
            <w:vAlign w:val="center"/>
          </w:tcPr>
          <w:p>
            <w:pPr>
              <w:widowControl/>
              <w:numPr>
                <w:ilvl w:val="0"/>
                <w:numId w:val="57"/>
              </w:numPr>
              <w:spacing w:line="300" w:lineRule="exact"/>
              <w:jc w:val="center"/>
              <w:rPr>
                <w:rFonts w:ascii="宋体" w:hAnsi="宋体" w:cs="Arial"/>
                <w:bCs/>
                <w:sz w:val="21"/>
                <w:szCs w:val="21"/>
              </w:rPr>
            </w:pPr>
          </w:p>
        </w:tc>
        <w:tc>
          <w:tcPr>
            <w:tcW w:w="4641" w:type="dxa"/>
            <w:tcBorders>
              <w:top w:val="single" w:color="auto" w:sz="6" w:space="0"/>
              <w:left w:val="single" w:color="auto" w:sz="6" w:space="0"/>
              <w:bottom w:val="single" w:color="auto" w:sz="6" w:space="0"/>
              <w:right w:val="single" w:color="auto" w:sz="6" w:space="0"/>
            </w:tcBorders>
            <w:vAlign w:val="center"/>
          </w:tcPr>
          <w:p>
            <w:pPr>
              <w:tabs>
                <w:tab w:val="left" w:pos="709"/>
              </w:tabs>
              <w:spacing w:line="440" w:lineRule="exact"/>
              <w:jc w:val="left"/>
              <w:rPr>
                <w:rFonts w:ascii="宋体" w:hAnsi="宋体" w:cs="宋体"/>
                <w:sz w:val="21"/>
                <w:szCs w:val="21"/>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930"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before="50" w:after="188" w:line="400" w:lineRule="exact"/>
              <w:jc w:val="left"/>
              <w:rPr>
                <w:rFonts w:ascii="宋体" w:hAnsi="宋体" w:cs="Arial"/>
                <w:bCs/>
                <w:sz w:val="21"/>
                <w:szCs w:val="21"/>
              </w:rPr>
            </w:pPr>
          </w:p>
        </w:tc>
      </w:tr>
    </w:tbl>
    <w:p>
      <w:pPr>
        <w:spacing w:line="400" w:lineRule="exact"/>
        <w:ind w:firstLine="312" w:firstLineChars="148"/>
        <w:jc w:val="left"/>
        <w:rPr>
          <w:rFonts w:ascii="宋体" w:hAnsi="宋体" w:cs="Arial"/>
          <w:sz w:val="21"/>
          <w:szCs w:val="21"/>
        </w:rPr>
      </w:pPr>
      <w:r>
        <w:rPr>
          <w:rFonts w:hint="eastAsia" w:ascii="宋体" w:hAnsi="宋体"/>
          <w:b/>
          <w:bCs/>
          <w:sz w:val="21"/>
          <w:szCs w:val="21"/>
        </w:rPr>
        <w:t>注：如招标文件中标有“★”的内容，请在上表填写，并作出一一响应。</w:t>
      </w:r>
      <w:r>
        <w:rPr>
          <w:rFonts w:ascii="宋体" w:hAnsi="宋体"/>
          <w:b/>
          <w:bCs/>
          <w:sz w:val="21"/>
          <w:szCs w:val="21"/>
        </w:rPr>
        <w:t>若有一项带“★”的指标要求未响应或不满足，</w:t>
      </w:r>
      <w:r>
        <w:rPr>
          <w:rFonts w:hint="eastAsia" w:ascii="宋体" w:hAnsi="宋体"/>
          <w:b/>
          <w:bCs/>
          <w:sz w:val="21"/>
          <w:szCs w:val="21"/>
        </w:rPr>
        <w:t>其投标</w:t>
      </w:r>
      <w:r>
        <w:rPr>
          <w:rFonts w:ascii="宋体" w:hAnsi="宋体"/>
          <w:b/>
          <w:bCs/>
          <w:sz w:val="21"/>
          <w:szCs w:val="21"/>
        </w:rPr>
        <w:t>将按无效投标处理。</w:t>
      </w:r>
    </w:p>
    <w:p>
      <w:pPr>
        <w:spacing w:line="400" w:lineRule="exact"/>
        <w:ind w:firstLine="310" w:firstLineChars="148"/>
        <w:jc w:val="left"/>
        <w:rPr>
          <w:rFonts w:ascii="宋体" w:hAnsi="宋体" w:cs="Arial"/>
          <w:sz w:val="21"/>
          <w:szCs w:val="21"/>
        </w:rPr>
      </w:pPr>
    </w:p>
    <w:p>
      <w:pPr>
        <w:spacing w:line="400" w:lineRule="exact"/>
        <w:ind w:firstLine="310" w:firstLineChars="148"/>
        <w:jc w:val="left"/>
        <w:rPr>
          <w:rFonts w:ascii="宋体" w:hAnsi="宋体" w:cs="Arial"/>
          <w:sz w:val="21"/>
          <w:szCs w:val="21"/>
        </w:rPr>
      </w:pPr>
    </w:p>
    <w:p>
      <w:pPr>
        <w:spacing w:line="400" w:lineRule="exact"/>
        <w:ind w:firstLine="539" w:firstLineChars="257"/>
        <w:jc w:val="left"/>
        <w:rPr>
          <w:rFonts w:ascii="宋体" w:hAnsi="宋体"/>
          <w:sz w:val="21"/>
          <w:szCs w:val="21"/>
        </w:rPr>
      </w:pPr>
      <w:r>
        <w:rPr>
          <w:rFonts w:hint="eastAsia" w:ascii="宋体" w:hAnsi="宋体"/>
          <w:sz w:val="21"/>
          <w:szCs w:val="21"/>
        </w:rPr>
        <w:t>投标人名称（并加盖公章）：</w:t>
      </w:r>
    </w:p>
    <w:p>
      <w:pPr>
        <w:spacing w:line="400" w:lineRule="exact"/>
        <w:ind w:firstLine="539" w:firstLineChars="257"/>
        <w:jc w:val="left"/>
        <w:rPr>
          <w:rFonts w:ascii="宋体" w:hAnsi="宋体"/>
          <w:sz w:val="21"/>
          <w:szCs w:val="21"/>
        </w:rPr>
      </w:pPr>
    </w:p>
    <w:p>
      <w:pPr>
        <w:spacing w:line="400" w:lineRule="exact"/>
        <w:ind w:firstLine="539" w:firstLineChars="257"/>
        <w:jc w:val="left"/>
        <w:rPr>
          <w:rFonts w:ascii="宋体" w:hAnsi="宋体"/>
          <w:sz w:val="21"/>
          <w:szCs w:val="21"/>
        </w:rPr>
      </w:pPr>
      <w:r>
        <w:rPr>
          <w:rFonts w:hint="eastAsia" w:ascii="宋体" w:hAnsi="宋体"/>
          <w:sz w:val="21"/>
          <w:szCs w:val="21"/>
        </w:rPr>
        <w:t>投标人法定代表人或其委托人签名或印鉴：</w:t>
      </w:r>
    </w:p>
    <w:p>
      <w:pPr>
        <w:spacing w:line="400" w:lineRule="exact"/>
        <w:ind w:firstLine="539" w:firstLineChars="257"/>
        <w:jc w:val="left"/>
        <w:rPr>
          <w:rFonts w:ascii="宋体" w:hAnsi="宋体"/>
          <w:sz w:val="21"/>
          <w:szCs w:val="21"/>
        </w:rPr>
      </w:pPr>
    </w:p>
    <w:p>
      <w:pPr>
        <w:spacing w:line="400" w:lineRule="exact"/>
        <w:ind w:firstLine="539" w:firstLineChars="257"/>
        <w:jc w:val="left"/>
        <w:rPr>
          <w:rFonts w:ascii="宋体" w:hAnsi="宋体"/>
          <w:sz w:val="21"/>
          <w:szCs w:val="21"/>
        </w:rPr>
      </w:pPr>
      <w:r>
        <w:rPr>
          <w:rFonts w:hint="eastAsia" w:ascii="宋体" w:hAnsi="宋体"/>
          <w:sz w:val="21"/>
          <w:szCs w:val="21"/>
        </w:rPr>
        <w:t>日期：</w:t>
      </w:r>
    </w:p>
    <w:p>
      <w:pPr>
        <w:spacing w:line="400" w:lineRule="exact"/>
        <w:jc w:val="left"/>
        <w:rPr>
          <w:rFonts w:ascii="宋体" w:hAnsi="宋体"/>
          <w:sz w:val="21"/>
          <w:szCs w:val="21"/>
        </w:rPr>
      </w:pPr>
    </w:p>
    <w:p>
      <w:pPr>
        <w:spacing w:line="400" w:lineRule="exact"/>
        <w:jc w:val="left"/>
        <w:rPr>
          <w:rFonts w:ascii="宋体" w:hAnsi="宋体"/>
          <w:sz w:val="21"/>
          <w:szCs w:val="21"/>
        </w:rPr>
      </w:pP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r>
        <w:rPr>
          <w:rFonts w:ascii="宋体" w:hAnsi="宋体"/>
          <w:b w:val="0"/>
          <w:bCs/>
          <w:sz w:val="21"/>
          <w:szCs w:val="21"/>
        </w:rPr>
        <w:br w:type="page"/>
      </w:r>
      <w:bookmarkEnd w:id="174"/>
      <w:bookmarkEnd w:id="175"/>
      <w:bookmarkEnd w:id="179"/>
      <w:bookmarkStart w:id="181" w:name="_Toc10273"/>
      <w:r>
        <w:rPr>
          <w:rFonts w:hint="eastAsia" w:ascii="宋体" w:hAnsi="宋体" w:eastAsia="宋体"/>
          <w:sz w:val="21"/>
          <w:szCs w:val="21"/>
        </w:rPr>
        <w:t>投标响应与招标文件差异一览表</w:t>
      </w:r>
      <w:bookmarkEnd w:id="181"/>
    </w:p>
    <w:p>
      <w:pPr>
        <w:spacing w:before="50" w:after="188" w:line="400" w:lineRule="exact"/>
        <w:ind w:left="240" w:leftChars="100"/>
        <w:jc w:val="left"/>
        <w:rPr>
          <w:rFonts w:ascii="宋体" w:hAnsi="宋体"/>
          <w:b/>
          <w:sz w:val="21"/>
          <w:szCs w:val="21"/>
        </w:rPr>
      </w:pPr>
      <w:r>
        <w:rPr>
          <w:rFonts w:hint="eastAsia" w:ascii="宋体" w:hAnsi="宋体"/>
          <w:b/>
          <w:bCs/>
          <w:sz w:val="21"/>
          <w:szCs w:val="21"/>
        </w:rPr>
        <w:t>投标人对招标文件中标 “▲”条款的响应情况</w:t>
      </w:r>
    </w:p>
    <w:tbl>
      <w:tblPr>
        <w:tblStyle w:val="46"/>
        <w:tblW w:w="9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3444"/>
        <w:gridCol w:w="1708"/>
        <w:gridCol w:w="19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579" w:type="dxa"/>
            <w:vAlign w:val="center"/>
          </w:tcPr>
          <w:p>
            <w:pPr>
              <w:jc w:val="left"/>
              <w:rPr>
                <w:rFonts w:ascii="宋体" w:hAnsi="宋体"/>
                <w:sz w:val="21"/>
                <w:szCs w:val="21"/>
              </w:rPr>
            </w:pPr>
            <w:r>
              <w:rPr>
                <w:rFonts w:hint="eastAsia" w:ascii="宋体" w:hAnsi="宋体"/>
                <w:sz w:val="21"/>
                <w:szCs w:val="21"/>
              </w:rPr>
              <w:t>序号</w:t>
            </w:r>
          </w:p>
        </w:tc>
        <w:tc>
          <w:tcPr>
            <w:tcW w:w="3444" w:type="dxa"/>
            <w:vAlign w:val="center"/>
          </w:tcPr>
          <w:p>
            <w:pPr>
              <w:jc w:val="left"/>
              <w:rPr>
                <w:rFonts w:ascii="宋体" w:hAnsi="宋体"/>
                <w:sz w:val="21"/>
                <w:szCs w:val="21"/>
              </w:rPr>
            </w:pPr>
            <w:r>
              <w:rPr>
                <w:rFonts w:hint="eastAsia" w:ascii="宋体" w:hAnsi="宋体"/>
                <w:bCs/>
                <w:sz w:val="21"/>
                <w:szCs w:val="21"/>
              </w:rPr>
              <w:t>招标文件中标有“▲”的内容</w:t>
            </w:r>
          </w:p>
        </w:tc>
        <w:tc>
          <w:tcPr>
            <w:tcW w:w="1708" w:type="dxa"/>
            <w:vAlign w:val="center"/>
          </w:tcPr>
          <w:p>
            <w:pPr>
              <w:jc w:val="left"/>
              <w:rPr>
                <w:rFonts w:ascii="宋体" w:hAnsi="宋体"/>
                <w:sz w:val="21"/>
                <w:szCs w:val="21"/>
              </w:rPr>
            </w:pPr>
            <w:r>
              <w:rPr>
                <w:rFonts w:hint="eastAsia" w:ascii="宋体" w:hAnsi="宋体"/>
                <w:sz w:val="21"/>
                <w:szCs w:val="21"/>
              </w:rPr>
              <w:t>投标人响应情况描述</w:t>
            </w:r>
          </w:p>
        </w:tc>
        <w:tc>
          <w:tcPr>
            <w:tcW w:w="1977" w:type="dxa"/>
            <w:vAlign w:val="center"/>
          </w:tcPr>
          <w:p>
            <w:pPr>
              <w:jc w:val="left"/>
              <w:rPr>
                <w:rFonts w:ascii="宋体" w:hAnsi="宋体"/>
                <w:sz w:val="21"/>
                <w:szCs w:val="21"/>
              </w:rPr>
            </w:pPr>
            <w:r>
              <w:rPr>
                <w:rFonts w:hint="eastAsia" w:ascii="宋体" w:hAnsi="宋体"/>
                <w:sz w:val="21"/>
                <w:szCs w:val="21"/>
              </w:rPr>
              <w:t>偏离说明（正偏离/完全响应/负偏离）</w:t>
            </w:r>
          </w:p>
        </w:tc>
        <w:tc>
          <w:tcPr>
            <w:tcW w:w="1559" w:type="dxa"/>
            <w:vAlign w:val="center"/>
          </w:tcPr>
          <w:p>
            <w:pPr>
              <w:jc w:val="left"/>
              <w:rPr>
                <w:rFonts w:ascii="宋体" w:hAnsi="宋体"/>
                <w:sz w:val="21"/>
                <w:szCs w:val="21"/>
              </w:rPr>
            </w:pPr>
            <w:r>
              <w:rPr>
                <w:rFonts w:hint="eastAsia" w:ascii="宋体" w:hAnsi="宋体"/>
                <w:sz w:val="21"/>
                <w:szCs w:val="21"/>
              </w:rPr>
              <w:t>对应投标文件位置及页码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579" w:type="dxa"/>
          </w:tcPr>
          <w:p>
            <w:pPr>
              <w:spacing w:line="300" w:lineRule="auto"/>
              <w:jc w:val="left"/>
              <w:rPr>
                <w:rFonts w:ascii="宋体" w:hAnsi="宋体"/>
                <w:sz w:val="21"/>
                <w:szCs w:val="21"/>
              </w:rPr>
            </w:pPr>
          </w:p>
          <w:p>
            <w:pPr>
              <w:spacing w:line="300" w:lineRule="auto"/>
              <w:jc w:val="left"/>
              <w:rPr>
                <w:rFonts w:ascii="宋体" w:hAnsi="宋体"/>
                <w:sz w:val="21"/>
                <w:szCs w:val="21"/>
              </w:rPr>
            </w:pPr>
          </w:p>
        </w:tc>
        <w:tc>
          <w:tcPr>
            <w:tcW w:w="3444" w:type="dxa"/>
          </w:tcPr>
          <w:p>
            <w:pPr>
              <w:spacing w:line="300" w:lineRule="auto"/>
              <w:jc w:val="left"/>
              <w:rPr>
                <w:rFonts w:ascii="宋体" w:hAnsi="宋体"/>
                <w:sz w:val="21"/>
                <w:szCs w:val="21"/>
              </w:rPr>
            </w:pPr>
          </w:p>
        </w:tc>
        <w:tc>
          <w:tcPr>
            <w:tcW w:w="1708" w:type="dxa"/>
          </w:tcPr>
          <w:p>
            <w:pPr>
              <w:spacing w:line="300" w:lineRule="auto"/>
              <w:jc w:val="left"/>
              <w:rPr>
                <w:rFonts w:ascii="宋体" w:hAnsi="宋体"/>
                <w:sz w:val="21"/>
                <w:szCs w:val="21"/>
              </w:rPr>
            </w:pPr>
          </w:p>
        </w:tc>
        <w:tc>
          <w:tcPr>
            <w:tcW w:w="1977" w:type="dxa"/>
          </w:tcPr>
          <w:p>
            <w:pPr>
              <w:spacing w:line="300" w:lineRule="auto"/>
              <w:jc w:val="left"/>
              <w:rPr>
                <w:rFonts w:ascii="宋体" w:hAnsi="宋体"/>
                <w:sz w:val="21"/>
                <w:szCs w:val="21"/>
              </w:rPr>
            </w:pPr>
          </w:p>
        </w:tc>
        <w:tc>
          <w:tcPr>
            <w:tcW w:w="1559" w:type="dxa"/>
          </w:tcPr>
          <w:p>
            <w:pPr>
              <w:spacing w:line="300" w:lineRule="auto"/>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579" w:type="dxa"/>
          </w:tcPr>
          <w:p>
            <w:pPr>
              <w:spacing w:line="300" w:lineRule="auto"/>
              <w:jc w:val="left"/>
              <w:rPr>
                <w:rFonts w:ascii="宋体" w:hAnsi="宋体"/>
                <w:sz w:val="21"/>
                <w:szCs w:val="21"/>
              </w:rPr>
            </w:pPr>
          </w:p>
          <w:p>
            <w:pPr>
              <w:spacing w:line="300" w:lineRule="auto"/>
              <w:jc w:val="left"/>
              <w:rPr>
                <w:rFonts w:ascii="宋体" w:hAnsi="宋体"/>
                <w:sz w:val="21"/>
                <w:szCs w:val="21"/>
              </w:rPr>
            </w:pPr>
          </w:p>
        </w:tc>
        <w:tc>
          <w:tcPr>
            <w:tcW w:w="3444" w:type="dxa"/>
          </w:tcPr>
          <w:p>
            <w:pPr>
              <w:spacing w:line="300" w:lineRule="auto"/>
              <w:jc w:val="left"/>
              <w:rPr>
                <w:rFonts w:ascii="宋体" w:hAnsi="宋体"/>
                <w:sz w:val="21"/>
                <w:szCs w:val="21"/>
              </w:rPr>
            </w:pPr>
          </w:p>
          <w:p>
            <w:pPr>
              <w:spacing w:line="300" w:lineRule="auto"/>
              <w:jc w:val="left"/>
              <w:rPr>
                <w:rFonts w:ascii="宋体" w:hAnsi="宋体"/>
                <w:sz w:val="21"/>
                <w:szCs w:val="21"/>
              </w:rPr>
            </w:pPr>
          </w:p>
        </w:tc>
        <w:tc>
          <w:tcPr>
            <w:tcW w:w="1708" w:type="dxa"/>
          </w:tcPr>
          <w:p>
            <w:pPr>
              <w:spacing w:line="300" w:lineRule="auto"/>
              <w:jc w:val="left"/>
              <w:rPr>
                <w:rFonts w:ascii="宋体" w:hAnsi="宋体"/>
                <w:sz w:val="21"/>
                <w:szCs w:val="21"/>
              </w:rPr>
            </w:pPr>
          </w:p>
        </w:tc>
        <w:tc>
          <w:tcPr>
            <w:tcW w:w="1977" w:type="dxa"/>
          </w:tcPr>
          <w:p>
            <w:pPr>
              <w:spacing w:line="300" w:lineRule="auto"/>
              <w:jc w:val="left"/>
              <w:rPr>
                <w:rFonts w:ascii="宋体" w:hAnsi="宋体"/>
                <w:sz w:val="21"/>
                <w:szCs w:val="21"/>
              </w:rPr>
            </w:pPr>
          </w:p>
        </w:tc>
        <w:tc>
          <w:tcPr>
            <w:tcW w:w="1559" w:type="dxa"/>
          </w:tcPr>
          <w:p>
            <w:pPr>
              <w:spacing w:line="300" w:lineRule="auto"/>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579" w:type="dxa"/>
          </w:tcPr>
          <w:p>
            <w:pPr>
              <w:spacing w:line="300" w:lineRule="auto"/>
              <w:jc w:val="left"/>
              <w:rPr>
                <w:rFonts w:ascii="宋体" w:hAnsi="宋体"/>
                <w:sz w:val="21"/>
                <w:szCs w:val="21"/>
              </w:rPr>
            </w:pPr>
          </w:p>
        </w:tc>
        <w:tc>
          <w:tcPr>
            <w:tcW w:w="3444" w:type="dxa"/>
          </w:tcPr>
          <w:p>
            <w:pPr>
              <w:spacing w:line="300" w:lineRule="auto"/>
              <w:jc w:val="left"/>
              <w:rPr>
                <w:rFonts w:ascii="宋体" w:hAnsi="宋体"/>
                <w:sz w:val="21"/>
                <w:szCs w:val="21"/>
              </w:rPr>
            </w:pPr>
            <w:r>
              <w:rPr>
                <w:rFonts w:hint="eastAsia" w:ascii="宋体" w:hAnsi="宋体"/>
                <w:sz w:val="21"/>
                <w:szCs w:val="21"/>
              </w:rPr>
              <w:t>……</w:t>
            </w:r>
          </w:p>
        </w:tc>
        <w:tc>
          <w:tcPr>
            <w:tcW w:w="1708" w:type="dxa"/>
          </w:tcPr>
          <w:p>
            <w:pPr>
              <w:spacing w:line="300" w:lineRule="auto"/>
              <w:jc w:val="left"/>
              <w:rPr>
                <w:rFonts w:ascii="宋体" w:hAnsi="宋体"/>
                <w:sz w:val="21"/>
                <w:szCs w:val="21"/>
              </w:rPr>
            </w:pPr>
          </w:p>
        </w:tc>
        <w:tc>
          <w:tcPr>
            <w:tcW w:w="1977" w:type="dxa"/>
          </w:tcPr>
          <w:p>
            <w:pPr>
              <w:spacing w:line="300" w:lineRule="auto"/>
              <w:jc w:val="left"/>
              <w:rPr>
                <w:rFonts w:ascii="宋体" w:hAnsi="宋体"/>
                <w:sz w:val="21"/>
                <w:szCs w:val="21"/>
              </w:rPr>
            </w:pPr>
          </w:p>
        </w:tc>
        <w:tc>
          <w:tcPr>
            <w:tcW w:w="1559" w:type="dxa"/>
          </w:tcPr>
          <w:p>
            <w:pPr>
              <w:spacing w:line="300" w:lineRule="auto"/>
              <w:jc w:val="left"/>
              <w:rPr>
                <w:rFonts w:ascii="宋体" w:hAnsi="宋体"/>
                <w:sz w:val="21"/>
                <w:szCs w:val="21"/>
              </w:rPr>
            </w:pPr>
          </w:p>
        </w:tc>
      </w:tr>
    </w:tbl>
    <w:p>
      <w:pPr>
        <w:spacing w:line="300" w:lineRule="auto"/>
        <w:ind w:firstLine="359" w:firstLineChars="171"/>
        <w:jc w:val="left"/>
        <w:rPr>
          <w:rFonts w:ascii="宋体" w:hAnsi="宋体"/>
          <w:sz w:val="21"/>
          <w:szCs w:val="21"/>
        </w:rPr>
      </w:pPr>
      <w:r>
        <w:rPr>
          <w:rFonts w:hint="eastAsia" w:ascii="宋体" w:hAnsi="宋体"/>
          <w:sz w:val="21"/>
          <w:szCs w:val="21"/>
        </w:rPr>
        <w:t>说明：</w:t>
      </w:r>
    </w:p>
    <w:p>
      <w:pPr>
        <w:spacing w:line="300" w:lineRule="auto"/>
        <w:ind w:firstLine="359" w:firstLineChars="171"/>
        <w:jc w:val="left"/>
        <w:rPr>
          <w:rFonts w:ascii="宋体" w:hAnsi="宋体"/>
          <w:bCs/>
          <w:sz w:val="21"/>
          <w:szCs w:val="21"/>
        </w:rPr>
      </w:pPr>
      <w:r>
        <w:rPr>
          <w:rFonts w:hint="eastAsia" w:ascii="宋体" w:hAnsi="宋体"/>
          <w:bCs/>
          <w:sz w:val="21"/>
          <w:szCs w:val="21"/>
        </w:rPr>
        <w:t>1.请投标人将招标文件中标有“▲”的相关要求的响应情况按顺序逐条列入此表。</w:t>
      </w:r>
    </w:p>
    <w:p>
      <w:pPr>
        <w:spacing w:line="300" w:lineRule="auto"/>
        <w:ind w:firstLine="359" w:firstLineChars="171"/>
        <w:jc w:val="left"/>
        <w:rPr>
          <w:rFonts w:ascii="宋体" w:hAnsi="宋体"/>
          <w:bCs/>
          <w:sz w:val="21"/>
          <w:szCs w:val="21"/>
        </w:rPr>
      </w:pPr>
      <w:r>
        <w:rPr>
          <w:rFonts w:hint="eastAsia" w:ascii="宋体" w:hAnsi="宋体"/>
          <w:bCs/>
          <w:sz w:val="21"/>
          <w:szCs w:val="21"/>
        </w:rPr>
        <w:t>2.此表可延长。</w:t>
      </w:r>
    </w:p>
    <w:p>
      <w:pPr>
        <w:spacing w:line="300" w:lineRule="auto"/>
        <w:ind w:firstLine="359" w:firstLineChars="171"/>
        <w:jc w:val="left"/>
        <w:rPr>
          <w:rFonts w:ascii="宋体" w:hAnsi="宋体"/>
          <w:bCs/>
          <w:sz w:val="21"/>
          <w:szCs w:val="21"/>
        </w:rPr>
      </w:pPr>
      <w:r>
        <w:rPr>
          <w:rFonts w:hint="eastAsia" w:ascii="宋体" w:hAnsi="宋体"/>
          <w:bCs/>
          <w:sz w:val="21"/>
          <w:szCs w:val="21"/>
        </w:rPr>
        <w:t>3.招标文件若无“▲”标注的条款，则上表留空。</w:t>
      </w:r>
    </w:p>
    <w:p>
      <w:pPr>
        <w:spacing w:before="50" w:after="188" w:line="400" w:lineRule="exact"/>
        <w:ind w:left="240" w:leftChars="100"/>
        <w:jc w:val="left"/>
        <w:rPr>
          <w:rFonts w:ascii="宋体" w:hAnsi="宋体"/>
          <w:b/>
          <w:bCs/>
          <w:sz w:val="21"/>
          <w:szCs w:val="21"/>
        </w:rPr>
      </w:pPr>
      <w:r>
        <w:rPr>
          <w:rFonts w:hint="eastAsia" w:ascii="宋体" w:hAnsi="宋体"/>
          <w:b/>
          <w:bCs/>
          <w:sz w:val="21"/>
          <w:szCs w:val="21"/>
        </w:rPr>
        <w:t>投标人对招标需求的响应情况（标 “▲”的条款除外）</w:t>
      </w:r>
    </w:p>
    <w:tbl>
      <w:tblPr>
        <w:tblStyle w:val="46"/>
        <w:tblW w:w="9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3444"/>
        <w:gridCol w:w="1708"/>
        <w:gridCol w:w="19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579" w:type="dxa"/>
            <w:vAlign w:val="center"/>
          </w:tcPr>
          <w:p>
            <w:pPr>
              <w:jc w:val="left"/>
              <w:rPr>
                <w:rFonts w:ascii="宋体" w:hAnsi="宋体"/>
                <w:sz w:val="21"/>
                <w:szCs w:val="21"/>
              </w:rPr>
            </w:pPr>
            <w:r>
              <w:rPr>
                <w:rFonts w:hint="eastAsia" w:ascii="宋体" w:hAnsi="宋体"/>
                <w:sz w:val="21"/>
                <w:szCs w:val="21"/>
              </w:rPr>
              <w:t>序号</w:t>
            </w:r>
          </w:p>
        </w:tc>
        <w:tc>
          <w:tcPr>
            <w:tcW w:w="3444" w:type="dxa"/>
            <w:vAlign w:val="center"/>
          </w:tcPr>
          <w:p>
            <w:pPr>
              <w:jc w:val="left"/>
              <w:rPr>
                <w:rFonts w:ascii="宋体" w:hAnsi="宋体"/>
                <w:sz w:val="21"/>
                <w:szCs w:val="21"/>
              </w:rPr>
            </w:pPr>
            <w:r>
              <w:rPr>
                <w:rFonts w:hint="eastAsia" w:ascii="宋体" w:hAnsi="宋体"/>
                <w:sz w:val="21"/>
                <w:szCs w:val="21"/>
              </w:rPr>
              <w:t>招标文件要求</w:t>
            </w:r>
          </w:p>
        </w:tc>
        <w:tc>
          <w:tcPr>
            <w:tcW w:w="1708" w:type="dxa"/>
            <w:vAlign w:val="center"/>
          </w:tcPr>
          <w:p>
            <w:pPr>
              <w:jc w:val="left"/>
              <w:rPr>
                <w:rFonts w:ascii="宋体" w:hAnsi="宋体"/>
                <w:sz w:val="21"/>
                <w:szCs w:val="21"/>
              </w:rPr>
            </w:pPr>
            <w:r>
              <w:rPr>
                <w:rFonts w:hint="eastAsia" w:ascii="宋体" w:hAnsi="宋体"/>
                <w:sz w:val="21"/>
                <w:szCs w:val="21"/>
              </w:rPr>
              <w:t>投标人响应情况描述</w:t>
            </w:r>
          </w:p>
        </w:tc>
        <w:tc>
          <w:tcPr>
            <w:tcW w:w="1977" w:type="dxa"/>
            <w:vAlign w:val="center"/>
          </w:tcPr>
          <w:p>
            <w:pPr>
              <w:jc w:val="left"/>
              <w:rPr>
                <w:rFonts w:ascii="宋体" w:hAnsi="宋体"/>
                <w:sz w:val="21"/>
                <w:szCs w:val="21"/>
              </w:rPr>
            </w:pPr>
            <w:r>
              <w:rPr>
                <w:rFonts w:hint="eastAsia" w:ascii="宋体" w:hAnsi="宋体"/>
                <w:sz w:val="21"/>
                <w:szCs w:val="21"/>
              </w:rPr>
              <w:t>偏离说明（正偏离/完全响应/负偏离）</w:t>
            </w:r>
          </w:p>
        </w:tc>
        <w:tc>
          <w:tcPr>
            <w:tcW w:w="1559" w:type="dxa"/>
            <w:vAlign w:val="center"/>
          </w:tcPr>
          <w:p>
            <w:pPr>
              <w:jc w:val="left"/>
              <w:rPr>
                <w:rFonts w:ascii="宋体" w:hAnsi="宋体"/>
                <w:sz w:val="21"/>
                <w:szCs w:val="21"/>
              </w:rPr>
            </w:pPr>
            <w:r>
              <w:rPr>
                <w:rFonts w:hint="eastAsia" w:ascii="宋体" w:hAnsi="宋体"/>
                <w:sz w:val="21"/>
                <w:szCs w:val="21"/>
              </w:rPr>
              <w:t>对应投标文件位置及页码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579" w:type="dxa"/>
          </w:tcPr>
          <w:p>
            <w:pPr>
              <w:spacing w:line="300" w:lineRule="auto"/>
              <w:jc w:val="left"/>
              <w:rPr>
                <w:rFonts w:ascii="宋体" w:hAnsi="宋体"/>
                <w:sz w:val="21"/>
                <w:szCs w:val="21"/>
              </w:rPr>
            </w:pPr>
          </w:p>
          <w:p>
            <w:pPr>
              <w:spacing w:line="300" w:lineRule="auto"/>
              <w:jc w:val="left"/>
              <w:rPr>
                <w:rFonts w:ascii="宋体" w:hAnsi="宋体"/>
                <w:sz w:val="21"/>
                <w:szCs w:val="21"/>
              </w:rPr>
            </w:pPr>
          </w:p>
        </w:tc>
        <w:tc>
          <w:tcPr>
            <w:tcW w:w="3444" w:type="dxa"/>
          </w:tcPr>
          <w:p>
            <w:pPr>
              <w:spacing w:line="300" w:lineRule="auto"/>
              <w:jc w:val="left"/>
              <w:rPr>
                <w:rFonts w:ascii="宋体" w:hAnsi="宋体"/>
                <w:sz w:val="21"/>
                <w:szCs w:val="21"/>
              </w:rPr>
            </w:pPr>
          </w:p>
        </w:tc>
        <w:tc>
          <w:tcPr>
            <w:tcW w:w="1708" w:type="dxa"/>
          </w:tcPr>
          <w:p>
            <w:pPr>
              <w:spacing w:line="300" w:lineRule="auto"/>
              <w:jc w:val="left"/>
              <w:rPr>
                <w:rFonts w:ascii="宋体" w:hAnsi="宋体"/>
                <w:sz w:val="21"/>
                <w:szCs w:val="21"/>
              </w:rPr>
            </w:pPr>
          </w:p>
        </w:tc>
        <w:tc>
          <w:tcPr>
            <w:tcW w:w="1977" w:type="dxa"/>
          </w:tcPr>
          <w:p>
            <w:pPr>
              <w:spacing w:line="300" w:lineRule="auto"/>
              <w:jc w:val="left"/>
              <w:rPr>
                <w:rFonts w:ascii="宋体" w:hAnsi="宋体"/>
                <w:sz w:val="21"/>
                <w:szCs w:val="21"/>
              </w:rPr>
            </w:pPr>
          </w:p>
        </w:tc>
        <w:tc>
          <w:tcPr>
            <w:tcW w:w="1559" w:type="dxa"/>
          </w:tcPr>
          <w:p>
            <w:pPr>
              <w:spacing w:line="300" w:lineRule="auto"/>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579" w:type="dxa"/>
          </w:tcPr>
          <w:p>
            <w:pPr>
              <w:spacing w:line="300" w:lineRule="auto"/>
              <w:jc w:val="left"/>
              <w:rPr>
                <w:rFonts w:ascii="宋体" w:hAnsi="宋体"/>
                <w:sz w:val="21"/>
                <w:szCs w:val="21"/>
              </w:rPr>
            </w:pPr>
          </w:p>
          <w:p>
            <w:pPr>
              <w:spacing w:line="300" w:lineRule="auto"/>
              <w:jc w:val="left"/>
              <w:rPr>
                <w:rFonts w:ascii="宋体" w:hAnsi="宋体"/>
                <w:sz w:val="21"/>
                <w:szCs w:val="21"/>
              </w:rPr>
            </w:pPr>
          </w:p>
        </w:tc>
        <w:tc>
          <w:tcPr>
            <w:tcW w:w="3444" w:type="dxa"/>
          </w:tcPr>
          <w:p>
            <w:pPr>
              <w:spacing w:line="300" w:lineRule="auto"/>
              <w:jc w:val="left"/>
              <w:rPr>
                <w:rFonts w:ascii="宋体" w:hAnsi="宋体"/>
                <w:sz w:val="21"/>
                <w:szCs w:val="21"/>
              </w:rPr>
            </w:pPr>
          </w:p>
          <w:p>
            <w:pPr>
              <w:spacing w:line="300" w:lineRule="auto"/>
              <w:jc w:val="left"/>
              <w:rPr>
                <w:rFonts w:ascii="宋体" w:hAnsi="宋体"/>
                <w:sz w:val="21"/>
                <w:szCs w:val="21"/>
              </w:rPr>
            </w:pPr>
          </w:p>
        </w:tc>
        <w:tc>
          <w:tcPr>
            <w:tcW w:w="1708" w:type="dxa"/>
          </w:tcPr>
          <w:p>
            <w:pPr>
              <w:spacing w:line="300" w:lineRule="auto"/>
              <w:jc w:val="left"/>
              <w:rPr>
                <w:rFonts w:ascii="宋体" w:hAnsi="宋体"/>
                <w:sz w:val="21"/>
                <w:szCs w:val="21"/>
              </w:rPr>
            </w:pPr>
          </w:p>
        </w:tc>
        <w:tc>
          <w:tcPr>
            <w:tcW w:w="1977" w:type="dxa"/>
          </w:tcPr>
          <w:p>
            <w:pPr>
              <w:spacing w:line="300" w:lineRule="auto"/>
              <w:jc w:val="left"/>
              <w:rPr>
                <w:rFonts w:ascii="宋体" w:hAnsi="宋体"/>
                <w:sz w:val="21"/>
                <w:szCs w:val="21"/>
              </w:rPr>
            </w:pPr>
          </w:p>
        </w:tc>
        <w:tc>
          <w:tcPr>
            <w:tcW w:w="1559" w:type="dxa"/>
          </w:tcPr>
          <w:p>
            <w:pPr>
              <w:spacing w:line="300" w:lineRule="auto"/>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579" w:type="dxa"/>
          </w:tcPr>
          <w:p>
            <w:pPr>
              <w:spacing w:line="300" w:lineRule="auto"/>
              <w:jc w:val="left"/>
              <w:rPr>
                <w:rFonts w:ascii="宋体" w:hAnsi="宋体"/>
                <w:sz w:val="21"/>
                <w:szCs w:val="21"/>
              </w:rPr>
            </w:pPr>
          </w:p>
        </w:tc>
        <w:tc>
          <w:tcPr>
            <w:tcW w:w="3444" w:type="dxa"/>
          </w:tcPr>
          <w:p>
            <w:pPr>
              <w:spacing w:line="300" w:lineRule="auto"/>
              <w:jc w:val="left"/>
              <w:rPr>
                <w:rFonts w:ascii="宋体" w:hAnsi="宋体"/>
                <w:sz w:val="21"/>
                <w:szCs w:val="21"/>
              </w:rPr>
            </w:pPr>
            <w:r>
              <w:rPr>
                <w:rFonts w:hint="eastAsia" w:ascii="宋体" w:hAnsi="宋体"/>
                <w:sz w:val="21"/>
                <w:szCs w:val="21"/>
              </w:rPr>
              <w:t>……</w:t>
            </w:r>
          </w:p>
        </w:tc>
        <w:tc>
          <w:tcPr>
            <w:tcW w:w="1708" w:type="dxa"/>
          </w:tcPr>
          <w:p>
            <w:pPr>
              <w:spacing w:line="300" w:lineRule="auto"/>
              <w:jc w:val="left"/>
              <w:rPr>
                <w:rFonts w:ascii="宋体" w:hAnsi="宋体"/>
                <w:sz w:val="21"/>
                <w:szCs w:val="21"/>
              </w:rPr>
            </w:pPr>
          </w:p>
        </w:tc>
        <w:tc>
          <w:tcPr>
            <w:tcW w:w="1977" w:type="dxa"/>
          </w:tcPr>
          <w:p>
            <w:pPr>
              <w:spacing w:line="300" w:lineRule="auto"/>
              <w:jc w:val="left"/>
              <w:rPr>
                <w:rFonts w:ascii="宋体" w:hAnsi="宋体"/>
                <w:sz w:val="21"/>
                <w:szCs w:val="21"/>
              </w:rPr>
            </w:pPr>
          </w:p>
        </w:tc>
        <w:tc>
          <w:tcPr>
            <w:tcW w:w="1559" w:type="dxa"/>
          </w:tcPr>
          <w:p>
            <w:pPr>
              <w:spacing w:line="300" w:lineRule="auto"/>
              <w:jc w:val="left"/>
              <w:rPr>
                <w:rFonts w:ascii="宋体" w:hAnsi="宋体"/>
                <w:sz w:val="21"/>
                <w:szCs w:val="21"/>
              </w:rPr>
            </w:pPr>
          </w:p>
        </w:tc>
      </w:tr>
    </w:tbl>
    <w:p>
      <w:pPr>
        <w:spacing w:line="300" w:lineRule="auto"/>
        <w:ind w:firstLine="359" w:firstLineChars="171"/>
        <w:jc w:val="left"/>
        <w:rPr>
          <w:rFonts w:ascii="宋体" w:hAnsi="宋体"/>
          <w:sz w:val="21"/>
          <w:szCs w:val="21"/>
        </w:rPr>
      </w:pPr>
      <w:r>
        <w:rPr>
          <w:rFonts w:hint="eastAsia" w:ascii="宋体" w:hAnsi="宋体"/>
          <w:sz w:val="21"/>
          <w:szCs w:val="21"/>
        </w:rPr>
        <w:t>说明：</w:t>
      </w:r>
    </w:p>
    <w:p>
      <w:pPr>
        <w:spacing w:line="300" w:lineRule="auto"/>
        <w:ind w:firstLine="359" w:firstLineChars="171"/>
        <w:jc w:val="left"/>
        <w:rPr>
          <w:rFonts w:ascii="宋体" w:hAnsi="宋体"/>
          <w:bCs/>
          <w:sz w:val="21"/>
          <w:szCs w:val="21"/>
        </w:rPr>
      </w:pPr>
      <w:r>
        <w:rPr>
          <w:rFonts w:hint="eastAsia" w:ascii="宋体" w:hAnsi="宋体"/>
          <w:bCs/>
          <w:sz w:val="21"/>
          <w:szCs w:val="21"/>
        </w:rPr>
        <w:t>1.把招标需求相关要求的响应情况逐条列入此表。</w:t>
      </w:r>
    </w:p>
    <w:p>
      <w:pPr>
        <w:spacing w:line="300" w:lineRule="auto"/>
        <w:ind w:firstLine="359" w:firstLineChars="171"/>
        <w:jc w:val="left"/>
        <w:rPr>
          <w:rFonts w:ascii="宋体" w:hAnsi="宋体"/>
          <w:bCs/>
          <w:sz w:val="21"/>
          <w:szCs w:val="21"/>
        </w:rPr>
      </w:pPr>
      <w:r>
        <w:rPr>
          <w:rFonts w:hint="eastAsia" w:ascii="宋体" w:hAnsi="宋体"/>
          <w:bCs/>
          <w:sz w:val="21"/>
          <w:szCs w:val="21"/>
        </w:rPr>
        <w:t>2.按招标需求的顺序填写。</w:t>
      </w:r>
    </w:p>
    <w:p>
      <w:pPr>
        <w:spacing w:line="300" w:lineRule="auto"/>
        <w:ind w:firstLine="359" w:firstLineChars="171"/>
        <w:jc w:val="left"/>
        <w:rPr>
          <w:rFonts w:ascii="宋体" w:hAnsi="宋体"/>
          <w:bCs/>
          <w:sz w:val="21"/>
          <w:szCs w:val="21"/>
        </w:rPr>
      </w:pPr>
      <w:r>
        <w:rPr>
          <w:rFonts w:hint="eastAsia" w:ascii="宋体" w:hAnsi="宋体"/>
          <w:bCs/>
          <w:sz w:val="21"/>
          <w:szCs w:val="21"/>
        </w:rPr>
        <w:t>3.此表可延长。</w:t>
      </w:r>
    </w:p>
    <w:p>
      <w:pPr>
        <w:spacing w:line="360" w:lineRule="auto"/>
        <w:ind w:firstLine="239" w:firstLineChars="114"/>
        <w:jc w:val="left"/>
        <w:rPr>
          <w:rFonts w:ascii="宋体" w:hAnsi="宋体"/>
          <w:sz w:val="21"/>
          <w:szCs w:val="21"/>
        </w:rPr>
      </w:pPr>
      <w:r>
        <w:rPr>
          <w:rFonts w:hint="eastAsia" w:ascii="宋体" w:hAnsi="宋体"/>
          <w:sz w:val="21"/>
          <w:szCs w:val="21"/>
        </w:rPr>
        <w:t>投标人名称（并加盖公章）：</w:t>
      </w:r>
    </w:p>
    <w:p>
      <w:pPr>
        <w:tabs>
          <w:tab w:val="left" w:pos="3119"/>
        </w:tabs>
        <w:spacing w:line="360" w:lineRule="auto"/>
        <w:ind w:left="211" w:leftChars="88" w:firstLine="25" w:firstLineChars="12"/>
        <w:jc w:val="left"/>
        <w:rPr>
          <w:rFonts w:ascii="宋体" w:hAnsi="宋体"/>
          <w:sz w:val="21"/>
          <w:szCs w:val="21"/>
          <w:u w:val="single"/>
        </w:rPr>
      </w:pPr>
      <w:r>
        <w:rPr>
          <w:rFonts w:hint="eastAsia" w:ascii="宋体" w:hAnsi="宋体"/>
          <w:sz w:val="21"/>
          <w:szCs w:val="21"/>
        </w:rPr>
        <w:t>投标人法定代表人或其委托人签名或印鉴：</w:t>
      </w:r>
    </w:p>
    <w:p>
      <w:pPr>
        <w:tabs>
          <w:tab w:val="left" w:pos="3119"/>
        </w:tabs>
        <w:spacing w:line="360" w:lineRule="auto"/>
        <w:ind w:left="211" w:leftChars="88" w:firstLine="25" w:firstLineChars="12"/>
        <w:jc w:val="left"/>
        <w:rPr>
          <w:rFonts w:ascii="宋体" w:hAnsi="宋体"/>
          <w:sz w:val="21"/>
          <w:szCs w:val="21"/>
        </w:rPr>
      </w:pPr>
      <w:r>
        <w:rPr>
          <w:rFonts w:hint="eastAsia" w:ascii="宋体" w:hAnsi="宋体"/>
          <w:sz w:val="21"/>
          <w:szCs w:val="21"/>
        </w:rPr>
        <w:t>日期：</w:t>
      </w: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r>
        <w:rPr>
          <w:rFonts w:ascii="宋体" w:hAnsi="宋体"/>
          <w:sz w:val="21"/>
          <w:szCs w:val="21"/>
        </w:rPr>
        <w:br w:type="page"/>
      </w:r>
      <w:bookmarkStart w:id="182" w:name="_Toc368513832"/>
      <w:bookmarkStart w:id="183" w:name="_Toc24113"/>
      <w:r>
        <w:rPr>
          <w:rFonts w:hint="eastAsia" w:ascii="宋体" w:hAnsi="宋体" w:eastAsia="宋体"/>
          <w:sz w:val="21"/>
          <w:szCs w:val="21"/>
        </w:rPr>
        <w:t>投标人基本情况表</w:t>
      </w:r>
      <w:bookmarkEnd w:id="182"/>
      <w:bookmarkEnd w:id="183"/>
    </w:p>
    <w:p>
      <w:pPr>
        <w:tabs>
          <w:tab w:val="left" w:pos="900"/>
        </w:tabs>
        <w:spacing w:line="360" w:lineRule="auto"/>
        <w:jc w:val="left"/>
        <w:rPr>
          <w:rFonts w:ascii="宋体" w:hAnsi="宋体"/>
          <w:sz w:val="21"/>
          <w:szCs w:val="21"/>
        </w:rPr>
      </w:pPr>
      <w:r>
        <w:rPr>
          <w:rFonts w:hint="eastAsia" w:ascii="宋体" w:hAnsi="宋体"/>
          <w:sz w:val="21"/>
          <w:szCs w:val="21"/>
        </w:rPr>
        <w:t>一、投标人基本情况</w:t>
      </w:r>
    </w:p>
    <w:p>
      <w:pPr>
        <w:tabs>
          <w:tab w:val="left" w:pos="1080"/>
        </w:tabs>
        <w:spacing w:line="360" w:lineRule="auto"/>
        <w:ind w:left="360"/>
        <w:jc w:val="left"/>
        <w:rPr>
          <w:rFonts w:ascii="宋体" w:hAnsi="宋体"/>
          <w:sz w:val="21"/>
          <w:szCs w:val="21"/>
        </w:rPr>
      </w:pPr>
      <w:r>
        <w:rPr>
          <w:rFonts w:hint="eastAsia" w:ascii="宋体" w:hAnsi="宋体"/>
          <w:sz w:val="21"/>
          <w:szCs w:val="21"/>
        </w:rPr>
        <w:t>1、投标人名称：   电话号码：</w:t>
      </w:r>
    </w:p>
    <w:p>
      <w:pPr>
        <w:tabs>
          <w:tab w:val="left" w:pos="1080"/>
        </w:tabs>
        <w:spacing w:line="360" w:lineRule="auto"/>
        <w:ind w:left="360"/>
        <w:jc w:val="left"/>
        <w:rPr>
          <w:rFonts w:ascii="宋体" w:hAnsi="宋体"/>
          <w:sz w:val="21"/>
          <w:szCs w:val="21"/>
        </w:rPr>
      </w:pPr>
      <w:r>
        <w:rPr>
          <w:rFonts w:hint="eastAsia" w:ascii="宋体" w:hAnsi="宋体"/>
          <w:sz w:val="21"/>
          <w:szCs w:val="21"/>
        </w:rPr>
        <w:t>2、地    址：     传    真：</w:t>
      </w:r>
    </w:p>
    <w:p>
      <w:pPr>
        <w:tabs>
          <w:tab w:val="left" w:pos="1080"/>
        </w:tabs>
        <w:spacing w:line="360" w:lineRule="auto"/>
        <w:ind w:left="360"/>
        <w:jc w:val="left"/>
        <w:rPr>
          <w:rFonts w:ascii="宋体" w:hAnsi="宋体"/>
          <w:sz w:val="21"/>
          <w:szCs w:val="21"/>
        </w:rPr>
      </w:pPr>
      <w:r>
        <w:rPr>
          <w:rFonts w:hint="eastAsia" w:ascii="宋体" w:hAnsi="宋体"/>
          <w:sz w:val="21"/>
          <w:szCs w:val="21"/>
        </w:rPr>
        <w:t>3、注册资金：     经济性质：</w:t>
      </w:r>
    </w:p>
    <w:p>
      <w:pPr>
        <w:tabs>
          <w:tab w:val="left" w:pos="1080"/>
        </w:tabs>
        <w:spacing w:line="360" w:lineRule="auto"/>
        <w:ind w:left="360"/>
        <w:jc w:val="left"/>
        <w:rPr>
          <w:rFonts w:ascii="宋体" w:hAnsi="宋体"/>
          <w:sz w:val="21"/>
          <w:szCs w:val="21"/>
        </w:rPr>
      </w:pPr>
      <w:r>
        <w:rPr>
          <w:rFonts w:hint="eastAsia" w:ascii="宋体" w:hAnsi="宋体"/>
          <w:sz w:val="21"/>
          <w:szCs w:val="21"/>
        </w:rPr>
        <w:t>4、投标人开户账号资料</w:t>
      </w:r>
    </w:p>
    <w:p>
      <w:pPr>
        <w:spacing w:line="360" w:lineRule="auto"/>
        <w:ind w:left="420" w:leftChars="175" w:firstLine="315" w:firstLineChars="150"/>
        <w:jc w:val="left"/>
        <w:rPr>
          <w:rFonts w:ascii="宋体" w:hAnsi="宋体"/>
          <w:sz w:val="21"/>
          <w:szCs w:val="21"/>
          <w:u w:val="single"/>
        </w:rPr>
      </w:pPr>
      <w:r>
        <w:rPr>
          <w:rFonts w:hint="eastAsia" w:ascii="宋体" w:hAnsi="宋体"/>
          <w:sz w:val="21"/>
          <w:szCs w:val="21"/>
        </w:rPr>
        <w:t>银行名称及账号：</w:t>
      </w:r>
    </w:p>
    <w:p>
      <w:pPr>
        <w:spacing w:line="360" w:lineRule="auto"/>
        <w:ind w:left="420" w:leftChars="175" w:firstLine="315" w:firstLineChars="150"/>
        <w:jc w:val="left"/>
        <w:rPr>
          <w:rFonts w:ascii="宋体" w:hAnsi="宋体"/>
          <w:sz w:val="21"/>
          <w:szCs w:val="21"/>
          <w:u w:val="single"/>
        </w:rPr>
      </w:pPr>
      <w:r>
        <w:rPr>
          <w:rFonts w:hint="eastAsia" w:ascii="宋体" w:hAnsi="宋体"/>
          <w:sz w:val="21"/>
          <w:szCs w:val="21"/>
        </w:rPr>
        <w:t>开户地址：</w:t>
      </w:r>
    </w:p>
    <w:p>
      <w:pPr>
        <w:tabs>
          <w:tab w:val="left" w:pos="1080"/>
        </w:tabs>
        <w:spacing w:line="360" w:lineRule="auto"/>
        <w:ind w:left="360"/>
        <w:jc w:val="left"/>
        <w:rPr>
          <w:rFonts w:ascii="宋体" w:hAnsi="宋体"/>
          <w:sz w:val="21"/>
          <w:szCs w:val="21"/>
        </w:rPr>
      </w:pPr>
      <w:r>
        <w:rPr>
          <w:rFonts w:hint="eastAsia" w:ascii="宋体" w:hAnsi="宋体"/>
          <w:sz w:val="21"/>
          <w:szCs w:val="21"/>
        </w:rPr>
        <w:t>5、营业执照注册号：</w:t>
      </w:r>
    </w:p>
    <w:p>
      <w:pPr>
        <w:tabs>
          <w:tab w:val="left" w:pos="1080"/>
        </w:tabs>
        <w:spacing w:line="360" w:lineRule="auto"/>
        <w:ind w:left="360"/>
        <w:jc w:val="left"/>
        <w:rPr>
          <w:rFonts w:ascii="宋体" w:hAnsi="宋体"/>
          <w:sz w:val="21"/>
          <w:szCs w:val="21"/>
        </w:rPr>
      </w:pPr>
      <w:r>
        <w:rPr>
          <w:rFonts w:hint="eastAsia" w:ascii="宋体" w:hAnsi="宋体"/>
          <w:sz w:val="21"/>
          <w:szCs w:val="21"/>
        </w:rPr>
        <w:t>6、组织机构代码证号：</w:t>
      </w:r>
    </w:p>
    <w:p>
      <w:pPr>
        <w:tabs>
          <w:tab w:val="left" w:pos="1080"/>
        </w:tabs>
        <w:spacing w:line="360" w:lineRule="auto"/>
        <w:ind w:left="360"/>
        <w:jc w:val="left"/>
        <w:rPr>
          <w:rFonts w:ascii="宋体" w:hAnsi="宋体"/>
          <w:sz w:val="21"/>
          <w:szCs w:val="21"/>
        </w:rPr>
      </w:pPr>
      <w:r>
        <w:rPr>
          <w:rFonts w:hint="eastAsia" w:ascii="宋体" w:hAnsi="宋体"/>
          <w:sz w:val="21"/>
          <w:szCs w:val="21"/>
        </w:rPr>
        <w:t>7、税务登记证号：</w:t>
      </w:r>
    </w:p>
    <w:p>
      <w:pPr>
        <w:spacing w:line="360" w:lineRule="auto"/>
        <w:ind w:left="420"/>
        <w:jc w:val="left"/>
        <w:rPr>
          <w:rFonts w:ascii="宋体" w:hAnsi="宋体"/>
          <w:b/>
          <w:sz w:val="21"/>
          <w:szCs w:val="21"/>
        </w:rPr>
      </w:pPr>
      <w:r>
        <w:rPr>
          <w:rFonts w:hint="eastAsia" w:ascii="宋体" w:hAnsi="宋体"/>
          <w:b/>
          <w:sz w:val="21"/>
          <w:szCs w:val="21"/>
        </w:rPr>
        <w:t>（随本表格附上最新营业执照/登记证副本的复印件一份，需加盖公章，投标人如果有名称变更的，应提供由工商管理部门出具的变更证明文件。对已领取“三证合一”证照的单位无需提供组织机构代码证。）</w:t>
      </w:r>
    </w:p>
    <w:p>
      <w:pPr>
        <w:spacing w:line="360" w:lineRule="auto"/>
        <w:ind w:left="420"/>
        <w:jc w:val="left"/>
        <w:rPr>
          <w:rFonts w:ascii="宋体" w:hAnsi="宋体"/>
          <w:b/>
          <w:sz w:val="21"/>
          <w:szCs w:val="21"/>
        </w:rPr>
      </w:pPr>
    </w:p>
    <w:p>
      <w:pPr>
        <w:tabs>
          <w:tab w:val="left" w:pos="1080"/>
        </w:tabs>
        <w:spacing w:line="360" w:lineRule="auto"/>
        <w:ind w:left="360"/>
        <w:jc w:val="left"/>
        <w:rPr>
          <w:rFonts w:ascii="宋体" w:hAnsi="宋体"/>
          <w:sz w:val="21"/>
          <w:szCs w:val="21"/>
        </w:rPr>
      </w:pPr>
      <w:r>
        <w:rPr>
          <w:rFonts w:hint="eastAsia" w:ascii="宋体" w:hAnsi="宋体"/>
          <w:sz w:val="21"/>
          <w:szCs w:val="21"/>
        </w:rPr>
        <w:t>8、投标人简介（自行描述）：</w:t>
      </w:r>
    </w:p>
    <w:p>
      <w:pPr>
        <w:spacing w:line="360" w:lineRule="auto"/>
        <w:jc w:val="left"/>
        <w:rPr>
          <w:rFonts w:ascii="宋体" w:hAnsi="宋体"/>
          <w:sz w:val="21"/>
          <w:szCs w:val="21"/>
        </w:rPr>
      </w:pPr>
    </w:p>
    <w:p>
      <w:pPr>
        <w:tabs>
          <w:tab w:val="left" w:pos="1080"/>
        </w:tabs>
        <w:spacing w:line="360" w:lineRule="auto"/>
        <w:ind w:left="360"/>
        <w:jc w:val="left"/>
        <w:rPr>
          <w:rFonts w:ascii="宋体" w:hAnsi="宋体"/>
          <w:sz w:val="21"/>
          <w:szCs w:val="21"/>
        </w:rPr>
      </w:pPr>
      <w:r>
        <w:rPr>
          <w:rFonts w:hint="eastAsia" w:ascii="宋体" w:hAnsi="宋体"/>
          <w:sz w:val="21"/>
          <w:szCs w:val="21"/>
        </w:rPr>
        <w:t>9、投标人财务情况：</w:t>
      </w:r>
    </w:p>
    <w:tbl>
      <w:tblPr>
        <w:tblStyle w:val="46"/>
        <w:tblW w:w="7253" w:type="dxa"/>
        <w:jc w:val="center"/>
        <w:tblInd w:w="0" w:type="dxa"/>
        <w:tblLayout w:type="fixed"/>
        <w:tblCellMar>
          <w:top w:w="0" w:type="dxa"/>
          <w:left w:w="30" w:type="dxa"/>
          <w:bottom w:w="0" w:type="dxa"/>
          <w:right w:w="30" w:type="dxa"/>
        </w:tblCellMar>
      </w:tblPr>
      <w:tblGrid>
        <w:gridCol w:w="1163"/>
        <w:gridCol w:w="3045"/>
        <w:gridCol w:w="1260"/>
        <w:gridCol w:w="1785"/>
      </w:tblGrid>
      <w:tr>
        <w:tblPrEx>
          <w:tblLayout w:type="fixed"/>
          <w:tblCellMar>
            <w:top w:w="0" w:type="dxa"/>
            <w:left w:w="30" w:type="dxa"/>
            <w:bottom w:w="0" w:type="dxa"/>
            <w:right w:w="30" w:type="dxa"/>
          </w:tblCellMar>
        </w:tblPrEx>
        <w:trPr>
          <w:trHeight w:val="336" w:hRule="atLeast"/>
          <w:jc w:val="center"/>
        </w:trPr>
        <w:tc>
          <w:tcPr>
            <w:tcW w:w="116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beforeLines="50" w:afterLines="50"/>
              <w:jc w:val="center"/>
              <w:rPr>
                <w:rFonts w:ascii="宋体" w:hAnsi="宋体" w:cs="Arial"/>
                <w:b/>
                <w:bCs/>
                <w:sz w:val="21"/>
                <w:szCs w:val="21"/>
              </w:rPr>
            </w:pPr>
            <w:r>
              <w:rPr>
                <w:rFonts w:hint="eastAsia" w:ascii="宋体" w:hAnsi="宋体" w:cs="Arial"/>
                <w:b/>
                <w:bCs/>
                <w:sz w:val="21"/>
                <w:szCs w:val="21"/>
              </w:rPr>
              <w:t>年份</w:t>
            </w:r>
          </w:p>
        </w:tc>
        <w:tc>
          <w:tcPr>
            <w:tcW w:w="30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beforeLines="50" w:afterLines="50"/>
              <w:jc w:val="center"/>
              <w:rPr>
                <w:rFonts w:ascii="宋体" w:hAnsi="宋体" w:cs="Arial"/>
                <w:b/>
                <w:bCs/>
                <w:sz w:val="21"/>
                <w:szCs w:val="21"/>
              </w:rPr>
            </w:pPr>
            <w:r>
              <w:rPr>
                <w:rFonts w:hint="eastAsia" w:ascii="宋体" w:hAnsi="宋体" w:cs="Arial"/>
                <w:b/>
                <w:bCs/>
                <w:sz w:val="21"/>
                <w:szCs w:val="21"/>
              </w:rPr>
              <w:t>年营业总值</w:t>
            </w: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beforeLines="50" w:afterLines="50"/>
              <w:jc w:val="center"/>
              <w:rPr>
                <w:rFonts w:ascii="宋体" w:hAnsi="宋体" w:cs="Arial"/>
                <w:b/>
                <w:bCs/>
                <w:sz w:val="21"/>
                <w:szCs w:val="21"/>
              </w:rPr>
            </w:pPr>
            <w:r>
              <w:rPr>
                <w:rFonts w:hint="eastAsia" w:ascii="宋体" w:hAnsi="宋体" w:cs="Arial"/>
                <w:b/>
                <w:bCs/>
                <w:sz w:val="21"/>
                <w:szCs w:val="21"/>
              </w:rPr>
              <w:t>总净利</w:t>
            </w:r>
          </w:p>
        </w:tc>
        <w:tc>
          <w:tcPr>
            <w:tcW w:w="1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beforeLines="50" w:afterLines="50"/>
              <w:jc w:val="center"/>
              <w:rPr>
                <w:rFonts w:ascii="宋体" w:hAnsi="宋体" w:cs="Arial"/>
                <w:b/>
                <w:bCs/>
                <w:sz w:val="21"/>
                <w:szCs w:val="21"/>
              </w:rPr>
            </w:pPr>
            <w:r>
              <w:rPr>
                <w:rFonts w:hint="eastAsia" w:ascii="宋体" w:hAnsi="宋体" w:cs="Arial"/>
                <w:b/>
                <w:bCs/>
                <w:sz w:val="21"/>
                <w:szCs w:val="21"/>
              </w:rPr>
              <w:t>资产负债率</w:t>
            </w:r>
          </w:p>
        </w:tc>
      </w:tr>
      <w:tr>
        <w:tblPrEx>
          <w:tblLayout w:type="fixed"/>
          <w:tblCellMar>
            <w:top w:w="0" w:type="dxa"/>
            <w:left w:w="30" w:type="dxa"/>
            <w:bottom w:w="0" w:type="dxa"/>
            <w:right w:w="30" w:type="dxa"/>
          </w:tblCellMar>
        </w:tblPrEx>
        <w:trPr>
          <w:trHeight w:val="420" w:hRule="atLeast"/>
          <w:jc w:val="center"/>
        </w:trPr>
        <w:tc>
          <w:tcPr>
            <w:tcW w:w="11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50" w:after="188" w:line="360" w:lineRule="auto"/>
              <w:jc w:val="center"/>
              <w:rPr>
                <w:rFonts w:ascii="宋体" w:hAnsi="宋体" w:cs="Arial"/>
                <w:sz w:val="21"/>
                <w:szCs w:val="21"/>
              </w:rPr>
            </w:pPr>
            <w:r>
              <w:rPr>
                <w:rFonts w:hint="eastAsia" w:ascii="宋体" w:hAnsi="宋体" w:cs="Arial"/>
                <w:sz w:val="21"/>
                <w:szCs w:val="21"/>
              </w:rPr>
              <w:t>2018</w:t>
            </w:r>
          </w:p>
        </w:tc>
        <w:tc>
          <w:tcPr>
            <w:tcW w:w="3045" w:type="dxa"/>
            <w:tcBorders>
              <w:top w:val="single" w:color="auto" w:sz="6" w:space="0"/>
              <w:left w:val="single" w:color="auto" w:sz="6" w:space="0"/>
              <w:bottom w:val="single" w:color="auto" w:sz="6" w:space="0"/>
              <w:right w:val="single" w:color="auto" w:sz="6" w:space="0"/>
            </w:tcBorders>
            <w:vAlign w:val="center"/>
          </w:tcPr>
          <w:p>
            <w:pPr>
              <w:spacing w:before="50" w:after="188" w:line="360" w:lineRule="auto"/>
              <w:jc w:val="center"/>
              <w:rPr>
                <w:rFonts w:ascii="宋体" w:hAnsi="宋体" w:cs="Arial"/>
                <w:sz w:val="21"/>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50" w:after="188" w:line="360" w:lineRule="auto"/>
              <w:jc w:val="center"/>
              <w:rPr>
                <w:rFonts w:ascii="宋体" w:hAnsi="宋体" w:cs="Arial"/>
                <w:sz w:val="21"/>
                <w:szCs w:val="21"/>
              </w:rPr>
            </w:pPr>
          </w:p>
        </w:tc>
        <w:tc>
          <w:tcPr>
            <w:tcW w:w="1785" w:type="dxa"/>
            <w:tcBorders>
              <w:top w:val="single" w:color="auto" w:sz="6" w:space="0"/>
              <w:left w:val="single" w:color="auto" w:sz="6" w:space="0"/>
              <w:bottom w:val="single" w:color="auto" w:sz="6" w:space="0"/>
              <w:right w:val="single" w:color="auto" w:sz="6" w:space="0"/>
            </w:tcBorders>
            <w:vAlign w:val="center"/>
          </w:tcPr>
          <w:p>
            <w:pPr>
              <w:spacing w:before="50" w:after="188" w:line="360" w:lineRule="auto"/>
              <w:jc w:val="center"/>
              <w:rPr>
                <w:rFonts w:ascii="宋体" w:hAnsi="宋体" w:cs="Arial"/>
                <w:sz w:val="21"/>
                <w:szCs w:val="21"/>
              </w:rPr>
            </w:pPr>
          </w:p>
        </w:tc>
      </w:tr>
    </w:tbl>
    <w:p>
      <w:pPr>
        <w:tabs>
          <w:tab w:val="left" w:pos="900"/>
        </w:tabs>
        <w:spacing w:line="360" w:lineRule="auto"/>
        <w:jc w:val="left"/>
        <w:rPr>
          <w:rFonts w:ascii="宋体" w:hAnsi="宋体"/>
          <w:sz w:val="21"/>
          <w:szCs w:val="21"/>
        </w:rPr>
      </w:pPr>
      <w:r>
        <w:rPr>
          <w:rFonts w:hint="eastAsia" w:ascii="宋体" w:hAnsi="宋体"/>
          <w:sz w:val="21"/>
          <w:szCs w:val="21"/>
        </w:rPr>
        <w:t>二、投标人获得资质和获奖证明文件</w:t>
      </w:r>
    </w:p>
    <w:tbl>
      <w:tblPr>
        <w:tblStyle w:val="46"/>
        <w:tblW w:w="7607" w:type="dxa"/>
        <w:jc w:val="center"/>
        <w:tblInd w:w="0" w:type="dxa"/>
        <w:tblLayout w:type="fixed"/>
        <w:tblCellMar>
          <w:top w:w="0" w:type="dxa"/>
          <w:left w:w="30" w:type="dxa"/>
          <w:bottom w:w="0" w:type="dxa"/>
          <w:right w:w="30" w:type="dxa"/>
        </w:tblCellMar>
      </w:tblPr>
      <w:tblGrid>
        <w:gridCol w:w="2798"/>
        <w:gridCol w:w="1507"/>
        <w:gridCol w:w="1785"/>
        <w:gridCol w:w="1517"/>
      </w:tblGrid>
      <w:tr>
        <w:tblPrEx>
          <w:tblLayout w:type="fixed"/>
          <w:tblCellMar>
            <w:top w:w="0" w:type="dxa"/>
            <w:left w:w="30" w:type="dxa"/>
            <w:bottom w:w="0" w:type="dxa"/>
            <w:right w:w="30" w:type="dxa"/>
          </w:tblCellMar>
        </w:tblPrEx>
        <w:trPr>
          <w:trHeight w:val="318" w:hRule="atLeast"/>
          <w:jc w:val="center"/>
        </w:trPr>
        <w:tc>
          <w:tcPr>
            <w:tcW w:w="2798" w:type="dxa"/>
            <w:tcBorders>
              <w:top w:val="single" w:color="auto" w:sz="6" w:space="0"/>
              <w:left w:val="single" w:color="auto" w:sz="6" w:space="0"/>
              <w:bottom w:val="single" w:color="auto" w:sz="6" w:space="0"/>
              <w:right w:val="single" w:color="auto" w:sz="6" w:space="0"/>
            </w:tcBorders>
          </w:tcPr>
          <w:p>
            <w:pPr>
              <w:spacing w:before="50" w:after="188" w:line="360" w:lineRule="auto"/>
              <w:jc w:val="center"/>
              <w:rPr>
                <w:rFonts w:ascii="宋体" w:hAnsi="宋体" w:cs="Arial"/>
                <w:b/>
                <w:bCs/>
                <w:sz w:val="21"/>
                <w:szCs w:val="21"/>
              </w:rPr>
            </w:pPr>
            <w:r>
              <w:rPr>
                <w:rFonts w:hint="eastAsia" w:ascii="宋体" w:hAnsi="宋体" w:cs="Arial"/>
                <w:b/>
                <w:bCs/>
                <w:sz w:val="21"/>
                <w:szCs w:val="21"/>
              </w:rPr>
              <w:t>证书名称</w:t>
            </w:r>
          </w:p>
        </w:tc>
        <w:tc>
          <w:tcPr>
            <w:tcW w:w="1507" w:type="dxa"/>
            <w:tcBorders>
              <w:top w:val="single" w:color="auto" w:sz="6" w:space="0"/>
              <w:left w:val="single" w:color="auto" w:sz="6" w:space="0"/>
              <w:bottom w:val="single" w:color="auto" w:sz="6" w:space="0"/>
              <w:right w:val="single" w:color="auto" w:sz="6" w:space="0"/>
            </w:tcBorders>
          </w:tcPr>
          <w:p>
            <w:pPr>
              <w:spacing w:before="50" w:after="188" w:line="360" w:lineRule="auto"/>
              <w:jc w:val="center"/>
              <w:rPr>
                <w:rFonts w:ascii="宋体" w:hAnsi="宋体" w:cs="Arial"/>
                <w:b/>
                <w:bCs/>
                <w:sz w:val="21"/>
                <w:szCs w:val="21"/>
              </w:rPr>
            </w:pPr>
            <w:r>
              <w:rPr>
                <w:rFonts w:hint="eastAsia" w:ascii="宋体" w:hAnsi="宋体" w:cs="Arial"/>
                <w:b/>
                <w:bCs/>
                <w:sz w:val="21"/>
                <w:szCs w:val="21"/>
              </w:rPr>
              <w:t>发证单位</w:t>
            </w:r>
          </w:p>
        </w:tc>
        <w:tc>
          <w:tcPr>
            <w:tcW w:w="1785" w:type="dxa"/>
            <w:tcBorders>
              <w:top w:val="single" w:color="auto" w:sz="6" w:space="0"/>
              <w:left w:val="single" w:color="auto" w:sz="6" w:space="0"/>
              <w:bottom w:val="single" w:color="auto" w:sz="6" w:space="0"/>
              <w:right w:val="single" w:color="auto" w:sz="6" w:space="0"/>
            </w:tcBorders>
          </w:tcPr>
          <w:p>
            <w:pPr>
              <w:spacing w:before="50" w:after="188" w:line="360" w:lineRule="auto"/>
              <w:jc w:val="center"/>
              <w:rPr>
                <w:rFonts w:ascii="宋体" w:hAnsi="宋体" w:cs="Arial"/>
                <w:b/>
                <w:bCs/>
                <w:sz w:val="21"/>
                <w:szCs w:val="21"/>
              </w:rPr>
            </w:pPr>
            <w:r>
              <w:rPr>
                <w:rFonts w:hint="eastAsia" w:ascii="宋体" w:hAnsi="宋体" w:cs="Arial"/>
                <w:b/>
                <w:bCs/>
                <w:sz w:val="21"/>
                <w:szCs w:val="21"/>
              </w:rPr>
              <w:t>证书等级</w:t>
            </w:r>
          </w:p>
        </w:tc>
        <w:tc>
          <w:tcPr>
            <w:tcW w:w="1517" w:type="dxa"/>
            <w:tcBorders>
              <w:top w:val="single" w:color="auto" w:sz="6" w:space="0"/>
              <w:left w:val="single" w:color="auto" w:sz="6" w:space="0"/>
              <w:bottom w:val="single" w:color="auto" w:sz="6" w:space="0"/>
              <w:right w:val="single" w:color="auto" w:sz="6" w:space="0"/>
            </w:tcBorders>
          </w:tcPr>
          <w:p>
            <w:pPr>
              <w:spacing w:before="50" w:after="188"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Layout w:type="fixed"/>
          <w:tblCellMar>
            <w:top w:w="0" w:type="dxa"/>
            <w:left w:w="30" w:type="dxa"/>
            <w:bottom w:w="0" w:type="dxa"/>
            <w:right w:w="30" w:type="dxa"/>
          </w:tblCellMar>
        </w:tblPrEx>
        <w:trPr>
          <w:trHeight w:val="420" w:hRule="atLeast"/>
          <w:jc w:val="center"/>
        </w:trPr>
        <w:tc>
          <w:tcPr>
            <w:tcW w:w="2798" w:type="dxa"/>
            <w:tcBorders>
              <w:top w:val="single" w:color="auto" w:sz="6" w:space="0"/>
              <w:left w:val="single" w:color="auto" w:sz="6" w:space="0"/>
              <w:bottom w:val="single" w:color="auto" w:sz="6" w:space="0"/>
              <w:right w:val="single" w:color="auto" w:sz="6" w:space="0"/>
            </w:tcBorders>
            <w:vAlign w:val="center"/>
          </w:tcPr>
          <w:p>
            <w:pPr>
              <w:spacing w:before="50" w:after="188" w:line="360" w:lineRule="auto"/>
              <w:jc w:val="left"/>
              <w:rPr>
                <w:rFonts w:ascii="宋体" w:hAnsi="宋体" w:cs="Arial"/>
                <w:sz w:val="21"/>
                <w:szCs w:val="21"/>
              </w:rPr>
            </w:pPr>
          </w:p>
        </w:tc>
        <w:tc>
          <w:tcPr>
            <w:tcW w:w="150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50" w:after="188" w:line="360" w:lineRule="auto"/>
              <w:jc w:val="left"/>
              <w:rPr>
                <w:rFonts w:ascii="宋体" w:hAnsi="宋体" w:cs="Arial"/>
                <w:sz w:val="21"/>
                <w:szCs w:val="21"/>
              </w:rPr>
            </w:pPr>
          </w:p>
        </w:tc>
        <w:tc>
          <w:tcPr>
            <w:tcW w:w="1785" w:type="dxa"/>
            <w:tcBorders>
              <w:top w:val="single" w:color="auto" w:sz="6" w:space="0"/>
              <w:left w:val="single" w:color="auto" w:sz="6" w:space="0"/>
              <w:bottom w:val="single" w:color="auto" w:sz="6" w:space="0"/>
              <w:right w:val="single" w:color="auto" w:sz="6" w:space="0"/>
            </w:tcBorders>
            <w:vAlign w:val="center"/>
          </w:tcPr>
          <w:p>
            <w:pPr>
              <w:spacing w:before="50" w:after="188" w:line="360" w:lineRule="auto"/>
              <w:jc w:val="left"/>
              <w:rPr>
                <w:rFonts w:ascii="宋体" w:hAnsi="宋体" w:cs="Arial"/>
                <w:sz w:val="21"/>
                <w:szCs w:val="21"/>
              </w:rPr>
            </w:pPr>
          </w:p>
        </w:tc>
        <w:tc>
          <w:tcPr>
            <w:tcW w:w="1517" w:type="dxa"/>
            <w:tcBorders>
              <w:top w:val="single" w:color="auto" w:sz="6" w:space="0"/>
              <w:left w:val="single" w:color="auto" w:sz="6" w:space="0"/>
              <w:bottom w:val="single" w:color="auto" w:sz="6" w:space="0"/>
              <w:right w:val="single" w:color="auto" w:sz="6" w:space="0"/>
            </w:tcBorders>
          </w:tcPr>
          <w:p>
            <w:pPr>
              <w:spacing w:before="50" w:after="188" w:line="360" w:lineRule="auto"/>
              <w:jc w:val="left"/>
              <w:rPr>
                <w:rFonts w:ascii="宋体" w:hAnsi="宋体" w:cs="Arial"/>
                <w:sz w:val="21"/>
                <w:szCs w:val="21"/>
              </w:rPr>
            </w:pPr>
          </w:p>
        </w:tc>
      </w:tr>
      <w:tr>
        <w:tblPrEx>
          <w:tblLayout w:type="fixed"/>
          <w:tblCellMar>
            <w:top w:w="0" w:type="dxa"/>
            <w:left w:w="30" w:type="dxa"/>
            <w:bottom w:w="0" w:type="dxa"/>
            <w:right w:w="30" w:type="dxa"/>
          </w:tblCellMar>
        </w:tblPrEx>
        <w:trPr>
          <w:trHeight w:val="420" w:hRule="atLeast"/>
          <w:jc w:val="center"/>
        </w:trPr>
        <w:tc>
          <w:tcPr>
            <w:tcW w:w="2798" w:type="dxa"/>
            <w:tcBorders>
              <w:top w:val="single" w:color="auto" w:sz="6" w:space="0"/>
              <w:left w:val="single" w:color="auto" w:sz="6" w:space="0"/>
              <w:bottom w:val="single" w:color="auto" w:sz="6" w:space="0"/>
              <w:right w:val="single" w:color="auto" w:sz="6" w:space="0"/>
            </w:tcBorders>
            <w:vAlign w:val="center"/>
          </w:tcPr>
          <w:p>
            <w:pPr>
              <w:spacing w:before="50" w:after="188" w:line="360" w:lineRule="auto"/>
              <w:jc w:val="left"/>
              <w:rPr>
                <w:rFonts w:ascii="宋体" w:hAnsi="宋体" w:cs="Arial"/>
                <w:sz w:val="21"/>
                <w:szCs w:val="21"/>
              </w:rPr>
            </w:pPr>
          </w:p>
        </w:tc>
        <w:tc>
          <w:tcPr>
            <w:tcW w:w="150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50" w:after="188" w:line="360" w:lineRule="auto"/>
              <w:jc w:val="left"/>
              <w:rPr>
                <w:rFonts w:ascii="宋体" w:hAnsi="宋体" w:cs="Arial"/>
                <w:sz w:val="21"/>
                <w:szCs w:val="21"/>
              </w:rPr>
            </w:pPr>
          </w:p>
        </w:tc>
        <w:tc>
          <w:tcPr>
            <w:tcW w:w="1785" w:type="dxa"/>
            <w:tcBorders>
              <w:top w:val="single" w:color="auto" w:sz="6" w:space="0"/>
              <w:left w:val="single" w:color="auto" w:sz="6" w:space="0"/>
              <w:bottom w:val="single" w:color="auto" w:sz="6" w:space="0"/>
              <w:right w:val="single" w:color="auto" w:sz="6" w:space="0"/>
            </w:tcBorders>
            <w:vAlign w:val="center"/>
          </w:tcPr>
          <w:p>
            <w:pPr>
              <w:spacing w:before="50" w:after="188" w:line="360" w:lineRule="auto"/>
              <w:jc w:val="left"/>
              <w:rPr>
                <w:rFonts w:ascii="宋体" w:hAnsi="宋体" w:cs="Arial"/>
                <w:sz w:val="21"/>
                <w:szCs w:val="21"/>
              </w:rPr>
            </w:pPr>
          </w:p>
        </w:tc>
        <w:tc>
          <w:tcPr>
            <w:tcW w:w="1517" w:type="dxa"/>
            <w:tcBorders>
              <w:top w:val="single" w:color="auto" w:sz="6" w:space="0"/>
              <w:left w:val="single" w:color="auto" w:sz="6" w:space="0"/>
              <w:bottom w:val="single" w:color="auto" w:sz="6" w:space="0"/>
              <w:right w:val="single" w:color="auto" w:sz="6" w:space="0"/>
            </w:tcBorders>
          </w:tcPr>
          <w:p>
            <w:pPr>
              <w:spacing w:before="50" w:after="188" w:line="360" w:lineRule="auto"/>
              <w:jc w:val="left"/>
              <w:rPr>
                <w:rFonts w:ascii="宋体" w:hAnsi="宋体" w:cs="Arial"/>
                <w:sz w:val="21"/>
                <w:szCs w:val="21"/>
              </w:rPr>
            </w:pPr>
          </w:p>
        </w:tc>
      </w:tr>
      <w:tr>
        <w:tblPrEx>
          <w:tblLayout w:type="fixed"/>
          <w:tblCellMar>
            <w:top w:w="0" w:type="dxa"/>
            <w:left w:w="30" w:type="dxa"/>
            <w:bottom w:w="0" w:type="dxa"/>
            <w:right w:w="30" w:type="dxa"/>
          </w:tblCellMar>
        </w:tblPrEx>
        <w:trPr>
          <w:trHeight w:val="420" w:hRule="atLeast"/>
          <w:jc w:val="center"/>
        </w:trPr>
        <w:tc>
          <w:tcPr>
            <w:tcW w:w="2798" w:type="dxa"/>
            <w:tcBorders>
              <w:top w:val="single" w:color="auto" w:sz="6" w:space="0"/>
              <w:left w:val="single" w:color="auto" w:sz="6" w:space="0"/>
              <w:bottom w:val="single" w:color="auto" w:sz="6" w:space="0"/>
              <w:right w:val="single" w:color="auto" w:sz="6" w:space="0"/>
            </w:tcBorders>
            <w:vAlign w:val="center"/>
          </w:tcPr>
          <w:p>
            <w:pPr>
              <w:spacing w:before="50" w:after="188" w:line="360" w:lineRule="auto"/>
              <w:jc w:val="left"/>
              <w:rPr>
                <w:rFonts w:ascii="宋体" w:hAnsi="宋体" w:cs="Arial"/>
                <w:sz w:val="21"/>
                <w:szCs w:val="21"/>
              </w:rPr>
            </w:pPr>
          </w:p>
        </w:tc>
        <w:tc>
          <w:tcPr>
            <w:tcW w:w="150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50" w:after="188" w:line="360" w:lineRule="auto"/>
              <w:jc w:val="left"/>
              <w:rPr>
                <w:rFonts w:ascii="宋体" w:hAnsi="宋体" w:cs="Arial"/>
                <w:sz w:val="21"/>
                <w:szCs w:val="21"/>
              </w:rPr>
            </w:pPr>
          </w:p>
        </w:tc>
        <w:tc>
          <w:tcPr>
            <w:tcW w:w="1785" w:type="dxa"/>
            <w:tcBorders>
              <w:top w:val="single" w:color="auto" w:sz="6" w:space="0"/>
              <w:left w:val="single" w:color="auto" w:sz="6" w:space="0"/>
              <w:bottom w:val="single" w:color="auto" w:sz="6" w:space="0"/>
              <w:right w:val="single" w:color="auto" w:sz="6" w:space="0"/>
            </w:tcBorders>
            <w:vAlign w:val="center"/>
          </w:tcPr>
          <w:p>
            <w:pPr>
              <w:spacing w:before="50" w:after="188" w:line="360" w:lineRule="auto"/>
              <w:jc w:val="left"/>
              <w:rPr>
                <w:rFonts w:ascii="宋体" w:hAnsi="宋体" w:cs="Arial"/>
                <w:sz w:val="21"/>
                <w:szCs w:val="21"/>
              </w:rPr>
            </w:pPr>
          </w:p>
        </w:tc>
        <w:tc>
          <w:tcPr>
            <w:tcW w:w="1517" w:type="dxa"/>
            <w:tcBorders>
              <w:top w:val="single" w:color="auto" w:sz="6" w:space="0"/>
              <w:left w:val="single" w:color="auto" w:sz="6" w:space="0"/>
              <w:bottom w:val="single" w:color="auto" w:sz="6" w:space="0"/>
              <w:right w:val="single" w:color="auto" w:sz="6" w:space="0"/>
            </w:tcBorders>
          </w:tcPr>
          <w:p>
            <w:pPr>
              <w:spacing w:before="50" w:after="188" w:line="360" w:lineRule="auto"/>
              <w:jc w:val="left"/>
              <w:rPr>
                <w:rFonts w:ascii="宋体" w:hAnsi="宋体" w:cs="Arial"/>
                <w:sz w:val="21"/>
                <w:szCs w:val="21"/>
              </w:rPr>
            </w:pPr>
          </w:p>
        </w:tc>
      </w:tr>
    </w:tbl>
    <w:p>
      <w:pPr>
        <w:spacing w:line="360" w:lineRule="auto"/>
        <w:ind w:left="560"/>
        <w:jc w:val="left"/>
        <w:rPr>
          <w:rFonts w:ascii="宋体" w:hAnsi="宋体"/>
          <w:sz w:val="21"/>
          <w:szCs w:val="21"/>
        </w:rPr>
      </w:pPr>
      <w:r>
        <w:rPr>
          <w:rFonts w:hint="eastAsia" w:ascii="宋体" w:hAnsi="宋体"/>
          <w:sz w:val="21"/>
          <w:szCs w:val="21"/>
        </w:rPr>
        <w:t>投标人需提供相关证明文件的复印件（加盖公章）</w:t>
      </w:r>
    </w:p>
    <w:p>
      <w:pPr>
        <w:tabs>
          <w:tab w:val="left" w:pos="900"/>
        </w:tabs>
        <w:spacing w:line="360" w:lineRule="auto"/>
        <w:jc w:val="left"/>
        <w:rPr>
          <w:rFonts w:ascii="宋体" w:hAnsi="宋体"/>
          <w:sz w:val="21"/>
          <w:szCs w:val="21"/>
        </w:rPr>
      </w:pPr>
      <w:r>
        <w:rPr>
          <w:rFonts w:hint="eastAsia" w:ascii="宋体" w:hAnsi="宋体"/>
          <w:sz w:val="21"/>
          <w:szCs w:val="21"/>
        </w:rPr>
        <w:t>三、其他</w:t>
      </w:r>
    </w:p>
    <w:p>
      <w:pPr>
        <w:spacing w:before="156" w:after="156" w:line="360" w:lineRule="auto"/>
        <w:jc w:val="left"/>
        <w:rPr>
          <w:rFonts w:ascii="宋体" w:hAnsi="宋体"/>
          <w:sz w:val="21"/>
          <w:szCs w:val="21"/>
        </w:rPr>
      </w:pPr>
      <w:r>
        <w:rPr>
          <w:rFonts w:hint="eastAsia" w:ascii="宋体" w:hAnsi="宋体"/>
          <w:sz w:val="21"/>
          <w:szCs w:val="21"/>
        </w:rPr>
        <w:t>1、</w:t>
      </w:r>
      <w:r>
        <w:rPr>
          <w:rFonts w:hint="eastAsia" w:ascii="宋体" w:hAnsi="宋体" w:cs="宋体"/>
          <w:sz w:val="21"/>
          <w:szCs w:val="21"/>
        </w:rPr>
        <w:t>参加政府采购活动前三年内，在经营活动中的重大违法记录</w:t>
      </w:r>
      <w:r>
        <w:rPr>
          <w:rFonts w:hint="eastAsia" w:ascii="宋体" w:hAnsi="宋体"/>
          <w:sz w:val="21"/>
          <w:szCs w:val="21"/>
        </w:rPr>
        <w:t>（须如实填写，若对此进行隐瞒，尔后又被采购人或</w:t>
      </w:r>
      <w:r>
        <w:rPr>
          <w:rFonts w:hint="eastAsia" w:ascii="宋体" w:hAnsi="宋体" w:cs="宋体"/>
          <w:sz w:val="21"/>
          <w:szCs w:val="21"/>
        </w:rPr>
        <w:t>采购代理机构</w:t>
      </w:r>
      <w:r>
        <w:rPr>
          <w:rFonts w:hint="eastAsia" w:ascii="宋体" w:hAnsi="宋体"/>
          <w:sz w:val="21"/>
          <w:szCs w:val="21"/>
        </w:rPr>
        <w:t>发现，或被它人举证成立，其投标资格将被取消）。</w:t>
      </w:r>
    </w:p>
    <w:tbl>
      <w:tblPr>
        <w:tblStyle w:val="46"/>
        <w:tblW w:w="94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277"/>
        <w:gridCol w:w="3240"/>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1368" w:type="dxa"/>
            <w:vAlign w:val="center"/>
          </w:tcPr>
          <w:p>
            <w:pPr>
              <w:pStyle w:val="6"/>
              <w:ind w:left="1" w:firstLine="0"/>
              <w:jc w:val="left"/>
              <w:rPr>
                <w:rFonts w:ascii="宋体" w:hAnsi="宋体"/>
                <w:b/>
                <w:sz w:val="21"/>
                <w:szCs w:val="21"/>
              </w:rPr>
            </w:pPr>
            <w:r>
              <w:rPr>
                <w:rFonts w:hint="eastAsia" w:ascii="宋体" w:hAnsi="宋体"/>
                <w:b/>
                <w:sz w:val="21"/>
                <w:szCs w:val="21"/>
              </w:rPr>
              <w:t>时 间</w:t>
            </w:r>
          </w:p>
        </w:tc>
        <w:tc>
          <w:tcPr>
            <w:tcW w:w="3277" w:type="dxa"/>
            <w:vAlign w:val="center"/>
          </w:tcPr>
          <w:p>
            <w:pPr>
              <w:pStyle w:val="6"/>
              <w:jc w:val="left"/>
              <w:rPr>
                <w:rFonts w:ascii="宋体" w:hAnsi="宋体"/>
                <w:b/>
                <w:sz w:val="21"/>
                <w:szCs w:val="21"/>
              </w:rPr>
            </w:pPr>
            <w:r>
              <w:rPr>
                <w:rFonts w:hint="eastAsia" w:ascii="宋体" w:hAnsi="宋体"/>
                <w:b/>
                <w:sz w:val="21"/>
                <w:szCs w:val="21"/>
              </w:rPr>
              <w:t>受处理的原因</w:t>
            </w:r>
          </w:p>
          <w:p>
            <w:pPr>
              <w:pStyle w:val="6"/>
              <w:ind w:left="0" w:firstLine="0"/>
              <w:jc w:val="left"/>
              <w:rPr>
                <w:rFonts w:ascii="宋体" w:hAnsi="宋体"/>
                <w:sz w:val="21"/>
                <w:szCs w:val="21"/>
              </w:rPr>
            </w:pPr>
            <w:r>
              <w:rPr>
                <w:rFonts w:hint="eastAsia" w:ascii="宋体" w:hAnsi="宋体"/>
                <w:sz w:val="21"/>
                <w:szCs w:val="21"/>
              </w:rPr>
              <w:t>（注明采购项目名称及处理原因）</w:t>
            </w:r>
          </w:p>
        </w:tc>
        <w:tc>
          <w:tcPr>
            <w:tcW w:w="3240" w:type="dxa"/>
            <w:vAlign w:val="center"/>
          </w:tcPr>
          <w:p>
            <w:pPr>
              <w:pStyle w:val="6"/>
              <w:ind w:firstLine="422"/>
              <w:jc w:val="left"/>
              <w:rPr>
                <w:rFonts w:ascii="宋体" w:hAnsi="宋体"/>
                <w:b/>
                <w:sz w:val="21"/>
                <w:szCs w:val="21"/>
              </w:rPr>
            </w:pPr>
            <w:r>
              <w:rPr>
                <w:rFonts w:hint="eastAsia" w:ascii="宋体" w:hAnsi="宋体"/>
                <w:b/>
                <w:sz w:val="21"/>
                <w:szCs w:val="21"/>
              </w:rPr>
              <w:t>处理的内容</w:t>
            </w:r>
          </w:p>
          <w:p>
            <w:pPr>
              <w:pStyle w:val="6"/>
              <w:ind w:left="0" w:firstLine="0"/>
              <w:jc w:val="left"/>
              <w:rPr>
                <w:rFonts w:ascii="宋体" w:hAnsi="宋体"/>
                <w:sz w:val="21"/>
                <w:szCs w:val="21"/>
              </w:rPr>
            </w:pPr>
            <w:r>
              <w:rPr>
                <w:rFonts w:hint="eastAsia" w:ascii="宋体" w:hAnsi="宋体"/>
                <w:sz w:val="21"/>
                <w:szCs w:val="21"/>
              </w:rPr>
              <w:t>（如受到禁止一段时期参加全国范围内某种项目的采购活动的，同时说明解禁时间）</w:t>
            </w:r>
          </w:p>
        </w:tc>
        <w:tc>
          <w:tcPr>
            <w:tcW w:w="1547" w:type="dxa"/>
            <w:vAlign w:val="center"/>
          </w:tcPr>
          <w:p>
            <w:pPr>
              <w:pStyle w:val="6"/>
              <w:ind w:left="0" w:firstLine="0"/>
              <w:jc w:val="left"/>
              <w:rPr>
                <w:rFonts w:ascii="宋体" w:hAnsi="宋体"/>
                <w:b/>
                <w:sz w:val="21"/>
                <w:szCs w:val="21"/>
              </w:rPr>
            </w:pPr>
            <w:r>
              <w:rPr>
                <w:rFonts w:hint="eastAsia" w:ascii="宋体" w:hAnsi="宋体"/>
                <w:b/>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368" w:type="dxa"/>
            <w:vAlign w:val="center"/>
          </w:tcPr>
          <w:p>
            <w:pPr>
              <w:pStyle w:val="6"/>
              <w:jc w:val="left"/>
              <w:rPr>
                <w:rFonts w:ascii="宋体" w:hAnsi="宋体"/>
                <w:sz w:val="21"/>
                <w:szCs w:val="21"/>
              </w:rPr>
            </w:pPr>
          </w:p>
        </w:tc>
        <w:tc>
          <w:tcPr>
            <w:tcW w:w="3277" w:type="dxa"/>
            <w:vAlign w:val="center"/>
          </w:tcPr>
          <w:p>
            <w:pPr>
              <w:pStyle w:val="6"/>
              <w:jc w:val="left"/>
              <w:rPr>
                <w:rFonts w:ascii="宋体" w:hAnsi="宋体"/>
                <w:sz w:val="21"/>
                <w:szCs w:val="21"/>
              </w:rPr>
            </w:pPr>
          </w:p>
        </w:tc>
        <w:tc>
          <w:tcPr>
            <w:tcW w:w="3240" w:type="dxa"/>
            <w:vAlign w:val="center"/>
          </w:tcPr>
          <w:p>
            <w:pPr>
              <w:pStyle w:val="6"/>
              <w:jc w:val="left"/>
              <w:rPr>
                <w:rFonts w:ascii="宋体" w:hAnsi="宋体"/>
                <w:sz w:val="21"/>
                <w:szCs w:val="21"/>
              </w:rPr>
            </w:pPr>
          </w:p>
        </w:tc>
        <w:tc>
          <w:tcPr>
            <w:tcW w:w="1547" w:type="dxa"/>
            <w:vAlign w:val="center"/>
          </w:tcPr>
          <w:p>
            <w:pPr>
              <w:pStyle w:val="6"/>
              <w:jc w:val="left"/>
              <w:rPr>
                <w:rFonts w:ascii="宋体" w:hAnsi="宋体"/>
                <w:sz w:val="21"/>
                <w:szCs w:val="21"/>
              </w:rPr>
            </w:pPr>
          </w:p>
        </w:tc>
      </w:tr>
    </w:tbl>
    <w:p>
      <w:pPr>
        <w:pStyle w:val="6"/>
        <w:ind w:left="0" w:firstLine="0"/>
        <w:jc w:val="left"/>
        <w:rPr>
          <w:rFonts w:ascii="宋体" w:hAnsi="宋体"/>
          <w:sz w:val="21"/>
          <w:szCs w:val="21"/>
        </w:rPr>
      </w:pPr>
      <w:r>
        <w:rPr>
          <w:rFonts w:hint="eastAsia" w:ascii="宋体" w:hAnsi="宋体"/>
          <w:sz w:val="21"/>
          <w:szCs w:val="21"/>
        </w:rPr>
        <w:t>2、投标人认为有必要提供的其他证明有关技术、资金实力的资质材料，所有证明文件需提供复印件（加盖公章）</w:t>
      </w:r>
    </w:p>
    <w:p>
      <w:pPr>
        <w:pStyle w:val="6"/>
        <w:ind w:firstLine="0"/>
        <w:jc w:val="left"/>
        <w:rPr>
          <w:rFonts w:ascii="宋体" w:hAnsi="宋体"/>
          <w:sz w:val="21"/>
          <w:szCs w:val="21"/>
        </w:rPr>
      </w:pPr>
      <w:r>
        <w:rPr>
          <w:rFonts w:ascii="宋体" w:hAnsi="宋体"/>
          <w:sz w:val="21"/>
          <w:szCs w:val="21"/>
        </w:rPr>
        <mc:AlternateContent>
          <mc:Choice Requires="wps">
            <w:drawing>
              <wp:anchor distT="0" distB="0" distL="114300" distR="114300" simplePos="0" relativeHeight="251660288" behindDoc="0" locked="0" layoutInCell="1" allowOverlap="1">
                <wp:simplePos x="0" y="0"/>
                <wp:positionH relativeFrom="column">
                  <wp:posOffset>3384550</wp:posOffset>
                </wp:positionH>
                <wp:positionV relativeFrom="paragraph">
                  <wp:posOffset>46355</wp:posOffset>
                </wp:positionV>
                <wp:extent cx="1979930" cy="1619885"/>
                <wp:effectExtent l="4445" t="4445" r="15875" b="13970"/>
                <wp:wrapNone/>
                <wp:docPr id="8" name="矩形 24"/>
                <wp:cNvGraphicFramePr/>
                <a:graphic xmlns:a="http://schemas.openxmlformats.org/drawingml/2006/main">
                  <a:graphicData uri="http://schemas.microsoft.com/office/word/2010/wordprocessingShape">
                    <wps:wsp>
                      <wps:cNvSpPr/>
                      <wps:spPr>
                        <a:xfrm>
                          <a:off x="0" y="0"/>
                          <a:ext cx="1979930" cy="16198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21"/>
                                <w:szCs w:val="21"/>
                              </w:rPr>
                            </w:pPr>
                          </w:p>
                          <w:p>
                            <w:pPr>
                              <w:jc w:val="center"/>
                              <w:rPr>
                                <w:rFonts w:ascii="宋体" w:hAnsi="宋体"/>
                                <w:sz w:val="21"/>
                                <w:szCs w:val="21"/>
                              </w:rPr>
                            </w:pPr>
                          </w:p>
                          <w:p>
                            <w:pPr>
                              <w:jc w:val="center"/>
                              <w:rPr>
                                <w:szCs w:val="21"/>
                              </w:rPr>
                            </w:pPr>
                            <w:r>
                              <w:rPr>
                                <w:rFonts w:hint="eastAsia" w:ascii="宋体" w:hAnsi="宋体"/>
                                <w:sz w:val="21"/>
                                <w:szCs w:val="21"/>
                              </w:rPr>
                              <w:t>投标人公章样本</w:t>
                            </w:r>
                          </w:p>
                        </w:txbxContent>
                      </wps:txbx>
                      <wps:bodyPr upright="1"/>
                    </wps:wsp>
                  </a:graphicData>
                </a:graphic>
              </wp:anchor>
            </w:drawing>
          </mc:Choice>
          <mc:Fallback>
            <w:pict>
              <v:rect id="矩形 24" o:spid="_x0000_s1026" o:spt="1" style="position:absolute;left:0pt;margin-left:266.5pt;margin-top:3.65pt;height:127.55pt;width:155.9pt;z-index:251660288;mso-width-relative:page;mso-height-relative:page;" fillcolor="#FFFFFF" filled="t" stroked="t" coordsize="21600,21600" o:gfxdata="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rZpWzYAAAACQEAAA8AAAAAAAAAAQAgAAAAIgAAAGRycy9kb3ducmV2LnhtbFBLAQIUABQAAAAI&#10;AIdO4kC9J+Z37QEAAOsDAAAOAAAAAAAAAAEAIAAAACcBAABkcnMvZTJvRG9jLnhtbFBLBQYAAAAA&#10;BgAGAFkBAACGBQAAAAA=&#10;">
                <v:fill on="t" focussize="0,0"/>
                <v:stroke color="#000000" joinstyle="miter"/>
                <v:imagedata o:title=""/>
                <o:lock v:ext="edit" aspectratio="f"/>
                <v:textbox>
                  <w:txbxContent>
                    <w:p>
                      <w:pPr>
                        <w:jc w:val="center"/>
                        <w:rPr>
                          <w:rFonts w:ascii="宋体" w:hAnsi="宋体"/>
                          <w:sz w:val="21"/>
                          <w:szCs w:val="21"/>
                        </w:rPr>
                      </w:pPr>
                    </w:p>
                    <w:p>
                      <w:pPr>
                        <w:jc w:val="center"/>
                        <w:rPr>
                          <w:rFonts w:ascii="宋体" w:hAnsi="宋体"/>
                          <w:sz w:val="21"/>
                          <w:szCs w:val="21"/>
                        </w:rPr>
                      </w:pPr>
                    </w:p>
                    <w:p>
                      <w:pPr>
                        <w:jc w:val="center"/>
                        <w:rPr>
                          <w:szCs w:val="21"/>
                        </w:rPr>
                      </w:pPr>
                      <w:r>
                        <w:rPr>
                          <w:rFonts w:hint="eastAsia" w:ascii="宋体" w:hAnsi="宋体"/>
                          <w:sz w:val="21"/>
                          <w:szCs w:val="21"/>
                        </w:rPr>
                        <w:t>投标人公章样本</w:t>
                      </w:r>
                    </w:p>
                  </w:txbxContent>
                </v:textbox>
              </v:rect>
            </w:pict>
          </mc:Fallback>
        </mc:AlternateContent>
      </w:r>
      <w:r>
        <w:rPr>
          <w:rFonts w:ascii="宋体" w:hAnsi="宋体"/>
          <w:sz w:val="21"/>
          <w:szCs w:val="21"/>
        </w:rPr>
        <mc:AlternateContent>
          <mc:Choice Requires="wps">
            <w:drawing>
              <wp:anchor distT="0" distB="0" distL="114300" distR="114300" simplePos="0" relativeHeight="251659264" behindDoc="0" locked="0" layoutInCell="1" allowOverlap="1">
                <wp:simplePos x="0" y="0"/>
                <wp:positionH relativeFrom="column">
                  <wp:posOffset>749300</wp:posOffset>
                </wp:positionH>
                <wp:positionV relativeFrom="paragraph">
                  <wp:posOffset>55880</wp:posOffset>
                </wp:positionV>
                <wp:extent cx="1979930" cy="1619885"/>
                <wp:effectExtent l="4445" t="4445" r="15875" b="13970"/>
                <wp:wrapNone/>
                <wp:docPr id="7" name="矩形 23"/>
                <wp:cNvGraphicFramePr/>
                <a:graphic xmlns:a="http://schemas.openxmlformats.org/drawingml/2006/main">
                  <a:graphicData uri="http://schemas.microsoft.com/office/word/2010/wordprocessingShape">
                    <wps:wsp>
                      <wps:cNvSpPr/>
                      <wps:spPr>
                        <a:xfrm>
                          <a:off x="0" y="0"/>
                          <a:ext cx="1979930" cy="16198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21"/>
                                <w:szCs w:val="21"/>
                              </w:rPr>
                            </w:pPr>
                          </w:p>
                          <w:p>
                            <w:pPr>
                              <w:jc w:val="center"/>
                              <w:rPr>
                                <w:rFonts w:ascii="宋体" w:hAnsi="宋体"/>
                                <w:sz w:val="21"/>
                                <w:szCs w:val="21"/>
                              </w:rPr>
                            </w:pPr>
                          </w:p>
                          <w:p>
                            <w:pPr>
                              <w:jc w:val="center"/>
                              <w:rPr>
                                <w:szCs w:val="21"/>
                              </w:rPr>
                            </w:pPr>
                            <w:r>
                              <w:rPr>
                                <w:rFonts w:hint="eastAsia" w:ascii="宋体" w:hAnsi="宋体"/>
                                <w:sz w:val="21"/>
                                <w:szCs w:val="21"/>
                              </w:rPr>
                              <w:t>投标人标记样本（即LOGO，如无,无须标记）</w:t>
                            </w:r>
                          </w:p>
                        </w:txbxContent>
                      </wps:txbx>
                      <wps:bodyPr upright="1"/>
                    </wps:wsp>
                  </a:graphicData>
                </a:graphic>
              </wp:anchor>
            </w:drawing>
          </mc:Choice>
          <mc:Fallback>
            <w:pict>
              <v:rect id="矩形 23" o:spid="_x0000_s1026" o:spt="1" style="position:absolute;left:0pt;margin-left:59pt;margin-top:4.4pt;height:127.55pt;width:155.9pt;z-index:251659264;mso-width-relative:page;mso-height-relative:page;" fillcolor="#FFFFFF" filled="t" stroked="t" coordsize="21600,21600" o:gfxdata="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0Fa+TXAAAACQEAAA8AAAAAAAAAAQAgAAAAIgAAAGRycy9kb3ducmV2LnhtbFBLAQIUABQAAAAI&#10;AIdO4kBKUE8x7gEAAOsDAAAOAAAAAAAAAAEAIAAAACYBAABkcnMvZTJvRG9jLnhtbFBLBQYAAAAA&#10;BgAGAFkBAACGBQAAAAA=&#10;">
                <v:fill on="t" focussize="0,0"/>
                <v:stroke color="#000000" joinstyle="miter"/>
                <v:imagedata o:title=""/>
                <o:lock v:ext="edit" aspectratio="f"/>
                <v:textbox>
                  <w:txbxContent>
                    <w:p>
                      <w:pPr>
                        <w:jc w:val="center"/>
                        <w:rPr>
                          <w:rFonts w:ascii="宋体" w:hAnsi="宋体"/>
                          <w:sz w:val="21"/>
                          <w:szCs w:val="21"/>
                        </w:rPr>
                      </w:pPr>
                    </w:p>
                    <w:p>
                      <w:pPr>
                        <w:jc w:val="center"/>
                        <w:rPr>
                          <w:rFonts w:ascii="宋体" w:hAnsi="宋体"/>
                          <w:sz w:val="21"/>
                          <w:szCs w:val="21"/>
                        </w:rPr>
                      </w:pPr>
                    </w:p>
                    <w:p>
                      <w:pPr>
                        <w:jc w:val="center"/>
                        <w:rPr>
                          <w:szCs w:val="21"/>
                        </w:rPr>
                      </w:pPr>
                      <w:r>
                        <w:rPr>
                          <w:rFonts w:hint="eastAsia" w:ascii="宋体" w:hAnsi="宋体"/>
                          <w:sz w:val="21"/>
                          <w:szCs w:val="21"/>
                        </w:rPr>
                        <w:t>投标人标记样本（即LOGO，如无,无须标记）</w:t>
                      </w:r>
                    </w:p>
                  </w:txbxContent>
                </v:textbox>
              </v:rect>
            </w:pict>
          </mc:Fallback>
        </mc:AlternateContent>
      </w:r>
    </w:p>
    <w:p>
      <w:pPr>
        <w:pStyle w:val="6"/>
        <w:ind w:firstLine="0"/>
        <w:jc w:val="left"/>
        <w:rPr>
          <w:rFonts w:ascii="宋体" w:hAnsi="宋体"/>
          <w:sz w:val="21"/>
          <w:szCs w:val="21"/>
        </w:rPr>
      </w:pPr>
    </w:p>
    <w:p>
      <w:pPr>
        <w:pStyle w:val="6"/>
        <w:ind w:firstLine="0"/>
        <w:jc w:val="left"/>
        <w:rPr>
          <w:rFonts w:ascii="宋体" w:hAnsi="宋体"/>
          <w:sz w:val="21"/>
          <w:szCs w:val="21"/>
        </w:rPr>
      </w:pPr>
    </w:p>
    <w:p>
      <w:pPr>
        <w:pStyle w:val="6"/>
        <w:ind w:firstLine="0"/>
        <w:jc w:val="left"/>
        <w:rPr>
          <w:rFonts w:ascii="宋体" w:hAnsi="宋体"/>
          <w:sz w:val="21"/>
          <w:szCs w:val="21"/>
        </w:rPr>
      </w:pPr>
    </w:p>
    <w:p>
      <w:pPr>
        <w:pStyle w:val="6"/>
        <w:ind w:firstLine="0"/>
        <w:jc w:val="left"/>
        <w:rPr>
          <w:rFonts w:ascii="宋体" w:hAnsi="宋体"/>
          <w:sz w:val="21"/>
          <w:szCs w:val="21"/>
        </w:rPr>
      </w:pPr>
    </w:p>
    <w:p>
      <w:pPr>
        <w:pStyle w:val="6"/>
        <w:ind w:firstLine="0"/>
        <w:jc w:val="left"/>
        <w:rPr>
          <w:rFonts w:ascii="宋体" w:hAnsi="宋体"/>
          <w:sz w:val="21"/>
          <w:szCs w:val="21"/>
        </w:rPr>
      </w:pPr>
    </w:p>
    <w:p>
      <w:pPr>
        <w:pStyle w:val="6"/>
        <w:ind w:firstLine="0"/>
        <w:jc w:val="left"/>
        <w:rPr>
          <w:rFonts w:ascii="宋体" w:hAnsi="宋体"/>
          <w:sz w:val="21"/>
          <w:szCs w:val="21"/>
        </w:rPr>
      </w:pPr>
    </w:p>
    <w:p>
      <w:pPr>
        <w:spacing w:line="360" w:lineRule="auto"/>
        <w:ind w:left="748" w:leftChars="119" w:hanging="462" w:hangingChars="220"/>
        <w:jc w:val="left"/>
        <w:rPr>
          <w:rFonts w:ascii="宋体" w:hAnsi="宋体"/>
          <w:sz w:val="21"/>
          <w:szCs w:val="21"/>
        </w:rPr>
      </w:pPr>
      <w:r>
        <w:rPr>
          <w:rFonts w:hint="eastAsia" w:ascii="宋体" w:hAnsi="宋体"/>
          <w:sz w:val="21"/>
          <w:szCs w:val="21"/>
        </w:rPr>
        <w:t>我/我们声明以上所述是正确无误的，您有权进行您认为必要的所有调查。</w:t>
      </w:r>
    </w:p>
    <w:p>
      <w:pPr>
        <w:spacing w:line="360" w:lineRule="auto"/>
        <w:ind w:left="748" w:leftChars="119" w:hanging="462" w:hangingChars="220"/>
        <w:jc w:val="left"/>
        <w:rPr>
          <w:rFonts w:ascii="宋体" w:hAnsi="宋体"/>
          <w:sz w:val="21"/>
          <w:szCs w:val="21"/>
        </w:rPr>
      </w:pPr>
      <w:r>
        <w:rPr>
          <w:rFonts w:hint="eastAsia" w:ascii="宋体" w:hAnsi="宋体"/>
          <w:sz w:val="21"/>
          <w:szCs w:val="21"/>
        </w:rPr>
        <w:t>投标人名称（并加盖公章）：</w:t>
      </w:r>
    </w:p>
    <w:p>
      <w:pPr>
        <w:spacing w:line="360" w:lineRule="auto"/>
        <w:ind w:left="748" w:leftChars="119" w:hanging="462" w:hangingChars="220"/>
        <w:jc w:val="left"/>
        <w:rPr>
          <w:rFonts w:ascii="宋体" w:hAnsi="宋体"/>
          <w:sz w:val="21"/>
          <w:szCs w:val="21"/>
        </w:rPr>
      </w:pPr>
      <w:r>
        <w:rPr>
          <w:rFonts w:hint="eastAsia" w:ascii="宋体" w:hAnsi="宋体"/>
          <w:sz w:val="21"/>
          <w:szCs w:val="21"/>
        </w:rPr>
        <w:t>投标人法定代表人或其委托人签名或印鉴：</w:t>
      </w:r>
    </w:p>
    <w:p>
      <w:pPr>
        <w:spacing w:line="360" w:lineRule="auto"/>
        <w:ind w:left="748" w:leftChars="119" w:hanging="462" w:hangingChars="220"/>
        <w:jc w:val="left"/>
        <w:rPr>
          <w:rFonts w:ascii="宋体" w:hAnsi="宋体"/>
          <w:sz w:val="21"/>
          <w:szCs w:val="21"/>
        </w:rPr>
      </w:pPr>
      <w:r>
        <w:rPr>
          <w:rFonts w:hint="eastAsia" w:ascii="宋体" w:hAnsi="宋体"/>
          <w:sz w:val="21"/>
          <w:szCs w:val="21"/>
        </w:rPr>
        <w:t>日期：</w:t>
      </w: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bookmarkStart w:id="184" w:name="_Hlt107565134"/>
      <w:bookmarkEnd w:id="184"/>
      <w:bookmarkStart w:id="185" w:name="_Toc368513829"/>
      <w:r>
        <w:rPr>
          <w:rFonts w:hint="eastAsia" w:ascii="宋体" w:hAnsi="宋体" w:eastAsia="宋体"/>
          <w:sz w:val="21"/>
          <w:szCs w:val="21"/>
        </w:rPr>
        <w:br w:type="page"/>
      </w:r>
      <w:bookmarkStart w:id="186" w:name="_Toc368513833"/>
      <w:bookmarkStart w:id="187" w:name="_Toc11234"/>
      <w:r>
        <w:rPr>
          <w:rFonts w:hint="eastAsia" w:ascii="宋体" w:hAnsi="宋体" w:eastAsia="宋体"/>
          <w:sz w:val="21"/>
          <w:szCs w:val="21"/>
        </w:rPr>
        <w:t>项目经理/项目负责人简历表</w:t>
      </w:r>
      <w:bookmarkEnd w:id="186"/>
      <w:bookmarkEnd w:id="187"/>
    </w:p>
    <w:tbl>
      <w:tblPr>
        <w:tblStyle w:val="46"/>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800"/>
        <w:gridCol w:w="180"/>
        <w:gridCol w:w="1080"/>
        <w:gridCol w:w="900"/>
        <w:gridCol w:w="766"/>
        <w:gridCol w:w="674"/>
        <w:gridCol w:w="5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spacing w:before="156" w:after="156" w:line="400" w:lineRule="exact"/>
              <w:jc w:val="left"/>
              <w:rPr>
                <w:rFonts w:ascii="宋体" w:hAnsi="宋体"/>
                <w:sz w:val="21"/>
                <w:szCs w:val="21"/>
              </w:rPr>
            </w:pPr>
            <w:r>
              <w:rPr>
                <w:rFonts w:hint="eastAsia" w:ascii="宋体" w:hAnsi="宋体"/>
                <w:sz w:val="21"/>
                <w:szCs w:val="21"/>
              </w:rPr>
              <w:t>姓名</w:t>
            </w:r>
          </w:p>
        </w:tc>
        <w:tc>
          <w:tcPr>
            <w:tcW w:w="1800" w:type="dxa"/>
          </w:tcPr>
          <w:p>
            <w:pPr>
              <w:spacing w:before="156" w:after="156" w:line="400" w:lineRule="exact"/>
              <w:jc w:val="left"/>
              <w:rPr>
                <w:rFonts w:ascii="宋体" w:hAnsi="宋体"/>
                <w:sz w:val="21"/>
                <w:szCs w:val="21"/>
              </w:rPr>
            </w:pPr>
          </w:p>
        </w:tc>
        <w:tc>
          <w:tcPr>
            <w:tcW w:w="1260" w:type="dxa"/>
            <w:gridSpan w:val="2"/>
          </w:tcPr>
          <w:p>
            <w:pPr>
              <w:spacing w:before="156" w:after="156" w:line="400" w:lineRule="exact"/>
              <w:jc w:val="left"/>
              <w:rPr>
                <w:rFonts w:ascii="宋体" w:hAnsi="宋体"/>
                <w:sz w:val="21"/>
                <w:szCs w:val="21"/>
              </w:rPr>
            </w:pPr>
            <w:r>
              <w:rPr>
                <w:rFonts w:hint="eastAsia" w:ascii="宋体" w:hAnsi="宋体"/>
                <w:sz w:val="21"/>
                <w:szCs w:val="21"/>
              </w:rPr>
              <w:t>性别</w:t>
            </w:r>
          </w:p>
        </w:tc>
        <w:tc>
          <w:tcPr>
            <w:tcW w:w="1666" w:type="dxa"/>
            <w:gridSpan w:val="2"/>
          </w:tcPr>
          <w:p>
            <w:pPr>
              <w:spacing w:before="156" w:after="156" w:line="400" w:lineRule="exact"/>
              <w:jc w:val="left"/>
              <w:rPr>
                <w:rFonts w:ascii="宋体" w:hAnsi="宋体"/>
                <w:sz w:val="21"/>
                <w:szCs w:val="21"/>
              </w:rPr>
            </w:pPr>
          </w:p>
        </w:tc>
        <w:tc>
          <w:tcPr>
            <w:tcW w:w="1214" w:type="dxa"/>
            <w:gridSpan w:val="2"/>
          </w:tcPr>
          <w:p>
            <w:pPr>
              <w:spacing w:before="156" w:after="156" w:line="400" w:lineRule="exact"/>
              <w:jc w:val="left"/>
              <w:rPr>
                <w:rFonts w:ascii="宋体" w:hAnsi="宋体"/>
                <w:sz w:val="21"/>
                <w:szCs w:val="21"/>
              </w:rPr>
            </w:pPr>
            <w:r>
              <w:rPr>
                <w:rFonts w:hint="eastAsia" w:ascii="宋体" w:hAnsi="宋体"/>
                <w:sz w:val="21"/>
                <w:szCs w:val="21"/>
              </w:rPr>
              <w:t>年龄</w:t>
            </w:r>
          </w:p>
        </w:tc>
        <w:tc>
          <w:tcPr>
            <w:tcW w:w="1260" w:type="dxa"/>
          </w:tcPr>
          <w:p>
            <w:pPr>
              <w:spacing w:before="156" w:after="156" w:line="40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spacing w:before="156" w:after="156" w:line="400" w:lineRule="exact"/>
              <w:jc w:val="left"/>
              <w:rPr>
                <w:rFonts w:ascii="宋体" w:hAnsi="宋体"/>
                <w:sz w:val="21"/>
                <w:szCs w:val="21"/>
              </w:rPr>
            </w:pPr>
            <w:r>
              <w:rPr>
                <w:rFonts w:hint="eastAsia" w:ascii="宋体" w:hAnsi="宋体"/>
                <w:sz w:val="21"/>
                <w:szCs w:val="21"/>
              </w:rPr>
              <w:t>职务</w:t>
            </w:r>
          </w:p>
        </w:tc>
        <w:tc>
          <w:tcPr>
            <w:tcW w:w="1800" w:type="dxa"/>
          </w:tcPr>
          <w:p>
            <w:pPr>
              <w:spacing w:before="156" w:after="156" w:line="400" w:lineRule="exact"/>
              <w:jc w:val="left"/>
              <w:rPr>
                <w:rFonts w:ascii="宋体" w:hAnsi="宋体"/>
                <w:sz w:val="21"/>
                <w:szCs w:val="21"/>
              </w:rPr>
            </w:pPr>
          </w:p>
        </w:tc>
        <w:tc>
          <w:tcPr>
            <w:tcW w:w="1260" w:type="dxa"/>
            <w:gridSpan w:val="2"/>
          </w:tcPr>
          <w:p>
            <w:pPr>
              <w:spacing w:before="156" w:after="156" w:line="400" w:lineRule="exact"/>
              <w:jc w:val="left"/>
              <w:rPr>
                <w:rFonts w:ascii="宋体" w:hAnsi="宋体"/>
                <w:sz w:val="21"/>
                <w:szCs w:val="21"/>
              </w:rPr>
            </w:pPr>
            <w:r>
              <w:rPr>
                <w:rFonts w:hint="eastAsia" w:ascii="宋体" w:hAnsi="宋体"/>
                <w:sz w:val="21"/>
                <w:szCs w:val="21"/>
              </w:rPr>
              <w:t>职称</w:t>
            </w:r>
          </w:p>
        </w:tc>
        <w:tc>
          <w:tcPr>
            <w:tcW w:w="1666" w:type="dxa"/>
            <w:gridSpan w:val="2"/>
          </w:tcPr>
          <w:p>
            <w:pPr>
              <w:spacing w:before="156" w:after="156" w:line="400" w:lineRule="exact"/>
              <w:jc w:val="left"/>
              <w:rPr>
                <w:rFonts w:ascii="宋体" w:hAnsi="宋体"/>
                <w:sz w:val="21"/>
                <w:szCs w:val="21"/>
              </w:rPr>
            </w:pPr>
          </w:p>
        </w:tc>
        <w:tc>
          <w:tcPr>
            <w:tcW w:w="1214" w:type="dxa"/>
            <w:gridSpan w:val="2"/>
          </w:tcPr>
          <w:p>
            <w:pPr>
              <w:spacing w:before="156" w:after="156" w:line="400" w:lineRule="exact"/>
              <w:jc w:val="left"/>
              <w:rPr>
                <w:rFonts w:ascii="宋体" w:hAnsi="宋体"/>
                <w:sz w:val="21"/>
                <w:szCs w:val="21"/>
              </w:rPr>
            </w:pPr>
            <w:r>
              <w:rPr>
                <w:rFonts w:hint="eastAsia" w:ascii="宋体" w:hAnsi="宋体"/>
                <w:sz w:val="21"/>
                <w:szCs w:val="21"/>
              </w:rPr>
              <w:t>学历</w:t>
            </w:r>
          </w:p>
        </w:tc>
        <w:tc>
          <w:tcPr>
            <w:tcW w:w="1260" w:type="dxa"/>
          </w:tcPr>
          <w:p>
            <w:pPr>
              <w:spacing w:before="156" w:after="156" w:line="40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spacing w:before="156" w:after="156" w:line="400" w:lineRule="exact"/>
              <w:jc w:val="left"/>
              <w:rPr>
                <w:rFonts w:ascii="宋体" w:hAnsi="宋体"/>
                <w:sz w:val="21"/>
                <w:szCs w:val="21"/>
              </w:rPr>
            </w:pPr>
            <w:r>
              <w:rPr>
                <w:rFonts w:hint="eastAsia" w:ascii="宋体" w:hAnsi="宋体"/>
                <w:sz w:val="21"/>
                <w:szCs w:val="21"/>
              </w:rPr>
              <w:t>办公电话</w:t>
            </w:r>
          </w:p>
        </w:tc>
        <w:tc>
          <w:tcPr>
            <w:tcW w:w="1800" w:type="dxa"/>
          </w:tcPr>
          <w:p>
            <w:pPr>
              <w:spacing w:before="156" w:after="156" w:line="400" w:lineRule="exact"/>
              <w:jc w:val="left"/>
              <w:rPr>
                <w:rFonts w:ascii="宋体" w:hAnsi="宋体"/>
                <w:sz w:val="21"/>
                <w:szCs w:val="21"/>
              </w:rPr>
            </w:pPr>
          </w:p>
        </w:tc>
        <w:tc>
          <w:tcPr>
            <w:tcW w:w="1260" w:type="dxa"/>
            <w:gridSpan w:val="2"/>
          </w:tcPr>
          <w:p>
            <w:pPr>
              <w:spacing w:before="156" w:after="156" w:line="400" w:lineRule="exact"/>
              <w:jc w:val="left"/>
              <w:rPr>
                <w:rFonts w:ascii="宋体" w:hAnsi="宋体"/>
                <w:sz w:val="21"/>
                <w:szCs w:val="21"/>
              </w:rPr>
            </w:pPr>
            <w:r>
              <w:rPr>
                <w:rFonts w:hint="eastAsia" w:ascii="宋体" w:hAnsi="宋体"/>
                <w:sz w:val="21"/>
                <w:szCs w:val="21"/>
              </w:rPr>
              <w:t>住宅电话</w:t>
            </w:r>
          </w:p>
        </w:tc>
        <w:tc>
          <w:tcPr>
            <w:tcW w:w="1666" w:type="dxa"/>
            <w:gridSpan w:val="2"/>
          </w:tcPr>
          <w:p>
            <w:pPr>
              <w:spacing w:before="156" w:after="156" w:line="400" w:lineRule="exact"/>
              <w:jc w:val="left"/>
              <w:rPr>
                <w:rFonts w:ascii="宋体" w:hAnsi="宋体"/>
                <w:sz w:val="21"/>
                <w:szCs w:val="21"/>
              </w:rPr>
            </w:pPr>
          </w:p>
        </w:tc>
        <w:tc>
          <w:tcPr>
            <w:tcW w:w="1214" w:type="dxa"/>
            <w:gridSpan w:val="2"/>
          </w:tcPr>
          <w:p>
            <w:pPr>
              <w:spacing w:before="156" w:after="156" w:line="400" w:lineRule="exact"/>
              <w:jc w:val="left"/>
              <w:rPr>
                <w:rFonts w:ascii="宋体" w:hAnsi="宋体"/>
                <w:sz w:val="21"/>
                <w:szCs w:val="21"/>
              </w:rPr>
            </w:pPr>
            <w:r>
              <w:rPr>
                <w:rFonts w:hint="eastAsia" w:ascii="宋体" w:hAnsi="宋体"/>
                <w:sz w:val="21"/>
                <w:szCs w:val="21"/>
              </w:rPr>
              <w:t>移动电话</w:t>
            </w:r>
          </w:p>
        </w:tc>
        <w:tc>
          <w:tcPr>
            <w:tcW w:w="1260" w:type="dxa"/>
          </w:tcPr>
          <w:p>
            <w:pPr>
              <w:spacing w:before="156" w:after="156" w:line="40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Pr>
          <w:p>
            <w:pPr>
              <w:spacing w:before="156" w:after="156" w:line="400" w:lineRule="exact"/>
              <w:jc w:val="left"/>
              <w:rPr>
                <w:rFonts w:ascii="宋体" w:hAnsi="宋体"/>
                <w:sz w:val="21"/>
                <w:szCs w:val="21"/>
              </w:rPr>
            </w:pPr>
            <w:r>
              <w:rPr>
                <w:rFonts w:hint="eastAsia" w:ascii="宋体" w:hAnsi="宋体"/>
                <w:sz w:val="21"/>
                <w:szCs w:val="21"/>
              </w:rPr>
              <w:t>参加工作时间</w:t>
            </w:r>
          </w:p>
        </w:tc>
        <w:tc>
          <w:tcPr>
            <w:tcW w:w="3060" w:type="dxa"/>
            <w:gridSpan w:val="3"/>
          </w:tcPr>
          <w:p>
            <w:pPr>
              <w:spacing w:before="156" w:after="156" w:line="400" w:lineRule="exact"/>
              <w:jc w:val="left"/>
              <w:rPr>
                <w:rFonts w:ascii="宋体" w:hAnsi="宋体"/>
                <w:sz w:val="21"/>
                <w:szCs w:val="21"/>
              </w:rPr>
            </w:pPr>
          </w:p>
        </w:tc>
        <w:tc>
          <w:tcPr>
            <w:tcW w:w="2340" w:type="dxa"/>
            <w:gridSpan w:val="3"/>
          </w:tcPr>
          <w:p>
            <w:pPr>
              <w:spacing w:before="156" w:after="156" w:line="400" w:lineRule="exact"/>
              <w:jc w:val="left"/>
              <w:rPr>
                <w:rFonts w:ascii="宋体" w:hAnsi="宋体"/>
                <w:sz w:val="21"/>
                <w:szCs w:val="21"/>
              </w:rPr>
            </w:pPr>
            <w:r>
              <w:rPr>
                <w:rFonts w:hint="eastAsia" w:ascii="宋体" w:hAnsi="宋体"/>
                <w:sz w:val="21"/>
                <w:szCs w:val="21"/>
              </w:rPr>
              <w:t>从事项目经理年限</w:t>
            </w:r>
          </w:p>
        </w:tc>
        <w:tc>
          <w:tcPr>
            <w:tcW w:w="1800" w:type="dxa"/>
            <w:gridSpan w:val="2"/>
          </w:tcPr>
          <w:p>
            <w:pPr>
              <w:spacing w:before="156" w:after="156" w:line="40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Pr>
          <w:p>
            <w:pPr>
              <w:spacing w:before="156" w:after="156" w:line="400" w:lineRule="exact"/>
              <w:jc w:val="left"/>
              <w:rPr>
                <w:rFonts w:ascii="宋体" w:hAnsi="宋体"/>
                <w:sz w:val="21"/>
                <w:szCs w:val="21"/>
              </w:rPr>
            </w:pPr>
            <w:r>
              <w:rPr>
                <w:rFonts w:hint="eastAsia" w:ascii="宋体" w:hAnsi="宋体"/>
                <w:sz w:val="21"/>
                <w:szCs w:val="21"/>
              </w:rPr>
              <w:t>具有认证资质</w:t>
            </w:r>
          </w:p>
        </w:tc>
        <w:tc>
          <w:tcPr>
            <w:tcW w:w="7200" w:type="dxa"/>
            <w:gridSpan w:val="8"/>
          </w:tcPr>
          <w:p>
            <w:pPr>
              <w:spacing w:before="156" w:after="156" w:line="40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928" w:type="dxa"/>
            <w:gridSpan w:val="9"/>
          </w:tcPr>
          <w:p>
            <w:pPr>
              <w:spacing w:before="156" w:after="156" w:line="400" w:lineRule="exact"/>
              <w:jc w:val="left"/>
              <w:rPr>
                <w:rFonts w:ascii="宋体" w:hAnsi="宋体"/>
                <w:sz w:val="21"/>
                <w:szCs w:val="21"/>
              </w:rPr>
            </w:pPr>
            <w:r>
              <w:rPr>
                <w:rFonts w:hint="eastAsia" w:ascii="宋体" w:hAnsi="宋体"/>
                <w:sz w:val="21"/>
                <w:szCs w:val="21"/>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spacing w:before="156" w:after="156" w:line="400" w:lineRule="exact"/>
              <w:jc w:val="left"/>
              <w:rPr>
                <w:rFonts w:ascii="宋体" w:hAnsi="宋体"/>
                <w:sz w:val="21"/>
                <w:szCs w:val="21"/>
              </w:rPr>
            </w:pPr>
            <w:r>
              <w:rPr>
                <w:rFonts w:hint="eastAsia" w:ascii="宋体" w:hAnsi="宋体"/>
                <w:sz w:val="21"/>
                <w:szCs w:val="21"/>
              </w:rPr>
              <w:t>采购单位</w:t>
            </w:r>
          </w:p>
        </w:tc>
        <w:tc>
          <w:tcPr>
            <w:tcW w:w="1980" w:type="dxa"/>
            <w:gridSpan w:val="2"/>
          </w:tcPr>
          <w:p>
            <w:pPr>
              <w:spacing w:before="156" w:after="156" w:line="400" w:lineRule="exact"/>
              <w:jc w:val="left"/>
              <w:rPr>
                <w:rFonts w:ascii="宋体" w:hAnsi="宋体"/>
                <w:sz w:val="21"/>
                <w:szCs w:val="21"/>
              </w:rPr>
            </w:pPr>
            <w:r>
              <w:rPr>
                <w:rFonts w:hint="eastAsia" w:ascii="宋体" w:hAnsi="宋体"/>
                <w:sz w:val="21"/>
                <w:szCs w:val="21"/>
              </w:rPr>
              <w:t>项目名称</w:t>
            </w:r>
          </w:p>
        </w:tc>
        <w:tc>
          <w:tcPr>
            <w:tcW w:w="1980" w:type="dxa"/>
            <w:gridSpan w:val="2"/>
          </w:tcPr>
          <w:p>
            <w:pPr>
              <w:spacing w:before="156" w:after="156" w:line="400" w:lineRule="exact"/>
              <w:jc w:val="left"/>
              <w:rPr>
                <w:rFonts w:ascii="宋体" w:hAnsi="宋体"/>
                <w:sz w:val="21"/>
                <w:szCs w:val="21"/>
              </w:rPr>
            </w:pPr>
            <w:r>
              <w:rPr>
                <w:rFonts w:hint="eastAsia" w:ascii="宋体" w:hAnsi="宋体"/>
                <w:sz w:val="21"/>
                <w:szCs w:val="21"/>
              </w:rPr>
              <w:t>项目规模</w:t>
            </w:r>
          </w:p>
        </w:tc>
        <w:tc>
          <w:tcPr>
            <w:tcW w:w="1440" w:type="dxa"/>
            <w:gridSpan w:val="2"/>
          </w:tcPr>
          <w:p>
            <w:pPr>
              <w:spacing w:before="156" w:after="156" w:line="400" w:lineRule="exact"/>
              <w:jc w:val="left"/>
              <w:rPr>
                <w:rFonts w:ascii="宋体" w:hAnsi="宋体"/>
                <w:sz w:val="21"/>
                <w:szCs w:val="21"/>
              </w:rPr>
            </w:pPr>
            <w:r>
              <w:rPr>
                <w:rFonts w:hint="eastAsia" w:ascii="宋体" w:hAnsi="宋体"/>
                <w:sz w:val="21"/>
                <w:szCs w:val="21"/>
              </w:rPr>
              <w:t>日期</w:t>
            </w:r>
          </w:p>
        </w:tc>
        <w:tc>
          <w:tcPr>
            <w:tcW w:w="1800" w:type="dxa"/>
            <w:gridSpan w:val="2"/>
          </w:tcPr>
          <w:p>
            <w:pPr>
              <w:spacing w:before="156" w:after="156" w:line="400" w:lineRule="exact"/>
              <w:jc w:val="left"/>
              <w:rPr>
                <w:rFonts w:ascii="宋体" w:hAnsi="宋体"/>
                <w:sz w:val="21"/>
                <w:szCs w:val="21"/>
              </w:rPr>
            </w:pPr>
            <w:r>
              <w:rPr>
                <w:rFonts w:hint="eastAsia" w:ascii="宋体" w:hAnsi="宋体"/>
                <w:sz w:val="21"/>
                <w:szCs w:val="21"/>
              </w:rPr>
              <w:t>项目验收情况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spacing w:before="156" w:after="156" w:line="400" w:lineRule="exact"/>
              <w:jc w:val="left"/>
              <w:rPr>
                <w:rFonts w:ascii="宋体" w:hAnsi="宋体"/>
                <w:sz w:val="21"/>
                <w:szCs w:val="21"/>
              </w:rPr>
            </w:pPr>
          </w:p>
        </w:tc>
        <w:tc>
          <w:tcPr>
            <w:tcW w:w="1980" w:type="dxa"/>
            <w:gridSpan w:val="2"/>
          </w:tcPr>
          <w:p>
            <w:pPr>
              <w:spacing w:before="156" w:after="156" w:line="400" w:lineRule="exact"/>
              <w:jc w:val="left"/>
              <w:rPr>
                <w:rFonts w:ascii="宋体" w:hAnsi="宋体"/>
                <w:sz w:val="21"/>
                <w:szCs w:val="21"/>
              </w:rPr>
            </w:pPr>
          </w:p>
        </w:tc>
        <w:tc>
          <w:tcPr>
            <w:tcW w:w="1980" w:type="dxa"/>
            <w:gridSpan w:val="2"/>
          </w:tcPr>
          <w:p>
            <w:pPr>
              <w:spacing w:before="156" w:after="156" w:line="400" w:lineRule="exact"/>
              <w:jc w:val="left"/>
              <w:rPr>
                <w:rFonts w:ascii="宋体" w:hAnsi="宋体"/>
                <w:sz w:val="21"/>
                <w:szCs w:val="21"/>
              </w:rPr>
            </w:pPr>
          </w:p>
        </w:tc>
        <w:tc>
          <w:tcPr>
            <w:tcW w:w="1440" w:type="dxa"/>
            <w:gridSpan w:val="2"/>
          </w:tcPr>
          <w:p>
            <w:pPr>
              <w:spacing w:before="156" w:after="156" w:line="400" w:lineRule="exact"/>
              <w:jc w:val="left"/>
              <w:rPr>
                <w:rFonts w:ascii="宋体" w:hAnsi="宋体"/>
                <w:sz w:val="21"/>
                <w:szCs w:val="21"/>
              </w:rPr>
            </w:pPr>
          </w:p>
        </w:tc>
        <w:tc>
          <w:tcPr>
            <w:tcW w:w="1800" w:type="dxa"/>
            <w:gridSpan w:val="2"/>
          </w:tcPr>
          <w:p>
            <w:pPr>
              <w:spacing w:before="156" w:after="156" w:line="40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spacing w:before="156" w:after="156" w:line="400" w:lineRule="exact"/>
              <w:jc w:val="left"/>
              <w:rPr>
                <w:rFonts w:ascii="宋体" w:hAnsi="宋体"/>
                <w:sz w:val="21"/>
                <w:szCs w:val="21"/>
              </w:rPr>
            </w:pPr>
          </w:p>
        </w:tc>
        <w:tc>
          <w:tcPr>
            <w:tcW w:w="1980" w:type="dxa"/>
            <w:gridSpan w:val="2"/>
          </w:tcPr>
          <w:p>
            <w:pPr>
              <w:spacing w:before="156" w:after="156" w:line="400" w:lineRule="exact"/>
              <w:jc w:val="left"/>
              <w:rPr>
                <w:rFonts w:ascii="宋体" w:hAnsi="宋体"/>
                <w:sz w:val="21"/>
                <w:szCs w:val="21"/>
              </w:rPr>
            </w:pPr>
          </w:p>
        </w:tc>
        <w:tc>
          <w:tcPr>
            <w:tcW w:w="1980" w:type="dxa"/>
            <w:gridSpan w:val="2"/>
          </w:tcPr>
          <w:p>
            <w:pPr>
              <w:spacing w:before="156" w:after="156" w:line="400" w:lineRule="exact"/>
              <w:jc w:val="left"/>
              <w:rPr>
                <w:rFonts w:ascii="宋体" w:hAnsi="宋体"/>
                <w:sz w:val="21"/>
                <w:szCs w:val="21"/>
              </w:rPr>
            </w:pPr>
          </w:p>
        </w:tc>
        <w:tc>
          <w:tcPr>
            <w:tcW w:w="1440" w:type="dxa"/>
            <w:gridSpan w:val="2"/>
          </w:tcPr>
          <w:p>
            <w:pPr>
              <w:spacing w:before="156" w:after="156" w:line="400" w:lineRule="exact"/>
              <w:jc w:val="left"/>
              <w:rPr>
                <w:rFonts w:ascii="宋体" w:hAnsi="宋体"/>
                <w:sz w:val="21"/>
                <w:szCs w:val="21"/>
              </w:rPr>
            </w:pPr>
          </w:p>
        </w:tc>
        <w:tc>
          <w:tcPr>
            <w:tcW w:w="1800" w:type="dxa"/>
            <w:gridSpan w:val="2"/>
          </w:tcPr>
          <w:p>
            <w:pPr>
              <w:spacing w:before="156" w:after="156" w:line="40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spacing w:before="156" w:after="156" w:line="400" w:lineRule="exact"/>
              <w:jc w:val="left"/>
              <w:rPr>
                <w:rFonts w:ascii="宋体" w:hAnsi="宋体"/>
                <w:sz w:val="21"/>
                <w:szCs w:val="21"/>
              </w:rPr>
            </w:pPr>
          </w:p>
        </w:tc>
        <w:tc>
          <w:tcPr>
            <w:tcW w:w="1980" w:type="dxa"/>
            <w:gridSpan w:val="2"/>
          </w:tcPr>
          <w:p>
            <w:pPr>
              <w:spacing w:before="156" w:after="156" w:line="400" w:lineRule="exact"/>
              <w:jc w:val="left"/>
              <w:rPr>
                <w:rFonts w:ascii="宋体" w:hAnsi="宋体"/>
                <w:sz w:val="21"/>
                <w:szCs w:val="21"/>
              </w:rPr>
            </w:pPr>
          </w:p>
        </w:tc>
        <w:tc>
          <w:tcPr>
            <w:tcW w:w="1980" w:type="dxa"/>
            <w:gridSpan w:val="2"/>
          </w:tcPr>
          <w:p>
            <w:pPr>
              <w:spacing w:before="156" w:after="156" w:line="400" w:lineRule="exact"/>
              <w:jc w:val="left"/>
              <w:rPr>
                <w:rFonts w:ascii="宋体" w:hAnsi="宋体"/>
                <w:sz w:val="21"/>
                <w:szCs w:val="21"/>
              </w:rPr>
            </w:pPr>
          </w:p>
        </w:tc>
        <w:tc>
          <w:tcPr>
            <w:tcW w:w="1440" w:type="dxa"/>
            <w:gridSpan w:val="2"/>
          </w:tcPr>
          <w:p>
            <w:pPr>
              <w:spacing w:before="156" w:after="156" w:line="400" w:lineRule="exact"/>
              <w:jc w:val="left"/>
              <w:rPr>
                <w:rFonts w:ascii="宋体" w:hAnsi="宋体"/>
                <w:sz w:val="21"/>
                <w:szCs w:val="21"/>
              </w:rPr>
            </w:pPr>
          </w:p>
        </w:tc>
        <w:tc>
          <w:tcPr>
            <w:tcW w:w="1800" w:type="dxa"/>
            <w:gridSpan w:val="2"/>
          </w:tcPr>
          <w:p>
            <w:pPr>
              <w:spacing w:before="156" w:after="156" w:line="40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spacing w:before="156" w:after="156" w:line="400" w:lineRule="exact"/>
              <w:jc w:val="left"/>
              <w:rPr>
                <w:rFonts w:ascii="宋体" w:hAnsi="宋体"/>
                <w:sz w:val="21"/>
                <w:szCs w:val="21"/>
              </w:rPr>
            </w:pPr>
          </w:p>
        </w:tc>
        <w:tc>
          <w:tcPr>
            <w:tcW w:w="1980" w:type="dxa"/>
            <w:gridSpan w:val="2"/>
          </w:tcPr>
          <w:p>
            <w:pPr>
              <w:spacing w:before="156" w:after="156" w:line="400" w:lineRule="exact"/>
              <w:jc w:val="left"/>
              <w:rPr>
                <w:rFonts w:ascii="宋体" w:hAnsi="宋体"/>
                <w:sz w:val="21"/>
                <w:szCs w:val="21"/>
              </w:rPr>
            </w:pPr>
          </w:p>
        </w:tc>
        <w:tc>
          <w:tcPr>
            <w:tcW w:w="1980" w:type="dxa"/>
            <w:gridSpan w:val="2"/>
          </w:tcPr>
          <w:p>
            <w:pPr>
              <w:spacing w:before="156" w:after="156" w:line="400" w:lineRule="exact"/>
              <w:jc w:val="left"/>
              <w:rPr>
                <w:rFonts w:ascii="宋体" w:hAnsi="宋体"/>
                <w:sz w:val="21"/>
                <w:szCs w:val="21"/>
              </w:rPr>
            </w:pPr>
          </w:p>
        </w:tc>
        <w:tc>
          <w:tcPr>
            <w:tcW w:w="1440" w:type="dxa"/>
            <w:gridSpan w:val="2"/>
          </w:tcPr>
          <w:p>
            <w:pPr>
              <w:spacing w:before="156" w:after="156" w:line="400" w:lineRule="exact"/>
              <w:jc w:val="left"/>
              <w:rPr>
                <w:rFonts w:ascii="宋体" w:hAnsi="宋体"/>
                <w:sz w:val="21"/>
                <w:szCs w:val="21"/>
              </w:rPr>
            </w:pPr>
          </w:p>
        </w:tc>
        <w:tc>
          <w:tcPr>
            <w:tcW w:w="1800" w:type="dxa"/>
            <w:gridSpan w:val="2"/>
          </w:tcPr>
          <w:p>
            <w:pPr>
              <w:spacing w:before="156" w:after="156" w:line="400" w:lineRule="exact"/>
              <w:jc w:val="left"/>
              <w:rPr>
                <w:rFonts w:ascii="宋体" w:hAnsi="宋体"/>
                <w:sz w:val="21"/>
                <w:szCs w:val="21"/>
              </w:rPr>
            </w:pPr>
          </w:p>
        </w:tc>
      </w:tr>
    </w:tbl>
    <w:p>
      <w:pPr>
        <w:pStyle w:val="6"/>
        <w:spacing w:before="156" w:after="156" w:line="400" w:lineRule="exact"/>
        <w:ind w:left="180" w:leftChars="75" w:firstLine="0"/>
        <w:jc w:val="left"/>
        <w:rPr>
          <w:rFonts w:ascii="宋体" w:hAnsi="宋体"/>
          <w:b/>
          <w:sz w:val="21"/>
          <w:szCs w:val="21"/>
        </w:rPr>
      </w:pPr>
      <w:r>
        <w:rPr>
          <w:rFonts w:hint="eastAsia" w:ascii="宋体" w:hAnsi="宋体"/>
          <w:b/>
          <w:sz w:val="21"/>
          <w:szCs w:val="21"/>
        </w:rPr>
        <w:t>注：</w:t>
      </w:r>
      <w:r>
        <w:rPr>
          <w:rFonts w:ascii="宋体" w:hAnsi="宋体" w:cs="Arial"/>
          <w:sz w:val="21"/>
          <w:szCs w:val="21"/>
        </w:rPr>
        <w:t>提供相关</w:t>
      </w:r>
      <w:r>
        <w:rPr>
          <w:rFonts w:hint="eastAsia" w:ascii="宋体" w:hAnsi="宋体" w:cs="Arial"/>
          <w:sz w:val="21"/>
          <w:szCs w:val="21"/>
        </w:rPr>
        <w:t>资质、资格</w:t>
      </w:r>
      <w:r>
        <w:rPr>
          <w:rFonts w:ascii="宋体" w:hAnsi="宋体" w:cs="Arial"/>
          <w:sz w:val="21"/>
          <w:szCs w:val="21"/>
        </w:rPr>
        <w:t>证明文件</w:t>
      </w:r>
      <w:r>
        <w:rPr>
          <w:rFonts w:hint="eastAsia" w:ascii="宋体" w:hAnsi="宋体" w:cs="Arial"/>
          <w:sz w:val="21"/>
          <w:szCs w:val="21"/>
        </w:rPr>
        <w:t>及社保证明</w:t>
      </w:r>
      <w:r>
        <w:rPr>
          <w:rFonts w:ascii="宋体" w:hAnsi="宋体" w:cs="Arial"/>
          <w:sz w:val="21"/>
          <w:szCs w:val="21"/>
        </w:rPr>
        <w:t>复印件</w:t>
      </w:r>
      <w:r>
        <w:rPr>
          <w:rFonts w:hint="eastAsia" w:ascii="宋体" w:hAnsi="宋体" w:cs="Arial"/>
          <w:sz w:val="21"/>
          <w:szCs w:val="21"/>
        </w:rPr>
        <w:t>。</w:t>
      </w:r>
    </w:p>
    <w:p>
      <w:pPr>
        <w:spacing w:line="400" w:lineRule="exact"/>
        <w:ind w:left="180" w:leftChars="75"/>
        <w:jc w:val="left"/>
        <w:rPr>
          <w:rFonts w:ascii="宋体" w:hAnsi="宋体"/>
          <w:sz w:val="21"/>
          <w:szCs w:val="21"/>
        </w:rPr>
      </w:pPr>
    </w:p>
    <w:p>
      <w:pPr>
        <w:spacing w:line="400" w:lineRule="exact"/>
        <w:ind w:left="180" w:leftChars="75"/>
        <w:jc w:val="left"/>
        <w:rPr>
          <w:rFonts w:ascii="宋体" w:hAnsi="宋体"/>
          <w:sz w:val="21"/>
          <w:szCs w:val="21"/>
        </w:rPr>
      </w:pPr>
    </w:p>
    <w:p>
      <w:pPr>
        <w:spacing w:line="400" w:lineRule="exact"/>
        <w:ind w:left="180" w:leftChars="75"/>
        <w:jc w:val="left"/>
        <w:rPr>
          <w:rFonts w:ascii="宋体" w:hAnsi="宋体"/>
          <w:sz w:val="21"/>
          <w:szCs w:val="21"/>
        </w:rPr>
      </w:pPr>
      <w:r>
        <w:rPr>
          <w:rFonts w:hint="eastAsia" w:ascii="宋体" w:hAnsi="宋体"/>
          <w:sz w:val="21"/>
          <w:szCs w:val="21"/>
        </w:rPr>
        <w:t>投标人名称（并加盖公章）：</w:t>
      </w:r>
    </w:p>
    <w:p>
      <w:pPr>
        <w:spacing w:line="400" w:lineRule="exact"/>
        <w:ind w:left="180" w:leftChars="75"/>
        <w:jc w:val="left"/>
        <w:rPr>
          <w:rFonts w:ascii="宋体" w:hAnsi="宋体" w:cs="Arial"/>
          <w:sz w:val="21"/>
          <w:szCs w:val="21"/>
        </w:rPr>
      </w:pPr>
    </w:p>
    <w:p>
      <w:pPr>
        <w:spacing w:line="400" w:lineRule="exact"/>
        <w:ind w:left="180" w:leftChars="75"/>
        <w:jc w:val="left"/>
        <w:rPr>
          <w:rFonts w:ascii="宋体" w:hAnsi="宋体"/>
          <w:sz w:val="21"/>
          <w:szCs w:val="21"/>
        </w:rPr>
      </w:pPr>
      <w:r>
        <w:rPr>
          <w:rFonts w:hint="eastAsia" w:ascii="宋体" w:hAnsi="宋体" w:cs="Arial"/>
          <w:sz w:val="21"/>
          <w:szCs w:val="21"/>
        </w:rPr>
        <w:t>投标人法定代表人或其委托人</w:t>
      </w:r>
      <w:r>
        <w:rPr>
          <w:rFonts w:hint="eastAsia" w:ascii="宋体" w:hAnsi="宋体"/>
          <w:sz w:val="21"/>
          <w:szCs w:val="21"/>
        </w:rPr>
        <w:t>签名或印鉴</w:t>
      </w:r>
      <w:r>
        <w:rPr>
          <w:rFonts w:hint="eastAsia" w:ascii="宋体" w:hAnsi="宋体" w:cs="Arial"/>
          <w:sz w:val="21"/>
          <w:szCs w:val="21"/>
        </w:rPr>
        <w:t>：</w:t>
      </w:r>
    </w:p>
    <w:p>
      <w:pPr>
        <w:pStyle w:val="6"/>
        <w:spacing w:before="156" w:after="156" w:line="400" w:lineRule="exact"/>
        <w:ind w:left="180" w:leftChars="75" w:firstLine="0"/>
        <w:jc w:val="left"/>
        <w:rPr>
          <w:rFonts w:ascii="宋体" w:hAnsi="宋体"/>
          <w:sz w:val="21"/>
          <w:szCs w:val="21"/>
        </w:rPr>
      </w:pPr>
      <w:r>
        <w:rPr>
          <w:rFonts w:hint="eastAsia" w:ascii="宋体" w:hAnsi="宋体"/>
          <w:sz w:val="21"/>
          <w:szCs w:val="21"/>
        </w:rPr>
        <w:t>日  期：</w:t>
      </w: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bookmarkStart w:id="188" w:name="_Toc368513834"/>
      <w:r>
        <w:rPr>
          <w:rFonts w:ascii="宋体" w:hAnsi="宋体" w:eastAsia="宋体"/>
          <w:sz w:val="21"/>
          <w:szCs w:val="21"/>
        </w:rPr>
        <w:br w:type="page"/>
      </w:r>
      <w:bookmarkStart w:id="189" w:name="_Toc28830"/>
      <w:r>
        <w:rPr>
          <w:rFonts w:hint="eastAsia" w:ascii="宋体" w:hAnsi="宋体" w:eastAsia="宋体"/>
          <w:sz w:val="21"/>
          <w:szCs w:val="21"/>
        </w:rPr>
        <w:t>拟为本项目配置的人员情况表</w:t>
      </w:r>
      <w:bookmarkEnd w:id="188"/>
      <w:bookmarkEnd w:id="189"/>
    </w:p>
    <w:tbl>
      <w:tblPr>
        <w:tblStyle w:val="46"/>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848"/>
        <w:gridCol w:w="839"/>
        <w:gridCol w:w="820"/>
        <w:gridCol w:w="1471"/>
        <w:gridCol w:w="791"/>
        <w:gridCol w:w="1992"/>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spacing w:beforeLines="50" w:afterLines="50"/>
              <w:jc w:val="left"/>
              <w:rPr>
                <w:rFonts w:ascii="Arial" w:hAnsi="Arial" w:cs="Arial"/>
                <w:b/>
                <w:bCs/>
                <w:sz w:val="21"/>
                <w:szCs w:val="21"/>
              </w:rPr>
            </w:pPr>
            <w:r>
              <w:rPr>
                <w:rFonts w:hint="eastAsia" w:ascii="Arial" w:hAnsi="Arial" w:cs="Arial"/>
                <w:b/>
                <w:bCs/>
                <w:sz w:val="21"/>
                <w:szCs w:val="21"/>
              </w:rPr>
              <w:t>序号</w:t>
            </w:r>
          </w:p>
        </w:tc>
        <w:tc>
          <w:tcPr>
            <w:tcW w:w="848" w:type="dxa"/>
            <w:vAlign w:val="center"/>
          </w:tcPr>
          <w:p>
            <w:pPr>
              <w:spacing w:beforeLines="50" w:afterLines="50"/>
              <w:jc w:val="left"/>
              <w:rPr>
                <w:rFonts w:ascii="Arial" w:hAnsi="Arial" w:cs="Arial"/>
                <w:b/>
                <w:bCs/>
                <w:sz w:val="21"/>
                <w:szCs w:val="21"/>
              </w:rPr>
            </w:pPr>
            <w:r>
              <w:rPr>
                <w:rFonts w:ascii="Arial" w:hAnsi="Arial" w:cs="Arial"/>
                <w:b/>
                <w:bCs/>
                <w:sz w:val="21"/>
                <w:szCs w:val="21"/>
              </w:rPr>
              <w:t>姓名</w:t>
            </w:r>
          </w:p>
        </w:tc>
        <w:tc>
          <w:tcPr>
            <w:tcW w:w="839" w:type="dxa"/>
            <w:vAlign w:val="center"/>
          </w:tcPr>
          <w:p>
            <w:pPr>
              <w:spacing w:beforeLines="50" w:afterLines="50"/>
              <w:jc w:val="left"/>
              <w:rPr>
                <w:rFonts w:ascii="Arial" w:hAnsi="Arial" w:cs="Arial"/>
                <w:b/>
                <w:bCs/>
                <w:sz w:val="21"/>
                <w:szCs w:val="21"/>
              </w:rPr>
            </w:pPr>
            <w:r>
              <w:rPr>
                <w:rFonts w:hint="eastAsia" w:ascii="Arial" w:hAnsi="Arial" w:cs="Arial"/>
                <w:b/>
                <w:bCs/>
                <w:sz w:val="21"/>
                <w:szCs w:val="21"/>
              </w:rPr>
              <w:t>年龄</w:t>
            </w:r>
          </w:p>
        </w:tc>
        <w:tc>
          <w:tcPr>
            <w:tcW w:w="820" w:type="dxa"/>
            <w:vAlign w:val="center"/>
          </w:tcPr>
          <w:p>
            <w:pPr>
              <w:spacing w:beforeLines="50" w:afterLines="50"/>
              <w:jc w:val="left"/>
              <w:rPr>
                <w:rFonts w:ascii="Arial" w:hAnsi="Arial" w:cs="Arial"/>
                <w:b/>
                <w:bCs/>
                <w:sz w:val="21"/>
                <w:szCs w:val="21"/>
              </w:rPr>
            </w:pPr>
            <w:r>
              <w:rPr>
                <w:rFonts w:hint="eastAsia" w:ascii="Arial" w:hAnsi="Arial" w:cs="Arial"/>
                <w:b/>
                <w:bCs/>
                <w:sz w:val="21"/>
                <w:szCs w:val="21"/>
              </w:rPr>
              <w:t>学历</w:t>
            </w:r>
          </w:p>
        </w:tc>
        <w:tc>
          <w:tcPr>
            <w:tcW w:w="1471" w:type="dxa"/>
            <w:vAlign w:val="center"/>
          </w:tcPr>
          <w:p>
            <w:pPr>
              <w:spacing w:beforeLines="50" w:afterLines="50"/>
              <w:jc w:val="left"/>
              <w:rPr>
                <w:rFonts w:ascii="Arial" w:hAnsi="Arial" w:cs="Arial"/>
                <w:b/>
                <w:bCs/>
                <w:sz w:val="21"/>
                <w:szCs w:val="21"/>
              </w:rPr>
            </w:pPr>
            <w:r>
              <w:rPr>
                <w:rFonts w:hint="eastAsia" w:ascii="Arial" w:hAnsi="Arial" w:cs="Arial"/>
                <w:b/>
                <w:bCs/>
                <w:sz w:val="21"/>
                <w:szCs w:val="21"/>
              </w:rPr>
              <w:t>获得有关的资质证书</w:t>
            </w:r>
          </w:p>
        </w:tc>
        <w:tc>
          <w:tcPr>
            <w:tcW w:w="791" w:type="dxa"/>
            <w:vAlign w:val="center"/>
          </w:tcPr>
          <w:p>
            <w:pPr>
              <w:spacing w:beforeLines="50" w:afterLines="50"/>
              <w:jc w:val="left"/>
              <w:rPr>
                <w:rFonts w:ascii="Arial" w:hAnsi="Arial" w:cs="Arial"/>
                <w:b/>
                <w:bCs/>
                <w:sz w:val="21"/>
                <w:szCs w:val="21"/>
              </w:rPr>
            </w:pPr>
            <w:r>
              <w:rPr>
                <w:rFonts w:hint="eastAsia" w:ascii="Arial" w:hAnsi="Arial" w:cs="Arial"/>
                <w:b/>
                <w:bCs/>
                <w:sz w:val="21"/>
                <w:szCs w:val="21"/>
              </w:rPr>
              <w:t>经验年限</w:t>
            </w:r>
          </w:p>
        </w:tc>
        <w:tc>
          <w:tcPr>
            <w:tcW w:w="1992" w:type="dxa"/>
            <w:vAlign w:val="center"/>
          </w:tcPr>
          <w:p>
            <w:pPr>
              <w:spacing w:beforeLines="50" w:afterLines="50"/>
              <w:jc w:val="left"/>
              <w:rPr>
                <w:rFonts w:ascii="Arial" w:hAnsi="Arial" w:cs="Arial"/>
                <w:b/>
                <w:bCs/>
                <w:sz w:val="21"/>
                <w:szCs w:val="21"/>
              </w:rPr>
            </w:pPr>
            <w:r>
              <w:rPr>
                <w:rFonts w:ascii="Arial" w:hAnsi="Arial" w:cs="Arial"/>
                <w:b/>
                <w:bCs/>
                <w:sz w:val="21"/>
                <w:szCs w:val="21"/>
              </w:rPr>
              <w:t>主要资历、经验及承担过的项目</w:t>
            </w:r>
          </w:p>
        </w:tc>
        <w:tc>
          <w:tcPr>
            <w:tcW w:w="2000" w:type="dxa"/>
            <w:vAlign w:val="center"/>
          </w:tcPr>
          <w:p>
            <w:pPr>
              <w:spacing w:beforeLines="50" w:afterLines="50"/>
              <w:jc w:val="left"/>
              <w:rPr>
                <w:rFonts w:ascii="Arial" w:hAnsi="Arial" w:cs="Arial"/>
                <w:b/>
                <w:bCs/>
                <w:sz w:val="21"/>
                <w:szCs w:val="21"/>
              </w:rPr>
            </w:pPr>
            <w:r>
              <w:rPr>
                <w:rFonts w:hint="eastAsia" w:ascii="Arial" w:hAnsi="Arial" w:cs="Arial"/>
                <w:b/>
                <w:bCs/>
                <w:sz w:val="21"/>
                <w:szCs w:val="21"/>
              </w:rPr>
              <w:t>拟在本项目担任的工作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spacing w:beforeLines="50" w:afterLines="50"/>
              <w:jc w:val="left"/>
              <w:rPr>
                <w:rFonts w:ascii="Arial" w:hAnsi="Arial" w:cs="Arial"/>
                <w:sz w:val="21"/>
                <w:szCs w:val="21"/>
              </w:rPr>
            </w:pPr>
          </w:p>
        </w:tc>
        <w:tc>
          <w:tcPr>
            <w:tcW w:w="848" w:type="dxa"/>
            <w:vAlign w:val="center"/>
          </w:tcPr>
          <w:p>
            <w:pPr>
              <w:spacing w:beforeLines="50" w:afterLines="50"/>
              <w:jc w:val="left"/>
              <w:rPr>
                <w:rFonts w:ascii="Arial" w:hAnsi="Arial" w:cs="Arial"/>
                <w:sz w:val="21"/>
                <w:szCs w:val="21"/>
              </w:rPr>
            </w:pPr>
          </w:p>
        </w:tc>
        <w:tc>
          <w:tcPr>
            <w:tcW w:w="839" w:type="dxa"/>
            <w:vAlign w:val="center"/>
          </w:tcPr>
          <w:p>
            <w:pPr>
              <w:spacing w:beforeLines="50" w:afterLines="50"/>
              <w:jc w:val="left"/>
              <w:rPr>
                <w:rFonts w:ascii="Arial" w:hAnsi="Arial" w:cs="Arial"/>
                <w:sz w:val="21"/>
                <w:szCs w:val="21"/>
              </w:rPr>
            </w:pPr>
          </w:p>
        </w:tc>
        <w:tc>
          <w:tcPr>
            <w:tcW w:w="820" w:type="dxa"/>
            <w:vAlign w:val="center"/>
          </w:tcPr>
          <w:p>
            <w:pPr>
              <w:spacing w:beforeLines="50" w:afterLines="50"/>
              <w:jc w:val="left"/>
              <w:rPr>
                <w:rFonts w:ascii="Arial" w:hAnsi="Arial" w:cs="Arial"/>
                <w:sz w:val="21"/>
                <w:szCs w:val="21"/>
              </w:rPr>
            </w:pPr>
          </w:p>
        </w:tc>
        <w:tc>
          <w:tcPr>
            <w:tcW w:w="1471" w:type="dxa"/>
            <w:vAlign w:val="center"/>
          </w:tcPr>
          <w:p>
            <w:pPr>
              <w:spacing w:beforeLines="50" w:afterLines="50"/>
              <w:jc w:val="left"/>
              <w:rPr>
                <w:rFonts w:ascii="Arial" w:hAnsi="Arial" w:cs="Arial"/>
                <w:sz w:val="21"/>
                <w:szCs w:val="21"/>
              </w:rPr>
            </w:pPr>
          </w:p>
        </w:tc>
        <w:tc>
          <w:tcPr>
            <w:tcW w:w="791" w:type="dxa"/>
            <w:vAlign w:val="center"/>
          </w:tcPr>
          <w:p>
            <w:pPr>
              <w:spacing w:beforeLines="50" w:afterLines="50"/>
              <w:jc w:val="left"/>
              <w:rPr>
                <w:rFonts w:ascii="Arial" w:hAnsi="Arial" w:cs="Arial"/>
                <w:sz w:val="21"/>
                <w:szCs w:val="21"/>
              </w:rPr>
            </w:pPr>
          </w:p>
        </w:tc>
        <w:tc>
          <w:tcPr>
            <w:tcW w:w="1992" w:type="dxa"/>
            <w:vAlign w:val="center"/>
          </w:tcPr>
          <w:p>
            <w:pPr>
              <w:spacing w:beforeLines="50" w:afterLines="50"/>
              <w:jc w:val="left"/>
              <w:rPr>
                <w:rFonts w:ascii="Arial" w:hAnsi="Arial" w:cs="Arial"/>
                <w:sz w:val="21"/>
                <w:szCs w:val="21"/>
              </w:rPr>
            </w:pPr>
          </w:p>
        </w:tc>
        <w:tc>
          <w:tcPr>
            <w:tcW w:w="2000" w:type="dxa"/>
            <w:vAlign w:val="center"/>
          </w:tcPr>
          <w:p>
            <w:pPr>
              <w:spacing w:beforeLines="50" w:afterLines="50"/>
              <w:jc w:val="left"/>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spacing w:beforeLines="50" w:afterLines="50"/>
              <w:jc w:val="left"/>
              <w:rPr>
                <w:rFonts w:ascii="Arial" w:hAnsi="Arial" w:cs="Arial"/>
                <w:sz w:val="21"/>
                <w:szCs w:val="21"/>
              </w:rPr>
            </w:pPr>
          </w:p>
        </w:tc>
        <w:tc>
          <w:tcPr>
            <w:tcW w:w="848" w:type="dxa"/>
            <w:vAlign w:val="center"/>
          </w:tcPr>
          <w:p>
            <w:pPr>
              <w:spacing w:beforeLines="50" w:afterLines="50"/>
              <w:jc w:val="left"/>
              <w:rPr>
                <w:rFonts w:ascii="Arial" w:hAnsi="Arial" w:cs="Arial"/>
                <w:sz w:val="21"/>
                <w:szCs w:val="21"/>
              </w:rPr>
            </w:pPr>
          </w:p>
        </w:tc>
        <w:tc>
          <w:tcPr>
            <w:tcW w:w="839" w:type="dxa"/>
            <w:vAlign w:val="center"/>
          </w:tcPr>
          <w:p>
            <w:pPr>
              <w:spacing w:beforeLines="50" w:afterLines="50"/>
              <w:jc w:val="left"/>
              <w:rPr>
                <w:rFonts w:ascii="Arial" w:hAnsi="Arial" w:cs="Arial"/>
                <w:sz w:val="21"/>
                <w:szCs w:val="21"/>
              </w:rPr>
            </w:pPr>
          </w:p>
        </w:tc>
        <w:tc>
          <w:tcPr>
            <w:tcW w:w="820" w:type="dxa"/>
            <w:vAlign w:val="center"/>
          </w:tcPr>
          <w:p>
            <w:pPr>
              <w:spacing w:beforeLines="50" w:afterLines="50"/>
              <w:jc w:val="left"/>
              <w:rPr>
                <w:rFonts w:ascii="Arial" w:hAnsi="Arial" w:cs="Arial"/>
                <w:sz w:val="21"/>
                <w:szCs w:val="21"/>
              </w:rPr>
            </w:pPr>
          </w:p>
        </w:tc>
        <w:tc>
          <w:tcPr>
            <w:tcW w:w="1471" w:type="dxa"/>
            <w:vAlign w:val="center"/>
          </w:tcPr>
          <w:p>
            <w:pPr>
              <w:spacing w:beforeLines="50" w:afterLines="50"/>
              <w:jc w:val="left"/>
              <w:rPr>
                <w:rFonts w:ascii="Arial" w:hAnsi="Arial" w:cs="Arial"/>
                <w:sz w:val="21"/>
                <w:szCs w:val="21"/>
              </w:rPr>
            </w:pPr>
          </w:p>
        </w:tc>
        <w:tc>
          <w:tcPr>
            <w:tcW w:w="791" w:type="dxa"/>
            <w:vAlign w:val="center"/>
          </w:tcPr>
          <w:p>
            <w:pPr>
              <w:spacing w:beforeLines="50" w:afterLines="50"/>
              <w:jc w:val="left"/>
              <w:rPr>
                <w:rFonts w:ascii="Arial" w:hAnsi="Arial" w:cs="Arial"/>
                <w:sz w:val="21"/>
                <w:szCs w:val="21"/>
              </w:rPr>
            </w:pPr>
          </w:p>
        </w:tc>
        <w:tc>
          <w:tcPr>
            <w:tcW w:w="1992" w:type="dxa"/>
            <w:vAlign w:val="center"/>
          </w:tcPr>
          <w:p>
            <w:pPr>
              <w:spacing w:beforeLines="50" w:afterLines="50"/>
              <w:jc w:val="left"/>
              <w:rPr>
                <w:rFonts w:ascii="Arial" w:hAnsi="Arial" w:cs="Arial"/>
                <w:sz w:val="21"/>
                <w:szCs w:val="21"/>
              </w:rPr>
            </w:pPr>
          </w:p>
        </w:tc>
        <w:tc>
          <w:tcPr>
            <w:tcW w:w="2000" w:type="dxa"/>
            <w:vAlign w:val="center"/>
          </w:tcPr>
          <w:p>
            <w:pPr>
              <w:spacing w:beforeLines="50" w:afterLines="50"/>
              <w:jc w:val="left"/>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spacing w:beforeLines="50" w:afterLines="50"/>
              <w:jc w:val="left"/>
              <w:rPr>
                <w:rFonts w:ascii="Arial" w:hAnsi="Arial" w:cs="Arial"/>
                <w:sz w:val="21"/>
                <w:szCs w:val="21"/>
              </w:rPr>
            </w:pPr>
          </w:p>
        </w:tc>
        <w:tc>
          <w:tcPr>
            <w:tcW w:w="848" w:type="dxa"/>
            <w:vAlign w:val="center"/>
          </w:tcPr>
          <w:p>
            <w:pPr>
              <w:spacing w:beforeLines="50" w:afterLines="50"/>
              <w:jc w:val="left"/>
              <w:rPr>
                <w:rFonts w:ascii="Arial" w:hAnsi="Arial" w:cs="Arial"/>
                <w:sz w:val="21"/>
                <w:szCs w:val="21"/>
              </w:rPr>
            </w:pPr>
          </w:p>
        </w:tc>
        <w:tc>
          <w:tcPr>
            <w:tcW w:w="839" w:type="dxa"/>
            <w:vAlign w:val="center"/>
          </w:tcPr>
          <w:p>
            <w:pPr>
              <w:spacing w:beforeLines="50" w:afterLines="50"/>
              <w:jc w:val="left"/>
              <w:rPr>
                <w:rFonts w:ascii="Arial" w:hAnsi="Arial" w:cs="Arial"/>
                <w:sz w:val="21"/>
                <w:szCs w:val="21"/>
              </w:rPr>
            </w:pPr>
          </w:p>
        </w:tc>
        <w:tc>
          <w:tcPr>
            <w:tcW w:w="820" w:type="dxa"/>
            <w:vAlign w:val="center"/>
          </w:tcPr>
          <w:p>
            <w:pPr>
              <w:spacing w:beforeLines="50" w:afterLines="50"/>
              <w:jc w:val="left"/>
              <w:rPr>
                <w:rFonts w:ascii="Arial" w:hAnsi="Arial" w:cs="Arial"/>
                <w:sz w:val="21"/>
                <w:szCs w:val="21"/>
              </w:rPr>
            </w:pPr>
          </w:p>
        </w:tc>
        <w:tc>
          <w:tcPr>
            <w:tcW w:w="1471" w:type="dxa"/>
            <w:vAlign w:val="center"/>
          </w:tcPr>
          <w:p>
            <w:pPr>
              <w:spacing w:beforeLines="50" w:afterLines="50"/>
              <w:jc w:val="left"/>
              <w:rPr>
                <w:rFonts w:ascii="Arial" w:hAnsi="Arial" w:cs="Arial"/>
                <w:sz w:val="21"/>
                <w:szCs w:val="21"/>
              </w:rPr>
            </w:pPr>
          </w:p>
        </w:tc>
        <w:tc>
          <w:tcPr>
            <w:tcW w:w="791" w:type="dxa"/>
            <w:vAlign w:val="center"/>
          </w:tcPr>
          <w:p>
            <w:pPr>
              <w:spacing w:beforeLines="50" w:afterLines="50"/>
              <w:jc w:val="left"/>
              <w:rPr>
                <w:rFonts w:ascii="Arial" w:hAnsi="Arial" w:cs="Arial"/>
                <w:sz w:val="21"/>
                <w:szCs w:val="21"/>
              </w:rPr>
            </w:pPr>
          </w:p>
        </w:tc>
        <w:tc>
          <w:tcPr>
            <w:tcW w:w="1992" w:type="dxa"/>
            <w:vAlign w:val="center"/>
          </w:tcPr>
          <w:p>
            <w:pPr>
              <w:spacing w:beforeLines="50" w:afterLines="50"/>
              <w:jc w:val="left"/>
              <w:rPr>
                <w:rFonts w:ascii="Arial" w:hAnsi="Arial" w:cs="Arial"/>
                <w:sz w:val="21"/>
                <w:szCs w:val="21"/>
              </w:rPr>
            </w:pPr>
          </w:p>
        </w:tc>
        <w:tc>
          <w:tcPr>
            <w:tcW w:w="2000" w:type="dxa"/>
            <w:vAlign w:val="center"/>
          </w:tcPr>
          <w:p>
            <w:pPr>
              <w:spacing w:beforeLines="50" w:afterLines="50"/>
              <w:jc w:val="left"/>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spacing w:beforeLines="50" w:afterLines="50"/>
              <w:jc w:val="left"/>
              <w:rPr>
                <w:rFonts w:ascii="Arial" w:hAnsi="Arial" w:cs="Arial"/>
                <w:sz w:val="21"/>
                <w:szCs w:val="21"/>
              </w:rPr>
            </w:pPr>
          </w:p>
        </w:tc>
        <w:tc>
          <w:tcPr>
            <w:tcW w:w="848" w:type="dxa"/>
            <w:vAlign w:val="center"/>
          </w:tcPr>
          <w:p>
            <w:pPr>
              <w:spacing w:beforeLines="50" w:afterLines="50"/>
              <w:jc w:val="left"/>
              <w:rPr>
                <w:rFonts w:ascii="Arial" w:hAnsi="Arial" w:cs="Arial"/>
                <w:sz w:val="21"/>
                <w:szCs w:val="21"/>
              </w:rPr>
            </w:pPr>
          </w:p>
        </w:tc>
        <w:tc>
          <w:tcPr>
            <w:tcW w:w="839" w:type="dxa"/>
            <w:vAlign w:val="center"/>
          </w:tcPr>
          <w:p>
            <w:pPr>
              <w:spacing w:beforeLines="50" w:afterLines="50"/>
              <w:jc w:val="left"/>
              <w:rPr>
                <w:rFonts w:ascii="Arial" w:hAnsi="Arial" w:cs="Arial"/>
                <w:sz w:val="21"/>
                <w:szCs w:val="21"/>
              </w:rPr>
            </w:pPr>
          </w:p>
        </w:tc>
        <w:tc>
          <w:tcPr>
            <w:tcW w:w="820" w:type="dxa"/>
            <w:vAlign w:val="center"/>
          </w:tcPr>
          <w:p>
            <w:pPr>
              <w:spacing w:beforeLines="50" w:afterLines="50"/>
              <w:jc w:val="left"/>
              <w:rPr>
                <w:rFonts w:ascii="Arial" w:hAnsi="Arial" w:cs="Arial"/>
                <w:sz w:val="21"/>
                <w:szCs w:val="21"/>
              </w:rPr>
            </w:pPr>
          </w:p>
        </w:tc>
        <w:tc>
          <w:tcPr>
            <w:tcW w:w="1471" w:type="dxa"/>
            <w:vAlign w:val="center"/>
          </w:tcPr>
          <w:p>
            <w:pPr>
              <w:spacing w:beforeLines="50" w:afterLines="50"/>
              <w:jc w:val="left"/>
              <w:rPr>
                <w:rFonts w:ascii="Arial" w:hAnsi="Arial" w:cs="Arial"/>
                <w:sz w:val="21"/>
                <w:szCs w:val="21"/>
              </w:rPr>
            </w:pPr>
          </w:p>
        </w:tc>
        <w:tc>
          <w:tcPr>
            <w:tcW w:w="791" w:type="dxa"/>
            <w:vAlign w:val="center"/>
          </w:tcPr>
          <w:p>
            <w:pPr>
              <w:spacing w:beforeLines="50" w:afterLines="50"/>
              <w:jc w:val="left"/>
              <w:rPr>
                <w:rFonts w:ascii="Arial" w:hAnsi="Arial" w:cs="Arial"/>
                <w:sz w:val="21"/>
                <w:szCs w:val="21"/>
              </w:rPr>
            </w:pPr>
          </w:p>
        </w:tc>
        <w:tc>
          <w:tcPr>
            <w:tcW w:w="1992" w:type="dxa"/>
            <w:vAlign w:val="center"/>
          </w:tcPr>
          <w:p>
            <w:pPr>
              <w:spacing w:beforeLines="50" w:afterLines="50"/>
              <w:jc w:val="left"/>
              <w:rPr>
                <w:rFonts w:ascii="Arial" w:hAnsi="Arial" w:cs="Arial"/>
                <w:sz w:val="21"/>
                <w:szCs w:val="21"/>
              </w:rPr>
            </w:pPr>
          </w:p>
        </w:tc>
        <w:tc>
          <w:tcPr>
            <w:tcW w:w="2000" w:type="dxa"/>
            <w:vAlign w:val="center"/>
          </w:tcPr>
          <w:p>
            <w:pPr>
              <w:spacing w:beforeLines="50" w:afterLines="50"/>
              <w:jc w:val="left"/>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spacing w:beforeLines="50" w:afterLines="50"/>
              <w:jc w:val="left"/>
              <w:rPr>
                <w:rFonts w:ascii="Arial" w:hAnsi="Arial" w:cs="Arial"/>
                <w:sz w:val="21"/>
                <w:szCs w:val="21"/>
              </w:rPr>
            </w:pPr>
          </w:p>
        </w:tc>
        <w:tc>
          <w:tcPr>
            <w:tcW w:w="848" w:type="dxa"/>
            <w:vAlign w:val="center"/>
          </w:tcPr>
          <w:p>
            <w:pPr>
              <w:spacing w:beforeLines="50" w:afterLines="50"/>
              <w:jc w:val="left"/>
              <w:rPr>
                <w:rFonts w:ascii="Arial" w:hAnsi="Arial" w:cs="Arial"/>
                <w:sz w:val="21"/>
                <w:szCs w:val="21"/>
              </w:rPr>
            </w:pPr>
          </w:p>
        </w:tc>
        <w:tc>
          <w:tcPr>
            <w:tcW w:w="839" w:type="dxa"/>
            <w:vAlign w:val="center"/>
          </w:tcPr>
          <w:p>
            <w:pPr>
              <w:spacing w:beforeLines="50" w:afterLines="50"/>
              <w:jc w:val="left"/>
              <w:rPr>
                <w:rFonts w:ascii="Arial" w:hAnsi="Arial" w:cs="Arial"/>
                <w:sz w:val="21"/>
                <w:szCs w:val="21"/>
              </w:rPr>
            </w:pPr>
          </w:p>
        </w:tc>
        <w:tc>
          <w:tcPr>
            <w:tcW w:w="820" w:type="dxa"/>
            <w:vAlign w:val="center"/>
          </w:tcPr>
          <w:p>
            <w:pPr>
              <w:spacing w:beforeLines="50" w:afterLines="50"/>
              <w:jc w:val="left"/>
              <w:rPr>
                <w:rFonts w:ascii="Arial" w:hAnsi="Arial" w:cs="Arial"/>
                <w:sz w:val="21"/>
                <w:szCs w:val="21"/>
              </w:rPr>
            </w:pPr>
          </w:p>
        </w:tc>
        <w:tc>
          <w:tcPr>
            <w:tcW w:w="1471" w:type="dxa"/>
            <w:vAlign w:val="center"/>
          </w:tcPr>
          <w:p>
            <w:pPr>
              <w:spacing w:beforeLines="50" w:afterLines="50"/>
              <w:jc w:val="left"/>
              <w:rPr>
                <w:rFonts w:ascii="Arial" w:hAnsi="Arial" w:cs="Arial"/>
                <w:sz w:val="21"/>
                <w:szCs w:val="21"/>
              </w:rPr>
            </w:pPr>
          </w:p>
        </w:tc>
        <w:tc>
          <w:tcPr>
            <w:tcW w:w="791" w:type="dxa"/>
            <w:vAlign w:val="center"/>
          </w:tcPr>
          <w:p>
            <w:pPr>
              <w:spacing w:beforeLines="50" w:afterLines="50"/>
              <w:jc w:val="left"/>
              <w:rPr>
                <w:rFonts w:ascii="Arial" w:hAnsi="Arial" w:cs="Arial"/>
                <w:sz w:val="21"/>
                <w:szCs w:val="21"/>
              </w:rPr>
            </w:pPr>
          </w:p>
        </w:tc>
        <w:tc>
          <w:tcPr>
            <w:tcW w:w="1992" w:type="dxa"/>
            <w:vAlign w:val="center"/>
          </w:tcPr>
          <w:p>
            <w:pPr>
              <w:spacing w:beforeLines="50" w:afterLines="50"/>
              <w:jc w:val="left"/>
              <w:rPr>
                <w:rFonts w:ascii="Arial" w:hAnsi="Arial" w:cs="Arial"/>
                <w:sz w:val="21"/>
                <w:szCs w:val="21"/>
              </w:rPr>
            </w:pPr>
          </w:p>
        </w:tc>
        <w:tc>
          <w:tcPr>
            <w:tcW w:w="2000" w:type="dxa"/>
            <w:vAlign w:val="center"/>
          </w:tcPr>
          <w:p>
            <w:pPr>
              <w:spacing w:beforeLines="50" w:afterLines="50"/>
              <w:jc w:val="left"/>
              <w:rPr>
                <w:rFonts w:ascii="Arial" w:hAnsi="Arial" w:cs="Arial"/>
                <w:sz w:val="21"/>
                <w:szCs w:val="21"/>
              </w:rPr>
            </w:pPr>
          </w:p>
        </w:tc>
      </w:tr>
    </w:tbl>
    <w:p>
      <w:pPr>
        <w:spacing w:line="400" w:lineRule="exact"/>
        <w:ind w:left="748" w:hanging="567"/>
        <w:jc w:val="left"/>
        <w:rPr>
          <w:rFonts w:ascii="宋体" w:hAnsi="宋体"/>
          <w:sz w:val="21"/>
          <w:szCs w:val="21"/>
        </w:rPr>
      </w:pPr>
    </w:p>
    <w:p>
      <w:pPr>
        <w:pStyle w:val="6"/>
        <w:spacing w:before="156" w:after="156" w:line="400" w:lineRule="exact"/>
        <w:ind w:left="180" w:leftChars="75" w:firstLine="0"/>
        <w:jc w:val="left"/>
        <w:rPr>
          <w:rFonts w:ascii="宋体" w:hAnsi="宋体"/>
          <w:b/>
          <w:sz w:val="21"/>
          <w:szCs w:val="21"/>
        </w:rPr>
      </w:pPr>
      <w:r>
        <w:rPr>
          <w:rFonts w:hint="eastAsia" w:ascii="宋体" w:hAnsi="宋体"/>
          <w:b/>
          <w:sz w:val="21"/>
          <w:szCs w:val="21"/>
        </w:rPr>
        <w:t>注：</w:t>
      </w:r>
      <w:r>
        <w:rPr>
          <w:rFonts w:ascii="宋体" w:hAnsi="宋体" w:cs="Arial"/>
          <w:sz w:val="21"/>
          <w:szCs w:val="21"/>
        </w:rPr>
        <w:t>提供相关</w:t>
      </w:r>
      <w:r>
        <w:rPr>
          <w:rFonts w:hint="eastAsia" w:ascii="宋体" w:hAnsi="宋体" w:cs="Arial"/>
          <w:sz w:val="21"/>
          <w:szCs w:val="21"/>
        </w:rPr>
        <w:t>资质、资格</w:t>
      </w:r>
      <w:r>
        <w:rPr>
          <w:rFonts w:ascii="宋体" w:hAnsi="宋体" w:cs="Arial"/>
          <w:sz w:val="21"/>
          <w:szCs w:val="21"/>
        </w:rPr>
        <w:t>证明文件</w:t>
      </w:r>
      <w:r>
        <w:rPr>
          <w:rFonts w:hint="eastAsia" w:ascii="宋体" w:hAnsi="宋体" w:cs="Arial"/>
          <w:sz w:val="21"/>
          <w:szCs w:val="21"/>
        </w:rPr>
        <w:t>及社保证明</w:t>
      </w:r>
      <w:r>
        <w:rPr>
          <w:rFonts w:ascii="宋体" w:hAnsi="宋体" w:cs="Arial"/>
          <w:sz w:val="21"/>
          <w:szCs w:val="21"/>
        </w:rPr>
        <w:t>复印件</w:t>
      </w:r>
      <w:r>
        <w:rPr>
          <w:rFonts w:hint="eastAsia" w:ascii="宋体" w:hAnsi="宋体" w:cs="Arial"/>
          <w:sz w:val="21"/>
          <w:szCs w:val="21"/>
        </w:rPr>
        <w:t>。</w:t>
      </w:r>
    </w:p>
    <w:p>
      <w:pPr>
        <w:pStyle w:val="22"/>
        <w:spacing w:beforeLines="50" w:afterLines="50"/>
        <w:jc w:val="left"/>
        <w:rPr>
          <w:rFonts w:hAnsi="宋体" w:cs="Arial"/>
          <w:sz w:val="21"/>
        </w:rPr>
      </w:pPr>
    </w:p>
    <w:p>
      <w:pPr>
        <w:spacing w:line="360" w:lineRule="auto"/>
        <w:ind w:left="748" w:hanging="567"/>
        <w:jc w:val="left"/>
        <w:rPr>
          <w:rFonts w:ascii="宋体" w:hAnsi="宋体"/>
          <w:sz w:val="21"/>
          <w:szCs w:val="21"/>
        </w:rPr>
      </w:pPr>
    </w:p>
    <w:p>
      <w:pPr>
        <w:spacing w:line="360" w:lineRule="auto"/>
        <w:ind w:left="748" w:hanging="567"/>
        <w:jc w:val="left"/>
        <w:rPr>
          <w:rFonts w:ascii="宋体" w:hAnsi="宋体"/>
          <w:sz w:val="21"/>
          <w:szCs w:val="21"/>
        </w:rPr>
      </w:pPr>
      <w:r>
        <w:rPr>
          <w:rFonts w:hint="eastAsia" w:ascii="宋体" w:hAnsi="宋体"/>
          <w:sz w:val="21"/>
          <w:szCs w:val="21"/>
        </w:rPr>
        <w:t>投标人名称（并加盖公章）：</w:t>
      </w:r>
    </w:p>
    <w:p>
      <w:pPr>
        <w:spacing w:line="360" w:lineRule="auto"/>
        <w:ind w:left="748" w:hanging="567"/>
        <w:jc w:val="left"/>
        <w:rPr>
          <w:rFonts w:ascii="宋体" w:hAnsi="宋体" w:cs="Arial"/>
          <w:sz w:val="21"/>
          <w:szCs w:val="21"/>
        </w:rPr>
      </w:pPr>
    </w:p>
    <w:p>
      <w:pPr>
        <w:spacing w:line="360" w:lineRule="auto"/>
        <w:ind w:left="748" w:hanging="567"/>
        <w:jc w:val="left"/>
        <w:rPr>
          <w:rFonts w:ascii="宋体" w:hAnsi="宋体"/>
          <w:sz w:val="21"/>
          <w:szCs w:val="21"/>
        </w:rPr>
      </w:pPr>
      <w:r>
        <w:rPr>
          <w:rFonts w:hint="eastAsia" w:ascii="宋体" w:hAnsi="宋体" w:cs="Arial"/>
          <w:sz w:val="21"/>
          <w:szCs w:val="21"/>
        </w:rPr>
        <w:t>投标人法定代表人或其委托人</w:t>
      </w:r>
      <w:r>
        <w:rPr>
          <w:rFonts w:hint="eastAsia" w:ascii="宋体" w:hAnsi="宋体"/>
          <w:sz w:val="21"/>
          <w:szCs w:val="21"/>
        </w:rPr>
        <w:t>签名或印鉴</w:t>
      </w:r>
      <w:r>
        <w:rPr>
          <w:rFonts w:hint="eastAsia" w:ascii="宋体" w:hAnsi="宋体" w:cs="Arial"/>
          <w:sz w:val="21"/>
          <w:szCs w:val="21"/>
        </w:rPr>
        <w:t>：</w:t>
      </w:r>
    </w:p>
    <w:p>
      <w:pPr>
        <w:spacing w:line="360" w:lineRule="auto"/>
        <w:ind w:left="748" w:hanging="567"/>
        <w:jc w:val="left"/>
        <w:rPr>
          <w:rFonts w:ascii="宋体" w:hAnsi="宋体"/>
          <w:sz w:val="21"/>
          <w:szCs w:val="21"/>
        </w:rPr>
      </w:pPr>
    </w:p>
    <w:p>
      <w:pPr>
        <w:spacing w:line="360" w:lineRule="auto"/>
        <w:ind w:left="748" w:hanging="567"/>
        <w:jc w:val="left"/>
        <w:rPr>
          <w:rFonts w:ascii="宋体" w:hAnsi="宋体"/>
          <w:sz w:val="21"/>
          <w:szCs w:val="21"/>
        </w:rPr>
      </w:pPr>
      <w:r>
        <w:rPr>
          <w:rFonts w:hint="eastAsia" w:ascii="宋体" w:hAnsi="宋体"/>
          <w:sz w:val="21"/>
          <w:szCs w:val="21"/>
        </w:rPr>
        <w:t>日  期：</w:t>
      </w:r>
    </w:p>
    <w:p>
      <w:pPr>
        <w:spacing w:line="400" w:lineRule="exact"/>
        <w:ind w:left="748" w:hanging="567"/>
        <w:jc w:val="left"/>
        <w:rPr>
          <w:rFonts w:ascii="宋体" w:hAnsi="宋体"/>
          <w:sz w:val="21"/>
          <w:szCs w:val="21"/>
        </w:rPr>
      </w:pP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r>
        <w:rPr>
          <w:rFonts w:hint="eastAsia" w:ascii="宋体" w:hAnsi="宋体" w:eastAsia="宋体"/>
          <w:b w:val="0"/>
          <w:bCs/>
          <w:sz w:val="21"/>
          <w:szCs w:val="21"/>
        </w:rPr>
        <w:br w:type="page"/>
      </w:r>
      <w:bookmarkStart w:id="190" w:name="_Toc368513835"/>
      <w:r>
        <w:rPr>
          <w:rFonts w:hint="eastAsia" w:ascii="宋体" w:hAnsi="宋体" w:eastAsia="宋体"/>
          <w:b w:val="0"/>
          <w:bCs/>
          <w:sz w:val="21"/>
          <w:szCs w:val="21"/>
        </w:rPr>
        <w:t xml:space="preserve"> </w:t>
      </w:r>
      <w:bookmarkStart w:id="191" w:name="_Toc24753"/>
      <w:r>
        <w:rPr>
          <w:rFonts w:hint="eastAsia" w:ascii="宋体" w:hAnsi="宋体" w:eastAsia="宋体"/>
          <w:sz w:val="21"/>
          <w:szCs w:val="21"/>
        </w:rPr>
        <w:t>类似项目业绩一览表</w:t>
      </w:r>
      <w:bookmarkEnd w:id="190"/>
      <w:bookmarkEnd w:id="191"/>
    </w:p>
    <w:p>
      <w:pPr>
        <w:jc w:val="left"/>
        <w:rPr>
          <w:sz w:val="21"/>
          <w:szCs w:val="21"/>
        </w:rPr>
      </w:pPr>
    </w:p>
    <w:tbl>
      <w:tblPr>
        <w:tblStyle w:val="46"/>
        <w:tblW w:w="9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36"/>
        <w:gridCol w:w="1236"/>
        <w:gridCol w:w="1236"/>
        <w:gridCol w:w="1236"/>
        <w:gridCol w:w="123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816" w:type="dxa"/>
          </w:tcPr>
          <w:p>
            <w:pPr>
              <w:spacing w:before="156" w:after="156" w:line="400" w:lineRule="exact"/>
              <w:jc w:val="center"/>
              <w:rPr>
                <w:rFonts w:ascii="宋体" w:hAnsi="宋体"/>
                <w:b/>
                <w:sz w:val="21"/>
                <w:szCs w:val="21"/>
              </w:rPr>
            </w:pPr>
            <w:r>
              <w:rPr>
                <w:rFonts w:hint="eastAsia" w:ascii="宋体" w:hAnsi="宋体"/>
                <w:b/>
                <w:sz w:val="21"/>
                <w:szCs w:val="21"/>
              </w:rPr>
              <w:t>序号</w:t>
            </w:r>
          </w:p>
        </w:tc>
        <w:tc>
          <w:tcPr>
            <w:tcW w:w="1236" w:type="dxa"/>
          </w:tcPr>
          <w:p>
            <w:pPr>
              <w:spacing w:before="156" w:after="156" w:line="400" w:lineRule="exact"/>
              <w:jc w:val="center"/>
              <w:rPr>
                <w:rFonts w:ascii="宋体" w:hAnsi="宋体"/>
                <w:b/>
                <w:sz w:val="21"/>
                <w:szCs w:val="21"/>
              </w:rPr>
            </w:pPr>
            <w:r>
              <w:rPr>
                <w:rFonts w:hint="eastAsia" w:ascii="宋体" w:hAnsi="宋体"/>
                <w:b/>
                <w:sz w:val="21"/>
                <w:szCs w:val="21"/>
              </w:rPr>
              <w:t>项目名称</w:t>
            </w:r>
          </w:p>
        </w:tc>
        <w:tc>
          <w:tcPr>
            <w:tcW w:w="1236" w:type="dxa"/>
          </w:tcPr>
          <w:p>
            <w:pPr>
              <w:spacing w:before="156" w:after="156" w:line="400" w:lineRule="exact"/>
              <w:jc w:val="center"/>
              <w:rPr>
                <w:rFonts w:ascii="宋体" w:hAnsi="宋体"/>
                <w:b/>
                <w:sz w:val="21"/>
                <w:szCs w:val="21"/>
              </w:rPr>
            </w:pPr>
            <w:r>
              <w:rPr>
                <w:rFonts w:hint="eastAsia" w:ascii="宋体" w:hAnsi="宋体"/>
                <w:b/>
                <w:sz w:val="21"/>
                <w:szCs w:val="21"/>
              </w:rPr>
              <w:t>合同金额</w:t>
            </w:r>
          </w:p>
        </w:tc>
        <w:tc>
          <w:tcPr>
            <w:tcW w:w="1236" w:type="dxa"/>
          </w:tcPr>
          <w:p>
            <w:pPr>
              <w:spacing w:before="156" w:after="156" w:line="400" w:lineRule="exact"/>
              <w:jc w:val="center"/>
              <w:rPr>
                <w:rFonts w:ascii="宋体" w:hAnsi="宋体"/>
                <w:b/>
                <w:sz w:val="21"/>
                <w:szCs w:val="21"/>
              </w:rPr>
            </w:pPr>
            <w:r>
              <w:rPr>
                <w:rFonts w:hint="eastAsia" w:ascii="宋体" w:hAnsi="宋体"/>
                <w:b/>
                <w:sz w:val="21"/>
                <w:szCs w:val="21"/>
              </w:rPr>
              <w:t>完成时间</w:t>
            </w:r>
          </w:p>
        </w:tc>
        <w:tc>
          <w:tcPr>
            <w:tcW w:w="1236" w:type="dxa"/>
          </w:tcPr>
          <w:p>
            <w:pPr>
              <w:spacing w:before="156" w:after="156" w:line="400" w:lineRule="exact"/>
              <w:jc w:val="center"/>
              <w:rPr>
                <w:rFonts w:ascii="宋体" w:hAnsi="宋体"/>
                <w:b/>
                <w:sz w:val="21"/>
                <w:szCs w:val="21"/>
              </w:rPr>
            </w:pPr>
            <w:r>
              <w:rPr>
                <w:rFonts w:hint="eastAsia" w:ascii="宋体" w:hAnsi="宋体"/>
                <w:b/>
                <w:sz w:val="21"/>
                <w:szCs w:val="21"/>
              </w:rPr>
              <w:t>验收情况</w:t>
            </w:r>
          </w:p>
        </w:tc>
        <w:tc>
          <w:tcPr>
            <w:tcW w:w="1236" w:type="dxa"/>
          </w:tcPr>
          <w:p>
            <w:pPr>
              <w:spacing w:before="156" w:after="156" w:line="400" w:lineRule="exact"/>
              <w:jc w:val="center"/>
              <w:rPr>
                <w:rFonts w:ascii="宋体" w:hAnsi="宋体"/>
                <w:b/>
                <w:sz w:val="21"/>
                <w:szCs w:val="21"/>
              </w:rPr>
            </w:pPr>
            <w:r>
              <w:rPr>
                <w:rFonts w:hint="eastAsia" w:ascii="宋体" w:hAnsi="宋体"/>
                <w:b/>
                <w:sz w:val="21"/>
                <w:szCs w:val="21"/>
              </w:rPr>
              <w:t>业主单位</w:t>
            </w:r>
          </w:p>
        </w:tc>
        <w:tc>
          <w:tcPr>
            <w:tcW w:w="2160" w:type="dxa"/>
          </w:tcPr>
          <w:p>
            <w:pPr>
              <w:spacing w:before="156" w:after="156" w:line="400" w:lineRule="exact"/>
              <w:jc w:val="center"/>
              <w:rPr>
                <w:rFonts w:ascii="宋体" w:hAnsi="宋体"/>
                <w:b/>
                <w:sz w:val="21"/>
                <w:szCs w:val="21"/>
              </w:rPr>
            </w:pPr>
            <w:r>
              <w:rPr>
                <w:rFonts w:hint="eastAsia" w:ascii="宋体" w:hAnsi="宋体"/>
                <w:b/>
                <w:sz w:val="21"/>
                <w:szCs w:val="21"/>
              </w:rPr>
              <w:t>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2160" w:type="dxa"/>
          </w:tcPr>
          <w:p>
            <w:pPr>
              <w:spacing w:before="156" w:after="156" w:line="40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2160" w:type="dxa"/>
          </w:tcPr>
          <w:p>
            <w:pPr>
              <w:spacing w:before="156" w:after="156" w:line="40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2160" w:type="dxa"/>
          </w:tcPr>
          <w:p>
            <w:pPr>
              <w:spacing w:before="156" w:after="156" w:line="400" w:lineRule="exac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1236" w:type="dxa"/>
          </w:tcPr>
          <w:p>
            <w:pPr>
              <w:spacing w:before="156" w:after="156" w:line="400" w:lineRule="exact"/>
              <w:jc w:val="left"/>
              <w:rPr>
                <w:rFonts w:ascii="宋体" w:hAnsi="宋体"/>
                <w:sz w:val="21"/>
                <w:szCs w:val="21"/>
              </w:rPr>
            </w:pPr>
          </w:p>
        </w:tc>
        <w:tc>
          <w:tcPr>
            <w:tcW w:w="2160" w:type="dxa"/>
          </w:tcPr>
          <w:p>
            <w:pPr>
              <w:spacing w:before="156" w:after="156" w:line="400" w:lineRule="exact"/>
              <w:jc w:val="left"/>
              <w:rPr>
                <w:rFonts w:ascii="宋体" w:hAnsi="宋体"/>
                <w:sz w:val="21"/>
                <w:szCs w:val="21"/>
              </w:rPr>
            </w:pPr>
          </w:p>
        </w:tc>
      </w:tr>
    </w:tbl>
    <w:p>
      <w:pPr>
        <w:spacing w:before="156" w:after="156" w:line="360" w:lineRule="auto"/>
        <w:ind w:left="360" w:leftChars="150"/>
        <w:jc w:val="left"/>
        <w:rPr>
          <w:rFonts w:ascii="宋体" w:hAnsi="宋体"/>
          <w:sz w:val="21"/>
          <w:szCs w:val="21"/>
        </w:rPr>
      </w:pPr>
      <w:r>
        <w:rPr>
          <w:rFonts w:hint="eastAsia" w:ascii="宋体" w:hAnsi="宋体"/>
          <w:sz w:val="21"/>
          <w:szCs w:val="21"/>
        </w:rPr>
        <w:t>（此表可延长）</w:t>
      </w:r>
    </w:p>
    <w:p>
      <w:pPr>
        <w:spacing w:before="156" w:after="156" w:line="360" w:lineRule="auto"/>
        <w:ind w:left="360" w:leftChars="150"/>
        <w:jc w:val="left"/>
        <w:rPr>
          <w:rFonts w:ascii="宋体" w:hAnsi="宋体"/>
          <w:sz w:val="21"/>
          <w:szCs w:val="21"/>
        </w:rPr>
      </w:pPr>
      <w:r>
        <w:rPr>
          <w:rFonts w:hint="eastAsia" w:ascii="宋体" w:hAnsi="宋体"/>
          <w:sz w:val="21"/>
          <w:szCs w:val="21"/>
        </w:rPr>
        <w:t>注：需提供</w:t>
      </w:r>
      <w:r>
        <w:rPr>
          <w:rFonts w:hint="eastAsia" w:ascii="宋体" w:cs="宋体"/>
          <w:sz w:val="21"/>
          <w:szCs w:val="21"/>
        </w:rPr>
        <w:t>业绩合同及中标通知书复印件加盖投标人公章</w:t>
      </w:r>
      <w:r>
        <w:rPr>
          <w:rFonts w:hint="eastAsia" w:ascii="宋体" w:hAnsi="宋体"/>
          <w:sz w:val="21"/>
          <w:szCs w:val="21"/>
        </w:rPr>
        <w:t>。</w:t>
      </w:r>
    </w:p>
    <w:p>
      <w:pPr>
        <w:spacing w:before="156" w:after="156" w:line="360" w:lineRule="auto"/>
        <w:ind w:left="360" w:leftChars="150"/>
        <w:jc w:val="left"/>
        <w:rPr>
          <w:rFonts w:ascii="宋体" w:hAnsi="宋体"/>
          <w:sz w:val="21"/>
          <w:szCs w:val="21"/>
        </w:rPr>
      </w:pPr>
    </w:p>
    <w:p>
      <w:pPr>
        <w:spacing w:line="360" w:lineRule="auto"/>
        <w:ind w:left="360" w:leftChars="150"/>
        <w:jc w:val="left"/>
        <w:rPr>
          <w:rFonts w:ascii="宋体" w:hAnsi="宋体"/>
          <w:sz w:val="21"/>
          <w:szCs w:val="21"/>
        </w:rPr>
      </w:pPr>
      <w:r>
        <w:rPr>
          <w:rFonts w:hint="eastAsia" w:ascii="宋体" w:hAnsi="宋体"/>
          <w:sz w:val="21"/>
          <w:szCs w:val="21"/>
        </w:rPr>
        <w:t>投标人名称（并加盖公章）：</w:t>
      </w:r>
    </w:p>
    <w:p>
      <w:pPr>
        <w:spacing w:line="360" w:lineRule="auto"/>
        <w:ind w:left="360" w:leftChars="150"/>
        <w:jc w:val="left"/>
        <w:rPr>
          <w:rFonts w:ascii="宋体" w:hAnsi="宋体" w:cs="Arial"/>
          <w:sz w:val="21"/>
          <w:szCs w:val="21"/>
        </w:rPr>
      </w:pPr>
    </w:p>
    <w:p>
      <w:pPr>
        <w:spacing w:line="360" w:lineRule="auto"/>
        <w:ind w:left="360" w:leftChars="150"/>
        <w:jc w:val="left"/>
        <w:rPr>
          <w:rFonts w:ascii="宋体" w:hAnsi="宋体"/>
          <w:sz w:val="21"/>
          <w:szCs w:val="21"/>
        </w:rPr>
      </w:pPr>
      <w:r>
        <w:rPr>
          <w:rFonts w:hint="eastAsia" w:ascii="宋体" w:hAnsi="宋体" w:cs="Arial"/>
          <w:sz w:val="21"/>
          <w:szCs w:val="21"/>
        </w:rPr>
        <w:t>投标人法定代表人或其委托人</w:t>
      </w:r>
      <w:r>
        <w:rPr>
          <w:rFonts w:hint="eastAsia" w:ascii="宋体" w:hAnsi="宋体"/>
          <w:sz w:val="21"/>
          <w:szCs w:val="21"/>
        </w:rPr>
        <w:t>签名或印鉴</w:t>
      </w:r>
      <w:r>
        <w:rPr>
          <w:rFonts w:hint="eastAsia" w:ascii="宋体" w:hAnsi="宋体" w:cs="Arial"/>
          <w:sz w:val="21"/>
          <w:szCs w:val="21"/>
        </w:rPr>
        <w:t>：</w:t>
      </w:r>
    </w:p>
    <w:p>
      <w:pPr>
        <w:spacing w:line="360" w:lineRule="auto"/>
        <w:ind w:left="360" w:leftChars="150"/>
        <w:jc w:val="left"/>
        <w:rPr>
          <w:rFonts w:ascii="宋体" w:hAnsi="宋体"/>
          <w:sz w:val="21"/>
          <w:szCs w:val="21"/>
        </w:rPr>
      </w:pPr>
    </w:p>
    <w:p>
      <w:pPr>
        <w:spacing w:before="156" w:after="156" w:line="360" w:lineRule="auto"/>
        <w:ind w:left="360" w:leftChars="150"/>
        <w:jc w:val="left"/>
        <w:rPr>
          <w:rFonts w:ascii="宋体" w:hAnsi="宋体" w:cs="Arial"/>
          <w:sz w:val="21"/>
          <w:szCs w:val="21"/>
        </w:rPr>
      </w:pPr>
      <w:r>
        <w:rPr>
          <w:rFonts w:hint="eastAsia" w:ascii="宋体" w:hAnsi="宋体" w:cs="Arial"/>
          <w:sz w:val="21"/>
          <w:szCs w:val="21"/>
        </w:rPr>
        <w:t>日  期：</w:t>
      </w:r>
    </w:p>
    <w:p>
      <w:pPr>
        <w:spacing w:before="156" w:after="156" w:line="400" w:lineRule="exact"/>
        <w:jc w:val="left"/>
        <w:rPr>
          <w:rFonts w:ascii="宋体" w:hAnsi="宋体" w:cs="Arial"/>
          <w:sz w:val="21"/>
          <w:szCs w:val="21"/>
        </w:rPr>
      </w:pPr>
    </w:p>
    <w:bookmarkEnd w:id="185"/>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r>
        <w:rPr>
          <w:rFonts w:ascii="宋体" w:hAnsi="宋体" w:eastAsia="宋体"/>
          <w:sz w:val="21"/>
          <w:szCs w:val="21"/>
        </w:rPr>
        <w:br w:type="page"/>
      </w:r>
      <w:bookmarkStart w:id="192" w:name="_Toc16023"/>
      <w:r>
        <w:rPr>
          <w:rFonts w:hint="eastAsia" w:ascii="宋体" w:hAnsi="宋体" w:eastAsia="宋体"/>
          <w:sz w:val="21"/>
          <w:szCs w:val="21"/>
        </w:rPr>
        <w:t>投标保证金退还说明</w:t>
      </w:r>
      <w:bookmarkEnd w:id="192"/>
    </w:p>
    <w:p>
      <w:pPr>
        <w:spacing w:line="400" w:lineRule="exact"/>
        <w:jc w:val="left"/>
        <w:rPr>
          <w:rFonts w:ascii="宋体" w:hAnsi="宋体"/>
          <w:sz w:val="21"/>
          <w:szCs w:val="21"/>
        </w:rPr>
      </w:pPr>
    </w:p>
    <w:p>
      <w:pPr>
        <w:pStyle w:val="24"/>
        <w:spacing w:line="360" w:lineRule="auto"/>
        <w:jc w:val="left"/>
        <w:rPr>
          <w:rFonts w:ascii="宋体" w:hAnsi="宋体"/>
          <w:sz w:val="21"/>
          <w:szCs w:val="21"/>
        </w:rPr>
      </w:pPr>
      <w:r>
        <w:rPr>
          <w:rFonts w:hint="eastAsia" w:ascii="宋体" w:hAnsi="宋体"/>
          <w:sz w:val="21"/>
          <w:szCs w:val="21"/>
        </w:rPr>
        <w:t>致：广东志正招标有限公司</w:t>
      </w:r>
    </w:p>
    <w:p>
      <w:pPr>
        <w:spacing w:line="360" w:lineRule="auto"/>
        <w:ind w:firstLine="567" w:firstLineChars="270"/>
        <w:jc w:val="left"/>
        <w:rPr>
          <w:rFonts w:ascii="宋体" w:hAnsi="宋体"/>
          <w:sz w:val="21"/>
          <w:szCs w:val="21"/>
        </w:rPr>
      </w:pPr>
      <w:r>
        <w:rPr>
          <w:rFonts w:hint="eastAsia" w:ascii="宋体" w:hAnsi="宋体"/>
          <w:sz w:val="21"/>
          <w:szCs w:val="21"/>
        </w:rPr>
        <w:t>我方为</w:t>
      </w:r>
      <w:r>
        <w:rPr>
          <w:rFonts w:hint="eastAsia" w:ascii="宋体" w:hAnsi="宋体"/>
          <w:sz w:val="21"/>
          <w:szCs w:val="21"/>
          <w:u w:val="single"/>
        </w:rPr>
        <w:t>（项目名称）</w:t>
      </w:r>
      <w:r>
        <w:rPr>
          <w:rFonts w:hint="eastAsia" w:ascii="宋体" w:hAnsi="宋体"/>
          <w:sz w:val="21"/>
          <w:szCs w:val="21"/>
        </w:rPr>
        <w:t>（项目编号：）投标所提交的投标保证金元，请贵公司退还时划到下列账户：</w:t>
      </w:r>
    </w:p>
    <w:p>
      <w:pPr>
        <w:pStyle w:val="6"/>
        <w:jc w:val="left"/>
        <w:rPr>
          <w:rFonts w:ascii="宋体" w:hAnsi="宋体"/>
          <w:sz w:val="21"/>
          <w:szCs w:val="21"/>
        </w:rPr>
      </w:pPr>
      <w:r>
        <w:rPr>
          <w:rFonts w:hint="eastAsia" w:ascii="宋体" w:hAnsi="宋体"/>
          <w:sz w:val="21"/>
          <w:szCs w:val="21"/>
        </w:rPr>
        <w:t>收款单位：</w:t>
      </w:r>
    </w:p>
    <w:p>
      <w:pPr>
        <w:pStyle w:val="6"/>
        <w:jc w:val="left"/>
        <w:rPr>
          <w:rFonts w:ascii="宋体" w:hAnsi="宋体"/>
          <w:sz w:val="21"/>
          <w:szCs w:val="21"/>
        </w:rPr>
      </w:pPr>
      <w:r>
        <w:rPr>
          <w:rFonts w:hint="eastAsia" w:ascii="宋体" w:hAnsi="宋体"/>
          <w:sz w:val="21"/>
          <w:szCs w:val="21"/>
        </w:rPr>
        <w:t>开户银行：</w:t>
      </w:r>
    </w:p>
    <w:p>
      <w:pPr>
        <w:pStyle w:val="6"/>
        <w:jc w:val="left"/>
        <w:rPr>
          <w:rFonts w:ascii="宋体" w:hAnsi="宋体"/>
          <w:sz w:val="21"/>
          <w:szCs w:val="21"/>
        </w:rPr>
      </w:pPr>
      <w:r>
        <w:rPr>
          <w:rFonts w:hint="eastAsia" w:ascii="宋体" w:hAnsi="宋体"/>
          <w:sz w:val="21"/>
          <w:szCs w:val="21"/>
        </w:rPr>
        <w:t>账    号：</w:t>
      </w:r>
    </w:p>
    <w:p>
      <w:pPr>
        <w:pStyle w:val="6"/>
        <w:jc w:val="left"/>
        <w:rPr>
          <w:rFonts w:ascii="宋体" w:hAnsi="宋体"/>
          <w:sz w:val="21"/>
          <w:szCs w:val="21"/>
        </w:rPr>
      </w:pPr>
      <w:r>
        <w:rPr>
          <w:rFonts w:hint="eastAsia" w:ascii="宋体" w:hAnsi="宋体"/>
          <w:sz w:val="21"/>
          <w:szCs w:val="21"/>
        </w:rPr>
        <w:t>联 系 人：</w:t>
      </w:r>
    </w:p>
    <w:p>
      <w:pPr>
        <w:pStyle w:val="6"/>
        <w:jc w:val="left"/>
        <w:rPr>
          <w:rFonts w:ascii="宋体" w:hAnsi="宋体"/>
          <w:sz w:val="21"/>
          <w:szCs w:val="21"/>
        </w:rPr>
      </w:pPr>
      <w:r>
        <w:rPr>
          <w:rFonts w:hint="eastAsia" w:ascii="宋体" w:hAnsi="宋体"/>
          <w:sz w:val="21"/>
          <w:szCs w:val="21"/>
        </w:rPr>
        <w:t>联系电话：</w:t>
      </w:r>
    </w:p>
    <w:p>
      <w:pPr>
        <w:pStyle w:val="6"/>
        <w:jc w:val="left"/>
        <w:rPr>
          <w:rFonts w:ascii="宋体" w:hAnsi="宋体"/>
          <w:sz w:val="21"/>
          <w:szCs w:val="21"/>
        </w:rPr>
      </w:pPr>
    </w:p>
    <w:p>
      <w:pPr>
        <w:spacing w:line="360" w:lineRule="auto"/>
        <w:ind w:left="748" w:hanging="567"/>
        <w:jc w:val="left"/>
        <w:rPr>
          <w:rFonts w:ascii="宋体" w:hAnsi="宋体"/>
          <w:sz w:val="21"/>
          <w:szCs w:val="21"/>
        </w:rPr>
      </w:pPr>
      <w:r>
        <w:rPr>
          <w:rFonts w:hint="eastAsia" w:ascii="宋体" w:hAnsi="宋体"/>
          <w:sz w:val="21"/>
          <w:szCs w:val="21"/>
        </w:rPr>
        <w:t>投标人名称（并加盖公章）：</w:t>
      </w:r>
    </w:p>
    <w:p>
      <w:pPr>
        <w:spacing w:line="360" w:lineRule="auto"/>
        <w:ind w:left="748" w:hanging="567"/>
        <w:jc w:val="left"/>
        <w:rPr>
          <w:rFonts w:ascii="宋体" w:hAnsi="宋体"/>
          <w:sz w:val="21"/>
          <w:szCs w:val="21"/>
        </w:rPr>
      </w:pPr>
    </w:p>
    <w:p>
      <w:pPr>
        <w:spacing w:line="360" w:lineRule="auto"/>
        <w:ind w:left="748" w:hanging="567"/>
        <w:jc w:val="left"/>
        <w:rPr>
          <w:rFonts w:ascii="宋体" w:hAnsi="宋体"/>
          <w:sz w:val="21"/>
          <w:szCs w:val="21"/>
        </w:rPr>
      </w:pPr>
      <w:r>
        <w:rPr>
          <w:rFonts w:hint="eastAsia" w:ascii="宋体" w:hAnsi="宋体"/>
          <w:sz w:val="21"/>
          <w:szCs w:val="21"/>
        </w:rPr>
        <w:t>投标人法定代表人或其委托人签名或印鉴：</w:t>
      </w:r>
    </w:p>
    <w:p>
      <w:pPr>
        <w:spacing w:line="360" w:lineRule="auto"/>
        <w:ind w:left="748" w:hanging="567"/>
        <w:jc w:val="left"/>
        <w:rPr>
          <w:rFonts w:ascii="宋体" w:hAnsi="宋体"/>
          <w:sz w:val="21"/>
          <w:szCs w:val="21"/>
        </w:rPr>
      </w:pPr>
    </w:p>
    <w:p>
      <w:pPr>
        <w:spacing w:line="360" w:lineRule="auto"/>
        <w:ind w:firstLine="210" w:firstLineChars="100"/>
        <w:jc w:val="left"/>
        <w:rPr>
          <w:rFonts w:ascii="宋体" w:hAnsi="宋体"/>
          <w:sz w:val="21"/>
          <w:szCs w:val="21"/>
          <w:u w:val="single"/>
        </w:rPr>
      </w:pPr>
      <w:r>
        <w:rPr>
          <w:rFonts w:hint="eastAsia" w:ascii="宋体" w:hAnsi="宋体"/>
          <w:sz w:val="21"/>
          <w:szCs w:val="21"/>
        </w:rPr>
        <w:t>日期：</w:t>
      </w:r>
    </w:p>
    <w:p>
      <w:pPr>
        <w:spacing w:line="400" w:lineRule="exact"/>
        <w:jc w:val="left"/>
        <w:rPr>
          <w:rFonts w:ascii="宋体" w:hAnsi="宋体"/>
          <w:sz w:val="21"/>
          <w:szCs w:val="21"/>
        </w:rPr>
      </w:pP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bookmarkStart w:id="193" w:name="_Toc357005182"/>
      <w:bookmarkStart w:id="194" w:name="_Toc298421269"/>
      <w:r>
        <w:rPr>
          <w:rFonts w:ascii="宋体" w:hAnsi="宋体" w:eastAsia="宋体"/>
          <w:sz w:val="21"/>
          <w:szCs w:val="21"/>
        </w:rPr>
        <w:br w:type="page"/>
      </w:r>
      <w:bookmarkStart w:id="195" w:name="_Toc8117"/>
      <w:bookmarkStart w:id="196" w:name="_Toc368513838"/>
      <w:r>
        <w:rPr>
          <w:rFonts w:hint="eastAsia" w:ascii="宋体" w:hAnsi="宋体" w:eastAsia="宋体"/>
          <w:sz w:val="21"/>
          <w:szCs w:val="21"/>
        </w:rPr>
        <w:t>招标代理服务费承诺书</w:t>
      </w:r>
      <w:bookmarkEnd w:id="193"/>
      <w:bookmarkEnd w:id="194"/>
      <w:bookmarkEnd w:id="195"/>
      <w:bookmarkEnd w:id="196"/>
    </w:p>
    <w:p>
      <w:pPr>
        <w:spacing w:line="360" w:lineRule="auto"/>
        <w:jc w:val="left"/>
        <w:rPr>
          <w:rFonts w:ascii="宋体" w:hAnsi="宋体"/>
          <w:sz w:val="21"/>
          <w:szCs w:val="21"/>
        </w:rPr>
      </w:pPr>
    </w:p>
    <w:p>
      <w:pPr>
        <w:spacing w:line="360" w:lineRule="auto"/>
        <w:jc w:val="left"/>
        <w:rPr>
          <w:rFonts w:ascii="宋体" w:hAnsi="宋体"/>
          <w:sz w:val="21"/>
          <w:szCs w:val="21"/>
        </w:rPr>
      </w:pPr>
      <w:r>
        <w:rPr>
          <w:rFonts w:hint="eastAsia" w:ascii="宋体" w:hAnsi="宋体"/>
          <w:sz w:val="21"/>
          <w:szCs w:val="21"/>
        </w:rPr>
        <w:t>致：</w:t>
      </w:r>
      <w:r>
        <w:rPr>
          <w:rFonts w:hint="eastAsia" w:ascii="宋体" w:hAnsi="宋体"/>
          <w:b/>
          <w:sz w:val="21"/>
          <w:szCs w:val="21"/>
        </w:rPr>
        <w:t>广东志正招标有限公司：</w:t>
      </w:r>
    </w:p>
    <w:p>
      <w:pPr>
        <w:spacing w:line="360" w:lineRule="auto"/>
        <w:jc w:val="left"/>
        <w:rPr>
          <w:rFonts w:ascii="宋体" w:hAnsi="宋体"/>
          <w:sz w:val="21"/>
          <w:szCs w:val="21"/>
        </w:rPr>
      </w:pPr>
      <w:r>
        <w:rPr>
          <w:rFonts w:hint="eastAsia" w:ascii="宋体" w:hAnsi="宋体"/>
          <w:sz w:val="21"/>
          <w:szCs w:val="21"/>
        </w:rPr>
        <w:t>如果我方在贵公司组织的</w:t>
      </w:r>
      <w:r>
        <w:rPr>
          <w:rFonts w:hint="eastAsia" w:ascii="宋体" w:hAnsi="宋体"/>
          <w:sz w:val="21"/>
          <w:szCs w:val="21"/>
          <w:u w:val="single"/>
        </w:rPr>
        <w:t>（项目名称）</w:t>
      </w:r>
      <w:r>
        <w:rPr>
          <w:rFonts w:hint="eastAsia" w:ascii="宋体" w:hAnsi="宋体"/>
          <w:sz w:val="21"/>
          <w:szCs w:val="21"/>
        </w:rPr>
        <w:t>（项目编号：）招标中获中标，我方保证在收取《中标通知书》后，按招标文件规定向贵公司交纳招标代理服务费。</w:t>
      </w:r>
    </w:p>
    <w:p>
      <w:pPr>
        <w:spacing w:line="360" w:lineRule="auto"/>
        <w:ind w:firstLine="420"/>
        <w:jc w:val="left"/>
        <w:rPr>
          <w:rFonts w:ascii="宋体" w:hAnsi="宋体"/>
          <w:sz w:val="21"/>
          <w:szCs w:val="21"/>
        </w:rPr>
      </w:pPr>
      <w:r>
        <w:rPr>
          <w:rFonts w:hint="eastAsia" w:ascii="宋体" w:hAnsi="宋体"/>
          <w:sz w:val="21"/>
          <w:szCs w:val="21"/>
        </w:rPr>
        <w:t>我方如违约，愿凭贵公司开出的违约通知，同意按招标代理服务费的200％接受处罚，从我方提交的投标保证金中支付；以银行保函（或《政府采购投标担保函》）方式提交投标保证金时，同意和要求投标保函开立银行（或开立《政府采购投标担保函》的担保机构）应广东志正招标有限公司的要求办理支付手续；不足部分由甲方在支付我方的中标合同款中代为扣付，并愿承担全部由此引起的法律责任。</w:t>
      </w:r>
    </w:p>
    <w:p>
      <w:pPr>
        <w:spacing w:line="360" w:lineRule="auto"/>
        <w:ind w:firstLine="405"/>
        <w:jc w:val="left"/>
        <w:rPr>
          <w:rFonts w:ascii="宋体" w:hAnsi="宋体"/>
          <w:sz w:val="21"/>
          <w:szCs w:val="21"/>
        </w:rPr>
      </w:pPr>
      <w:r>
        <w:rPr>
          <w:rFonts w:hint="eastAsia" w:ascii="宋体" w:hAnsi="宋体"/>
          <w:sz w:val="21"/>
          <w:szCs w:val="21"/>
        </w:rPr>
        <w:t>特此承诺！</w:t>
      </w:r>
    </w:p>
    <w:p>
      <w:pPr>
        <w:spacing w:line="360" w:lineRule="auto"/>
        <w:ind w:firstLine="405"/>
        <w:jc w:val="left"/>
        <w:rPr>
          <w:rFonts w:ascii="宋体" w:hAnsi="宋体"/>
          <w:sz w:val="21"/>
          <w:szCs w:val="21"/>
        </w:rPr>
      </w:pPr>
    </w:p>
    <w:p>
      <w:pPr>
        <w:spacing w:line="360" w:lineRule="auto"/>
        <w:ind w:firstLine="405"/>
        <w:jc w:val="left"/>
        <w:rPr>
          <w:rFonts w:ascii="宋体" w:hAnsi="宋体"/>
          <w:sz w:val="21"/>
          <w:szCs w:val="21"/>
        </w:rPr>
      </w:pPr>
    </w:p>
    <w:p>
      <w:pPr>
        <w:spacing w:line="360" w:lineRule="auto"/>
        <w:ind w:left="5386" w:leftChars="2244"/>
        <w:jc w:val="left"/>
        <w:rPr>
          <w:rFonts w:ascii="宋体" w:hAnsi="宋体"/>
          <w:sz w:val="21"/>
          <w:szCs w:val="21"/>
        </w:rPr>
      </w:pPr>
      <w:r>
        <w:rPr>
          <w:rFonts w:hint="eastAsia" w:ascii="宋体" w:hAnsi="宋体"/>
          <w:sz w:val="21"/>
          <w:szCs w:val="21"/>
        </w:rPr>
        <w:t>投标人法定名称（公章）：</w:t>
      </w:r>
    </w:p>
    <w:p>
      <w:pPr>
        <w:spacing w:line="360" w:lineRule="auto"/>
        <w:ind w:left="5386" w:leftChars="2244"/>
        <w:jc w:val="left"/>
        <w:rPr>
          <w:rFonts w:ascii="宋体" w:hAnsi="宋体"/>
          <w:sz w:val="21"/>
          <w:szCs w:val="21"/>
        </w:rPr>
      </w:pPr>
    </w:p>
    <w:p>
      <w:pPr>
        <w:spacing w:line="360" w:lineRule="auto"/>
        <w:ind w:left="5386" w:leftChars="2244"/>
        <w:jc w:val="left"/>
        <w:rPr>
          <w:rFonts w:ascii="宋体" w:hAnsi="宋体"/>
          <w:sz w:val="21"/>
          <w:szCs w:val="21"/>
        </w:rPr>
      </w:pPr>
      <w:r>
        <w:rPr>
          <w:rFonts w:hint="eastAsia" w:ascii="宋体" w:hAnsi="宋体"/>
          <w:sz w:val="21"/>
          <w:szCs w:val="21"/>
        </w:rPr>
        <w:t>投标人法定地址：</w:t>
      </w:r>
    </w:p>
    <w:p>
      <w:pPr>
        <w:spacing w:line="360" w:lineRule="auto"/>
        <w:ind w:left="5386" w:leftChars="2244" w:right="420"/>
        <w:jc w:val="left"/>
        <w:rPr>
          <w:rFonts w:ascii="宋体" w:hAnsi="宋体"/>
          <w:sz w:val="21"/>
          <w:szCs w:val="21"/>
        </w:rPr>
      </w:pPr>
    </w:p>
    <w:p>
      <w:pPr>
        <w:spacing w:line="360" w:lineRule="auto"/>
        <w:ind w:left="5386" w:leftChars="2244" w:right="420"/>
        <w:jc w:val="left"/>
        <w:rPr>
          <w:rFonts w:ascii="宋体" w:hAnsi="宋体"/>
          <w:sz w:val="21"/>
          <w:szCs w:val="21"/>
        </w:rPr>
      </w:pPr>
      <w:r>
        <w:rPr>
          <w:rFonts w:hint="eastAsia" w:ascii="宋体" w:hAnsi="宋体"/>
          <w:sz w:val="21"/>
          <w:szCs w:val="21"/>
        </w:rPr>
        <w:t>投标人授权代表（签名或印鉴）：</w:t>
      </w:r>
    </w:p>
    <w:p>
      <w:pPr>
        <w:spacing w:line="360" w:lineRule="auto"/>
        <w:ind w:left="5386" w:leftChars="2244"/>
        <w:jc w:val="left"/>
        <w:rPr>
          <w:rFonts w:ascii="宋体" w:hAnsi="宋体"/>
          <w:sz w:val="21"/>
          <w:szCs w:val="21"/>
        </w:rPr>
      </w:pPr>
    </w:p>
    <w:p>
      <w:pPr>
        <w:spacing w:line="360" w:lineRule="auto"/>
        <w:ind w:left="5386" w:leftChars="2244"/>
        <w:jc w:val="left"/>
        <w:rPr>
          <w:rFonts w:ascii="宋体" w:hAnsi="宋体"/>
          <w:sz w:val="21"/>
          <w:szCs w:val="21"/>
        </w:rPr>
      </w:pPr>
      <w:r>
        <w:rPr>
          <w:rFonts w:hint="eastAsia" w:ascii="宋体" w:hAnsi="宋体"/>
          <w:sz w:val="21"/>
          <w:szCs w:val="21"/>
        </w:rPr>
        <w:t>电    话：</w:t>
      </w:r>
    </w:p>
    <w:p>
      <w:pPr>
        <w:spacing w:line="360" w:lineRule="auto"/>
        <w:ind w:left="5386" w:leftChars="2244"/>
        <w:jc w:val="left"/>
        <w:rPr>
          <w:rFonts w:ascii="宋体" w:hAnsi="宋体"/>
          <w:sz w:val="21"/>
          <w:szCs w:val="21"/>
        </w:rPr>
      </w:pPr>
    </w:p>
    <w:p>
      <w:pPr>
        <w:spacing w:line="360" w:lineRule="auto"/>
        <w:ind w:left="5386" w:leftChars="2244"/>
        <w:jc w:val="left"/>
        <w:rPr>
          <w:rFonts w:ascii="宋体" w:hAnsi="宋体"/>
          <w:sz w:val="21"/>
          <w:szCs w:val="21"/>
        </w:rPr>
      </w:pPr>
      <w:r>
        <w:rPr>
          <w:rFonts w:hint="eastAsia" w:ascii="宋体" w:hAnsi="宋体"/>
          <w:sz w:val="21"/>
          <w:szCs w:val="21"/>
        </w:rPr>
        <w:t>传    真：</w:t>
      </w:r>
    </w:p>
    <w:p>
      <w:pPr>
        <w:spacing w:line="360" w:lineRule="auto"/>
        <w:ind w:left="5386" w:leftChars="2244"/>
        <w:jc w:val="left"/>
        <w:rPr>
          <w:rFonts w:ascii="宋体" w:hAnsi="宋体"/>
          <w:sz w:val="21"/>
          <w:szCs w:val="21"/>
        </w:rPr>
      </w:pPr>
    </w:p>
    <w:p>
      <w:pPr>
        <w:spacing w:line="360" w:lineRule="auto"/>
        <w:ind w:left="5386" w:leftChars="2244"/>
        <w:jc w:val="left"/>
        <w:rPr>
          <w:rFonts w:ascii="宋体" w:hAnsi="宋体"/>
          <w:sz w:val="21"/>
          <w:szCs w:val="21"/>
        </w:rPr>
      </w:pPr>
      <w:r>
        <w:rPr>
          <w:rFonts w:hint="eastAsia" w:ascii="宋体" w:hAnsi="宋体"/>
          <w:sz w:val="21"/>
          <w:szCs w:val="21"/>
        </w:rPr>
        <w:t>承诺日期：</w:t>
      </w:r>
    </w:p>
    <w:p>
      <w:pPr>
        <w:spacing w:line="400" w:lineRule="exact"/>
        <w:ind w:left="360" w:leftChars="150"/>
        <w:jc w:val="left"/>
        <w:rPr>
          <w:rFonts w:ascii="宋体" w:hAnsi="宋体"/>
          <w:sz w:val="21"/>
          <w:szCs w:val="21"/>
        </w:rPr>
      </w:pPr>
    </w:p>
    <w:p>
      <w:pPr>
        <w:pStyle w:val="41"/>
        <w:snapToGrid w:val="0"/>
        <w:spacing w:before="0" w:beforeAutospacing="0" w:after="0" w:afterAutospacing="0" w:line="360" w:lineRule="auto"/>
        <w:rPr>
          <w:sz w:val="21"/>
          <w:szCs w:val="21"/>
        </w:rPr>
      </w:pPr>
      <w:bookmarkStart w:id="197" w:name="_Toc367012701"/>
      <w:bookmarkStart w:id="198" w:name="_Toc368513836"/>
      <w:r>
        <w:rPr>
          <w:rFonts w:ascii="宋体" w:hAnsi="宋体" w:eastAsia="宋体"/>
          <w:sz w:val="21"/>
          <w:szCs w:val="21"/>
        </w:rPr>
        <w:br w:type="page"/>
      </w:r>
      <w:r>
        <w:rPr>
          <w:rFonts w:hint="eastAsia" w:ascii="宋体" w:hAnsi="宋体" w:eastAsia="宋体" w:cs="Arial"/>
          <w:b/>
          <w:kern w:val="44"/>
          <w:sz w:val="21"/>
          <w:szCs w:val="21"/>
        </w:rPr>
        <w:t>（以下投标保函、政府采购投标担保函、制造商（总代理商）授权委托书、联合体共同投标协议书格式文件由供应商根据需要选用）</w:t>
      </w: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bookmarkStart w:id="199" w:name="_Toc15447"/>
      <w:r>
        <w:rPr>
          <w:rFonts w:ascii="宋体" w:hAnsi="宋体" w:eastAsia="宋体"/>
          <w:sz w:val="21"/>
          <w:szCs w:val="21"/>
        </w:rPr>
        <w:t>政府采购投标担保函（项目用)</w:t>
      </w:r>
      <w:bookmarkEnd w:id="199"/>
    </w:p>
    <w:p>
      <w:pPr>
        <w:pStyle w:val="55"/>
        <w:ind w:firstLine="420"/>
        <w:rPr>
          <w:lang w:val="en-US"/>
        </w:rPr>
      </w:pPr>
      <w:r>
        <w:rPr>
          <w:rFonts w:hint="eastAsia" w:ascii="宋体" w:hAnsi="宋体"/>
          <w:sz w:val="21"/>
          <w:szCs w:val="21"/>
        </w:rPr>
        <w:t>（已缴纳投标保证金的，无需提供投标保函，不符合招标文件要求的保函有被拒收的风险）</w:t>
      </w:r>
    </w:p>
    <w:p>
      <w:pPr>
        <w:pStyle w:val="367"/>
        <w:shd w:val="clear" w:color="auto" w:fill="auto"/>
        <w:spacing w:line="260" w:lineRule="exact"/>
        <w:ind w:right="500" w:firstLine="5250" w:firstLineChars="2100"/>
        <w:rPr>
          <w:rFonts w:asciiTheme="minorEastAsia" w:hAnsiTheme="minorEastAsia" w:eastAsiaTheme="minorEastAsia"/>
          <w:sz w:val="21"/>
          <w:szCs w:val="21"/>
        </w:rPr>
      </w:pPr>
      <w:r>
        <w:rPr>
          <w:rFonts w:asciiTheme="minorEastAsia" w:hAnsiTheme="minorEastAsia" w:eastAsiaTheme="minorEastAsia"/>
          <w:sz w:val="21"/>
          <w:szCs w:val="21"/>
          <w:lang w:val="zh-CN" w:bidi="zh-CN"/>
        </w:rPr>
        <w:t>编号：</w:t>
      </w:r>
    </w:p>
    <w:p>
      <w:pPr>
        <w:pStyle w:val="367"/>
        <w:shd w:val="clear" w:color="auto" w:fill="auto"/>
        <w:tabs>
          <w:tab w:val="left" w:leader="hyphen" w:pos="2889"/>
        </w:tabs>
        <w:spacing w:line="260" w:lineRule="exact"/>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bidi="en-US"/>
        </w:rPr>
        <w:t>___________</w:t>
      </w:r>
      <w:r>
        <w:rPr>
          <w:rFonts w:asciiTheme="minorEastAsia" w:hAnsiTheme="minorEastAsia" w:eastAsiaTheme="minorEastAsia"/>
          <w:sz w:val="21"/>
          <w:szCs w:val="21"/>
          <w:lang w:val="zh-CN" w:bidi="zh-CN"/>
        </w:rPr>
        <w:t>(采购人或采购代理机构</w:t>
      </w:r>
      <w:r>
        <w:rPr>
          <w:rFonts w:asciiTheme="minorEastAsia" w:hAnsiTheme="minorEastAsia" w:eastAsiaTheme="minorEastAsia"/>
          <w:sz w:val="21"/>
          <w:szCs w:val="21"/>
          <w:lang w:bidi="en-US"/>
        </w:rPr>
        <w:t>)：</w:t>
      </w:r>
    </w:p>
    <w:p>
      <w:pPr>
        <w:pStyle w:val="367"/>
        <w:shd w:val="clear" w:color="auto" w:fill="auto"/>
        <w:tabs>
          <w:tab w:val="left" w:leader="hyphen" w:pos="3986"/>
        </w:tabs>
        <w:spacing w:line="260" w:lineRule="exact"/>
        <w:ind w:firstLine="360"/>
        <w:jc w:val="left"/>
        <w:rPr>
          <w:rStyle w:val="368"/>
          <w:rFonts w:asciiTheme="minorEastAsia" w:hAnsiTheme="minorEastAsia" w:eastAsiaTheme="minorEastAsia"/>
          <w:color w:val="auto"/>
          <w:sz w:val="21"/>
          <w:szCs w:val="21"/>
        </w:rPr>
      </w:pPr>
      <w:r>
        <w:rPr>
          <w:rFonts w:asciiTheme="minorEastAsia" w:hAnsiTheme="minorEastAsia" w:eastAsiaTheme="minorEastAsia"/>
          <w:sz w:val="21"/>
          <w:szCs w:val="21"/>
          <w:lang w:val="zh-CN" w:bidi="zh-CN"/>
        </w:rPr>
        <w:t>鉴于</w:t>
      </w:r>
      <w:r>
        <w:rPr>
          <w:rFonts w:asciiTheme="minorEastAsia" w:hAnsiTheme="minorEastAsia" w:eastAsiaTheme="minorEastAsia"/>
          <w:sz w:val="21"/>
          <w:szCs w:val="21"/>
          <w:lang w:bidi="en-US"/>
        </w:rPr>
        <w:t>________</w:t>
      </w:r>
      <w:r>
        <w:rPr>
          <w:rStyle w:val="368"/>
          <w:rFonts w:hint="eastAsia" w:asciiTheme="minorEastAsia" w:hAnsiTheme="minorEastAsia" w:eastAsiaTheme="minorEastAsia"/>
          <w:color w:val="auto"/>
          <w:sz w:val="21"/>
          <w:szCs w:val="21"/>
        </w:rPr>
        <w:t>(以下简称“</w:t>
      </w:r>
      <w:r>
        <w:rPr>
          <w:rStyle w:val="368"/>
          <w:rFonts w:asciiTheme="minorEastAsia" w:hAnsiTheme="minorEastAsia" w:eastAsiaTheme="minorEastAsia"/>
          <w:color w:val="auto"/>
          <w:sz w:val="21"/>
          <w:szCs w:val="21"/>
        </w:rPr>
        <w:t>投标人”</w:t>
      </w:r>
      <w:r>
        <w:rPr>
          <w:rStyle w:val="368"/>
          <w:rFonts w:hint="eastAsia" w:asciiTheme="minorEastAsia" w:hAnsiTheme="minorEastAsia" w:eastAsiaTheme="minorEastAsia"/>
          <w:color w:val="auto"/>
          <w:sz w:val="21"/>
          <w:szCs w:val="21"/>
        </w:rPr>
        <w:t>)</w:t>
      </w:r>
      <w:r>
        <w:rPr>
          <w:rStyle w:val="368"/>
          <w:rFonts w:asciiTheme="minorEastAsia" w:hAnsiTheme="minorEastAsia" w:eastAsiaTheme="minorEastAsia"/>
          <w:color w:val="auto"/>
          <w:sz w:val="21"/>
          <w:szCs w:val="21"/>
        </w:rPr>
        <w:t>拟参加编号</w:t>
      </w:r>
    </w:p>
    <w:p>
      <w:pPr>
        <w:pStyle w:val="367"/>
        <w:shd w:val="clear" w:color="auto" w:fill="auto"/>
        <w:tabs>
          <w:tab w:val="left" w:leader="hyphen" w:pos="3986"/>
        </w:tabs>
        <w:spacing w:line="260" w:lineRule="exact"/>
        <w:ind w:firstLine="360"/>
        <w:jc w:val="left"/>
        <w:rPr>
          <w:rFonts w:asciiTheme="minorEastAsia" w:hAnsiTheme="minorEastAsia" w:eastAsiaTheme="minorEastAsia"/>
          <w:sz w:val="21"/>
          <w:szCs w:val="21"/>
          <w:lang w:val="zh-CN" w:bidi="zh-CN"/>
        </w:rPr>
      </w:pPr>
      <w:r>
        <w:rPr>
          <w:rStyle w:val="368"/>
          <w:rFonts w:asciiTheme="minorEastAsia" w:hAnsiTheme="minorEastAsia" w:eastAsiaTheme="minorEastAsia"/>
          <w:color w:val="auto"/>
          <w:sz w:val="21"/>
          <w:szCs w:val="21"/>
        </w:rPr>
        <w:t>为_______的_______项目（以下简称“本项目”）投标，根据本项目招标文件，供应商参加投标时应向你方交纳投标保证金，且可以投标担保函的形式交纳投标保证金。应供应</w:t>
      </w:r>
      <w:r>
        <w:rPr>
          <w:rFonts w:asciiTheme="minorEastAsia" w:hAnsiTheme="minorEastAsia" w:eastAsiaTheme="minorEastAsia"/>
          <w:sz w:val="21"/>
          <w:szCs w:val="21"/>
          <w:lang w:val="zh-CN" w:bidi="zh-CN"/>
        </w:rPr>
        <w:t>商的申请，</w:t>
      </w:r>
    </w:p>
    <w:p>
      <w:pPr>
        <w:pStyle w:val="367"/>
        <w:shd w:val="clear" w:color="auto" w:fill="auto"/>
        <w:tabs>
          <w:tab w:val="left" w:leader="hyphen" w:pos="3986"/>
        </w:tabs>
        <w:spacing w:line="260" w:lineRule="exact"/>
        <w:ind w:firstLine="36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我方以保证的方式向你方提供如下投标保证金担保：</w:t>
      </w:r>
    </w:p>
    <w:p>
      <w:pPr>
        <w:pStyle w:val="367"/>
        <w:numPr>
          <w:ilvl w:val="0"/>
          <w:numId w:val="58"/>
        </w:numPr>
        <w:shd w:val="clear" w:color="auto" w:fill="auto"/>
        <w:tabs>
          <w:tab w:val="left" w:pos="538"/>
        </w:tabs>
        <w:spacing w:line="450" w:lineRule="exact"/>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保证责任的情形及保证金额</w:t>
      </w:r>
    </w:p>
    <w:p>
      <w:pPr>
        <w:pStyle w:val="367"/>
        <w:numPr>
          <w:ilvl w:val="0"/>
          <w:numId w:val="59"/>
        </w:numPr>
        <w:shd w:val="clear" w:color="auto" w:fill="auto"/>
        <w:tabs>
          <w:tab w:val="left" w:pos="1201"/>
        </w:tabs>
        <w:spacing w:line="450" w:lineRule="exact"/>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在投标人出现下列情形之一时，我方承担保证责任：</w:t>
      </w:r>
    </w:p>
    <w:p>
      <w:pPr>
        <w:pStyle w:val="367"/>
        <w:numPr>
          <w:ilvl w:val="0"/>
          <w:numId w:val="60"/>
        </w:numPr>
        <w:shd w:val="clear" w:color="auto" w:fill="auto"/>
        <w:tabs>
          <w:tab w:val="left" w:pos="1004"/>
        </w:tabs>
        <w:spacing w:line="450" w:lineRule="exact"/>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中标后投标人无正当理由不与采购人或者采购代理机构签订《政府采购合同》；</w:t>
      </w:r>
    </w:p>
    <w:p>
      <w:pPr>
        <w:pStyle w:val="367"/>
        <w:shd w:val="clear" w:color="auto" w:fill="auto"/>
        <w:tabs>
          <w:tab w:val="left" w:pos="1004"/>
        </w:tabs>
        <w:spacing w:line="450" w:lineRule="exact"/>
        <w:ind w:left="360" w:firstLine="0"/>
        <w:jc w:val="left"/>
        <w:rPr>
          <w:rFonts w:asciiTheme="minorEastAsia" w:hAnsiTheme="minorEastAsia" w:eastAsiaTheme="minorEastAsia"/>
          <w:sz w:val="21"/>
          <w:szCs w:val="21"/>
        </w:rPr>
      </w:pPr>
      <w:r>
        <w:rPr>
          <w:rFonts w:asciiTheme="minorEastAsia" w:hAnsiTheme="minorEastAsia" w:eastAsiaTheme="minorEastAsia"/>
          <w:sz w:val="21"/>
          <w:szCs w:val="21"/>
          <w:lang w:bidi="zh-CN"/>
        </w:rPr>
        <w:t>2、</w:t>
      </w:r>
      <w:r>
        <w:rPr>
          <w:rFonts w:asciiTheme="minorEastAsia" w:hAnsiTheme="minorEastAsia" w:eastAsiaTheme="minorEastAsia"/>
          <w:sz w:val="21"/>
          <w:szCs w:val="21"/>
          <w:lang w:val="zh-CN" w:bidi="zh-CN"/>
        </w:rPr>
        <w:t>招标文件规定的投标人应当缴纳保证金的其他情形。</w:t>
      </w:r>
    </w:p>
    <w:p>
      <w:pPr>
        <w:pStyle w:val="367"/>
        <w:shd w:val="clear" w:color="auto" w:fill="auto"/>
        <w:tabs>
          <w:tab w:val="left" w:pos="1336"/>
          <w:tab w:val="left" w:leader="hyphen" w:pos="7668"/>
        </w:tabs>
        <w:spacing w:line="450" w:lineRule="exact"/>
        <w:ind w:firstLine="36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(二）</w:t>
      </w:r>
      <w:r>
        <w:rPr>
          <w:rStyle w:val="368"/>
          <w:rFonts w:asciiTheme="minorEastAsia" w:hAnsiTheme="minorEastAsia" w:eastAsiaTheme="minorEastAsia"/>
          <w:color w:val="auto"/>
          <w:sz w:val="21"/>
          <w:szCs w:val="21"/>
        </w:rPr>
        <w:t>我方承担保证责任的最高金额为人民币</w:t>
      </w:r>
      <w:r>
        <w:rPr>
          <w:rStyle w:val="368"/>
          <w:rFonts w:asciiTheme="minorEastAsia" w:hAnsiTheme="minorEastAsia" w:eastAsiaTheme="minorEastAsia"/>
          <w:color w:val="auto"/>
          <w:sz w:val="21"/>
          <w:szCs w:val="21"/>
          <w:lang w:bidi="en-US"/>
        </w:rPr>
        <w:t>_____</w:t>
      </w:r>
      <w:r>
        <w:rPr>
          <w:rStyle w:val="368"/>
          <w:rFonts w:asciiTheme="minorEastAsia" w:hAnsiTheme="minorEastAsia" w:eastAsiaTheme="minorEastAsia"/>
          <w:color w:val="auto"/>
          <w:sz w:val="21"/>
          <w:szCs w:val="21"/>
        </w:rPr>
        <w:t>元（大写</w:t>
      </w:r>
      <w:r>
        <w:rPr>
          <w:rFonts w:asciiTheme="minorEastAsia" w:hAnsiTheme="minorEastAsia" w:eastAsiaTheme="minorEastAsia"/>
          <w:sz w:val="21"/>
          <w:szCs w:val="21"/>
          <w:lang w:bidi="en-US"/>
        </w:rPr>
        <w:t>_______</w:t>
      </w:r>
      <w:r>
        <w:rPr>
          <w:rFonts w:asciiTheme="minorEastAsia" w:hAnsiTheme="minorEastAsia" w:eastAsiaTheme="minorEastAsia"/>
          <w:sz w:val="21"/>
          <w:szCs w:val="21"/>
          <w:lang w:val="zh-CN" w:bidi="zh-CN"/>
        </w:rPr>
        <w:t>)，即本项目的投标保证金金额。</w:t>
      </w:r>
    </w:p>
    <w:p>
      <w:pPr>
        <w:pStyle w:val="367"/>
        <w:shd w:val="clear" w:color="auto" w:fill="auto"/>
        <w:tabs>
          <w:tab w:val="left" w:pos="538"/>
        </w:tabs>
        <w:spacing w:line="450" w:lineRule="exact"/>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二、</w:t>
      </w: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保证的方式及保证期间</w:t>
      </w:r>
    </w:p>
    <w:p>
      <w:pPr>
        <w:pStyle w:val="367"/>
        <w:shd w:val="clear" w:color="auto" w:fill="auto"/>
        <w:spacing w:line="450" w:lineRule="exact"/>
        <w:ind w:firstLine="36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我方保证的方式为：连带责任保证。</w:t>
      </w:r>
    </w:p>
    <w:p>
      <w:pPr>
        <w:pStyle w:val="367"/>
        <w:shd w:val="clear" w:color="auto" w:fill="auto"/>
        <w:spacing w:line="450" w:lineRule="exact"/>
        <w:ind w:firstLine="0"/>
        <w:rPr>
          <w:rFonts w:asciiTheme="minorEastAsia" w:hAnsiTheme="minorEastAsia" w:eastAsiaTheme="minorEastAsia"/>
          <w:sz w:val="21"/>
          <w:szCs w:val="21"/>
        </w:rPr>
      </w:pPr>
      <w:r>
        <w:rPr>
          <w:rStyle w:val="368"/>
          <w:rFonts w:asciiTheme="minorEastAsia" w:hAnsiTheme="minorEastAsia" w:eastAsiaTheme="minorEastAsia"/>
          <w:color w:val="auto"/>
          <w:sz w:val="21"/>
          <w:szCs w:val="21"/>
        </w:rPr>
        <w:t>我方的保证期间为：自本保函生效之日起</w:t>
      </w:r>
      <w:r>
        <w:rPr>
          <w:rFonts w:asciiTheme="minorEastAsia" w:hAnsiTheme="minorEastAsia" w:eastAsiaTheme="minorEastAsia"/>
          <w:sz w:val="21"/>
          <w:szCs w:val="21"/>
          <w:lang w:bidi="en-US"/>
        </w:rPr>
        <w:t>_____</w:t>
      </w:r>
      <w:r>
        <w:rPr>
          <w:rStyle w:val="368"/>
          <w:rFonts w:asciiTheme="minorEastAsia" w:hAnsiTheme="minorEastAsia" w:eastAsiaTheme="minorEastAsia"/>
          <w:color w:val="auto"/>
          <w:sz w:val="21"/>
          <w:szCs w:val="21"/>
        </w:rPr>
        <w:t>个月止。</w:t>
      </w:r>
    </w:p>
    <w:p>
      <w:pPr>
        <w:pStyle w:val="367"/>
        <w:shd w:val="clear" w:color="auto" w:fill="auto"/>
        <w:tabs>
          <w:tab w:val="left" w:pos="538"/>
        </w:tabs>
        <w:spacing w:line="450" w:lineRule="exact"/>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三、</w:t>
      </w: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承担保证责任的程序</w:t>
      </w:r>
    </w:p>
    <w:p>
      <w:pPr>
        <w:pStyle w:val="367"/>
        <w:shd w:val="clear" w:color="auto" w:fill="auto"/>
        <w:tabs>
          <w:tab w:val="left" w:pos="425"/>
          <w:tab w:val="left" w:pos="1004"/>
        </w:tabs>
        <w:spacing w:line="450" w:lineRule="exact"/>
        <w:ind w:left="360" w:firstLine="0"/>
        <w:jc w:val="left"/>
        <w:rPr>
          <w:rFonts w:asciiTheme="minorEastAsia" w:hAnsiTheme="minorEastAsia" w:eastAsiaTheme="minorEastAsia"/>
          <w:sz w:val="21"/>
          <w:szCs w:val="21"/>
        </w:rPr>
      </w:pPr>
      <w:r>
        <w:rPr>
          <w:rFonts w:hint="eastAsia" w:asciiTheme="minorEastAsia" w:hAnsiTheme="minorEastAsia" w:eastAsiaTheme="minorEastAsia"/>
          <w:sz w:val="21"/>
          <w:szCs w:val="21"/>
          <w:lang w:val="zh-CN" w:bidi="zh-CN"/>
        </w:rPr>
        <w:t>1、</w:t>
      </w:r>
      <w:r>
        <w:rPr>
          <w:rFonts w:asciiTheme="minorEastAsia" w:hAnsiTheme="minorEastAsia" w:eastAsiaTheme="minorEastAsia"/>
          <w:sz w:val="21"/>
          <w:szCs w:val="21"/>
          <w:lang w:val="zh-CN" w:bidi="zh-CN"/>
        </w:rPr>
        <w:t>你方要求我方承担保证责任的，应在本保函保证期间内向我方发出书面索赔通知。索赔通知应写明要求索赔的金额，支付款项应到达的账号，并附有证明投标人发生我方应承担保证责任情形的事实材料。</w:t>
      </w:r>
    </w:p>
    <w:p>
      <w:pPr>
        <w:pStyle w:val="367"/>
        <w:shd w:val="clear" w:color="auto" w:fill="auto"/>
        <w:tabs>
          <w:tab w:val="left" w:pos="1004"/>
        </w:tabs>
        <w:spacing w:line="450" w:lineRule="exact"/>
        <w:ind w:left="360" w:firstLine="0"/>
        <w:jc w:val="left"/>
        <w:rPr>
          <w:rFonts w:asciiTheme="minorEastAsia" w:hAnsiTheme="minorEastAsia" w:eastAsiaTheme="minorEastAsia"/>
          <w:sz w:val="21"/>
          <w:szCs w:val="21"/>
          <w:lang w:val="zh-CN" w:bidi="zh-CN"/>
        </w:rPr>
      </w:pPr>
      <w:r>
        <w:rPr>
          <w:rFonts w:hint="eastAsia" w:asciiTheme="minorEastAsia" w:hAnsiTheme="minorEastAsia" w:eastAsiaTheme="minorEastAsia"/>
          <w:sz w:val="21"/>
          <w:szCs w:val="21"/>
          <w:lang w:val="zh-CN" w:bidi="zh-CN"/>
        </w:rPr>
        <w:t>2、</w:t>
      </w:r>
      <w:r>
        <w:rPr>
          <w:rFonts w:asciiTheme="minorEastAsia" w:hAnsiTheme="minorEastAsia" w:eastAsiaTheme="minorEastAsia"/>
          <w:sz w:val="21"/>
          <w:szCs w:val="21"/>
          <w:lang w:val="zh-CN" w:bidi="zh-CN"/>
        </w:rPr>
        <w:t>我方在收到索赔通知及相关证明材料后，在_____个工作曰内进行审查，符合应承担保证责任情形的，我方应按照你方的要求代投标人向你方支付投标保证金。</w:t>
      </w:r>
    </w:p>
    <w:p>
      <w:pPr>
        <w:pStyle w:val="367"/>
        <w:shd w:val="clear" w:color="auto" w:fill="auto"/>
        <w:tabs>
          <w:tab w:val="left" w:pos="538"/>
        </w:tabs>
        <w:spacing w:line="450" w:lineRule="exact"/>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四、</w:t>
      </w: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保证责任的终止</w:t>
      </w:r>
    </w:p>
    <w:p>
      <w:pPr>
        <w:pStyle w:val="367"/>
        <w:shd w:val="clear" w:color="auto" w:fill="auto"/>
        <w:spacing w:line="450" w:lineRule="exact"/>
        <w:ind w:left="360" w:firstLine="0"/>
        <w:jc w:val="left"/>
        <w:rPr>
          <w:rFonts w:asciiTheme="minorEastAsia" w:hAnsiTheme="minorEastAsia" w:eastAsiaTheme="minorEastAsia"/>
          <w:sz w:val="21"/>
          <w:szCs w:val="21"/>
          <w:lang w:val="zh-CN" w:bidi="zh-CN"/>
        </w:rPr>
      </w:pPr>
      <w:r>
        <w:rPr>
          <w:rFonts w:hint="eastAsia" w:asciiTheme="minorEastAsia" w:hAnsiTheme="minorEastAsia" w:eastAsiaTheme="minorEastAsia"/>
          <w:sz w:val="21"/>
          <w:szCs w:val="21"/>
          <w:lang w:val="zh-CN" w:bidi="zh-CN"/>
        </w:rPr>
        <w:t>1、</w:t>
      </w:r>
      <w:r>
        <w:rPr>
          <w:rFonts w:asciiTheme="minorEastAsia" w:hAnsiTheme="minorEastAsia" w:eastAsiaTheme="minorEastAsia"/>
          <w:sz w:val="21"/>
          <w:szCs w:val="21"/>
          <w:lang w:val="zh-CN" w:bidi="zh-CN"/>
        </w:rPr>
        <w:t>保证期间届满你方未向我方书面主张保证责任的，自保证期间届满次日起，我方保证责任自动终止。</w:t>
      </w:r>
    </w:p>
    <w:p>
      <w:pPr>
        <w:pStyle w:val="367"/>
        <w:shd w:val="clear" w:color="auto" w:fill="auto"/>
        <w:spacing w:line="450" w:lineRule="exact"/>
        <w:ind w:left="360" w:firstLine="0"/>
        <w:jc w:val="left"/>
        <w:rPr>
          <w:rFonts w:asciiTheme="minorEastAsia" w:hAnsiTheme="minorEastAsia" w:eastAsiaTheme="minorEastAsia"/>
          <w:sz w:val="21"/>
          <w:szCs w:val="21"/>
          <w:lang w:val="zh-CN" w:bidi="zh-CN"/>
        </w:rPr>
      </w:pPr>
      <w:r>
        <w:rPr>
          <w:rFonts w:asciiTheme="minorEastAsia" w:hAnsiTheme="minorEastAsia" w:eastAsiaTheme="minorEastAsia"/>
          <w:sz w:val="21"/>
          <w:szCs w:val="21"/>
          <w:lang w:val="zh-CN" w:bidi="zh-CN"/>
        </w:rPr>
        <w:t>2</w:t>
      </w:r>
      <w:r>
        <w:rPr>
          <w:rFonts w:hint="eastAsia" w:asciiTheme="minorEastAsia" w:hAnsiTheme="minorEastAsia" w:eastAsiaTheme="minorEastAsia"/>
          <w:sz w:val="21"/>
          <w:szCs w:val="21"/>
          <w:lang w:val="zh-CN" w:bidi="zh-CN"/>
        </w:rPr>
        <w:t>、</w:t>
      </w:r>
      <w:r>
        <w:rPr>
          <w:rFonts w:asciiTheme="minorEastAsia" w:hAnsiTheme="minorEastAsia" w:eastAsiaTheme="minorEastAsia"/>
          <w:sz w:val="21"/>
          <w:szCs w:val="21"/>
          <w:lang w:val="zh-CN" w:bidi="zh-CN"/>
        </w:rPr>
        <w:t>我方按照本保函向你贵方履行了保证责任后，自我方向你贵方支付款项(支付款项从我方账户划出</w:t>
      </w:r>
      <w:r>
        <w:rPr>
          <w:rFonts w:asciiTheme="minorEastAsia" w:hAnsiTheme="minorEastAsia" w:eastAsiaTheme="minorEastAsia"/>
          <w:sz w:val="21"/>
          <w:szCs w:val="21"/>
          <w:lang w:bidi="en-US"/>
        </w:rPr>
        <w:t>）</w:t>
      </w:r>
      <w:r>
        <w:rPr>
          <w:rFonts w:asciiTheme="minorEastAsia" w:hAnsiTheme="minorEastAsia" w:eastAsiaTheme="minorEastAsia"/>
          <w:sz w:val="21"/>
          <w:szCs w:val="21"/>
          <w:lang w:val="zh-CN" w:bidi="zh-CN"/>
        </w:rPr>
        <w:t>之日起，保证责任终止。</w:t>
      </w:r>
    </w:p>
    <w:p>
      <w:pPr>
        <w:pStyle w:val="367"/>
        <w:shd w:val="clear" w:color="auto" w:fill="auto"/>
        <w:tabs>
          <w:tab w:val="left" w:pos="900"/>
        </w:tabs>
        <w:spacing w:line="450" w:lineRule="exact"/>
        <w:ind w:left="360" w:firstLine="0"/>
        <w:jc w:val="left"/>
        <w:rPr>
          <w:rFonts w:asciiTheme="minorEastAsia" w:hAnsiTheme="minorEastAsia" w:eastAsiaTheme="minorEastAsia"/>
          <w:sz w:val="21"/>
          <w:szCs w:val="21"/>
        </w:rPr>
      </w:pPr>
      <w:r>
        <w:rPr>
          <w:rFonts w:hint="eastAsia" w:asciiTheme="minorEastAsia" w:hAnsiTheme="minorEastAsia" w:eastAsiaTheme="minorEastAsia"/>
          <w:sz w:val="21"/>
          <w:szCs w:val="21"/>
          <w:lang w:val="zh-CN" w:bidi="zh-CN"/>
        </w:rPr>
        <w:t>3、</w:t>
      </w:r>
      <w:r>
        <w:rPr>
          <w:rFonts w:asciiTheme="minorEastAsia" w:hAnsiTheme="minorEastAsia" w:eastAsiaTheme="minorEastAsia"/>
          <w:sz w:val="21"/>
          <w:szCs w:val="21"/>
          <w:lang w:val="zh-CN" w:bidi="zh-CN"/>
        </w:rPr>
        <w:t>按照法律法规的规定或出现我方保证责任终止的其它情形的，我方在本保函项下的保证责任亦终止。</w:t>
      </w:r>
    </w:p>
    <w:p>
      <w:pPr>
        <w:pStyle w:val="55"/>
        <w:ind w:firstLine="0" w:firstLineChars="0"/>
        <w:rPr>
          <w:rFonts w:asciiTheme="minorEastAsia" w:hAnsiTheme="minorEastAsia" w:eastAsiaTheme="minorEastAsia"/>
          <w:sz w:val="21"/>
          <w:szCs w:val="21"/>
          <w:lang w:bidi="zh-CN"/>
        </w:rPr>
      </w:pPr>
      <w:r>
        <w:rPr>
          <w:rFonts w:asciiTheme="minorEastAsia" w:hAnsiTheme="minorEastAsia" w:eastAsiaTheme="minorEastAsia"/>
          <w:sz w:val="21"/>
          <w:szCs w:val="21"/>
          <w:lang w:bidi="zh-CN"/>
        </w:rPr>
        <w:t>五、免责条款</w:t>
      </w:r>
    </w:p>
    <w:p>
      <w:pPr>
        <w:pStyle w:val="367"/>
        <w:shd w:val="clear" w:color="auto" w:fill="auto"/>
        <w:tabs>
          <w:tab w:val="left" w:pos="900"/>
          <w:tab w:val="left" w:pos="988"/>
        </w:tabs>
        <w:spacing w:line="454" w:lineRule="exact"/>
        <w:ind w:left="360" w:firstLine="0"/>
        <w:jc w:val="left"/>
        <w:rPr>
          <w:rFonts w:asciiTheme="minorEastAsia" w:hAnsiTheme="minorEastAsia" w:eastAsiaTheme="minorEastAsia"/>
          <w:sz w:val="21"/>
          <w:szCs w:val="21"/>
        </w:rPr>
      </w:pPr>
      <w:r>
        <w:rPr>
          <w:rFonts w:hint="eastAsia" w:asciiTheme="minorEastAsia" w:hAnsiTheme="minorEastAsia" w:eastAsiaTheme="minorEastAsia"/>
          <w:sz w:val="21"/>
          <w:szCs w:val="21"/>
          <w:lang w:val="zh-CN" w:bidi="zh-CN"/>
        </w:rPr>
        <w:t>1</w:t>
      </w:r>
      <w:r>
        <w:rPr>
          <w:rFonts w:asciiTheme="minorEastAsia" w:hAnsiTheme="minorEastAsia" w:eastAsiaTheme="minorEastAsia"/>
          <w:sz w:val="21"/>
          <w:szCs w:val="21"/>
          <w:lang w:val="zh-CN" w:bidi="zh-CN"/>
        </w:rPr>
        <w:t>、依照法律规定或你方与投标人的另行约定，全部或者部分免除投标人投标保证金义务时，我方亦免除相应的保证责任。</w:t>
      </w:r>
    </w:p>
    <w:p>
      <w:pPr>
        <w:pStyle w:val="367"/>
        <w:shd w:val="clear" w:color="auto" w:fill="auto"/>
        <w:tabs>
          <w:tab w:val="left" w:pos="900"/>
          <w:tab w:val="left" w:pos="988"/>
        </w:tabs>
        <w:spacing w:line="454" w:lineRule="exact"/>
        <w:ind w:left="360" w:firstLine="0"/>
        <w:jc w:val="left"/>
        <w:rPr>
          <w:rFonts w:asciiTheme="minorEastAsia" w:hAnsiTheme="minorEastAsia" w:eastAsiaTheme="minorEastAsia"/>
          <w:sz w:val="21"/>
          <w:szCs w:val="21"/>
        </w:rPr>
      </w:pPr>
      <w:r>
        <w:rPr>
          <w:rFonts w:hint="eastAsia" w:asciiTheme="minorEastAsia" w:hAnsiTheme="minorEastAsia" w:eastAsiaTheme="minorEastAsia"/>
          <w:sz w:val="21"/>
          <w:szCs w:val="21"/>
          <w:lang w:val="zh-CN" w:bidi="zh-CN"/>
        </w:rPr>
        <w:t>2、</w:t>
      </w:r>
      <w:r>
        <w:rPr>
          <w:rFonts w:asciiTheme="minorEastAsia" w:hAnsiTheme="minorEastAsia" w:eastAsiaTheme="minorEastAsia"/>
          <w:sz w:val="21"/>
          <w:szCs w:val="21"/>
          <w:lang w:val="zh-CN" w:bidi="zh-CN"/>
        </w:rPr>
        <w:t>因你方原因致使投标人发生本保函第一条第（一)款约定情形的，我方不承担保证责任。</w:t>
      </w:r>
    </w:p>
    <w:p>
      <w:pPr>
        <w:pStyle w:val="367"/>
        <w:shd w:val="clear" w:color="auto" w:fill="auto"/>
        <w:tabs>
          <w:tab w:val="left" w:pos="900"/>
          <w:tab w:val="left" w:pos="988"/>
        </w:tabs>
        <w:spacing w:line="454" w:lineRule="exact"/>
        <w:ind w:left="360" w:firstLine="0"/>
        <w:jc w:val="left"/>
        <w:rPr>
          <w:rFonts w:asciiTheme="minorEastAsia" w:hAnsiTheme="minorEastAsia" w:eastAsiaTheme="minorEastAsia"/>
          <w:sz w:val="21"/>
          <w:szCs w:val="21"/>
          <w:lang w:val="zh-CN" w:bidi="zh-CN"/>
        </w:rPr>
      </w:pPr>
      <w:r>
        <w:rPr>
          <w:rFonts w:hint="eastAsia" w:asciiTheme="minorEastAsia" w:hAnsiTheme="minorEastAsia" w:eastAsiaTheme="minorEastAsia"/>
          <w:sz w:val="21"/>
          <w:szCs w:val="21"/>
          <w:lang w:val="zh-CN" w:bidi="zh-CN"/>
        </w:rPr>
        <w:t>3、</w:t>
      </w:r>
      <w:r>
        <w:rPr>
          <w:rFonts w:asciiTheme="minorEastAsia" w:hAnsiTheme="minorEastAsia" w:eastAsiaTheme="minorEastAsia"/>
          <w:sz w:val="21"/>
          <w:szCs w:val="21"/>
          <w:lang w:val="zh-CN" w:bidi="zh-CN"/>
        </w:rPr>
        <w:t>因不可抗力造成投标人发生本保函第一条约定情形的，我方不承担保证责任。</w:t>
      </w:r>
    </w:p>
    <w:p>
      <w:pPr>
        <w:pStyle w:val="367"/>
        <w:shd w:val="clear" w:color="auto" w:fill="auto"/>
        <w:tabs>
          <w:tab w:val="left" w:pos="900"/>
          <w:tab w:val="left" w:pos="988"/>
        </w:tabs>
        <w:spacing w:line="454" w:lineRule="exact"/>
        <w:ind w:left="360" w:firstLine="0"/>
        <w:jc w:val="left"/>
        <w:rPr>
          <w:rFonts w:asciiTheme="minorEastAsia" w:hAnsiTheme="minorEastAsia" w:eastAsiaTheme="minorEastAsia"/>
          <w:sz w:val="21"/>
          <w:szCs w:val="21"/>
          <w:lang w:val="zh-CN" w:bidi="zh-CN"/>
        </w:rPr>
      </w:pPr>
      <w:r>
        <w:rPr>
          <w:rFonts w:hint="eastAsia" w:asciiTheme="minorEastAsia" w:hAnsiTheme="minorEastAsia" w:eastAsiaTheme="minorEastAsia"/>
          <w:sz w:val="21"/>
          <w:szCs w:val="21"/>
          <w:lang w:val="zh-CN" w:bidi="zh-CN"/>
        </w:rPr>
        <w:t>4、</w:t>
      </w:r>
      <w:r>
        <w:rPr>
          <w:rFonts w:asciiTheme="minorEastAsia" w:hAnsiTheme="minorEastAsia" w:eastAsiaTheme="minorEastAsia"/>
          <w:sz w:val="21"/>
          <w:szCs w:val="21"/>
          <w:lang w:val="zh-CN" w:bidi="zh-CN"/>
        </w:rPr>
        <w:t>你方或其他有权机关对招标文件进行任何澄清或修改，加重我方保证责任的，我方对加重部分不承担保证责任，但该澄清或修改经我方事先书面同意的除外。</w:t>
      </w:r>
    </w:p>
    <w:p>
      <w:pPr>
        <w:pStyle w:val="367"/>
        <w:shd w:val="clear" w:color="auto" w:fill="auto"/>
        <w:tabs>
          <w:tab w:val="left" w:pos="559"/>
        </w:tabs>
        <w:spacing w:line="454" w:lineRule="exact"/>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六、</w:t>
      </w: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争议的解决</w:t>
      </w:r>
    </w:p>
    <w:p>
      <w:pPr>
        <w:pStyle w:val="367"/>
        <w:shd w:val="clear" w:color="auto" w:fill="auto"/>
        <w:tabs>
          <w:tab w:val="left" w:leader="underscore" w:pos="6242"/>
        </w:tabs>
        <w:spacing w:line="454" w:lineRule="exact"/>
        <w:ind w:firstLine="36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因本保函发生的纠纷，由你我双方协商解决，协商不成的，通过诉讼</w:t>
      </w:r>
      <w:r>
        <w:rPr>
          <w:rFonts w:asciiTheme="minorEastAsia" w:hAnsiTheme="minorEastAsia" w:eastAsiaTheme="minorEastAsia"/>
          <w:sz w:val="21"/>
          <w:szCs w:val="21"/>
          <w:lang w:val="zh-CN" w:bidi="zh-CN"/>
        </w:rPr>
        <w:br w:type="textWrapping"/>
      </w:r>
      <w:r>
        <w:rPr>
          <w:rFonts w:asciiTheme="minorEastAsia" w:hAnsiTheme="minorEastAsia" w:eastAsiaTheme="minorEastAsia"/>
          <w:sz w:val="21"/>
          <w:szCs w:val="21"/>
          <w:lang w:val="zh-CN" w:bidi="zh-CN"/>
        </w:rPr>
        <w:t>程序解决，诉讼管辖地法院为</w:t>
      </w: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法院。</w:t>
      </w:r>
    </w:p>
    <w:p>
      <w:pPr>
        <w:pStyle w:val="367"/>
        <w:shd w:val="clear" w:color="auto" w:fill="auto"/>
        <w:tabs>
          <w:tab w:val="left" w:pos="559"/>
        </w:tabs>
        <w:spacing w:line="454" w:lineRule="exact"/>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七、</w:t>
      </w: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保函的生效</w:t>
      </w:r>
    </w:p>
    <w:p>
      <w:pPr>
        <w:pStyle w:val="367"/>
        <w:shd w:val="clear" w:color="auto" w:fill="auto"/>
        <w:spacing w:line="454" w:lineRule="exact"/>
        <w:ind w:firstLine="36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本保函自我方加盖公章之日起生效。</w:t>
      </w:r>
    </w:p>
    <w:p>
      <w:pPr>
        <w:pStyle w:val="367"/>
        <w:shd w:val="clear" w:color="auto" w:fill="auto"/>
        <w:spacing w:line="468" w:lineRule="exact"/>
        <w:ind w:left="360" w:right="250" w:hanging="360"/>
        <w:jc w:val="right"/>
        <w:rPr>
          <w:rFonts w:asciiTheme="minorEastAsia" w:hAnsiTheme="minorEastAsia" w:eastAsiaTheme="minorEastAsia"/>
          <w:sz w:val="21"/>
          <w:szCs w:val="21"/>
          <w:lang w:val="zh-CN" w:bidi="zh-CN"/>
        </w:rPr>
      </w:pPr>
      <w:r>
        <w:rPr>
          <w:rFonts w:asciiTheme="minorEastAsia" w:hAnsiTheme="minorEastAsia" w:eastAsiaTheme="minorEastAsia"/>
          <w:sz w:val="21"/>
          <w:szCs w:val="21"/>
          <w:lang w:val="zh-CN" w:bidi="zh-CN"/>
        </w:rPr>
        <w:t>保证人：</w:t>
      </w:r>
      <w:r>
        <w:rPr>
          <w:rFonts w:asciiTheme="minorEastAsia" w:hAnsiTheme="minorEastAsia" w:eastAsiaTheme="minorEastAsia"/>
          <w:sz w:val="21"/>
          <w:szCs w:val="21"/>
          <w:lang w:bidi="en-US"/>
        </w:rPr>
        <w:t>（</w:t>
      </w:r>
      <w:r>
        <w:rPr>
          <w:rFonts w:asciiTheme="minorEastAsia" w:hAnsiTheme="minorEastAsia" w:eastAsiaTheme="minorEastAsia"/>
          <w:sz w:val="21"/>
          <w:szCs w:val="21"/>
          <w:lang w:val="zh-CN" w:bidi="zh-CN"/>
        </w:rPr>
        <w:t>公章)</w:t>
      </w:r>
    </w:p>
    <w:p>
      <w:pPr>
        <w:pStyle w:val="55"/>
        <w:ind w:firstLine="0" w:firstLineChars="0"/>
        <w:jc w:val="right"/>
        <w:rPr>
          <w:rFonts w:asciiTheme="minorEastAsia" w:hAnsiTheme="minorEastAsia" w:eastAsiaTheme="minorEastAsia"/>
          <w:sz w:val="21"/>
          <w:szCs w:val="21"/>
          <w:lang w:bidi="zh-CN"/>
        </w:rPr>
      </w:pPr>
      <w:r>
        <w:rPr>
          <w:rFonts w:asciiTheme="minorEastAsia" w:hAnsiTheme="minorEastAsia" w:eastAsiaTheme="minorEastAsia"/>
          <w:sz w:val="21"/>
          <w:szCs w:val="21"/>
          <w:lang w:bidi="zh-CN"/>
        </w:rPr>
        <w:t>年</w:t>
      </w:r>
      <w:r>
        <w:rPr>
          <w:rFonts w:hint="eastAsia" w:asciiTheme="minorEastAsia" w:hAnsiTheme="minorEastAsia" w:eastAsiaTheme="minorEastAsia"/>
          <w:sz w:val="21"/>
          <w:szCs w:val="21"/>
          <w:lang w:bidi="zh-CN"/>
        </w:rPr>
        <w:t xml:space="preserve">  </w:t>
      </w:r>
      <w:r>
        <w:rPr>
          <w:rFonts w:asciiTheme="minorEastAsia" w:hAnsiTheme="minorEastAsia" w:eastAsiaTheme="minorEastAsia"/>
          <w:sz w:val="21"/>
          <w:szCs w:val="21"/>
          <w:lang w:bidi="zh-CN"/>
        </w:rPr>
        <w:t>月</w:t>
      </w:r>
      <w:r>
        <w:rPr>
          <w:rFonts w:hint="eastAsia" w:asciiTheme="minorEastAsia" w:hAnsiTheme="minorEastAsia" w:eastAsiaTheme="minorEastAsia"/>
          <w:sz w:val="21"/>
          <w:szCs w:val="21"/>
          <w:lang w:bidi="zh-CN"/>
        </w:rPr>
        <w:t xml:space="preserve">  </w:t>
      </w:r>
      <w:r>
        <w:rPr>
          <w:rFonts w:asciiTheme="minorEastAsia" w:hAnsiTheme="minorEastAsia" w:eastAsiaTheme="minorEastAsia"/>
          <w:sz w:val="21"/>
          <w:szCs w:val="21"/>
          <w:lang w:bidi="zh-CN"/>
        </w:rPr>
        <w:t>日</w:t>
      </w: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ind w:firstLine="0" w:firstLineChars="0"/>
        <w:jc w:val="right"/>
        <w:rPr>
          <w:rFonts w:asciiTheme="minorEastAsia" w:hAnsiTheme="minorEastAsia" w:eastAsiaTheme="minorEastAsia"/>
          <w:sz w:val="21"/>
          <w:szCs w:val="21"/>
          <w:lang w:bidi="zh-CN"/>
        </w:rPr>
      </w:pPr>
    </w:p>
    <w:p>
      <w:pPr>
        <w:pStyle w:val="55"/>
        <w:rPr>
          <w:lang w:val="en-US"/>
        </w:rPr>
      </w:pPr>
    </w:p>
    <w:p>
      <w:pPr>
        <w:pStyle w:val="55"/>
        <w:rPr>
          <w:lang w:val="en-US"/>
        </w:rPr>
      </w:pPr>
    </w:p>
    <w:bookmarkEnd w:id="197"/>
    <w:bookmarkEnd w:id="198"/>
    <w:p>
      <w:pPr>
        <w:pStyle w:val="2"/>
        <w:keepNext w:val="0"/>
        <w:keepLines w:val="0"/>
        <w:widowControl/>
        <w:numPr>
          <w:ilvl w:val="1"/>
          <w:numId w:val="53"/>
        </w:numPr>
        <w:spacing w:before="0" w:after="0" w:line="440" w:lineRule="exact"/>
        <w:jc w:val="center"/>
        <w:rPr>
          <w:rFonts w:ascii="宋体" w:hAnsi="宋体" w:eastAsia="宋体"/>
          <w:sz w:val="21"/>
          <w:szCs w:val="21"/>
        </w:rPr>
      </w:pPr>
      <w:bookmarkStart w:id="200" w:name="_Toc21806"/>
      <w:r>
        <w:rPr>
          <w:rFonts w:hint="eastAsia" w:ascii="宋体" w:hAnsi="宋体" w:eastAsia="宋体"/>
          <w:sz w:val="21"/>
          <w:szCs w:val="21"/>
        </w:rPr>
        <w:t>政府采购履约担保函（项目用)</w:t>
      </w:r>
      <w:bookmarkEnd w:id="200"/>
    </w:p>
    <w:p>
      <w:pPr>
        <w:spacing w:line="360" w:lineRule="auto"/>
        <w:jc w:val="left"/>
        <w:rPr>
          <w:rFonts w:ascii="宋体" w:hAnsi="宋体"/>
          <w:sz w:val="21"/>
          <w:szCs w:val="21"/>
          <w:u w:val="single"/>
        </w:rPr>
      </w:pPr>
      <w:r>
        <w:rPr>
          <w:rFonts w:hint="eastAsia" w:ascii="宋体" w:hAnsi="宋体"/>
          <w:sz w:val="21"/>
          <w:szCs w:val="21"/>
        </w:rPr>
        <w:t>（已缴纳履约保证金的，无需提供履约担保函，不符合招标文件要求的保函有被拒收的风险）</w:t>
      </w:r>
    </w:p>
    <w:p>
      <w:pPr>
        <w:pStyle w:val="367"/>
        <w:shd w:val="clear" w:color="auto" w:fill="auto"/>
        <w:spacing w:line="260" w:lineRule="exact"/>
        <w:ind w:right="500" w:firstLine="5250" w:firstLineChars="2100"/>
        <w:rPr>
          <w:rFonts w:asciiTheme="minorEastAsia" w:hAnsiTheme="minorEastAsia" w:eastAsiaTheme="minorEastAsia"/>
          <w:sz w:val="21"/>
          <w:szCs w:val="21"/>
        </w:rPr>
      </w:pPr>
      <w:r>
        <w:rPr>
          <w:rFonts w:asciiTheme="minorEastAsia" w:hAnsiTheme="minorEastAsia" w:eastAsiaTheme="minorEastAsia"/>
          <w:sz w:val="21"/>
          <w:szCs w:val="21"/>
          <w:lang w:val="zh-CN" w:bidi="zh-CN"/>
        </w:rPr>
        <w:t>编号：</w:t>
      </w:r>
    </w:p>
    <w:p>
      <w:pPr>
        <w:pStyle w:val="367"/>
        <w:shd w:val="clear" w:color="auto" w:fill="auto"/>
        <w:tabs>
          <w:tab w:val="left" w:leader="hyphen" w:pos="2889"/>
        </w:tabs>
        <w:spacing w:line="260" w:lineRule="exact"/>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bidi="en-US"/>
        </w:rPr>
        <w:t>___________</w:t>
      </w:r>
      <w:r>
        <w:rPr>
          <w:rFonts w:asciiTheme="minorEastAsia" w:hAnsiTheme="minorEastAsia" w:eastAsiaTheme="minorEastAsia"/>
          <w:sz w:val="21"/>
          <w:szCs w:val="21"/>
          <w:lang w:val="zh-CN" w:bidi="zh-CN"/>
        </w:rPr>
        <w:t>(采购人</w:t>
      </w:r>
      <w:r>
        <w:rPr>
          <w:rFonts w:asciiTheme="minorEastAsia" w:hAnsiTheme="minorEastAsia" w:eastAsiaTheme="minorEastAsia"/>
          <w:sz w:val="21"/>
          <w:szCs w:val="21"/>
          <w:lang w:bidi="en-US"/>
        </w:rPr>
        <w:t>)：</w:t>
      </w:r>
    </w:p>
    <w:p>
      <w:pPr>
        <w:pStyle w:val="367"/>
        <w:shd w:val="clear" w:color="auto" w:fill="auto"/>
        <w:tabs>
          <w:tab w:val="left" w:leader="hyphen" w:pos="4306"/>
        </w:tabs>
        <w:spacing w:line="360" w:lineRule="auto"/>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鉴于你方与</w:t>
      </w:r>
      <w:r>
        <w:rPr>
          <w:rFonts w:asciiTheme="minorEastAsia" w:hAnsiTheme="minorEastAsia" w:eastAsiaTheme="minorEastAsia"/>
          <w:sz w:val="21"/>
          <w:szCs w:val="21"/>
          <w:lang w:bidi="en-US"/>
        </w:rPr>
        <w:t>__________</w:t>
      </w:r>
      <w:r>
        <w:rPr>
          <w:rStyle w:val="368"/>
          <w:rFonts w:asciiTheme="minorEastAsia" w:hAnsiTheme="minorEastAsia" w:eastAsiaTheme="minorEastAsia"/>
          <w:color w:val="auto"/>
          <w:sz w:val="21"/>
          <w:szCs w:val="21"/>
        </w:rPr>
        <w:t>（以下简称供应商）于__年__月</w:t>
      </w:r>
      <w:r>
        <w:rPr>
          <w:rStyle w:val="368"/>
          <w:rFonts w:hint="eastAsia" w:asciiTheme="minorEastAsia" w:hAnsiTheme="minorEastAsia" w:eastAsiaTheme="minorEastAsia"/>
          <w:color w:val="auto"/>
          <w:sz w:val="21"/>
          <w:szCs w:val="21"/>
        </w:rPr>
        <w:t>___</w:t>
      </w:r>
      <w:r>
        <w:rPr>
          <w:rStyle w:val="368"/>
          <w:rFonts w:asciiTheme="minorEastAsia" w:hAnsiTheme="minorEastAsia" w:eastAsiaTheme="minorEastAsia"/>
          <w:color w:val="auto"/>
          <w:sz w:val="21"/>
          <w:szCs w:val="21"/>
        </w:rPr>
        <w:t>日签定编号为的《</w:t>
      </w:r>
      <w:r>
        <w:rPr>
          <w:rFonts w:asciiTheme="minorEastAsia" w:hAnsiTheme="minorEastAsia" w:eastAsiaTheme="minorEastAsia"/>
          <w:sz w:val="21"/>
          <w:szCs w:val="21"/>
          <w:lang w:val="zh-CN" w:bidi="zh-CN"/>
        </w:rPr>
        <w:t>_________政府釆购合同》（以下简称主合同</w:t>
      </w:r>
      <w:r>
        <w:rPr>
          <w:rFonts w:asciiTheme="minorEastAsia" w:hAnsiTheme="minorEastAsia" w:eastAsiaTheme="minorEastAsia"/>
          <w:sz w:val="21"/>
          <w:szCs w:val="21"/>
          <w:lang w:bidi="en-US"/>
        </w:rPr>
        <w:t>），</w:t>
      </w:r>
      <w:r>
        <w:rPr>
          <w:rFonts w:asciiTheme="minorEastAsia" w:hAnsiTheme="minorEastAsia" w:eastAsiaTheme="minorEastAsia"/>
          <w:sz w:val="21"/>
          <w:szCs w:val="21"/>
          <w:lang w:val="zh-CN" w:bidi="zh-CN"/>
        </w:rPr>
        <w:t>且</w:t>
      </w:r>
      <w:r>
        <w:rPr>
          <w:rStyle w:val="368"/>
          <w:rFonts w:asciiTheme="minorEastAsia" w:hAnsiTheme="minorEastAsia" w:eastAsiaTheme="minorEastAsia"/>
          <w:color w:val="auto"/>
          <w:sz w:val="21"/>
          <w:szCs w:val="21"/>
        </w:rPr>
        <w:t>依据该合同的约定,供应商应在</w:t>
      </w:r>
      <w:r>
        <w:rPr>
          <w:rStyle w:val="368"/>
          <w:rFonts w:asciiTheme="minorEastAsia" w:hAnsiTheme="minorEastAsia" w:eastAsiaTheme="minorEastAsia"/>
          <w:color w:val="auto"/>
          <w:sz w:val="21"/>
          <w:szCs w:val="21"/>
          <w:lang w:bidi="en-US"/>
        </w:rPr>
        <w:t>__</w:t>
      </w:r>
      <w:r>
        <w:rPr>
          <w:rStyle w:val="368"/>
          <w:rFonts w:asciiTheme="minorEastAsia" w:hAnsiTheme="minorEastAsia" w:eastAsiaTheme="minorEastAsia"/>
          <w:color w:val="auto"/>
          <w:sz w:val="21"/>
          <w:szCs w:val="21"/>
        </w:rPr>
        <w:t>年</w:t>
      </w:r>
      <w:r>
        <w:rPr>
          <w:rStyle w:val="368"/>
          <w:rFonts w:asciiTheme="minorEastAsia" w:hAnsiTheme="minorEastAsia" w:eastAsiaTheme="minorEastAsia"/>
          <w:color w:val="auto"/>
          <w:sz w:val="21"/>
          <w:szCs w:val="21"/>
          <w:lang w:bidi="en-US"/>
        </w:rPr>
        <w:t>__</w:t>
      </w:r>
      <w:r>
        <w:rPr>
          <w:rStyle w:val="368"/>
          <w:rFonts w:asciiTheme="minorEastAsia" w:hAnsiTheme="minorEastAsia" w:eastAsiaTheme="minorEastAsia"/>
          <w:color w:val="auto"/>
          <w:sz w:val="21"/>
          <w:szCs w:val="21"/>
        </w:rPr>
        <w:t>月</w:t>
      </w:r>
      <w:r>
        <w:rPr>
          <w:rStyle w:val="368"/>
          <w:rFonts w:asciiTheme="minorEastAsia" w:hAnsiTheme="minorEastAsia" w:eastAsiaTheme="minorEastAsia"/>
          <w:color w:val="auto"/>
          <w:sz w:val="21"/>
          <w:szCs w:val="21"/>
          <w:lang w:bidi="en-US"/>
        </w:rPr>
        <w:t>__</w:t>
      </w:r>
      <w:r>
        <w:rPr>
          <w:rStyle w:val="368"/>
          <w:rFonts w:asciiTheme="minorEastAsia" w:hAnsiTheme="minorEastAsia" w:eastAsiaTheme="minorEastAsia"/>
          <w:color w:val="auto"/>
          <w:sz w:val="21"/>
          <w:szCs w:val="21"/>
        </w:rPr>
        <w:t>日前向你方交纳履约保</w:t>
      </w:r>
      <w:r>
        <w:rPr>
          <w:rFonts w:asciiTheme="minorEastAsia" w:hAnsiTheme="minorEastAsia" w:eastAsiaTheme="minorEastAsia"/>
          <w:sz w:val="21"/>
          <w:szCs w:val="21"/>
          <w:lang w:val="zh-CN" w:bidi="zh-CN"/>
        </w:rPr>
        <w:t>证金，且可以履约担保函的形式交纳履约保证金。应供应商的申请，我方以保证的方式向你方提供如下履约保证金担保：</w:t>
      </w:r>
    </w:p>
    <w:p>
      <w:pPr>
        <w:pStyle w:val="367"/>
        <w:shd w:val="clear" w:color="auto" w:fill="auto"/>
        <w:tabs>
          <w:tab w:val="left" w:pos="538"/>
        </w:tabs>
        <w:spacing w:line="360" w:lineRule="auto"/>
        <w:ind w:firstLine="0"/>
        <w:jc w:val="left"/>
        <w:rPr>
          <w:rFonts w:asciiTheme="minorEastAsia" w:hAnsiTheme="minorEastAsia" w:eastAsiaTheme="minorEastAsia"/>
          <w:sz w:val="21"/>
          <w:szCs w:val="21"/>
          <w:lang w:val="zh-CN" w:bidi="zh-CN"/>
        </w:rPr>
      </w:pPr>
      <w:r>
        <w:rPr>
          <w:rFonts w:hint="eastAsia" w:asciiTheme="minorEastAsia" w:hAnsiTheme="minorEastAsia" w:eastAsiaTheme="minorEastAsia"/>
          <w:sz w:val="21"/>
          <w:szCs w:val="21"/>
          <w:lang w:val="zh-CN" w:bidi="zh-CN"/>
        </w:rPr>
        <w:t>一、</w:t>
      </w:r>
      <w:r>
        <w:rPr>
          <w:rFonts w:asciiTheme="minorEastAsia" w:hAnsiTheme="minorEastAsia" w:eastAsiaTheme="minorEastAsia"/>
          <w:sz w:val="21"/>
          <w:szCs w:val="21"/>
          <w:lang w:val="zh-CN" w:bidi="zh-CN"/>
        </w:rPr>
        <w:t>保证责任的情形及保证金额</w:t>
      </w:r>
    </w:p>
    <w:p>
      <w:pPr>
        <w:pStyle w:val="367"/>
        <w:shd w:val="clear" w:color="auto" w:fill="auto"/>
        <w:tabs>
          <w:tab w:val="left" w:leader="hyphen" w:pos="8058"/>
        </w:tabs>
        <w:spacing w:line="360" w:lineRule="auto"/>
        <w:ind w:firstLine="0"/>
        <w:jc w:val="left"/>
        <w:rPr>
          <w:rFonts w:asciiTheme="minorEastAsia" w:hAnsiTheme="minorEastAsia" w:eastAsiaTheme="minorEastAsia"/>
          <w:sz w:val="21"/>
          <w:szCs w:val="21"/>
          <w:lang w:val="zh-CN" w:bidi="zh-CN"/>
        </w:rPr>
      </w:pPr>
      <w:r>
        <w:rPr>
          <w:rFonts w:hint="eastAsia" w:asciiTheme="minorEastAsia" w:hAnsiTheme="minorEastAsia" w:eastAsiaTheme="minorEastAsia"/>
          <w:sz w:val="21"/>
          <w:szCs w:val="21"/>
          <w:lang w:val="zh-CN" w:bidi="zh-CN"/>
        </w:rPr>
        <w:t>（一）</w:t>
      </w:r>
      <w:r>
        <w:rPr>
          <w:rFonts w:asciiTheme="minorEastAsia" w:hAnsiTheme="minorEastAsia" w:eastAsiaTheme="minorEastAsia"/>
          <w:sz w:val="21"/>
          <w:szCs w:val="21"/>
          <w:lang w:val="zh-CN" w:bidi="zh-CN"/>
        </w:rPr>
        <w:t>在供应商出现下列情形之一时，我方承担保证责任：</w:t>
      </w:r>
    </w:p>
    <w:p>
      <w:pPr>
        <w:pStyle w:val="367"/>
        <w:shd w:val="clear" w:color="auto" w:fill="auto"/>
        <w:tabs>
          <w:tab w:val="left" w:pos="900"/>
        </w:tabs>
        <w:spacing w:line="360" w:lineRule="auto"/>
        <w:ind w:firstLine="500" w:firstLineChars="200"/>
        <w:jc w:val="left"/>
        <w:rPr>
          <w:rFonts w:asciiTheme="minorEastAsia" w:hAnsiTheme="minorEastAsia" w:eastAsiaTheme="minorEastAsia"/>
          <w:sz w:val="21"/>
          <w:szCs w:val="21"/>
          <w:lang w:val="zh-CN" w:bidi="zh-CN"/>
        </w:rPr>
      </w:pPr>
      <w:r>
        <w:rPr>
          <w:rFonts w:hint="eastAsia" w:asciiTheme="minorEastAsia" w:hAnsiTheme="minorEastAsia" w:eastAsiaTheme="minorEastAsia"/>
          <w:sz w:val="21"/>
          <w:szCs w:val="21"/>
          <w:lang w:val="zh-CN" w:bidi="zh-CN"/>
        </w:rPr>
        <w:t>1、</w:t>
      </w:r>
      <w:r>
        <w:rPr>
          <w:rFonts w:asciiTheme="minorEastAsia" w:hAnsiTheme="minorEastAsia" w:eastAsiaTheme="minorEastAsia"/>
          <w:sz w:val="21"/>
          <w:szCs w:val="21"/>
          <w:lang w:val="zh-CN" w:bidi="zh-CN"/>
        </w:rPr>
        <w:t>将中标项目转让给他人，或者在投标文件中未说明，且未经采购招标机构人同意，将中标项目分包给他人的；</w:t>
      </w:r>
    </w:p>
    <w:p>
      <w:pPr>
        <w:pStyle w:val="367"/>
        <w:shd w:val="clear" w:color="auto" w:fill="auto"/>
        <w:tabs>
          <w:tab w:val="left" w:pos="900"/>
        </w:tabs>
        <w:spacing w:line="360" w:lineRule="auto"/>
        <w:ind w:firstLine="500" w:firstLineChars="200"/>
        <w:jc w:val="left"/>
        <w:rPr>
          <w:rFonts w:asciiTheme="minorEastAsia" w:hAnsiTheme="minorEastAsia" w:eastAsiaTheme="minorEastAsia"/>
          <w:sz w:val="21"/>
          <w:szCs w:val="21"/>
          <w:lang w:val="zh-CN" w:bidi="zh-CN"/>
        </w:rPr>
      </w:pPr>
      <w:r>
        <w:rPr>
          <w:rFonts w:hint="eastAsia" w:asciiTheme="minorEastAsia" w:hAnsiTheme="minorEastAsia" w:eastAsiaTheme="minorEastAsia"/>
          <w:sz w:val="21"/>
          <w:szCs w:val="21"/>
          <w:lang w:val="zh-CN" w:bidi="zh-CN"/>
        </w:rPr>
        <w:t>2、</w:t>
      </w:r>
      <w:r>
        <w:rPr>
          <w:rFonts w:asciiTheme="minorEastAsia" w:hAnsiTheme="minorEastAsia" w:eastAsiaTheme="minorEastAsia"/>
          <w:sz w:val="21"/>
          <w:szCs w:val="21"/>
          <w:lang w:val="zh-CN" w:bidi="zh-CN"/>
        </w:rPr>
        <w:t>主合同约定的应当缴纳履约保证金的情形：</w:t>
      </w:r>
    </w:p>
    <w:p>
      <w:pPr>
        <w:pStyle w:val="367"/>
        <w:shd w:val="clear" w:color="auto" w:fill="auto"/>
        <w:tabs>
          <w:tab w:val="left" w:pos="938"/>
        </w:tabs>
        <w:spacing w:line="360" w:lineRule="auto"/>
        <w:ind w:firstLine="0"/>
        <w:jc w:val="left"/>
        <w:rPr>
          <w:rFonts w:asciiTheme="minorEastAsia" w:hAnsiTheme="minorEastAsia" w:eastAsiaTheme="minorEastAsia"/>
          <w:sz w:val="21"/>
          <w:szCs w:val="21"/>
          <w:lang w:val="zh-CN" w:bidi="zh-CN"/>
        </w:rPr>
      </w:pPr>
      <w:r>
        <w:rPr>
          <w:rFonts w:asciiTheme="minorEastAsia" w:hAnsiTheme="minorEastAsia" w:eastAsiaTheme="minorEastAsia"/>
          <w:sz w:val="21"/>
          <w:szCs w:val="21"/>
          <w:lang w:val="zh-CN" w:bidi="zh-CN"/>
        </w:rPr>
        <w:t>（</w:t>
      </w:r>
      <w:r>
        <w:rPr>
          <w:rFonts w:hint="eastAsia" w:asciiTheme="minorEastAsia" w:hAnsiTheme="minorEastAsia" w:eastAsiaTheme="minorEastAsia"/>
          <w:sz w:val="21"/>
          <w:szCs w:val="21"/>
          <w:lang w:val="zh-CN" w:bidi="zh-CN"/>
        </w:rPr>
        <w:t>1）</w:t>
      </w:r>
      <w:r>
        <w:rPr>
          <w:rFonts w:asciiTheme="minorEastAsia" w:hAnsiTheme="minorEastAsia" w:eastAsiaTheme="minorEastAsia"/>
          <w:sz w:val="21"/>
          <w:szCs w:val="21"/>
          <w:lang w:val="zh-CN" w:bidi="zh-CN"/>
        </w:rPr>
        <w:t>未按主合同约定的质量、数量和期限供应货物</w:t>
      </w:r>
      <w:r>
        <w:rPr>
          <w:rFonts w:asciiTheme="minorEastAsia" w:hAnsiTheme="minorEastAsia" w:eastAsiaTheme="minorEastAsia"/>
          <w:sz w:val="21"/>
          <w:szCs w:val="21"/>
          <w:lang w:bidi="en-US"/>
        </w:rPr>
        <w:t>/</w:t>
      </w:r>
      <w:r>
        <w:rPr>
          <w:rFonts w:asciiTheme="minorEastAsia" w:hAnsiTheme="minorEastAsia" w:eastAsiaTheme="minorEastAsia"/>
          <w:sz w:val="21"/>
          <w:szCs w:val="21"/>
          <w:lang w:val="zh-CN" w:bidi="zh-CN"/>
        </w:rPr>
        <w:t>提供服务</w:t>
      </w:r>
      <w:r>
        <w:rPr>
          <w:rFonts w:asciiTheme="minorEastAsia" w:hAnsiTheme="minorEastAsia" w:eastAsiaTheme="minorEastAsia"/>
          <w:sz w:val="21"/>
          <w:szCs w:val="21"/>
          <w:lang w:bidi="en-US"/>
        </w:rPr>
        <w:t>/</w:t>
      </w:r>
      <w:r>
        <w:rPr>
          <w:rFonts w:asciiTheme="minorEastAsia" w:hAnsiTheme="minorEastAsia" w:eastAsiaTheme="minorEastAsia"/>
          <w:sz w:val="21"/>
          <w:szCs w:val="21"/>
          <w:lang w:val="zh-CN" w:bidi="zh-CN"/>
        </w:rPr>
        <w:t>完成工程的；</w:t>
      </w:r>
    </w:p>
    <w:p>
      <w:pPr>
        <w:pStyle w:val="367"/>
        <w:shd w:val="clear" w:color="auto" w:fill="auto"/>
        <w:tabs>
          <w:tab w:val="left" w:pos="938"/>
        </w:tabs>
        <w:spacing w:line="360" w:lineRule="auto"/>
        <w:ind w:firstLine="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（2）___________________________________________________________;</w:t>
      </w:r>
    </w:p>
    <w:p>
      <w:pPr>
        <w:pStyle w:val="367"/>
        <w:shd w:val="clear" w:color="auto" w:fill="auto"/>
        <w:tabs>
          <w:tab w:val="left" w:leader="hyphen" w:pos="8058"/>
        </w:tabs>
        <w:spacing w:line="360" w:lineRule="auto"/>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 xml:space="preserve"> (二）我方的保证范围是主合同约定的合同价款总额的</w:t>
      </w:r>
      <w:r>
        <w:rPr>
          <w:rFonts w:asciiTheme="minorEastAsia" w:hAnsiTheme="minorEastAsia" w:eastAsiaTheme="minorEastAsia"/>
          <w:sz w:val="21"/>
          <w:szCs w:val="21"/>
          <w:lang w:bidi="en-US"/>
        </w:rPr>
        <w:t>_____</w:t>
      </w:r>
      <w:r>
        <w:rPr>
          <w:rFonts w:asciiTheme="minorEastAsia" w:hAnsiTheme="minorEastAsia" w:eastAsiaTheme="minorEastAsia"/>
          <w:sz w:val="21"/>
          <w:szCs w:val="21"/>
          <w:lang w:val="zh-CN" w:bidi="zh-CN"/>
        </w:rPr>
        <w:t>％数额</w:t>
      </w:r>
    </w:p>
    <w:p>
      <w:pPr>
        <w:pStyle w:val="367"/>
        <w:shd w:val="clear" w:color="auto" w:fill="auto"/>
        <w:tabs>
          <w:tab w:val="left" w:leader="hyphen" w:pos="1775"/>
          <w:tab w:val="left" w:leader="hyphen" w:pos="4853"/>
          <w:tab w:val="left" w:leader="hyphen" w:pos="8058"/>
        </w:tabs>
        <w:spacing w:line="360" w:lineRule="auto"/>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为</w:t>
      </w:r>
      <w:r>
        <w:rPr>
          <w:rFonts w:asciiTheme="minorEastAsia" w:hAnsiTheme="minorEastAsia" w:eastAsiaTheme="minorEastAsia"/>
          <w:sz w:val="21"/>
          <w:szCs w:val="21"/>
          <w:lang w:bidi="en-US"/>
        </w:rPr>
        <w:t>______</w:t>
      </w:r>
      <w:r>
        <w:rPr>
          <w:rFonts w:asciiTheme="minorEastAsia" w:hAnsiTheme="minorEastAsia" w:eastAsiaTheme="minorEastAsia"/>
          <w:sz w:val="21"/>
          <w:szCs w:val="21"/>
          <w:lang w:val="zh-CN" w:bidi="zh-CN"/>
        </w:rPr>
        <w:t>元(大写</w:t>
      </w:r>
      <w:r>
        <w:rPr>
          <w:rFonts w:hint="eastAsia" w:asciiTheme="minorEastAsia" w:hAnsiTheme="minorEastAsia" w:eastAsiaTheme="minorEastAsia"/>
          <w:sz w:val="21"/>
          <w:szCs w:val="21"/>
          <w:lang w:bidi="en-US"/>
        </w:rPr>
        <w:t>_</w:t>
      </w:r>
      <w:r>
        <w:rPr>
          <w:rFonts w:asciiTheme="minorEastAsia" w:hAnsiTheme="minorEastAsia" w:eastAsiaTheme="minorEastAsia"/>
          <w:sz w:val="21"/>
          <w:szCs w:val="21"/>
          <w:lang w:bidi="en-US"/>
        </w:rPr>
        <w:t>_______</w:t>
      </w:r>
      <w:r>
        <w:rPr>
          <w:rFonts w:asciiTheme="minorEastAsia" w:hAnsiTheme="minorEastAsia" w:eastAsiaTheme="minorEastAsia"/>
          <w:sz w:val="21"/>
          <w:szCs w:val="21"/>
          <w:lang w:val="zh-CN" w:bidi="zh-CN"/>
        </w:rPr>
        <w:t>币种为</w:t>
      </w:r>
      <w:r>
        <w:rPr>
          <w:rFonts w:hint="eastAsia" w:asciiTheme="minorEastAsia" w:hAnsiTheme="minorEastAsia" w:eastAsiaTheme="minorEastAsia"/>
          <w:sz w:val="21"/>
          <w:szCs w:val="21"/>
          <w:lang w:val="zh-CN" w:bidi="zh-CN"/>
        </w:rPr>
        <w:t>_</w:t>
      </w:r>
      <w:r>
        <w:rPr>
          <w:rFonts w:asciiTheme="minorEastAsia" w:hAnsiTheme="minorEastAsia" w:eastAsiaTheme="minorEastAsia"/>
          <w:sz w:val="21"/>
          <w:szCs w:val="21"/>
          <w:lang w:val="zh-CN" w:bidi="zh-CN"/>
        </w:rPr>
        <w:t>_____（即主合同履约保证金金额）</w:t>
      </w:r>
    </w:p>
    <w:p>
      <w:pPr>
        <w:pStyle w:val="367"/>
        <w:shd w:val="clear" w:color="auto" w:fill="auto"/>
        <w:tabs>
          <w:tab w:val="left" w:pos="538"/>
        </w:tabs>
        <w:spacing w:line="360" w:lineRule="auto"/>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二、</w:t>
      </w: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保证的方式及保证期间</w:t>
      </w:r>
    </w:p>
    <w:p>
      <w:pPr>
        <w:pStyle w:val="367"/>
        <w:shd w:val="clear" w:color="auto" w:fill="auto"/>
        <w:spacing w:line="360" w:lineRule="auto"/>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我方保证的方式为：连带责任保证。</w:t>
      </w:r>
    </w:p>
    <w:p>
      <w:pPr>
        <w:spacing w:line="360" w:lineRule="auto"/>
        <w:jc w:val="left"/>
        <w:rPr>
          <w:rFonts w:asciiTheme="minorEastAsia" w:hAnsiTheme="minorEastAsia" w:eastAsiaTheme="minorEastAsia"/>
          <w:sz w:val="21"/>
          <w:szCs w:val="21"/>
          <w:lang w:val="zh-CN" w:bidi="zh-CN"/>
        </w:rPr>
      </w:pPr>
      <w:r>
        <w:rPr>
          <w:rFonts w:asciiTheme="minorEastAsia" w:hAnsiTheme="minorEastAsia" w:eastAsiaTheme="minorEastAsia"/>
          <w:sz w:val="21"/>
          <w:szCs w:val="21"/>
          <w:lang w:val="zh-CN" w:bidi="zh-CN"/>
        </w:rPr>
        <w:t>我方保证的期间为：自本合同生效之日起至供应商按照主合同约定的供货</w:t>
      </w:r>
      <w:r>
        <w:rPr>
          <w:rFonts w:asciiTheme="minorEastAsia" w:hAnsiTheme="minorEastAsia" w:eastAsiaTheme="minorEastAsia"/>
          <w:sz w:val="21"/>
          <w:szCs w:val="21"/>
          <w:lang w:bidi="en-US"/>
        </w:rPr>
        <w:t>/</w:t>
      </w:r>
      <w:r>
        <w:rPr>
          <w:rFonts w:asciiTheme="minorEastAsia" w:hAnsiTheme="minorEastAsia" w:eastAsiaTheme="minorEastAsia"/>
          <w:sz w:val="21"/>
          <w:szCs w:val="21"/>
          <w:lang w:val="zh-CN" w:bidi="zh-CN"/>
        </w:rPr>
        <w:t>完工期限届满后</w:t>
      </w:r>
      <w:r>
        <w:rPr>
          <w:rFonts w:asciiTheme="minorEastAsia" w:hAnsiTheme="minorEastAsia" w:eastAsiaTheme="minorEastAsia"/>
          <w:sz w:val="21"/>
          <w:szCs w:val="21"/>
          <w:lang w:bidi="en-US"/>
        </w:rPr>
        <w:t>_____</w:t>
      </w:r>
      <w:r>
        <w:rPr>
          <w:rFonts w:asciiTheme="minorEastAsia" w:hAnsiTheme="minorEastAsia" w:eastAsiaTheme="minorEastAsia"/>
          <w:sz w:val="21"/>
          <w:szCs w:val="21"/>
          <w:lang w:val="zh-CN" w:bidi="zh-CN"/>
        </w:rPr>
        <w:t>日内。</w:t>
      </w:r>
    </w:p>
    <w:p>
      <w:pPr>
        <w:pStyle w:val="55"/>
        <w:ind w:firstLine="420"/>
        <w:rPr>
          <w:lang w:val="en-US" w:bidi="zh-CN"/>
        </w:rPr>
      </w:pPr>
      <w:r>
        <w:rPr>
          <w:rFonts w:asciiTheme="minorEastAsia" w:hAnsiTheme="minorEastAsia" w:eastAsiaTheme="minorEastAsia"/>
          <w:sz w:val="21"/>
          <w:szCs w:val="21"/>
          <w:lang w:bidi="zh-CN"/>
        </w:rPr>
        <w:t>如果供应商未按主合同约定向贵方供应货物</w:t>
      </w:r>
      <w:r>
        <w:rPr>
          <w:rFonts w:asciiTheme="minorEastAsia" w:hAnsiTheme="minorEastAsia" w:eastAsiaTheme="minorEastAsia"/>
          <w:sz w:val="21"/>
          <w:szCs w:val="21"/>
          <w:lang w:val="en-US" w:bidi="en-US"/>
        </w:rPr>
        <w:t>/</w:t>
      </w:r>
      <w:r>
        <w:rPr>
          <w:rFonts w:asciiTheme="minorEastAsia" w:hAnsiTheme="minorEastAsia" w:eastAsiaTheme="minorEastAsia"/>
          <w:sz w:val="21"/>
          <w:szCs w:val="21"/>
          <w:lang w:bidi="zh-CN"/>
        </w:rPr>
        <w:t>提供服务</w:t>
      </w:r>
      <w:r>
        <w:rPr>
          <w:rFonts w:asciiTheme="minorEastAsia" w:hAnsiTheme="minorEastAsia" w:eastAsiaTheme="minorEastAsia"/>
          <w:sz w:val="21"/>
          <w:szCs w:val="21"/>
          <w:lang w:val="en-US" w:bidi="en-US"/>
        </w:rPr>
        <w:t>/</w:t>
      </w:r>
      <w:r>
        <w:rPr>
          <w:rFonts w:asciiTheme="minorEastAsia" w:hAnsiTheme="minorEastAsia" w:eastAsiaTheme="minorEastAsia"/>
          <w:sz w:val="21"/>
          <w:szCs w:val="21"/>
          <w:lang w:bidi="zh-CN"/>
        </w:rPr>
        <w:t>完成工程的，由我方在保证金额内向你方支付上述款项。</w:t>
      </w:r>
    </w:p>
    <w:p>
      <w:pPr>
        <w:pStyle w:val="367"/>
        <w:shd w:val="clear" w:color="auto" w:fill="auto"/>
        <w:tabs>
          <w:tab w:val="left" w:pos="538"/>
        </w:tabs>
        <w:spacing w:line="360" w:lineRule="auto"/>
        <w:ind w:firstLine="0"/>
        <w:jc w:val="left"/>
        <w:rPr>
          <w:rFonts w:asciiTheme="minorEastAsia" w:hAnsiTheme="minorEastAsia" w:eastAsiaTheme="minorEastAsia"/>
          <w:sz w:val="21"/>
          <w:szCs w:val="21"/>
          <w:lang w:val="zh-CN" w:bidi="zh-CN"/>
        </w:rPr>
      </w:pPr>
      <w:r>
        <w:rPr>
          <w:rFonts w:asciiTheme="minorEastAsia" w:hAnsiTheme="minorEastAsia" w:eastAsiaTheme="minorEastAsia"/>
          <w:sz w:val="21"/>
          <w:szCs w:val="21"/>
          <w:lang w:val="zh-CN" w:bidi="zh-CN"/>
        </w:rPr>
        <w:t>三、</w:t>
      </w: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承担保证责任的程序</w:t>
      </w:r>
    </w:p>
    <w:p>
      <w:pPr>
        <w:pStyle w:val="367"/>
        <w:shd w:val="clear" w:color="auto" w:fill="auto"/>
        <w:tabs>
          <w:tab w:val="left" w:pos="900"/>
        </w:tabs>
        <w:spacing w:line="360" w:lineRule="auto"/>
        <w:ind w:firstLine="500" w:firstLineChars="200"/>
        <w:jc w:val="left"/>
        <w:rPr>
          <w:rFonts w:asciiTheme="minorEastAsia" w:hAnsiTheme="minorEastAsia" w:eastAsiaTheme="minorEastAsia"/>
          <w:sz w:val="21"/>
          <w:szCs w:val="21"/>
          <w:lang w:val="zh-CN" w:bidi="zh-CN"/>
        </w:rPr>
      </w:pPr>
      <w:r>
        <w:rPr>
          <w:rFonts w:hint="eastAsia" w:asciiTheme="minorEastAsia" w:hAnsiTheme="minorEastAsia" w:eastAsiaTheme="minorEastAsia"/>
          <w:sz w:val="21"/>
          <w:szCs w:val="21"/>
          <w:lang w:val="zh-CN" w:bidi="zh-CN"/>
        </w:rPr>
        <w:t>1、</w:t>
      </w:r>
      <w:r>
        <w:rPr>
          <w:rFonts w:asciiTheme="minorEastAsia" w:hAnsiTheme="minorEastAsia" w:eastAsiaTheme="minorEastAsia"/>
          <w:sz w:val="21"/>
          <w:szCs w:val="21"/>
          <w:lang w:val="zh-CN" w:bidi="zh-CN"/>
        </w:rPr>
        <w:t>你方要求我方承担保证责任的，应在本保函保证期间内向我方发出书面索赔通知。索赔通知应写明要求索赔的金额，支付款项应到达的帐号。并附有证明供应商违约事实的证明材料。</w:t>
      </w:r>
    </w:p>
    <w:p>
      <w:pPr>
        <w:pStyle w:val="367"/>
        <w:shd w:val="clear" w:color="auto" w:fill="auto"/>
        <w:tabs>
          <w:tab w:val="left" w:pos="900"/>
        </w:tabs>
        <w:spacing w:line="360" w:lineRule="auto"/>
        <w:ind w:firstLine="620" w:firstLineChars="200"/>
        <w:jc w:val="left"/>
        <w:rPr>
          <w:rFonts w:asciiTheme="minorEastAsia" w:hAnsiTheme="minorEastAsia" w:eastAsiaTheme="minorEastAsia"/>
          <w:sz w:val="21"/>
          <w:szCs w:val="21"/>
          <w:lang w:val="zh-CN" w:bidi="zh-CN"/>
        </w:rPr>
      </w:pPr>
      <w:r>
        <w:rPr>
          <w:rStyle w:val="368"/>
          <w:rFonts w:asciiTheme="minorEastAsia" w:hAnsiTheme="minorEastAsia" w:eastAsiaTheme="minorEastAsia"/>
          <w:color w:val="auto"/>
          <w:sz w:val="21"/>
          <w:szCs w:val="21"/>
        </w:rPr>
        <w:t>如果你方与供应商因货物质量问题产生争议，你方还需同时提供</w:t>
      </w:r>
      <w:r>
        <w:rPr>
          <w:rFonts w:asciiTheme="minorEastAsia" w:hAnsiTheme="minorEastAsia" w:eastAsiaTheme="minorEastAsia"/>
          <w:sz w:val="21"/>
          <w:szCs w:val="21"/>
          <w:lang w:val="zh-CN" w:bidi="zh-CN"/>
        </w:rPr>
        <w:t>______部门出具的质量检测报告，或经诉讼(仲裁</w:t>
      </w:r>
      <w:r>
        <w:rPr>
          <w:rFonts w:asciiTheme="minorEastAsia" w:hAnsiTheme="minorEastAsia" w:eastAsiaTheme="minorEastAsia"/>
          <w:sz w:val="21"/>
          <w:szCs w:val="21"/>
          <w:lang w:bidi="en-US"/>
        </w:rPr>
        <w:t>）</w:t>
      </w:r>
      <w:r>
        <w:rPr>
          <w:rFonts w:asciiTheme="minorEastAsia" w:hAnsiTheme="minorEastAsia" w:eastAsiaTheme="minorEastAsia"/>
          <w:sz w:val="21"/>
          <w:szCs w:val="21"/>
          <w:lang w:val="zh-CN" w:bidi="zh-CN"/>
        </w:rPr>
        <w:t>程序裁决后的裁决书、调解书，本保证人即按照检测结果或裁决书、调解书决定是否承担保证责任。</w:t>
      </w:r>
    </w:p>
    <w:p>
      <w:pPr>
        <w:pStyle w:val="367"/>
        <w:shd w:val="clear" w:color="auto" w:fill="auto"/>
        <w:tabs>
          <w:tab w:val="left" w:pos="900"/>
        </w:tabs>
        <w:spacing w:line="360" w:lineRule="auto"/>
        <w:ind w:firstLine="500" w:firstLineChars="200"/>
        <w:jc w:val="left"/>
        <w:rPr>
          <w:rFonts w:asciiTheme="minorEastAsia" w:hAnsiTheme="minorEastAsia" w:eastAsiaTheme="minorEastAsia"/>
          <w:sz w:val="21"/>
          <w:szCs w:val="21"/>
          <w:lang w:val="zh-CN" w:bidi="zh-CN"/>
        </w:rPr>
      </w:pPr>
      <w:r>
        <w:rPr>
          <w:rFonts w:asciiTheme="minorEastAsia" w:hAnsiTheme="minorEastAsia" w:eastAsiaTheme="minorEastAsia"/>
          <w:sz w:val="21"/>
          <w:szCs w:val="21"/>
          <w:lang w:bidi="en-US"/>
        </w:rPr>
        <w:t>2.</w:t>
      </w:r>
      <w:r>
        <w:rPr>
          <w:rFonts w:asciiTheme="minorEastAsia" w:hAnsiTheme="minorEastAsia" w:eastAsiaTheme="minorEastAsia"/>
          <w:sz w:val="21"/>
          <w:szCs w:val="21"/>
          <w:lang w:val="zh-CN" w:bidi="zh-CN"/>
        </w:rPr>
        <w:t>我方收到你方的书面索赔通知及相应证明材料，在</w:t>
      </w:r>
      <w:r>
        <w:rPr>
          <w:rFonts w:asciiTheme="minorEastAsia" w:hAnsiTheme="minorEastAsia" w:eastAsiaTheme="minorEastAsia"/>
          <w:sz w:val="21"/>
          <w:szCs w:val="21"/>
          <w:lang w:bidi="en-US"/>
        </w:rPr>
        <w:t>_______</w:t>
      </w:r>
      <w:r>
        <w:rPr>
          <w:rFonts w:asciiTheme="minorEastAsia" w:hAnsiTheme="minorEastAsia" w:eastAsiaTheme="minorEastAsia"/>
          <w:sz w:val="21"/>
          <w:szCs w:val="21"/>
          <w:lang w:val="zh-CN" w:bidi="zh-CN"/>
        </w:rPr>
        <w:t>工作</w:t>
      </w:r>
      <w:r>
        <w:rPr>
          <w:rFonts w:hint="eastAsia" w:asciiTheme="minorEastAsia" w:hAnsiTheme="minorEastAsia" w:eastAsiaTheme="minorEastAsia"/>
          <w:sz w:val="21"/>
          <w:szCs w:val="21"/>
          <w:lang w:val="zh-CN" w:bidi="zh-CN"/>
        </w:rPr>
        <w:t>日</w:t>
      </w:r>
      <w:r>
        <w:rPr>
          <w:rFonts w:asciiTheme="minorEastAsia" w:hAnsiTheme="minorEastAsia" w:eastAsiaTheme="minorEastAsia"/>
          <w:sz w:val="21"/>
          <w:szCs w:val="21"/>
          <w:lang w:val="zh-CN" w:bidi="zh-CN"/>
        </w:rPr>
        <w:t>内进行核定后按照本保函的承诺承担保证责任。</w:t>
      </w:r>
    </w:p>
    <w:p>
      <w:pPr>
        <w:pStyle w:val="367"/>
        <w:shd w:val="clear" w:color="auto" w:fill="auto"/>
        <w:tabs>
          <w:tab w:val="left" w:pos="544"/>
        </w:tabs>
        <w:spacing w:line="454" w:lineRule="exact"/>
        <w:ind w:firstLine="0"/>
        <w:jc w:val="left"/>
        <w:rPr>
          <w:rFonts w:asciiTheme="minorEastAsia" w:hAnsiTheme="minorEastAsia" w:eastAsiaTheme="minorEastAsia"/>
          <w:sz w:val="21"/>
          <w:szCs w:val="21"/>
          <w:lang w:val="zh-CN" w:bidi="zh-CN"/>
        </w:rPr>
      </w:pPr>
      <w:r>
        <w:rPr>
          <w:rFonts w:asciiTheme="minorEastAsia" w:hAnsiTheme="minorEastAsia" w:eastAsiaTheme="minorEastAsia"/>
          <w:sz w:val="21"/>
          <w:szCs w:val="21"/>
          <w:lang w:val="zh-CN" w:bidi="zh-CN"/>
        </w:rPr>
        <w:t>四</w:t>
      </w:r>
      <w:r>
        <w:rPr>
          <w:rFonts w:asciiTheme="minorEastAsia" w:hAnsiTheme="minorEastAsia" w:eastAsiaTheme="minorEastAsia"/>
          <w:sz w:val="21"/>
          <w:szCs w:val="21"/>
          <w:lang w:bidi="zh-CN"/>
        </w:rPr>
        <w:t>、</w:t>
      </w:r>
      <w:r>
        <w:rPr>
          <w:rFonts w:asciiTheme="minorEastAsia" w:hAnsiTheme="minorEastAsia" w:eastAsiaTheme="minorEastAsia"/>
          <w:sz w:val="21"/>
          <w:szCs w:val="21"/>
          <w:lang w:val="zh-CN" w:bidi="zh-CN"/>
        </w:rPr>
        <w:t>保证责任的终止</w:t>
      </w:r>
    </w:p>
    <w:p>
      <w:pPr>
        <w:pStyle w:val="367"/>
        <w:shd w:val="clear" w:color="auto" w:fill="auto"/>
        <w:tabs>
          <w:tab w:val="left" w:pos="720"/>
          <w:tab w:val="left" w:pos="988"/>
          <w:tab w:val="left" w:pos="7970"/>
        </w:tabs>
        <w:spacing w:line="454" w:lineRule="exact"/>
        <w:ind w:left="360" w:firstLine="0"/>
        <w:jc w:val="left"/>
        <w:rPr>
          <w:rFonts w:asciiTheme="minorEastAsia" w:hAnsiTheme="minorEastAsia" w:eastAsiaTheme="minorEastAsia"/>
          <w:sz w:val="21"/>
          <w:szCs w:val="21"/>
        </w:rPr>
      </w:pPr>
      <w:r>
        <w:rPr>
          <w:rFonts w:hint="eastAsia" w:asciiTheme="minorEastAsia" w:hAnsiTheme="minorEastAsia" w:eastAsiaTheme="minorEastAsia"/>
          <w:sz w:val="21"/>
          <w:szCs w:val="21"/>
          <w:lang w:val="zh-CN" w:bidi="zh-CN"/>
        </w:rPr>
        <w:t>1</w:t>
      </w:r>
      <w:r>
        <w:rPr>
          <w:rFonts w:asciiTheme="minorEastAsia" w:hAnsiTheme="minorEastAsia" w:eastAsiaTheme="minorEastAsia"/>
          <w:sz w:val="21"/>
          <w:szCs w:val="21"/>
          <w:lang w:val="zh-CN" w:bidi="zh-CN"/>
        </w:rPr>
        <w:t>、保证期间届满你方未向我方书面主张保证责任的，自保证期间届满次日起，我方保证责任自动终止。保证期间届满前，主合同约定的货物\工程\服务全部验收合格的，自验收合格日起，我方保证责任自动终止。</w:t>
      </w:r>
    </w:p>
    <w:p>
      <w:pPr>
        <w:pStyle w:val="367"/>
        <w:shd w:val="clear" w:color="auto" w:fill="auto"/>
        <w:tabs>
          <w:tab w:val="left" w:pos="720"/>
          <w:tab w:val="left" w:pos="988"/>
        </w:tabs>
        <w:spacing w:line="454" w:lineRule="exact"/>
        <w:ind w:left="360" w:firstLine="0"/>
        <w:jc w:val="left"/>
        <w:rPr>
          <w:rFonts w:asciiTheme="minorEastAsia" w:hAnsiTheme="minorEastAsia" w:eastAsiaTheme="minorEastAsia"/>
          <w:sz w:val="21"/>
          <w:szCs w:val="21"/>
        </w:rPr>
      </w:pPr>
      <w:r>
        <w:rPr>
          <w:rFonts w:hint="eastAsia" w:asciiTheme="minorEastAsia" w:hAnsiTheme="minorEastAsia" w:eastAsiaTheme="minorEastAsia"/>
          <w:sz w:val="21"/>
          <w:szCs w:val="21"/>
          <w:lang w:val="zh-CN" w:bidi="zh-CN"/>
        </w:rPr>
        <w:t>2、</w:t>
      </w:r>
      <w:r>
        <w:rPr>
          <w:rFonts w:asciiTheme="minorEastAsia" w:hAnsiTheme="minorEastAsia" w:eastAsiaTheme="minorEastAsia"/>
          <w:sz w:val="21"/>
          <w:szCs w:val="21"/>
          <w:lang w:val="zh-CN" w:bidi="zh-CN"/>
        </w:rPr>
        <w:t>我方按照本保函向你方履行了保证责任后，自我方向你方支付款项(支付款项从我方账户划出</w:t>
      </w:r>
      <w:r>
        <w:rPr>
          <w:rFonts w:asciiTheme="minorEastAsia" w:hAnsiTheme="minorEastAsia" w:eastAsiaTheme="minorEastAsia"/>
          <w:sz w:val="21"/>
          <w:szCs w:val="21"/>
          <w:lang w:bidi="en-US"/>
        </w:rPr>
        <w:t>）</w:t>
      </w:r>
      <w:r>
        <w:rPr>
          <w:rFonts w:asciiTheme="minorEastAsia" w:hAnsiTheme="minorEastAsia" w:eastAsiaTheme="minorEastAsia"/>
          <w:sz w:val="21"/>
          <w:szCs w:val="21"/>
          <w:lang w:val="zh-CN" w:bidi="zh-CN"/>
        </w:rPr>
        <w:t>之日起，保证责任即终止。</w:t>
      </w:r>
    </w:p>
    <w:p>
      <w:pPr>
        <w:pStyle w:val="367"/>
        <w:shd w:val="clear" w:color="auto" w:fill="auto"/>
        <w:tabs>
          <w:tab w:val="left" w:pos="720"/>
          <w:tab w:val="left" w:pos="988"/>
        </w:tabs>
        <w:spacing w:line="454" w:lineRule="exact"/>
        <w:ind w:left="360" w:firstLine="0"/>
        <w:jc w:val="left"/>
        <w:rPr>
          <w:rFonts w:asciiTheme="minorEastAsia" w:hAnsiTheme="minorEastAsia" w:eastAsiaTheme="minorEastAsia"/>
          <w:sz w:val="21"/>
          <w:szCs w:val="21"/>
        </w:rPr>
      </w:pPr>
      <w:r>
        <w:rPr>
          <w:rFonts w:asciiTheme="minorEastAsia" w:hAnsiTheme="minorEastAsia" w:eastAsiaTheme="minorEastAsia"/>
          <w:sz w:val="21"/>
          <w:szCs w:val="21"/>
          <w:lang w:bidi="zh-CN"/>
        </w:rPr>
        <w:t>3、</w:t>
      </w:r>
      <w:r>
        <w:rPr>
          <w:rFonts w:asciiTheme="minorEastAsia" w:hAnsiTheme="minorEastAsia" w:eastAsiaTheme="minorEastAsia"/>
          <w:sz w:val="21"/>
          <w:szCs w:val="21"/>
          <w:lang w:val="zh-CN" w:bidi="zh-CN"/>
        </w:rPr>
        <w:t>按照法律法规的规定或出现应终止我方保证责任的其它情形的</w:t>
      </w:r>
      <w:r>
        <w:rPr>
          <w:rStyle w:val="369"/>
          <w:rFonts w:asciiTheme="minorEastAsia" w:hAnsiTheme="minorEastAsia" w:eastAsiaTheme="minorEastAsia"/>
          <w:color w:val="auto"/>
          <w:sz w:val="21"/>
          <w:szCs w:val="21"/>
          <w:lang w:eastAsia="zh-CN"/>
        </w:rPr>
        <w:t>，</w:t>
      </w:r>
      <w:r>
        <w:rPr>
          <w:rFonts w:asciiTheme="minorEastAsia" w:hAnsiTheme="minorEastAsia" w:eastAsiaTheme="minorEastAsia"/>
          <w:sz w:val="21"/>
          <w:szCs w:val="21"/>
          <w:lang w:val="zh-CN" w:bidi="zh-CN"/>
        </w:rPr>
        <w:t>我方在本保函项下的保证责任亦终止。</w:t>
      </w:r>
    </w:p>
    <w:p>
      <w:pPr>
        <w:pStyle w:val="367"/>
        <w:shd w:val="clear" w:color="auto" w:fill="auto"/>
        <w:tabs>
          <w:tab w:val="left" w:pos="720"/>
          <w:tab w:val="left" w:pos="988"/>
        </w:tabs>
        <w:spacing w:line="454" w:lineRule="exact"/>
        <w:ind w:left="360" w:firstLine="0"/>
        <w:jc w:val="left"/>
        <w:rPr>
          <w:rFonts w:asciiTheme="minorEastAsia" w:hAnsiTheme="minorEastAsia" w:eastAsiaTheme="minorEastAsia"/>
          <w:sz w:val="21"/>
          <w:szCs w:val="21"/>
        </w:rPr>
      </w:pPr>
      <w:r>
        <w:rPr>
          <w:rFonts w:asciiTheme="minorEastAsia" w:hAnsiTheme="minorEastAsia" w:eastAsiaTheme="minorEastAsia"/>
          <w:sz w:val="21"/>
          <w:szCs w:val="21"/>
          <w:lang w:bidi="zh-CN"/>
        </w:rPr>
        <w:t>4、</w:t>
      </w:r>
      <w:r>
        <w:rPr>
          <w:rFonts w:asciiTheme="minorEastAsia" w:hAnsiTheme="minorEastAsia" w:eastAsiaTheme="minorEastAsia"/>
          <w:sz w:val="21"/>
          <w:szCs w:val="21"/>
          <w:lang w:val="zh-CN" w:bidi="zh-CN"/>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pStyle w:val="367"/>
        <w:shd w:val="clear" w:color="auto" w:fill="auto"/>
        <w:tabs>
          <w:tab w:val="left" w:pos="544"/>
        </w:tabs>
        <w:spacing w:line="454" w:lineRule="exact"/>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五、</w:t>
      </w: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免责条款</w:t>
      </w:r>
    </w:p>
    <w:p>
      <w:pPr>
        <w:pStyle w:val="367"/>
        <w:shd w:val="clear" w:color="auto" w:fill="auto"/>
        <w:tabs>
          <w:tab w:val="left" w:pos="425"/>
          <w:tab w:val="left" w:pos="988"/>
        </w:tabs>
        <w:spacing w:line="454" w:lineRule="exact"/>
        <w:ind w:left="360" w:firstLine="0"/>
        <w:jc w:val="left"/>
        <w:rPr>
          <w:rFonts w:asciiTheme="minorEastAsia" w:hAnsiTheme="minorEastAsia" w:eastAsiaTheme="minorEastAsia"/>
          <w:sz w:val="21"/>
          <w:szCs w:val="21"/>
          <w:lang w:bidi="zh-CN"/>
        </w:rPr>
      </w:pPr>
      <w:r>
        <w:rPr>
          <w:rFonts w:hint="eastAsia" w:asciiTheme="minorEastAsia" w:hAnsiTheme="minorEastAsia" w:eastAsiaTheme="minorEastAsia"/>
          <w:sz w:val="21"/>
          <w:szCs w:val="21"/>
          <w:lang w:bidi="zh-CN"/>
        </w:rPr>
        <w:t>1</w:t>
      </w:r>
      <w:r>
        <w:rPr>
          <w:rFonts w:asciiTheme="minorEastAsia" w:hAnsiTheme="minorEastAsia" w:eastAsiaTheme="minorEastAsia"/>
          <w:sz w:val="21"/>
          <w:szCs w:val="21"/>
          <w:lang w:bidi="zh-CN"/>
        </w:rPr>
        <w:t>、因你方违反主合同约定致使供应商不能履行义务的，我方不承担保证责任。</w:t>
      </w:r>
    </w:p>
    <w:p>
      <w:pPr>
        <w:pStyle w:val="367"/>
        <w:shd w:val="clear" w:color="auto" w:fill="auto"/>
        <w:tabs>
          <w:tab w:val="left" w:pos="425"/>
          <w:tab w:val="left" w:pos="988"/>
        </w:tabs>
        <w:spacing w:line="454" w:lineRule="exact"/>
        <w:ind w:left="360" w:firstLine="0"/>
        <w:jc w:val="left"/>
        <w:rPr>
          <w:rFonts w:asciiTheme="minorEastAsia" w:hAnsiTheme="minorEastAsia" w:eastAsiaTheme="minorEastAsia"/>
          <w:sz w:val="21"/>
          <w:szCs w:val="21"/>
        </w:rPr>
      </w:pPr>
      <w:r>
        <w:rPr>
          <w:rFonts w:asciiTheme="minorEastAsia" w:hAnsiTheme="minorEastAsia" w:eastAsiaTheme="minorEastAsia"/>
          <w:sz w:val="21"/>
          <w:szCs w:val="21"/>
          <w:lang w:bidi="zh-CN"/>
        </w:rPr>
        <w:t>2、</w:t>
      </w:r>
      <w:r>
        <w:rPr>
          <w:rFonts w:asciiTheme="minorEastAsia" w:hAnsiTheme="minorEastAsia" w:eastAsiaTheme="minorEastAsia"/>
          <w:sz w:val="21"/>
          <w:szCs w:val="21"/>
          <w:lang w:val="zh-CN" w:bidi="zh-CN"/>
        </w:rPr>
        <w:t>依照法律法规的规定或你方与供应商的另行约定，全部或者部分免除供应商应缴纳的保证金义务的，我方亦免除相应的保证责任。</w:t>
      </w:r>
    </w:p>
    <w:p>
      <w:pPr>
        <w:pStyle w:val="367"/>
        <w:shd w:val="clear" w:color="auto" w:fill="auto"/>
        <w:tabs>
          <w:tab w:val="left" w:pos="425"/>
          <w:tab w:val="left" w:pos="988"/>
        </w:tabs>
        <w:spacing w:line="454" w:lineRule="exact"/>
        <w:ind w:left="360" w:firstLine="0"/>
        <w:jc w:val="left"/>
        <w:rPr>
          <w:rFonts w:asciiTheme="minorEastAsia" w:hAnsiTheme="minorEastAsia" w:eastAsiaTheme="minorEastAsia"/>
          <w:sz w:val="21"/>
          <w:szCs w:val="21"/>
        </w:rPr>
      </w:pPr>
      <w:r>
        <w:rPr>
          <w:rFonts w:asciiTheme="minorEastAsia" w:hAnsiTheme="minorEastAsia" w:eastAsiaTheme="minorEastAsia"/>
          <w:sz w:val="21"/>
          <w:szCs w:val="21"/>
          <w:lang w:bidi="zh-CN"/>
        </w:rPr>
        <w:t>3、</w:t>
      </w:r>
      <w:r>
        <w:rPr>
          <w:rFonts w:asciiTheme="minorEastAsia" w:hAnsiTheme="minorEastAsia" w:eastAsiaTheme="minorEastAsia"/>
          <w:sz w:val="21"/>
          <w:szCs w:val="21"/>
          <w:lang w:val="zh-CN" w:bidi="zh-CN"/>
        </w:rPr>
        <w:t>因不可抗力造成供应商不能履行供货义务的，我方不承担保证责任。</w:t>
      </w:r>
    </w:p>
    <w:p>
      <w:pPr>
        <w:pStyle w:val="367"/>
        <w:shd w:val="clear" w:color="auto" w:fill="auto"/>
        <w:tabs>
          <w:tab w:val="left" w:pos="562"/>
        </w:tabs>
        <w:spacing w:line="450" w:lineRule="exact"/>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六、</w:t>
      </w: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争议的解决</w:t>
      </w:r>
    </w:p>
    <w:p>
      <w:pPr>
        <w:pStyle w:val="367"/>
        <w:shd w:val="clear" w:color="auto" w:fill="auto"/>
        <w:tabs>
          <w:tab w:val="left" w:leader="hyphen" w:pos="5540"/>
        </w:tabs>
        <w:spacing w:line="450" w:lineRule="exact"/>
        <w:ind w:firstLine="36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因本保函发生的纠纷，由你我双方协商解决，协商不成的，通过诉讼程序解决，诉讼管辖地法院为</w:t>
      </w:r>
      <w:r>
        <w:rPr>
          <w:rFonts w:asciiTheme="minorEastAsia" w:hAnsiTheme="minorEastAsia" w:eastAsiaTheme="minorEastAsia"/>
          <w:sz w:val="21"/>
          <w:szCs w:val="21"/>
          <w:lang w:bidi="en-US"/>
        </w:rPr>
        <w:t>__________</w:t>
      </w:r>
      <w:r>
        <w:rPr>
          <w:rFonts w:asciiTheme="minorEastAsia" w:hAnsiTheme="minorEastAsia" w:eastAsiaTheme="minorEastAsia"/>
          <w:sz w:val="21"/>
          <w:szCs w:val="21"/>
          <w:lang w:val="zh-CN" w:bidi="zh-CN"/>
        </w:rPr>
        <w:t>法院。</w:t>
      </w:r>
    </w:p>
    <w:p>
      <w:pPr>
        <w:pStyle w:val="367"/>
        <w:shd w:val="clear" w:color="auto" w:fill="auto"/>
        <w:tabs>
          <w:tab w:val="left" w:pos="562"/>
        </w:tabs>
        <w:spacing w:line="450" w:lineRule="exact"/>
        <w:ind w:firstLine="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七、</w:t>
      </w:r>
      <w:r>
        <w:rPr>
          <w:rFonts w:asciiTheme="minorEastAsia" w:hAnsiTheme="minorEastAsia" w:eastAsiaTheme="minorEastAsia"/>
          <w:sz w:val="21"/>
          <w:szCs w:val="21"/>
          <w:lang w:val="zh-CN" w:bidi="zh-CN"/>
        </w:rPr>
        <w:tab/>
      </w:r>
      <w:r>
        <w:rPr>
          <w:rFonts w:asciiTheme="minorEastAsia" w:hAnsiTheme="minorEastAsia" w:eastAsiaTheme="minorEastAsia"/>
          <w:sz w:val="21"/>
          <w:szCs w:val="21"/>
          <w:lang w:val="zh-CN" w:bidi="zh-CN"/>
        </w:rPr>
        <w:t>保函的生效</w:t>
      </w:r>
    </w:p>
    <w:p>
      <w:pPr>
        <w:pStyle w:val="367"/>
        <w:shd w:val="clear" w:color="auto" w:fill="auto"/>
        <w:spacing w:line="450" w:lineRule="exact"/>
        <w:ind w:firstLine="360"/>
        <w:jc w:val="left"/>
        <w:rPr>
          <w:rFonts w:asciiTheme="minorEastAsia" w:hAnsiTheme="minorEastAsia" w:eastAsiaTheme="minorEastAsia"/>
          <w:sz w:val="21"/>
          <w:szCs w:val="21"/>
        </w:rPr>
      </w:pPr>
      <w:r>
        <w:rPr>
          <w:rFonts w:asciiTheme="minorEastAsia" w:hAnsiTheme="minorEastAsia" w:eastAsiaTheme="minorEastAsia"/>
          <w:sz w:val="21"/>
          <w:szCs w:val="21"/>
          <w:lang w:val="zh-CN" w:bidi="zh-CN"/>
        </w:rPr>
        <w:t>本保函自我方加盖公章之日起生效。</w:t>
      </w:r>
    </w:p>
    <w:p>
      <w:pPr>
        <w:pStyle w:val="367"/>
        <w:shd w:val="clear" w:color="auto" w:fill="auto"/>
        <w:spacing w:line="457" w:lineRule="exact"/>
        <w:ind w:firstLine="0"/>
        <w:jc w:val="right"/>
        <w:rPr>
          <w:rFonts w:asciiTheme="minorEastAsia" w:hAnsiTheme="minorEastAsia" w:eastAsiaTheme="minorEastAsia"/>
          <w:sz w:val="21"/>
          <w:szCs w:val="21"/>
          <w:lang w:val="zh-CN" w:bidi="zh-CN"/>
        </w:rPr>
      </w:pPr>
      <w:r>
        <w:rPr>
          <w:rFonts w:asciiTheme="minorEastAsia" w:hAnsiTheme="minorEastAsia" w:eastAsiaTheme="minorEastAsia"/>
          <w:sz w:val="21"/>
          <w:szCs w:val="21"/>
          <w:lang w:val="zh-CN" w:bidi="zh-CN"/>
        </w:rPr>
        <w:t>保证人：</w:t>
      </w:r>
      <w:r>
        <w:rPr>
          <w:rFonts w:asciiTheme="minorEastAsia" w:hAnsiTheme="minorEastAsia" w:eastAsiaTheme="minorEastAsia"/>
          <w:sz w:val="21"/>
          <w:szCs w:val="21"/>
          <w:lang w:bidi="en-US"/>
        </w:rPr>
        <w:t>（</w:t>
      </w:r>
      <w:r>
        <w:rPr>
          <w:rFonts w:asciiTheme="minorEastAsia" w:hAnsiTheme="minorEastAsia" w:eastAsiaTheme="minorEastAsia"/>
          <w:sz w:val="21"/>
          <w:szCs w:val="21"/>
          <w:lang w:val="zh-CN" w:bidi="zh-CN"/>
        </w:rPr>
        <w:t>公章)</w:t>
      </w:r>
    </w:p>
    <w:p>
      <w:pPr>
        <w:pStyle w:val="367"/>
        <w:shd w:val="clear" w:color="auto" w:fill="auto"/>
        <w:spacing w:line="457" w:lineRule="exact"/>
        <w:ind w:firstLine="0"/>
        <w:jc w:val="right"/>
        <w:rPr>
          <w:rFonts w:asciiTheme="minorEastAsia" w:hAnsiTheme="minorEastAsia" w:eastAsiaTheme="minorEastAsia"/>
          <w:sz w:val="21"/>
          <w:szCs w:val="21"/>
          <w:lang w:val="zh-CN" w:bidi="zh-CN"/>
        </w:rPr>
      </w:pPr>
      <w:r>
        <w:rPr>
          <w:rFonts w:asciiTheme="minorEastAsia" w:hAnsiTheme="minorEastAsia" w:eastAsiaTheme="minorEastAsia"/>
          <w:sz w:val="21"/>
          <w:szCs w:val="21"/>
          <w:lang w:val="zh-CN" w:bidi="zh-CN"/>
        </w:rPr>
        <w:t>年</w:t>
      </w:r>
      <w:r>
        <w:rPr>
          <w:rFonts w:hint="eastAsia" w:asciiTheme="minorEastAsia" w:hAnsiTheme="minorEastAsia" w:eastAsiaTheme="minorEastAsia"/>
          <w:sz w:val="21"/>
          <w:szCs w:val="21"/>
          <w:lang w:bidi="zh-CN"/>
        </w:rPr>
        <w:t xml:space="preserve"> </w:t>
      </w:r>
      <w:r>
        <w:rPr>
          <w:rFonts w:asciiTheme="minorEastAsia" w:hAnsiTheme="minorEastAsia" w:eastAsiaTheme="minorEastAsia"/>
          <w:sz w:val="21"/>
          <w:szCs w:val="21"/>
          <w:lang w:val="zh-CN" w:bidi="zh-CN"/>
        </w:rPr>
        <w:t>月</w:t>
      </w:r>
      <w:r>
        <w:rPr>
          <w:rFonts w:hint="eastAsia" w:asciiTheme="minorEastAsia" w:hAnsiTheme="minorEastAsia" w:eastAsiaTheme="minorEastAsia"/>
          <w:sz w:val="21"/>
          <w:szCs w:val="21"/>
          <w:lang w:bidi="zh-CN"/>
        </w:rPr>
        <w:t xml:space="preserve"> </w:t>
      </w:r>
      <w:r>
        <w:rPr>
          <w:rFonts w:asciiTheme="minorEastAsia" w:hAnsiTheme="minorEastAsia" w:eastAsiaTheme="minorEastAsia"/>
          <w:sz w:val="21"/>
          <w:szCs w:val="21"/>
          <w:lang w:val="zh-CN" w:bidi="zh-CN"/>
        </w:rPr>
        <w:t>日</w:t>
      </w:r>
    </w:p>
    <w:p>
      <w:pPr>
        <w:pStyle w:val="367"/>
        <w:shd w:val="clear" w:color="auto" w:fill="auto"/>
        <w:tabs>
          <w:tab w:val="left" w:pos="900"/>
        </w:tabs>
        <w:spacing w:line="360" w:lineRule="auto"/>
        <w:ind w:firstLine="500" w:firstLineChars="200"/>
        <w:jc w:val="left"/>
        <w:rPr>
          <w:rFonts w:asciiTheme="minorEastAsia" w:hAnsiTheme="minorEastAsia" w:eastAsiaTheme="minorEastAsia"/>
          <w:sz w:val="21"/>
          <w:szCs w:val="21"/>
          <w:lang w:val="zh-CN" w:bidi="zh-CN"/>
        </w:rPr>
      </w:pP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r>
        <w:rPr>
          <w:rFonts w:ascii="宋体" w:hAnsi="宋体"/>
          <w:sz w:val="21"/>
          <w:szCs w:val="21"/>
        </w:rPr>
        <w:br w:type="page"/>
      </w:r>
      <w:bookmarkStart w:id="201" w:name="_Toc29284"/>
      <w:bookmarkStart w:id="202" w:name="_Toc466987271"/>
      <w:bookmarkStart w:id="203" w:name="_Toc418851666"/>
      <w:r>
        <w:rPr>
          <w:rFonts w:hint="eastAsia" w:ascii="宋体" w:hAnsi="宋体" w:eastAsia="宋体"/>
          <w:sz w:val="21"/>
          <w:szCs w:val="21"/>
        </w:rPr>
        <w:t>制造商（总代理商）授权委托书（要求提交授权书时选用）</w:t>
      </w:r>
      <w:bookmarkEnd w:id="201"/>
      <w:bookmarkEnd w:id="202"/>
      <w:bookmarkEnd w:id="203"/>
    </w:p>
    <w:p>
      <w:pPr>
        <w:spacing w:line="360" w:lineRule="auto"/>
        <w:jc w:val="left"/>
        <w:rPr>
          <w:rFonts w:ascii="宋体" w:hAnsi="宋体"/>
          <w:b/>
          <w:snapToGrid w:val="0"/>
          <w:kern w:val="0"/>
          <w:sz w:val="21"/>
          <w:szCs w:val="21"/>
        </w:rPr>
      </w:pPr>
    </w:p>
    <w:p>
      <w:pPr>
        <w:spacing w:line="360" w:lineRule="auto"/>
        <w:jc w:val="left"/>
        <w:rPr>
          <w:rFonts w:ascii="宋体" w:hAnsi="宋体"/>
          <w:b/>
          <w:snapToGrid w:val="0"/>
          <w:kern w:val="0"/>
          <w:sz w:val="21"/>
          <w:szCs w:val="21"/>
        </w:rPr>
      </w:pPr>
      <w:r>
        <w:rPr>
          <w:rFonts w:hint="eastAsia" w:ascii="宋体" w:hAnsi="宋体"/>
          <w:b/>
          <w:snapToGrid w:val="0"/>
          <w:kern w:val="0"/>
          <w:sz w:val="21"/>
          <w:szCs w:val="21"/>
        </w:rPr>
        <w:t>致：（采购人或采购代理机构）</w:t>
      </w:r>
    </w:p>
    <w:p>
      <w:pPr>
        <w:spacing w:line="360" w:lineRule="auto"/>
        <w:ind w:firstLine="420" w:firstLineChars="200"/>
        <w:jc w:val="left"/>
        <w:rPr>
          <w:rFonts w:ascii="宋体" w:hAnsi="宋体"/>
          <w:snapToGrid w:val="0"/>
          <w:kern w:val="0"/>
          <w:sz w:val="21"/>
          <w:szCs w:val="21"/>
        </w:rPr>
      </w:pPr>
      <w:r>
        <w:rPr>
          <w:rFonts w:hint="eastAsia" w:ascii="宋体" w:hAnsi="宋体"/>
          <w:snapToGrid w:val="0"/>
          <w:kern w:val="0"/>
          <w:sz w:val="21"/>
          <w:szCs w:val="21"/>
        </w:rPr>
        <w:t>作为制造（或总代理）</w:t>
      </w:r>
      <w:r>
        <w:rPr>
          <w:rFonts w:hint="eastAsia"/>
          <w:sz w:val="21"/>
          <w:szCs w:val="21"/>
          <w:u w:val="single"/>
        </w:rPr>
        <w:t>（产品名称）</w:t>
      </w:r>
      <w:r>
        <w:rPr>
          <w:rFonts w:hint="eastAsia" w:ascii="宋体" w:hAnsi="宋体"/>
          <w:snapToGrid w:val="0"/>
          <w:kern w:val="0"/>
          <w:sz w:val="21"/>
          <w:szCs w:val="21"/>
        </w:rPr>
        <w:t>的</w:t>
      </w:r>
      <w:r>
        <w:rPr>
          <w:rFonts w:hint="eastAsia" w:ascii="宋体" w:hAnsi="宋体"/>
          <w:snapToGrid w:val="0"/>
          <w:kern w:val="0"/>
          <w:sz w:val="21"/>
          <w:szCs w:val="21"/>
          <w:u w:val="single"/>
        </w:rPr>
        <w:t>（制造或总代理企业全称）</w:t>
      </w:r>
      <w:r>
        <w:rPr>
          <w:rFonts w:hint="eastAsia" w:ascii="宋体" w:hAnsi="宋体"/>
          <w:snapToGrid w:val="0"/>
          <w:kern w:val="0"/>
          <w:sz w:val="21"/>
          <w:szCs w:val="21"/>
        </w:rPr>
        <w:t>，</w:t>
      </w:r>
      <w:r>
        <w:rPr>
          <w:rFonts w:hint="eastAsia" w:ascii="宋体" w:hAnsi="宋体"/>
          <w:sz w:val="21"/>
          <w:szCs w:val="21"/>
        </w:rPr>
        <w:t>我企业</w:t>
      </w:r>
      <w:r>
        <w:rPr>
          <w:rFonts w:hint="eastAsia" w:ascii="宋体" w:hAnsi="宋体"/>
          <w:snapToGrid w:val="0"/>
          <w:kern w:val="0"/>
          <w:sz w:val="21"/>
          <w:szCs w:val="21"/>
        </w:rPr>
        <w:t>在此授权</w:t>
      </w:r>
      <w:r>
        <w:rPr>
          <w:rFonts w:hint="eastAsia" w:ascii="宋体" w:hAnsi="宋体"/>
          <w:snapToGrid w:val="0"/>
          <w:kern w:val="0"/>
          <w:sz w:val="21"/>
          <w:szCs w:val="21"/>
          <w:u w:val="single"/>
        </w:rPr>
        <w:t xml:space="preserve">（投标人名称）    </w:t>
      </w:r>
      <w:r>
        <w:rPr>
          <w:rFonts w:hint="eastAsia" w:ascii="宋体" w:hAnsi="宋体"/>
          <w:snapToGrid w:val="0"/>
          <w:kern w:val="0"/>
          <w:sz w:val="21"/>
          <w:szCs w:val="21"/>
        </w:rPr>
        <w:t>用我厂（公司）制造（或总代理）的</w:t>
      </w:r>
      <w:r>
        <w:rPr>
          <w:rFonts w:hint="eastAsia" w:ascii="宋体" w:hAnsi="宋体"/>
          <w:snapToGrid w:val="0"/>
          <w:kern w:val="0"/>
          <w:sz w:val="21"/>
          <w:szCs w:val="21"/>
          <w:u w:val="single"/>
        </w:rPr>
        <w:t xml:space="preserve">   （</w:t>
      </w:r>
      <w:r>
        <w:rPr>
          <w:rFonts w:hint="eastAsia"/>
          <w:sz w:val="21"/>
          <w:szCs w:val="21"/>
          <w:u w:val="single"/>
        </w:rPr>
        <w:t>产品名称</w:t>
      </w:r>
      <w:r>
        <w:rPr>
          <w:rFonts w:hint="eastAsia" w:ascii="宋体" w:hAnsi="宋体"/>
          <w:snapToGrid w:val="0"/>
          <w:kern w:val="0"/>
          <w:sz w:val="21"/>
          <w:szCs w:val="21"/>
          <w:u w:val="single"/>
        </w:rPr>
        <w:t xml:space="preserve">）   </w:t>
      </w:r>
      <w:r>
        <w:rPr>
          <w:rFonts w:hint="eastAsia" w:ascii="宋体" w:hAnsi="宋体"/>
          <w:snapToGrid w:val="0"/>
          <w:kern w:val="0"/>
          <w:sz w:val="21"/>
          <w:szCs w:val="21"/>
        </w:rPr>
        <w:t>的产品参加</w:t>
      </w:r>
      <w:r>
        <w:rPr>
          <w:rFonts w:hint="eastAsia" w:ascii="宋体" w:hAnsi="宋体"/>
          <w:snapToGrid w:val="0"/>
          <w:kern w:val="0"/>
          <w:sz w:val="21"/>
          <w:szCs w:val="21"/>
          <w:u w:val="single"/>
        </w:rPr>
        <w:t xml:space="preserve">     （项目名称）        </w:t>
      </w:r>
      <w:r>
        <w:rPr>
          <w:rFonts w:hint="eastAsia" w:ascii="宋体" w:hAnsi="宋体"/>
          <w:snapToGrid w:val="0"/>
          <w:kern w:val="0"/>
          <w:sz w:val="21"/>
          <w:szCs w:val="21"/>
        </w:rPr>
        <w:t>（项目编号：）</w:t>
      </w:r>
      <w:r>
        <w:rPr>
          <w:rFonts w:ascii="宋体" w:hAnsi="宋体"/>
          <w:snapToGrid w:val="0"/>
          <w:kern w:val="0"/>
          <w:sz w:val="21"/>
          <w:szCs w:val="21"/>
        </w:rPr>
        <w:t>采购活动</w:t>
      </w:r>
      <w:r>
        <w:rPr>
          <w:rFonts w:hint="eastAsia" w:ascii="宋体" w:hAnsi="宋体"/>
          <w:snapToGrid w:val="0"/>
          <w:kern w:val="0"/>
          <w:sz w:val="21"/>
          <w:szCs w:val="21"/>
        </w:rPr>
        <w:t>，</w:t>
      </w:r>
      <w:r>
        <w:rPr>
          <w:rFonts w:hint="eastAsia" w:ascii="宋体" w:hAnsi="宋体"/>
          <w:sz w:val="21"/>
          <w:szCs w:val="21"/>
        </w:rPr>
        <w:t>递交投标函并签署政府采购合同。</w:t>
      </w:r>
    </w:p>
    <w:p>
      <w:pPr>
        <w:spacing w:line="360" w:lineRule="auto"/>
        <w:ind w:firstLine="420" w:firstLineChars="200"/>
        <w:jc w:val="left"/>
        <w:rPr>
          <w:rFonts w:ascii="宋体" w:hAnsi="宋体"/>
          <w:sz w:val="21"/>
          <w:szCs w:val="21"/>
        </w:rPr>
      </w:pPr>
      <w:r>
        <w:rPr>
          <w:rFonts w:hint="eastAsia" w:ascii="宋体" w:hAnsi="宋体"/>
          <w:snapToGrid w:val="0"/>
          <w:kern w:val="0"/>
          <w:sz w:val="21"/>
          <w:szCs w:val="21"/>
        </w:rPr>
        <w:t>我厂（公司）郑重承诺：中标后我企业将无条件按照授权报价品种在交易期内保证货物的货源和质量，质保期为年（以验收合格之日起计算），</w:t>
      </w:r>
      <w:r>
        <w:rPr>
          <w:rFonts w:hint="eastAsia" w:ascii="宋体" w:hAnsi="宋体"/>
          <w:sz w:val="21"/>
          <w:szCs w:val="21"/>
        </w:rPr>
        <w:t>如有违反，依据《中华人民共和国招标投标法》、《中华人民共和国合同法》及招标采购相关法规及条例承担法律责任。</w:t>
      </w:r>
    </w:p>
    <w:p>
      <w:pPr>
        <w:spacing w:line="360" w:lineRule="auto"/>
        <w:ind w:firstLine="420" w:firstLineChars="200"/>
        <w:jc w:val="left"/>
        <w:rPr>
          <w:rFonts w:ascii="宋体" w:hAnsi="宋体"/>
          <w:snapToGrid w:val="0"/>
          <w:kern w:val="0"/>
          <w:sz w:val="21"/>
          <w:szCs w:val="21"/>
        </w:rPr>
      </w:pPr>
      <w:r>
        <w:rPr>
          <w:rFonts w:hint="eastAsia" w:ascii="宋体" w:hAnsi="宋体"/>
          <w:snapToGrid w:val="0"/>
          <w:kern w:val="0"/>
          <w:sz w:val="21"/>
          <w:szCs w:val="21"/>
        </w:rPr>
        <w:t>授权期限为：年月起至本次中标货物采购期结束。</w:t>
      </w:r>
    </w:p>
    <w:p>
      <w:pPr>
        <w:spacing w:line="360" w:lineRule="auto"/>
        <w:ind w:firstLine="382" w:firstLineChars="182"/>
        <w:jc w:val="left"/>
        <w:rPr>
          <w:rFonts w:ascii="宋体" w:hAnsi="宋体"/>
          <w:snapToGrid w:val="0"/>
          <w:kern w:val="0"/>
          <w:sz w:val="21"/>
          <w:szCs w:val="21"/>
        </w:rPr>
      </w:pPr>
      <w:r>
        <w:rPr>
          <w:rFonts w:hint="eastAsia" w:ascii="宋体" w:hAnsi="宋体"/>
          <w:sz w:val="21"/>
          <w:szCs w:val="21"/>
        </w:rPr>
        <w:t>政府采购</w:t>
      </w:r>
      <w:r>
        <w:rPr>
          <w:rFonts w:ascii="宋体" w:hAnsi="宋体"/>
          <w:sz w:val="21"/>
          <w:szCs w:val="21"/>
        </w:rPr>
        <w:t>合同规定的招标采购期限与本授权书的有效期限应一致。若</w:t>
      </w:r>
      <w:r>
        <w:rPr>
          <w:rFonts w:hint="eastAsia" w:ascii="宋体" w:hAnsi="宋体"/>
          <w:sz w:val="21"/>
          <w:szCs w:val="21"/>
        </w:rPr>
        <w:t>政府采购</w:t>
      </w:r>
      <w:r>
        <w:rPr>
          <w:rFonts w:ascii="宋体" w:hAnsi="宋体"/>
          <w:sz w:val="21"/>
          <w:szCs w:val="21"/>
        </w:rPr>
        <w:t>合同规定的招标采购期限延期，本授权书期限自动顺延到招标采购期限届满。</w:t>
      </w:r>
      <w:r>
        <w:rPr>
          <w:rFonts w:hint="eastAsia" w:ascii="宋体" w:hAnsi="宋体"/>
          <w:snapToGrid w:val="0"/>
          <w:kern w:val="0"/>
          <w:sz w:val="21"/>
          <w:szCs w:val="21"/>
        </w:rPr>
        <w:t>此授权书一经授出，在投标截止期后将不作任何修改。</w:t>
      </w:r>
    </w:p>
    <w:p>
      <w:pPr>
        <w:spacing w:line="360" w:lineRule="auto"/>
        <w:ind w:firstLine="382" w:firstLineChars="182"/>
        <w:jc w:val="left"/>
        <w:rPr>
          <w:rFonts w:ascii="宋体" w:hAnsi="宋体"/>
          <w:snapToGrid w:val="0"/>
          <w:kern w:val="0"/>
          <w:sz w:val="21"/>
          <w:szCs w:val="21"/>
        </w:rPr>
      </w:pPr>
    </w:p>
    <w:p>
      <w:pPr>
        <w:spacing w:line="440" w:lineRule="exact"/>
        <w:jc w:val="left"/>
        <w:rPr>
          <w:rFonts w:ascii="宋体" w:hAnsi="宋体"/>
          <w:snapToGrid w:val="0"/>
          <w:kern w:val="0"/>
          <w:sz w:val="21"/>
          <w:szCs w:val="21"/>
          <w:u w:val="single"/>
        </w:rPr>
      </w:pPr>
      <w:r>
        <w:rPr>
          <w:rFonts w:hint="eastAsia" w:ascii="宋体" w:hAnsi="宋体"/>
          <w:snapToGrid w:val="0"/>
          <w:kern w:val="0"/>
          <w:sz w:val="21"/>
          <w:szCs w:val="21"/>
        </w:rPr>
        <w:t>制造（或总代理）商名称（盖章）</w:t>
      </w:r>
    </w:p>
    <w:p>
      <w:pPr>
        <w:spacing w:line="440" w:lineRule="exact"/>
        <w:jc w:val="left"/>
        <w:rPr>
          <w:rFonts w:ascii="宋体" w:hAnsi="宋体"/>
          <w:snapToGrid w:val="0"/>
          <w:kern w:val="0"/>
          <w:sz w:val="21"/>
          <w:szCs w:val="21"/>
          <w:u w:val="single"/>
        </w:rPr>
      </w:pPr>
      <w:r>
        <w:rPr>
          <w:rFonts w:hint="eastAsia" w:ascii="宋体" w:hAnsi="宋体"/>
          <w:snapToGrid w:val="0"/>
          <w:kern w:val="0"/>
          <w:sz w:val="21"/>
          <w:szCs w:val="21"/>
        </w:rPr>
        <w:t>联系电话、传真：</w:t>
      </w:r>
    </w:p>
    <w:p>
      <w:pPr>
        <w:spacing w:line="440" w:lineRule="exact"/>
        <w:jc w:val="left"/>
        <w:rPr>
          <w:rFonts w:ascii="宋体" w:hAnsi="宋体"/>
          <w:snapToGrid w:val="0"/>
          <w:kern w:val="0"/>
          <w:sz w:val="21"/>
          <w:szCs w:val="21"/>
        </w:rPr>
      </w:pPr>
      <w:r>
        <w:rPr>
          <w:rFonts w:hint="eastAsia" w:ascii="宋体" w:hAnsi="宋体"/>
          <w:snapToGrid w:val="0"/>
          <w:kern w:val="0"/>
          <w:sz w:val="21"/>
          <w:szCs w:val="21"/>
        </w:rPr>
        <w:t>日期：年月日</w:t>
      </w:r>
    </w:p>
    <w:p>
      <w:pPr>
        <w:spacing w:line="440" w:lineRule="exact"/>
        <w:jc w:val="left"/>
        <w:rPr>
          <w:rFonts w:ascii="宋体" w:hAnsi="宋体"/>
          <w:snapToGrid w:val="0"/>
          <w:kern w:val="0"/>
          <w:sz w:val="21"/>
          <w:szCs w:val="21"/>
        </w:rPr>
      </w:pPr>
    </w:p>
    <w:p>
      <w:pPr>
        <w:spacing w:line="440" w:lineRule="exact"/>
        <w:jc w:val="left"/>
        <w:rPr>
          <w:rFonts w:ascii="宋体" w:hAnsi="宋体"/>
          <w:b/>
          <w:sz w:val="21"/>
          <w:szCs w:val="21"/>
        </w:rPr>
      </w:pPr>
      <w:r>
        <w:rPr>
          <w:rFonts w:hint="eastAsia" w:ascii="宋体" w:hAnsi="宋体"/>
          <w:b/>
          <w:sz w:val="21"/>
          <w:szCs w:val="21"/>
        </w:rPr>
        <w:t>备注：如果设备制造商针对投标有固定格式和特殊纸张的授权函，投标人可使用设备制造商的官方格式授权函（必须加盖制造商公章），但必须保证授权函的真实性，要能证明设备制造商支持投标人参加本次投标活动，并保证假如中标供货/</w:t>
      </w:r>
      <w:r>
        <w:rPr>
          <w:rFonts w:hint="eastAsia" w:ascii="宋体" w:hAnsi="宋体" w:cs="Arial"/>
          <w:b/>
          <w:kern w:val="44"/>
          <w:sz w:val="21"/>
          <w:szCs w:val="21"/>
        </w:rPr>
        <w:t>服务渠道合</w:t>
      </w:r>
      <w:r>
        <w:rPr>
          <w:rFonts w:hint="eastAsia" w:ascii="宋体" w:hAnsi="宋体"/>
          <w:b/>
          <w:sz w:val="21"/>
          <w:szCs w:val="21"/>
        </w:rPr>
        <w:t>法。</w:t>
      </w:r>
    </w:p>
    <w:p>
      <w:pPr>
        <w:spacing w:line="440" w:lineRule="exact"/>
        <w:jc w:val="left"/>
        <w:rPr>
          <w:rFonts w:ascii="宋体" w:hAnsi="宋体"/>
          <w:sz w:val="21"/>
          <w:szCs w:val="21"/>
        </w:rPr>
      </w:pPr>
    </w:p>
    <w:p>
      <w:pPr>
        <w:pStyle w:val="2"/>
        <w:keepNext w:val="0"/>
        <w:keepLines w:val="0"/>
        <w:widowControl/>
        <w:numPr>
          <w:ilvl w:val="1"/>
          <w:numId w:val="53"/>
        </w:numPr>
        <w:spacing w:before="0" w:after="0" w:line="440" w:lineRule="exact"/>
        <w:ind w:hanging="357"/>
        <w:jc w:val="center"/>
        <w:rPr>
          <w:rFonts w:ascii="宋体" w:hAnsi="宋体" w:eastAsia="宋体"/>
          <w:sz w:val="21"/>
          <w:szCs w:val="21"/>
        </w:rPr>
      </w:pPr>
      <w:r>
        <w:rPr>
          <w:rFonts w:ascii="宋体" w:hAnsi="宋体" w:eastAsia="宋体"/>
          <w:sz w:val="21"/>
          <w:szCs w:val="21"/>
        </w:rPr>
        <w:br w:type="page"/>
      </w:r>
      <w:bookmarkStart w:id="204" w:name="_Toc1985"/>
      <w:r>
        <w:rPr>
          <w:rFonts w:hint="eastAsia" w:ascii="宋体" w:hAnsi="宋体" w:eastAsia="宋体"/>
          <w:sz w:val="21"/>
          <w:szCs w:val="21"/>
        </w:rPr>
        <w:t>联合体共同投标协议书（如联合体投标，需提供）</w:t>
      </w:r>
      <w:bookmarkEnd w:id="204"/>
    </w:p>
    <w:p>
      <w:pPr>
        <w:spacing w:line="360" w:lineRule="auto"/>
        <w:ind w:firstLine="525" w:firstLineChars="250"/>
        <w:jc w:val="left"/>
        <w:rPr>
          <w:sz w:val="21"/>
          <w:szCs w:val="21"/>
        </w:rPr>
      </w:pPr>
      <w:r>
        <w:rPr>
          <w:rFonts w:hint="eastAsia" w:ascii="宋体" w:hAnsi="宋体"/>
          <w:sz w:val="21"/>
          <w:szCs w:val="21"/>
          <w:u w:val="single"/>
        </w:rPr>
        <w:t xml:space="preserve">（联合体各方名称）   </w:t>
      </w:r>
      <w:r>
        <w:rPr>
          <w:rFonts w:hint="eastAsia" w:ascii="宋体" w:hAnsi="宋体"/>
          <w:sz w:val="21"/>
          <w:szCs w:val="21"/>
        </w:rPr>
        <w:t>在</w:t>
      </w:r>
      <w:r>
        <w:rPr>
          <w:rFonts w:hint="eastAsia" w:ascii="宋体" w:hAnsi="宋体"/>
          <w:sz w:val="21"/>
          <w:szCs w:val="21"/>
          <w:u w:val="single"/>
        </w:rPr>
        <w:t>（项目名称）</w:t>
      </w:r>
      <w:r>
        <w:rPr>
          <w:rFonts w:hint="eastAsia" w:ascii="宋体" w:hAnsi="宋体"/>
          <w:sz w:val="21"/>
          <w:szCs w:val="21"/>
        </w:rPr>
        <w:t>（项目编号：）</w:t>
      </w:r>
      <w:r>
        <w:rPr>
          <w:rFonts w:hint="eastAsia"/>
          <w:sz w:val="21"/>
          <w:szCs w:val="21"/>
        </w:rPr>
        <w:t>中组成联合体，共同参加投标。就本项目有关事宜，经各方充分协商一致，达成如下协议：</w:t>
      </w:r>
    </w:p>
    <w:p>
      <w:pPr>
        <w:numPr>
          <w:ilvl w:val="0"/>
          <w:numId w:val="61"/>
        </w:numPr>
        <w:spacing w:line="360" w:lineRule="auto"/>
        <w:jc w:val="left"/>
        <w:rPr>
          <w:sz w:val="21"/>
          <w:szCs w:val="21"/>
        </w:rPr>
      </w:pPr>
      <w:r>
        <w:rPr>
          <w:rFonts w:hint="eastAsia"/>
          <w:sz w:val="21"/>
          <w:szCs w:val="21"/>
        </w:rPr>
        <w:t>由为本次投标联合体主体方，为协办方，组成联合体共同进行本项目的投标工作。</w:t>
      </w:r>
    </w:p>
    <w:p>
      <w:pPr>
        <w:numPr>
          <w:ilvl w:val="0"/>
          <w:numId w:val="61"/>
        </w:numPr>
        <w:spacing w:line="360" w:lineRule="auto"/>
        <w:jc w:val="left"/>
        <w:rPr>
          <w:sz w:val="21"/>
          <w:szCs w:val="21"/>
        </w:rPr>
      </w:pPr>
      <w:r>
        <w:rPr>
          <w:rFonts w:hint="eastAsia"/>
          <w:sz w:val="21"/>
          <w:szCs w:val="21"/>
        </w:rPr>
        <w:t>联合体以一个投标供应商的身份共同参加本项目的投标，中标后，联合体各方共同与采购人签订合同，就本项目对采购人承担连带责任。</w:t>
      </w:r>
    </w:p>
    <w:p>
      <w:pPr>
        <w:numPr>
          <w:ilvl w:val="0"/>
          <w:numId w:val="61"/>
        </w:numPr>
        <w:spacing w:line="360" w:lineRule="auto"/>
        <w:jc w:val="left"/>
        <w:rPr>
          <w:sz w:val="21"/>
          <w:szCs w:val="21"/>
        </w:rPr>
      </w:pPr>
      <w:r>
        <w:rPr>
          <w:rFonts w:hint="eastAsia"/>
          <w:sz w:val="21"/>
          <w:szCs w:val="21"/>
        </w:rPr>
        <w:t>联合体授权主体方负责本项目的一切组织、协调工作，主体方在投标、合同谈判过程中所签署的一切文件和处理的与本次投标有关的一切事务，联合体各方均予以承认并承担法律责任。</w:t>
      </w:r>
    </w:p>
    <w:p>
      <w:pPr>
        <w:numPr>
          <w:ilvl w:val="0"/>
          <w:numId w:val="61"/>
        </w:numPr>
        <w:spacing w:line="360" w:lineRule="auto"/>
        <w:jc w:val="left"/>
        <w:rPr>
          <w:sz w:val="21"/>
          <w:szCs w:val="21"/>
        </w:rPr>
      </w:pPr>
      <w:r>
        <w:rPr>
          <w:rFonts w:hint="eastAsia"/>
          <w:sz w:val="21"/>
          <w:szCs w:val="21"/>
        </w:rPr>
        <w:t>主体方负责工作，协办方负责</w:t>
      </w:r>
    </w:p>
    <w:p>
      <w:pPr>
        <w:spacing w:line="360" w:lineRule="auto"/>
        <w:ind w:firstLine="420" w:firstLineChars="200"/>
        <w:jc w:val="left"/>
        <w:rPr>
          <w:sz w:val="21"/>
          <w:szCs w:val="21"/>
        </w:rPr>
      </w:pPr>
      <w:r>
        <w:rPr>
          <w:rFonts w:hint="eastAsia"/>
          <w:sz w:val="21"/>
          <w:szCs w:val="21"/>
        </w:rPr>
        <w:t>工作。具体工作范围、工作内容以合同为准。</w:t>
      </w:r>
    </w:p>
    <w:p>
      <w:pPr>
        <w:numPr>
          <w:ilvl w:val="0"/>
          <w:numId w:val="61"/>
        </w:numPr>
        <w:spacing w:line="360" w:lineRule="auto"/>
        <w:jc w:val="left"/>
        <w:rPr>
          <w:sz w:val="21"/>
          <w:szCs w:val="21"/>
        </w:rPr>
      </w:pPr>
      <w:r>
        <w:rPr>
          <w:rFonts w:hint="eastAsia" w:ascii="宋体" w:hAnsi="宋体"/>
          <w:sz w:val="21"/>
          <w:szCs w:val="21"/>
        </w:rPr>
        <w:t>联合体成员</w:t>
      </w:r>
      <w:r>
        <w:rPr>
          <w:rFonts w:hint="eastAsia" w:ascii="宋体" w:hAnsi="宋体"/>
          <w:sz w:val="21"/>
          <w:szCs w:val="21"/>
          <w:u w:val="single"/>
        </w:rPr>
        <w:t>　        　</w:t>
      </w:r>
      <w:r>
        <w:rPr>
          <w:rFonts w:hint="eastAsia" w:ascii="宋体" w:hAnsi="宋体"/>
          <w:sz w:val="21"/>
          <w:szCs w:val="21"/>
        </w:rPr>
        <w:t>为</w:t>
      </w:r>
      <w:r>
        <w:rPr>
          <w:rFonts w:hint="eastAsia" w:ascii="宋体" w:hAnsi="宋体"/>
          <w:sz w:val="21"/>
          <w:szCs w:val="21"/>
          <w:u w:val="single"/>
        </w:rPr>
        <w:t>（请填写：小型、微型）</w:t>
      </w:r>
      <w:r>
        <w:rPr>
          <w:rFonts w:hint="eastAsia" w:ascii="宋体" w:hAnsi="宋体"/>
          <w:sz w:val="21"/>
          <w:szCs w:val="21"/>
        </w:rPr>
        <w:t>企业，将承担合同总金额</w:t>
      </w:r>
      <w:r>
        <w:rPr>
          <w:rFonts w:hint="eastAsia" w:ascii="宋体" w:hAnsi="宋体"/>
          <w:sz w:val="21"/>
          <w:szCs w:val="21"/>
          <w:u w:val="single"/>
        </w:rPr>
        <w:t>　　</w:t>
      </w:r>
      <w:r>
        <w:rPr>
          <w:rFonts w:hint="eastAsia" w:ascii="宋体" w:hAnsi="宋体"/>
          <w:sz w:val="21"/>
          <w:szCs w:val="21"/>
        </w:rPr>
        <w:t>%的工作内容</w:t>
      </w:r>
      <w:r>
        <w:rPr>
          <w:rFonts w:hint="eastAsia" w:ascii="宋体" w:hAnsi="宋体"/>
          <w:b/>
          <w:sz w:val="21"/>
          <w:szCs w:val="21"/>
        </w:rPr>
        <w:t>（联合体成员中有小型、微型企业时适用）</w:t>
      </w:r>
      <w:r>
        <w:rPr>
          <w:rFonts w:hint="eastAsia" w:ascii="宋体" w:hAnsi="宋体"/>
          <w:sz w:val="21"/>
          <w:szCs w:val="21"/>
        </w:rPr>
        <w:t>。</w:t>
      </w:r>
    </w:p>
    <w:p>
      <w:pPr>
        <w:numPr>
          <w:ilvl w:val="0"/>
          <w:numId w:val="61"/>
        </w:numPr>
        <w:spacing w:line="360" w:lineRule="auto"/>
        <w:jc w:val="left"/>
        <w:rPr>
          <w:sz w:val="21"/>
          <w:szCs w:val="21"/>
        </w:rPr>
      </w:pPr>
      <w:r>
        <w:rPr>
          <w:rFonts w:hint="eastAsia"/>
          <w:sz w:val="21"/>
          <w:szCs w:val="21"/>
        </w:rPr>
        <w:t>各方的责任、权利和义务的详细内容和规定在中标后经各方协商后报采购人同意另行签署协议或者合同。</w:t>
      </w:r>
    </w:p>
    <w:p>
      <w:pPr>
        <w:numPr>
          <w:ilvl w:val="0"/>
          <w:numId w:val="61"/>
        </w:numPr>
        <w:spacing w:line="360" w:lineRule="auto"/>
        <w:jc w:val="left"/>
        <w:rPr>
          <w:sz w:val="21"/>
          <w:szCs w:val="21"/>
        </w:rPr>
      </w:pPr>
      <w:r>
        <w:rPr>
          <w:rFonts w:hint="eastAsia"/>
          <w:sz w:val="21"/>
          <w:szCs w:val="21"/>
        </w:rPr>
        <w:t>联合体各方不得再以自己的名义在本项目中单独投标，联合体项目责任人不能作为其他联合体或单独投标单位的项目组成员。如因发生上述问题而导致联合体投标无效的，联合体其他成员可追究违约责任。</w:t>
      </w:r>
    </w:p>
    <w:p>
      <w:pPr>
        <w:numPr>
          <w:ilvl w:val="0"/>
          <w:numId w:val="61"/>
        </w:numPr>
        <w:spacing w:line="360" w:lineRule="auto"/>
        <w:jc w:val="left"/>
        <w:rPr>
          <w:sz w:val="21"/>
          <w:szCs w:val="21"/>
        </w:rPr>
      </w:pPr>
      <w:r>
        <w:rPr>
          <w:rFonts w:hint="eastAsia"/>
          <w:sz w:val="21"/>
          <w:szCs w:val="21"/>
        </w:rPr>
        <w:t>联合体如因违约过失责任而导致采购人经济损失或被索赔时，本联合体任何一方均同意无条件优先清偿采购人的一切债务和经济赔偿。</w:t>
      </w:r>
    </w:p>
    <w:p>
      <w:pPr>
        <w:numPr>
          <w:ilvl w:val="0"/>
          <w:numId w:val="61"/>
        </w:numPr>
        <w:spacing w:line="360" w:lineRule="auto"/>
        <w:jc w:val="left"/>
        <w:rPr>
          <w:sz w:val="21"/>
          <w:szCs w:val="21"/>
        </w:rPr>
      </w:pPr>
      <w:r>
        <w:rPr>
          <w:rFonts w:hint="eastAsia"/>
          <w:sz w:val="21"/>
          <w:szCs w:val="21"/>
        </w:rPr>
        <w:t>本协议在自签署之日起生效，有效期内有效，如获中标资格，合同有效期延续至合同履行完毕之日。如联合体未中标，本协议自动废止。</w:t>
      </w:r>
    </w:p>
    <w:p>
      <w:pPr>
        <w:tabs>
          <w:tab w:val="left" w:pos="5387"/>
        </w:tabs>
        <w:spacing w:line="400" w:lineRule="exact"/>
        <w:jc w:val="left"/>
        <w:rPr>
          <w:sz w:val="21"/>
          <w:szCs w:val="21"/>
        </w:rPr>
      </w:pPr>
      <w:r>
        <w:rPr>
          <w:rFonts w:hint="eastAsia"/>
          <w:sz w:val="21"/>
          <w:szCs w:val="21"/>
        </w:rPr>
        <w:t>主体方全称：（公章）</w:t>
      </w:r>
      <w:r>
        <w:rPr>
          <w:rFonts w:hint="eastAsia"/>
          <w:sz w:val="21"/>
          <w:szCs w:val="21"/>
        </w:rPr>
        <w:tab/>
      </w:r>
      <w:r>
        <w:rPr>
          <w:rFonts w:hint="eastAsia"/>
          <w:sz w:val="21"/>
          <w:szCs w:val="21"/>
        </w:rPr>
        <w:t>协办方全称：（公章）</w:t>
      </w:r>
    </w:p>
    <w:p>
      <w:pPr>
        <w:tabs>
          <w:tab w:val="left" w:pos="5387"/>
        </w:tabs>
        <w:spacing w:line="400" w:lineRule="exact"/>
        <w:jc w:val="left"/>
        <w:rPr>
          <w:sz w:val="21"/>
          <w:szCs w:val="21"/>
        </w:rPr>
      </w:pPr>
      <w:r>
        <w:rPr>
          <w:rFonts w:hint="eastAsia"/>
          <w:sz w:val="21"/>
          <w:szCs w:val="21"/>
        </w:rPr>
        <w:t>法定代表人姓名：（签名或印鉴）</w:t>
      </w:r>
      <w:r>
        <w:rPr>
          <w:rFonts w:hint="eastAsia"/>
          <w:sz w:val="21"/>
          <w:szCs w:val="21"/>
        </w:rPr>
        <w:tab/>
      </w:r>
      <w:r>
        <w:rPr>
          <w:rFonts w:hint="eastAsia"/>
          <w:sz w:val="21"/>
          <w:szCs w:val="21"/>
        </w:rPr>
        <w:t>法定代表人姓名：（签名或印鉴）</w:t>
      </w:r>
    </w:p>
    <w:p>
      <w:pPr>
        <w:tabs>
          <w:tab w:val="left" w:pos="5387"/>
        </w:tabs>
        <w:spacing w:line="400" w:lineRule="exact"/>
        <w:jc w:val="left"/>
        <w:rPr>
          <w:sz w:val="21"/>
          <w:szCs w:val="21"/>
        </w:rPr>
      </w:pPr>
      <w:r>
        <w:rPr>
          <w:rFonts w:hint="eastAsia"/>
          <w:sz w:val="21"/>
          <w:szCs w:val="21"/>
        </w:rPr>
        <w:t>地址：</w:t>
      </w:r>
      <w:r>
        <w:rPr>
          <w:rFonts w:hint="eastAsia"/>
          <w:sz w:val="21"/>
          <w:szCs w:val="21"/>
        </w:rPr>
        <w:tab/>
      </w:r>
      <w:r>
        <w:rPr>
          <w:rFonts w:hint="eastAsia"/>
          <w:sz w:val="21"/>
          <w:szCs w:val="21"/>
        </w:rPr>
        <w:t>地址：</w:t>
      </w:r>
    </w:p>
    <w:p>
      <w:pPr>
        <w:tabs>
          <w:tab w:val="left" w:pos="5387"/>
        </w:tabs>
        <w:spacing w:line="400" w:lineRule="exact"/>
        <w:jc w:val="left"/>
        <w:rPr>
          <w:sz w:val="21"/>
          <w:szCs w:val="21"/>
        </w:rPr>
      </w:pPr>
      <w:r>
        <w:rPr>
          <w:rFonts w:hint="eastAsia"/>
          <w:sz w:val="21"/>
          <w:szCs w:val="21"/>
        </w:rPr>
        <w:t>邮政编码：</w:t>
      </w:r>
      <w:r>
        <w:rPr>
          <w:rFonts w:hint="eastAsia"/>
          <w:sz w:val="21"/>
          <w:szCs w:val="21"/>
        </w:rPr>
        <w:tab/>
      </w:r>
      <w:r>
        <w:rPr>
          <w:rFonts w:hint="eastAsia"/>
          <w:sz w:val="21"/>
          <w:szCs w:val="21"/>
        </w:rPr>
        <w:t>邮政编码：</w:t>
      </w:r>
    </w:p>
    <w:p>
      <w:pPr>
        <w:tabs>
          <w:tab w:val="left" w:pos="5387"/>
        </w:tabs>
        <w:spacing w:line="400" w:lineRule="exact"/>
        <w:jc w:val="left"/>
        <w:rPr>
          <w:sz w:val="21"/>
          <w:szCs w:val="21"/>
        </w:rPr>
      </w:pPr>
      <w:r>
        <w:rPr>
          <w:rFonts w:hint="eastAsia"/>
          <w:sz w:val="21"/>
          <w:szCs w:val="21"/>
        </w:rPr>
        <w:t>联系电话：</w:t>
      </w:r>
      <w:r>
        <w:rPr>
          <w:rFonts w:hint="eastAsia"/>
          <w:sz w:val="21"/>
          <w:szCs w:val="21"/>
        </w:rPr>
        <w:tab/>
      </w:r>
      <w:r>
        <w:rPr>
          <w:rFonts w:hint="eastAsia"/>
          <w:sz w:val="21"/>
          <w:szCs w:val="21"/>
        </w:rPr>
        <w:t>联系电话：</w:t>
      </w:r>
    </w:p>
    <w:p>
      <w:pPr>
        <w:tabs>
          <w:tab w:val="left" w:pos="5387"/>
        </w:tabs>
        <w:spacing w:line="400" w:lineRule="exact"/>
        <w:jc w:val="left"/>
        <w:rPr>
          <w:sz w:val="21"/>
          <w:szCs w:val="21"/>
        </w:rPr>
      </w:pPr>
      <w:r>
        <w:rPr>
          <w:rFonts w:hint="eastAsia"/>
          <w:sz w:val="21"/>
          <w:szCs w:val="21"/>
        </w:rPr>
        <w:t>签署日期：</w:t>
      </w:r>
      <w:r>
        <w:rPr>
          <w:rFonts w:hint="eastAsia"/>
          <w:sz w:val="21"/>
          <w:szCs w:val="21"/>
        </w:rPr>
        <w:tab/>
      </w:r>
      <w:r>
        <w:rPr>
          <w:rFonts w:hint="eastAsia"/>
          <w:sz w:val="21"/>
          <w:szCs w:val="21"/>
        </w:rPr>
        <w:t>签署日期：</w:t>
      </w:r>
    </w:p>
    <w:p>
      <w:pPr>
        <w:jc w:val="left"/>
        <w:rPr>
          <w:sz w:val="21"/>
          <w:szCs w:val="21"/>
        </w:rPr>
      </w:pPr>
      <w:r>
        <w:rPr>
          <w:rFonts w:hint="eastAsia"/>
          <w:sz w:val="21"/>
          <w:szCs w:val="21"/>
        </w:rPr>
        <w:t>备注：联合体各方成员须在本协议上共同盖章和签署。</w:t>
      </w:r>
    </w:p>
    <w:p>
      <w:pPr>
        <w:pStyle w:val="55"/>
        <w:rPr>
          <w:lang w:val="en-US"/>
        </w:rPr>
      </w:pPr>
    </w:p>
    <w:p>
      <w:pPr>
        <w:pStyle w:val="55"/>
        <w:rPr>
          <w:lang w:val="en-US"/>
        </w:rPr>
      </w:pPr>
    </w:p>
    <w:p>
      <w:pPr>
        <w:pStyle w:val="2"/>
        <w:keepNext w:val="0"/>
        <w:keepLines w:val="0"/>
        <w:widowControl/>
        <w:spacing w:before="188" w:after="188" w:line="400" w:lineRule="exact"/>
        <w:jc w:val="center"/>
        <w:rPr>
          <w:rFonts w:ascii="宋体" w:hAnsi="宋体" w:eastAsia="宋体" w:cs="Times New Roman"/>
          <w:bCs/>
          <w:kern w:val="2"/>
        </w:rPr>
      </w:pPr>
      <w:bookmarkStart w:id="205" w:name="_Toc21535"/>
      <w:r>
        <w:rPr>
          <w:rFonts w:hint="eastAsia" w:ascii="宋体" w:hAnsi="宋体" w:eastAsia="宋体" w:cs="Times New Roman"/>
          <w:bCs/>
          <w:kern w:val="2"/>
        </w:rPr>
        <w:t>第五章 投标文件技术部分</w:t>
      </w:r>
      <w:bookmarkEnd w:id="205"/>
    </w:p>
    <w:p>
      <w:pPr>
        <w:rPr>
          <w:rFonts w:ascii="宋体" w:hAnsi="宋体"/>
          <w:b/>
          <w:bCs/>
          <w:sz w:val="28"/>
          <w:szCs w:val="28"/>
        </w:rPr>
      </w:pPr>
      <w:r>
        <w:rPr>
          <w:rFonts w:hint="eastAsia" w:ascii="宋体" w:hAnsi="宋体"/>
          <w:b/>
          <w:bCs/>
          <w:sz w:val="28"/>
          <w:szCs w:val="28"/>
        </w:rPr>
        <w:t>（格式自拟）</w:t>
      </w:r>
    </w:p>
    <w:p>
      <w:pPr>
        <w:spacing w:line="360" w:lineRule="auto"/>
        <w:rPr>
          <w:sz w:val="21"/>
          <w:szCs w:val="21"/>
        </w:rPr>
      </w:pPr>
      <w:r>
        <w:rPr>
          <w:rFonts w:hint="eastAsia"/>
          <w:sz w:val="21"/>
          <w:szCs w:val="21"/>
        </w:rPr>
        <w:t>建议包括以下内容：</w:t>
      </w:r>
    </w:p>
    <w:p>
      <w:pPr>
        <w:spacing w:line="360" w:lineRule="auto"/>
        <w:ind w:firstLine="420" w:firstLineChars="200"/>
        <w:rPr>
          <w:sz w:val="21"/>
          <w:szCs w:val="21"/>
        </w:rPr>
      </w:pPr>
      <w:r>
        <w:rPr>
          <w:rFonts w:hint="eastAsia"/>
          <w:sz w:val="21"/>
          <w:szCs w:val="21"/>
        </w:rPr>
        <w:t>对项目特点的认识和理解；</w:t>
      </w:r>
    </w:p>
    <w:p>
      <w:pPr>
        <w:spacing w:line="360" w:lineRule="auto"/>
        <w:ind w:firstLine="420" w:firstLineChars="200"/>
        <w:rPr>
          <w:sz w:val="21"/>
          <w:szCs w:val="21"/>
        </w:rPr>
      </w:pPr>
      <w:r>
        <w:rPr>
          <w:rFonts w:hint="eastAsia"/>
          <w:sz w:val="21"/>
          <w:szCs w:val="21"/>
        </w:rPr>
        <w:t>招标项目重点、难点分析；</w:t>
      </w:r>
    </w:p>
    <w:p>
      <w:pPr>
        <w:spacing w:line="360" w:lineRule="auto"/>
        <w:ind w:firstLine="420" w:firstLineChars="200"/>
        <w:rPr>
          <w:sz w:val="21"/>
          <w:szCs w:val="21"/>
        </w:rPr>
      </w:pPr>
      <w:r>
        <w:rPr>
          <w:rFonts w:hint="eastAsia"/>
          <w:sz w:val="21"/>
          <w:szCs w:val="21"/>
        </w:rPr>
        <w:t>项目实施服务方案；</w:t>
      </w:r>
    </w:p>
    <w:p>
      <w:pPr>
        <w:spacing w:line="360" w:lineRule="auto"/>
        <w:ind w:firstLine="420" w:firstLineChars="200"/>
        <w:rPr>
          <w:sz w:val="21"/>
          <w:szCs w:val="21"/>
        </w:rPr>
      </w:pPr>
      <w:r>
        <w:rPr>
          <w:rFonts w:hint="eastAsia"/>
          <w:sz w:val="21"/>
          <w:szCs w:val="21"/>
        </w:rPr>
        <w:t>进度计划安排及保证进度的承诺；</w:t>
      </w:r>
    </w:p>
    <w:p>
      <w:pPr>
        <w:spacing w:line="360" w:lineRule="auto"/>
        <w:ind w:firstLine="420" w:firstLineChars="200"/>
        <w:rPr>
          <w:sz w:val="21"/>
          <w:szCs w:val="21"/>
        </w:rPr>
      </w:pPr>
      <w:r>
        <w:rPr>
          <w:rFonts w:hint="eastAsia"/>
          <w:sz w:val="21"/>
          <w:szCs w:val="21"/>
        </w:rPr>
        <w:t>保证服务质量的措施、出现异常情况下的补救措施及服务承诺；</w:t>
      </w:r>
    </w:p>
    <w:p>
      <w:pPr>
        <w:spacing w:line="360" w:lineRule="auto"/>
        <w:ind w:firstLine="420" w:firstLineChars="200"/>
        <w:rPr>
          <w:sz w:val="21"/>
          <w:szCs w:val="21"/>
        </w:rPr>
      </w:pPr>
      <w:r>
        <w:rPr>
          <w:rFonts w:hint="eastAsia"/>
          <w:sz w:val="21"/>
          <w:szCs w:val="21"/>
        </w:rPr>
        <w:t>投标人认为必要的其他技术资料。</w:t>
      </w:r>
    </w:p>
    <w:p/>
    <w:p/>
    <w:p/>
    <w:p/>
    <w:p/>
    <w:p/>
    <w:p/>
    <w:p>
      <w:pPr>
        <w:spacing w:line="360" w:lineRule="auto"/>
        <w:jc w:val="left"/>
        <w:rPr>
          <w:b/>
          <w:sz w:val="21"/>
          <w:szCs w:val="21"/>
          <w:lang w:val="en-GB"/>
        </w:rPr>
      </w:pPr>
      <w:r>
        <w:rPr>
          <w:rFonts w:ascii="宋体" w:hAnsi="宋体"/>
          <w:b/>
          <w:bCs/>
          <w:sz w:val="28"/>
          <w:szCs w:val="28"/>
        </w:rPr>
        <w:br w:type="page"/>
      </w:r>
      <w:r>
        <w:rPr>
          <w:rFonts w:hint="eastAsia"/>
          <w:b/>
          <w:sz w:val="21"/>
          <w:szCs w:val="21"/>
          <w:lang w:val="en-GB"/>
        </w:rPr>
        <w:t>附件：政府采购履约担保函（投标时无需提供）</w:t>
      </w:r>
    </w:p>
    <w:p>
      <w:pPr>
        <w:spacing w:line="360" w:lineRule="auto"/>
        <w:jc w:val="center"/>
        <w:rPr>
          <w:rFonts w:ascii="宋体" w:hAnsi="宋体"/>
          <w:b/>
          <w:bCs/>
          <w:sz w:val="21"/>
          <w:szCs w:val="21"/>
        </w:rPr>
      </w:pPr>
      <w:r>
        <w:rPr>
          <w:rFonts w:hint="eastAsia" w:ascii="宋体" w:hAnsi="宋体"/>
          <w:b/>
          <w:bCs/>
          <w:sz w:val="21"/>
          <w:szCs w:val="21"/>
        </w:rPr>
        <w:t>政府采购履约担保函</w:t>
      </w:r>
    </w:p>
    <w:p>
      <w:pPr>
        <w:spacing w:line="360" w:lineRule="auto"/>
        <w:jc w:val="left"/>
        <w:rPr>
          <w:sz w:val="21"/>
          <w:szCs w:val="21"/>
        </w:rPr>
      </w:pPr>
      <w:r>
        <w:rPr>
          <w:rFonts w:hint="eastAsia"/>
          <w:sz w:val="21"/>
          <w:szCs w:val="21"/>
        </w:rPr>
        <w:t>编号：</w:t>
      </w:r>
    </w:p>
    <w:p>
      <w:pPr>
        <w:spacing w:line="360" w:lineRule="auto"/>
        <w:jc w:val="left"/>
        <w:rPr>
          <w:sz w:val="21"/>
          <w:szCs w:val="21"/>
        </w:rPr>
      </w:pPr>
      <w:r>
        <w:rPr>
          <w:rFonts w:hint="eastAsia"/>
          <w:sz w:val="21"/>
          <w:szCs w:val="21"/>
        </w:rPr>
        <w:t>（采购人）：</w:t>
      </w:r>
    </w:p>
    <w:p>
      <w:pPr>
        <w:spacing w:line="360" w:lineRule="auto"/>
        <w:ind w:firstLine="420" w:firstLineChars="200"/>
        <w:jc w:val="left"/>
        <w:rPr>
          <w:sz w:val="21"/>
          <w:szCs w:val="21"/>
        </w:rPr>
      </w:pPr>
      <w:r>
        <w:rPr>
          <w:rFonts w:hint="eastAsia"/>
          <w:sz w:val="21"/>
          <w:szCs w:val="21"/>
        </w:rPr>
        <w:t>鉴于你方与（以下简称供应商）于年月日签定编号为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pPr>
        <w:spacing w:line="360" w:lineRule="auto"/>
        <w:ind w:firstLine="420" w:firstLineChars="200"/>
        <w:jc w:val="left"/>
        <w:rPr>
          <w:sz w:val="21"/>
          <w:szCs w:val="21"/>
        </w:rPr>
      </w:pPr>
      <w:r>
        <w:rPr>
          <w:rFonts w:hint="eastAsia"/>
          <w:sz w:val="21"/>
          <w:szCs w:val="21"/>
        </w:rPr>
        <w:t>一、保证责任的情形及保证金额</w:t>
      </w:r>
    </w:p>
    <w:p>
      <w:pPr>
        <w:spacing w:line="360" w:lineRule="auto"/>
        <w:ind w:firstLine="420" w:firstLineChars="200"/>
        <w:jc w:val="left"/>
        <w:rPr>
          <w:sz w:val="21"/>
          <w:szCs w:val="21"/>
        </w:rPr>
      </w:pPr>
      <w:r>
        <w:rPr>
          <w:rFonts w:hint="eastAsia"/>
          <w:sz w:val="21"/>
          <w:szCs w:val="21"/>
        </w:rPr>
        <w:t>（一）在供应商出现下列情形之一时，我方承担保证责任：</w:t>
      </w:r>
    </w:p>
    <w:p>
      <w:pPr>
        <w:spacing w:line="360" w:lineRule="auto"/>
        <w:ind w:firstLine="420" w:firstLineChars="200"/>
        <w:jc w:val="left"/>
        <w:rPr>
          <w:sz w:val="21"/>
          <w:szCs w:val="21"/>
        </w:rPr>
      </w:pPr>
      <w:r>
        <w:rPr>
          <w:rFonts w:hint="eastAsia"/>
          <w:sz w:val="21"/>
          <w:szCs w:val="21"/>
        </w:rPr>
        <w:t>1．将中标项目转让给他人，或者在投标文件中未说明，且未经采购招标机构人同意，将中标项目分包给他人的；</w:t>
      </w:r>
    </w:p>
    <w:p>
      <w:pPr>
        <w:spacing w:line="360" w:lineRule="auto"/>
        <w:jc w:val="left"/>
        <w:rPr>
          <w:sz w:val="21"/>
          <w:szCs w:val="21"/>
        </w:rPr>
      </w:pPr>
      <w:r>
        <w:rPr>
          <w:rFonts w:hint="eastAsia"/>
          <w:sz w:val="21"/>
          <w:szCs w:val="21"/>
        </w:rPr>
        <w:t>2．主合同约定的应当缴纳履约保证金的情形:</w:t>
      </w:r>
    </w:p>
    <w:p>
      <w:pPr>
        <w:spacing w:line="360" w:lineRule="auto"/>
        <w:ind w:firstLine="420" w:firstLineChars="200"/>
        <w:jc w:val="left"/>
        <w:rPr>
          <w:sz w:val="21"/>
          <w:szCs w:val="21"/>
        </w:rPr>
      </w:pPr>
      <w:r>
        <w:rPr>
          <w:rFonts w:hint="eastAsia"/>
          <w:sz w:val="21"/>
          <w:szCs w:val="21"/>
        </w:rPr>
        <w:t>（1）未按主合同约定的质量、数量和期限供应货物/提供服务/完成工程的；</w:t>
      </w:r>
    </w:p>
    <w:p>
      <w:pPr>
        <w:spacing w:line="360" w:lineRule="auto"/>
        <w:ind w:firstLine="420" w:firstLineChars="200"/>
        <w:jc w:val="left"/>
        <w:rPr>
          <w:sz w:val="21"/>
          <w:szCs w:val="21"/>
        </w:rPr>
      </w:pPr>
      <w:r>
        <w:rPr>
          <w:rFonts w:hint="eastAsia"/>
          <w:sz w:val="21"/>
          <w:szCs w:val="21"/>
        </w:rPr>
        <w:t>（2）。</w:t>
      </w:r>
    </w:p>
    <w:p>
      <w:pPr>
        <w:spacing w:line="360" w:lineRule="auto"/>
        <w:ind w:firstLine="420" w:firstLineChars="200"/>
        <w:jc w:val="left"/>
        <w:rPr>
          <w:sz w:val="21"/>
          <w:szCs w:val="21"/>
        </w:rPr>
      </w:pPr>
      <w:r>
        <w:rPr>
          <w:rFonts w:hint="eastAsia"/>
          <w:sz w:val="21"/>
          <w:szCs w:val="21"/>
        </w:rPr>
        <w:t>（二）我方的保证范围是主合同约定的合同价款总额的%数额为元（大写），币种为。（即主合同履约保证金金额）</w:t>
      </w:r>
    </w:p>
    <w:p>
      <w:pPr>
        <w:spacing w:line="360" w:lineRule="auto"/>
        <w:ind w:firstLine="420" w:firstLineChars="200"/>
        <w:jc w:val="left"/>
        <w:rPr>
          <w:sz w:val="21"/>
          <w:szCs w:val="21"/>
        </w:rPr>
      </w:pPr>
      <w:r>
        <w:rPr>
          <w:rFonts w:hint="eastAsia"/>
          <w:sz w:val="21"/>
          <w:szCs w:val="21"/>
        </w:rPr>
        <w:t>二、保证的方式及保证期间</w:t>
      </w:r>
    </w:p>
    <w:p>
      <w:pPr>
        <w:spacing w:line="360" w:lineRule="auto"/>
        <w:ind w:firstLine="420" w:firstLineChars="200"/>
        <w:jc w:val="left"/>
        <w:rPr>
          <w:sz w:val="21"/>
          <w:szCs w:val="21"/>
        </w:rPr>
      </w:pPr>
      <w:r>
        <w:rPr>
          <w:rFonts w:hint="eastAsia"/>
          <w:sz w:val="21"/>
          <w:szCs w:val="21"/>
        </w:rPr>
        <w:t>我方保证的方式为：连带责任保证。</w:t>
      </w:r>
    </w:p>
    <w:p>
      <w:pPr>
        <w:spacing w:line="360" w:lineRule="auto"/>
        <w:ind w:firstLine="420" w:firstLineChars="200"/>
        <w:jc w:val="left"/>
        <w:rPr>
          <w:sz w:val="21"/>
          <w:szCs w:val="21"/>
        </w:rPr>
      </w:pPr>
      <w:r>
        <w:rPr>
          <w:rFonts w:hint="eastAsia"/>
          <w:sz w:val="21"/>
          <w:szCs w:val="21"/>
        </w:rPr>
        <w:t>我方保证的期间为：自本合同生效之日起至供应商按照主合同约定的供货/完工期限届满后日内。</w:t>
      </w:r>
    </w:p>
    <w:p>
      <w:pPr>
        <w:spacing w:line="360" w:lineRule="auto"/>
        <w:ind w:firstLine="420" w:firstLineChars="200"/>
        <w:jc w:val="left"/>
        <w:rPr>
          <w:sz w:val="21"/>
          <w:szCs w:val="21"/>
        </w:rPr>
      </w:pPr>
      <w:r>
        <w:rPr>
          <w:rFonts w:hint="eastAsia"/>
          <w:sz w:val="21"/>
          <w:szCs w:val="21"/>
        </w:rPr>
        <w:t>如果供应商未按主合同约定向贵方供应货物/提供服务/完成工程的，由我方在保证金额内向你方支付上述款项。</w:t>
      </w:r>
    </w:p>
    <w:p>
      <w:pPr>
        <w:spacing w:line="360" w:lineRule="auto"/>
        <w:ind w:firstLine="420" w:firstLineChars="200"/>
        <w:jc w:val="left"/>
        <w:rPr>
          <w:sz w:val="21"/>
          <w:szCs w:val="21"/>
        </w:rPr>
      </w:pPr>
      <w:r>
        <w:rPr>
          <w:rFonts w:hint="eastAsia"/>
          <w:sz w:val="21"/>
          <w:szCs w:val="21"/>
        </w:rPr>
        <w:t>三、承担保证责任的程序</w:t>
      </w:r>
    </w:p>
    <w:p>
      <w:pPr>
        <w:spacing w:line="360" w:lineRule="auto"/>
        <w:ind w:firstLine="420" w:firstLineChars="200"/>
        <w:jc w:val="left"/>
        <w:rPr>
          <w:sz w:val="21"/>
          <w:szCs w:val="21"/>
        </w:rPr>
      </w:pPr>
      <w:r>
        <w:rPr>
          <w:rFonts w:hint="eastAsia"/>
          <w:sz w:val="21"/>
          <w:szCs w:val="21"/>
        </w:rPr>
        <w:t>1．你方要求我方承担保证责任的，应在本保函保证期间内向我方发出书面索赔通知。索赔通知应写明要求索赔的金额，支付款项应到达的帐号。并附有证明供应商违约事实的证明材料。</w:t>
      </w:r>
    </w:p>
    <w:p>
      <w:pPr>
        <w:spacing w:line="360" w:lineRule="auto"/>
        <w:ind w:firstLine="420" w:firstLineChars="200"/>
        <w:jc w:val="left"/>
        <w:rPr>
          <w:sz w:val="21"/>
          <w:szCs w:val="21"/>
        </w:rPr>
      </w:pPr>
      <w:r>
        <w:rPr>
          <w:rFonts w:hint="eastAsia"/>
          <w:sz w:val="21"/>
          <w:szCs w:val="21"/>
        </w:rPr>
        <w:t>如果你方与供应商因货物质量问题产生争议，你方还需同时提供部门出具的质量检测报告，或经诉讼（仲裁）程序裁决后的裁决书、调解书，本保证人即按照检测结果或裁决书、调解书决定是否承担保证责任。</w:t>
      </w:r>
    </w:p>
    <w:p>
      <w:pPr>
        <w:spacing w:line="360" w:lineRule="auto"/>
        <w:ind w:firstLine="420" w:firstLineChars="200"/>
        <w:jc w:val="left"/>
        <w:rPr>
          <w:sz w:val="21"/>
          <w:szCs w:val="21"/>
        </w:rPr>
      </w:pPr>
      <w:r>
        <w:rPr>
          <w:rFonts w:hint="eastAsia"/>
          <w:sz w:val="21"/>
          <w:szCs w:val="21"/>
        </w:rPr>
        <w:t>2．我方收到你方的书面索赔通知及相应证明材料，在工作日内进行核定后按照本保函的承诺承担保证责任。</w:t>
      </w:r>
    </w:p>
    <w:p>
      <w:pPr>
        <w:spacing w:line="360" w:lineRule="auto"/>
        <w:ind w:firstLine="420" w:firstLineChars="200"/>
        <w:jc w:val="left"/>
        <w:rPr>
          <w:sz w:val="21"/>
          <w:szCs w:val="21"/>
        </w:rPr>
      </w:pPr>
      <w:r>
        <w:rPr>
          <w:rFonts w:hint="eastAsia"/>
          <w:sz w:val="21"/>
          <w:szCs w:val="21"/>
        </w:rPr>
        <w:t>四、保证责任的终止</w:t>
      </w:r>
    </w:p>
    <w:p>
      <w:pPr>
        <w:spacing w:line="360" w:lineRule="auto"/>
        <w:ind w:firstLine="420" w:firstLineChars="200"/>
        <w:jc w:val="left"/>
        <w:rPr>
          <w:sz w:val="21"/>
          <w:szCs w:val="21"/>
        </w:rPr>
      </w:pPr>
      <w:r>
        <w:rPr>
          <w:rFonts w:hint="eastAsia"/>
          <w:sz w:val="21"/>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20" w:firstLineChars="200"/>
        <w:jc w:val="left"/>
        <w:rPr>
          <w:sz w:val="21"/>
          <w:szCs w:val="21"/>
        </w:rPr>
      </w:pPr>
      <w:r>
        <w:rPr>
          <w:rFonts w:hint="eastAsia"/>
          <w:sz w:val="21"/>
          <w:szCs w:val="21"/>
        </w:rPr>
        <w:t>2．我方按照本保函向你方履行了保证责任后，自我方向你方支付款项（支付款项从我方账户划出）之日起，保证责任即终止。</w:t>
      </w:r>
    </w:p>
    <w:p>
      <w:pPr>
        <w:spacing w:line="360" w:lineRule="auto"/>
        <w:ind w:firstLine="420" w:firstLineChars="200"/>
        <w:jc w:val="left"/>
        <w:rPr>
          <w:sz w:val="21"/>
          <w:szCs w:val="21"/>
        </w:rPr>
      </w:pPr>
      <w:r>
        <w:rPr>
          <w:rFonts w:hint="eastAsia"/>
          <w:sz w:val="21"/>
          <w:szCs w:val="21"/>
        </w:rPr>
        <w:t>3．按照法律法规的规定或出现应终止我方保证责任的其它情形的，我方在本保函项下的保证责任亦终止。</w:t>
      </w:r>
    </w:p>
    <w:p>
      <w:pPr>
        <w:spacing w:line="360" w:lineRule="auto"/>
        <w:ind w:firstLine="420" w:firstLineChars="200"/>
        <w:jc w:val="left"/>
        <w:rPr>
          <w:sz w:val="21"/>
          <w:szCs w:val="21"/>
        </w:rPr>
      </w:pPr>
      <w:r>
        <w:rPr>
          <w:rFonts w:hint="eastAsia"/>
          <w:sz w:val="21"/>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360" w:lineRule="auto"/>
        <w:ind w:firstLine="420" w:firstLineChars="200"/>
        <w:jc w:val="left"/>
        <w:rPr>
          <w:sz w:val="21"/>
          <w:szCs w:val="21"/>
        </w:rPr>
      </w:pPr>
      <w:r>
        <w:rPr>
          <w:rFonts w:hint="eastAsia"/>
          <w:sz w:val="21"/>
          <w:szCs w:val="21"/>
        </w:rPr>
        <w:t>五、免责条款</w:t>
      </w:r>
    </w:p>
    <w:p>
      <w:pPr>
        <w:spacing w:line="360" w:lineRule="auto"/>
        <w:ind w:firstLine="420" w:firstLineChars="200"/>
        <w:jc w:val="left"/>
        <w:rPr>
          <w:sz w:val="21"/>
          <w:szCs w:val="21"/>
        </w:rPr>
      </w:pPr>
      <w:r>
        <w:rPr>
          <w:rFonts w:hint="eastAsia"/>
          <w:sz w:val="21"/>
          <w:szCs w:val="21"/>
        </w:rPr>
        <w:t>1．因你方违反主合同约定致使供应商不能履行义务的，我方不承担保证责任。</w:t>
      </w:r>
    </w:p>
    <w:p>
      <w:pPr>
        <w:spacing w:line="360" w:lineRule="auto"/>
        <w:ind w:firstLine="420" w:firstLineChars="200"/>
        <w:jc w:val="left"/>
        <w:rPr>
          <w:sz w:val="21"/>
          <w:szCs w:val="21"/>
        </w:rPr>
      </w:pPr>
      <w:r>
        <w:rPr>
          <w:rFonts w:hint="eastAsia"/>
          <w:sz w:val="21"/>
          <w:szCs w:val="21"/>
        </w:rPr>
        <w:t>2．依照法律法规的规定或你方与供应商的另行约定，全部或者部分免除供应商应缴纳的保证金义务的，我方亦免除相应的保证责任。</w:t>
      </w:r>
    </w:p>
    <w:p>
      <w:pPr>
        <w:spacing w:line="360" w:lineRule="auto"/>
        <w:ind w:firstLine="420" w:firstLineChars="200"/>
        <w:jc w:val="left"/>
        <w:rPr>
          <w:sz w:val="21"/>
          <w:szCs w:val="21"/>
        </w:rPr>
      </w:pPr>
      <w:r>
        <w:rPr>
          <w:rFonts w:hint="eastAsia"/>
          <w:sz w:val="21"/>
          <w:szCs w:val="21"/>
        </w:rPr>
        <w:t>3．因不可抗力造成供应商不能履行供货义务的，我方不承担保证责任。</w:t>
      </w:r>
    </w:p>
    <w:p>
      <w:pPr>
        <w:spacing w:line="360" w:lineRule="auto"/>
        <w:ind w:firstLine="420" w:firstLineChars="200"/>
        <w:jc w:val="left"/>
        <w:rPr>
          <w:sz w:val="21"/>
          <w:szCs w:val="21"/>
        </w:rPr>
      </w:pPr>
      <w:r>
        <w:rPr>
          <w:rFonts w:hint="eastAsia"/>
          <w:sz w:val="21"/>
          <w:szCs w:val="21"/>
        </w:rPr>
        <w:t>六、争议的解决</w:t>
      </w:r>
    </w:p>
    <w:p>
      <w:pPr>
        <w:spacing w:line="360" w:lineRule="auto"/>
        <w:ind w:firstLine="420" w:firstLineChars="200"/>
        <w:jc w:val="left"/>
        <w:rPr>
          <w:sz w:val="21"/>
          <w:szCs w:val="21"/>
        </w:rPr>
      </w:pPr>
      <w:r>
        <w:rPr>
          <w:rFonts w:hint="eastAsia"/>
          <w:sz w:val="21"/>
          <w:szCs w:val="21"/>
        </w:rPr>
        <w:t>因本保函发生的纠纷，由你我双方协商解决，协商不成的，通过诉讼程序解决，诉讼管辖地法院为法院。</w:t>
      </w:r>
    </w:p>
    <w:p>
      <w:pPr>
        <w:spacing w:line="360" w:lineRule="auto"/>
        <w:ind w:firstLine="420" w:firstLineChars="200"/>
        <w:jc w:val="left"/>
        <w:rPr>
          <w:sz w:val="21"/>
          <w:szCs w:val="21"/>
        </w:rPr>
      </w:pPr>
      <w:r>
        <w:rPr>
          <w:rFonts w:hint="eastAsia"/>
          <w:sz w:val="21"/>
          <w:szCs w:val="21"/>
        </w:rPr>
        <w:t>七、保函的生效</w:t>
      </w:r>
    </w:p>
    <w:p>
      <w:pPr>
        <w:spacing w:line="360" w:lineRule="auto"/>
        <w:ind w:firstLine="420" w:firstLineChars="200"/>
        <w:jc w:val="left"/>
        <w:rPr>
          <w:sz w:val="21"/>
          <w:szCs w:val="21"/>
        </w:rPr>
      </w:pPr>
      <w:r>
        <w:rPr>
          <w:rFonts w:hint="eastAsia"/>
          <w:sz w:val="21"/>
          <w:szCs w:val="21"/>
        </w:rPr>
        <w:t>本保函自我方加盖公章之日起生效。</w:t>
      </w:r>
    </w:p>
    <w:p>
      <w:pPr>
        <w:spacing w:line="360" w:lineRule="auto"/>
        <w:jc w:val="left"/>
        <w:rPr>
          <w:sz w:val="21"/>
          <w:szCs w:val="21"/>
        </w:rPr>
      </w:pPr>
    </w:p>
    <w:p>
      <w:pPr>
        <w:spacing w:line="360" w:lineRule="auto"/>
        <w:jc w:val="left"/>
        <w:rPr>
          <w:sz w:val="21"/>
          <w:szCs w:val="21"/>
        </w:rPr>
      </w:pPr>
    </w:p>
    <w:p>
      <w:pPr>
        <w:spacing w:line="360" w:lineRule="auto"/>
        <w:ind w:firstLine="6090" w:firstLineChars="2900"/>
        <w:jc w:val="left"/>
        <w:rPr>
          <w:sz w:val="21"/>
          <w:szCs w:val="21"/>
        </w:rPr>
      </w:pPr>
      <w:r>
        <w:rPr>
          <w:rFonts w:hint="eastAsia"/>
          <w:sz w:val="21"/>
          <w:szCs w:val="21"/>
        </w:rPr>
        <w:t>保证人：（公章）</w:t>
      </w:r>
    </w:p>
    <w:p>
      <w:pPr>
        <w:spacing w:line="360" w:lineRule="auto"/>
        <w:jc w:val="left"/>
        <w:rPr>
          <w:sz w:val="21"/>
          <w:szCs w:val="21"/>
        </w:rPr>
      </w:pPr>
    </w:p>
    <w:p>
      <w:pPr>
        <w:spacing w:line="360" w:lineRule="auto"/>
        <w:ind w:firstLine="420" w:firstLineChars="200"/>
        <w:jc w:val="right"/>
        <w:rPr>
          <w:sz w:val="21"/>
          <w:szCs w:val="21"/>
        </w:rPr>
      </w:pPr>
      <w:r>
        <w:rPr>
          <w:rFonts w:hint="eastAsia"/>
          <w:sz w:val="21"/>
          <w:szCs w:val="21"/>
        </w:rPr>
        <w:t>年月日</w:t>
      </w:r>
    </w:p>
    <w:p>
      <w:pPr>
        <w:spacing w:line="360" w:lineRule="auto"/>
        <w:ind w:firstLine="420" w:firstLineChars="200"/>
        <w:jc w:val="left"/>
        <w:rPr>
          <w:sz w:val="21"/>
          <w:szCs w:val="21"/>
        </w:rPr>
      </w:pPr>
    </w:p>
    <w:p>
      <w:pPr>
        <w:spacing w:line="360" w:lineRule="auto"/>
        <w:ind w:firstLine="420" w:firstLineChars="200"/>
        <w:jc w:val="left"/>
        <w:rPr>
          <w:sz w:val="21"/>
          <w:szCs w:val="21"/>
        </w:rPr>
      </w:pPr>
    </w:p>
    <w:p>
      <w:pPr>
        <w:pStyle w:val="3"/>
        <w:spacing w:line="400" w:lineRule="exact"/>
        <w:jc w:val="center"/>
        <w:rPr>
          <w:rFonts w:ascii="宋体" w:hAnsi="宋体"/>
          <w:b/>
          <w:bCs/>
          <w:sz w:val="32"/>
          <w:szCs w:val="32"/>
        </w:rPr>
      </w:pPr>
      <w:bookmarkStart w:id="206" w:name="_Toc3925"/>
      <w:r>
        <w:rPr>
          <w:rFonts w:hint="eastAsia" w:ascii="宋体" w:hAnsi="宋体"/>
          <w:b/>
          <w:bCs/>
          <w:sz w:val="32"/>
          <w:szCs w:val="32"/>
        </w:rPr>
        <w:t>第六部分 价格部分格式</w:t>
      </w:r>
      <w:bookmarkEnd w:id="206"/>
    </w:p>
    <w:p>
      <w:pPr>
        <w:jc w:val="center"/>
        <w:rPr>
          <w:b/>
          <w:sz w:val="36"/>
          <w:szCs w:val="36"/>
        </w:rPr>
      </w:pPr>
      <w:r>
        <w:rPr>
          <w:rFonts w:hint="eastAsia"/>
          <w:b/>
          <w:sz w:val="36"/>
          <w:szCs w:val="36"/>
        </w:rPr>
        <w:t>（封面）</w:t>
      </w:r>
    </w:p>
    <w:p>
      <w:pPr>
        <w:jc w:val="left"/>
        <w:rPr>
          <w:b/>
          <w:sz w:val="21"/>
          <w:szCs w:val="21"/>
        </w:rPr>
      </w:pPr>
    </w:p>
    <w:p>
      <w:pPr>
        <w:jc w:val="center"/>
        <w:rPr>
          <w:b/>
          <w:sz w:val="52"/>
          <w:szCs w:val="52"/>
        </w:rPr>
      </w:pPr>
    </w:p>
    <w:p>
      <w:pPr>
        <w:jc w:val="center"/>
        <w:rPr>
          <w:rFonts w:hint="eastAsia" w:eastAsia="宋体"/>
          <w:b/>
          <w:sz w:val="52"/>
          <w:szCs w:val="52"/>
          <w:lang w:eastAsia="zh-CN"/>
        </w:rPr>
      </w:pPr>
      <w:r>
        <w:rPr>
          <w:rFonts w:hint="eastAsia"/>
          <w:b/>
          <w:sz w:val="52"/>
          <w:szCs w:val="52"/>
        </w:rPr>
        <w:t>气相色谱-质谱联用仪离子色谱仪</w:t>
      </w:r>
      <w:r>
        <w:rPr>
          <w:rFonts w:hint="eastAsia"/>
          <w:b/>
          <w:sz w:val="52"/>
          <w:szCs w:val="52"/>
          <w:lang w:eastAsia="zh-CN"/>
        </w:rPr>
        <w:t>等仪器设备采购(重新采购)</w:t>
      </w:r>
    </w:p>
    <w:p>
      <w:pPr>
        <w:pStyle w:val="55"/>
      </w:pPr>
    </w:p>
    <w:p>
      <w:pPr>
        <w:jc w:val="center"/>
        <w:rPr>
          <w:b/>
          <w:sz w:val="52"/>
          <w:szCs w:val="52"/>
        </w:rPr>
      </w:pPr>
      <w:r>
        <w:rPr>
          <w:rFonts w:hint="eastAsia"/>
          <w:b/>
          <w:sz w:val="52"/>
          <w:szCs w:val="52"/>
        </w:rPr>
        <w:t>价格标</w:t>
      </w:r>
    </w:p>
    <w:p>
      <w:pPr>
        <w:jc w:val="left"/>
        <w:rPr>
          <w:sz w:val="21"/>
          <w:szCs w:val="21"/>
        </w:rPr>
      </w:pPr>
    </w:p>
    <w:p>
      <w:pPr>
        <w:jc w:val="left"/>
        <w:rPr>
          <w:sz w:val="21"/>
          <w:szCs w:val="21"/>
        </w:rPr>
      </w:pPr>
    </w:p>
    <w:p>
      <w:pPr>
        <w:jc w:val="left"/>
        <w:rPr>
          <w:sz w:val="21"/>
          <w:szCs w:val="21"/>
        </w:rPr>
      </w:pPr>
    </w:p>
    <w:p>
      <w:pPr>
        <w:jc w:val="left"/>
        <w:rPr>
          <w:sz w:val="21"/>
          <w:szCs w:val="21"/>
        </w:rPr>
      </w:pPr>
    </w:p>
    <w:p>
      <w:pPr>
        <w:jc w:val="left"/>
        <w:rPr>
          <w:sz w:val="21"/>
          <w:szCs w:val="21"/>
        </w:rPr>
      </w:pPr>
    </w:p>
    <w:p>
      <w:pPr>
        <w:jc w:val="left"/>
        <w:rPr>
          <w:sz w:val="21"/>
          <w:szCs w:val="21"/>
        </w:rPr>
      </w:pPr>
    </w:p>
    <w:p>
      <w:pPr>
        <w:spacing w:line="700" w:lineRule="exact"/>
        <w:rPr>
          <w:sz w:val="28"/>
          <w:szCs w:val="28"/>
          <w:u w:val="single"/>
        </w:rPr>
      </w:pPr>
      <w:r>
        <w:rPr>
          <w:rFonts w:hint="eastAsia"/>
          <w:sz w:val="28"/>
          <w:szCs w:val="28"/>
        </w:rPr>
        <w:t>投标人名称（盖公章）：</w:t>
      </w:r>
    </w:p>
    <w:p>
      <w:pPr>
        <w:spacing w:line="700" w:lineRule="exact"/>
        <w:rPr>
          <w:sz w:val="28"/>
          <w:szCs w:val="28"/>
        </w:rPr>
      </w:pPr>
      <w:r>
        <w:rPr>
          <w:rFonts w:hint="eastAsia"/>
          <w:sz w:val="28"/>
          <w:szCs w:val="28"/>
        </w:rPr>
        <w:t>法定代表人或授权委托人签名：</w:t>
      </w:r>
    </w:p>
    <w:p>
      <w:pPr>
        <w:spacing w:line="700" w:lineRule="exact"/>
        <w:rPr>
          <w:sz w:val="28"/>
          <w:szCs w:val="28"/>
        </w:rPr>
      </w:pPr>
      <w:r>
        <w:rPr>
          <w:rFonts w:hint="eastAsia"/>
          <w:sz w:val="28"/>
          <w:szCs w:val="28"/>
        </w:rPr>
        <w:t>投标人地址：</w:t>
      </w:r>
    </w:p>
    <w:p>
      <w:pPr>
        <w:spacing w:line="700" w:lineRule="exact"/>
        <w:rPr>
          <w:sz w:val="28"/>
          <w:szCs w:val="28"/>
        </w:rPr>
      </w:pPr>
      <w:r>
        <w:rPr>
          <w:rFonts w:hint="eastAsia"/>
          <w:sz w:val="28"/>
          <w:szCs w:val="28"/>
        </w:rPr>
        <w:t>联系电话：</w:t>
      </w:r>
    </w:p>
    <w:p>
      <w:pPr>
        <w:spacing w:line="700" w:lineRule="exact"/>
        <w:rPr>
          <w:sz w:val="28"/>
          <w:szCs w:val="28"/>
          <w:u w:val="single"/>
        </w:rPr>
      </w:pPr>
      <w:r>
        <w:rPr>
          <w:rFonts w:hint="eastAsia"/>
          <w:sz w:val="28"/>
          <w:szCs w:val="28"/>
        </w:rPr>
        <w:t>传真：</w:t>
      </w:r>
    </w:p>
    <w:p>
      <w:pPr>
        <w:spacing w:line="700" w:lineRule="exact"/>
        <w:jc w:val="left"/>
        <w:rPr>
          <w:sz w:val="21"/>
          <w:szCs w:val="21"/>
          <w:u w:val="single"/>
        </w:rPr>
      </w:pPr>
    </w:p>
    <w:p>
      <w:pPr>
        <w:spacing w:line="700" w:lineRule="exact"/>
        <w:jc w:val="left"/>
        <w:rPr>
          <w:sz w:val="21"/>
          <w:szCs w:val="21"/>
          <w:u w:val="single"/>
        </w:rPr>
      </w:pPr>
    </w:p>
    <w:p>
      <w:pPr>
        <w:spacing w:line="700" w:lineRule="exact"/>
        <w:jc w:val="left"/>
        <w:rPr>
          <w:b/>
          <w:sz w:val="21"/>
          <w:szCs w:val="21"/>
        </w:rPr>
      </w:pPr>
    </w:p>
    <w:p>
      <w:pPr>
        <w:spacing w:line="700" w:lineRule="exact"/>
        <w:jc w:val="left"/>
        <w:rPr>
          <w:b/>
          <w:sz w:val="21"/>
          <w:szCs w:val="21"/>
        </w:rPr>
      </w:pPr>
    </w:p>
    <w:p>
      <w:pPr>
        <w:spacing w:line="700" w:lineRule="exact"/>
        <w:rPr>
          <w:b/>
          <w:sz w:val="28"/>
          <w:szCs w:val="28"/>
        </w:rPr>
      </w:pPr>
      <w:r>
        <w:rPr>
          <w:rFonts w:hint="eastAsia"/>
          <w:b/>
          <w:sz w:val="28"/>
          <w:szCs w:val="28"/>
        </w:rPr>
        <w:t>（价格文件独立成册封装）</w:t>
      </w:r>
    </w:p>
    <w:p>
      <w:pPr>
        <w:pStyle w:val="2"/>
        <w:keepNext w:val="0"/>
        <w:keepLines w:val="0"/>
        <w:widowControl/>
        <w:spacing w:before="188" w:after="188" w:line="400" w:lineRule="exact"/>
        <w:jc w:val="center"/>
        <w:rPr>
          <w:rFonts w:ascii="宋体" w:hAnsi="宋体" w:eastAsia="宋体" w:cs="Times New Roman"/>
          <w:bCs/>
          <w:kern w:val="2"/>
        </w:rPr>
      </w:pPr>
      <w:bookmarkStart w:id="207" w:name="_Toc27572"/>
      <w:r>
        <w:rPr>
          <w:rFonts w:hint="eastAsia" w:ascii="宋体" w:hAnsi="宋体" w:eastAsia="宋体" w:cs="Times New Roman"/>
          <w:bCs/>
          <w:kern w:val="2"/>
        </w:rPr>
        <w:t>第一章 目录</w:t>
      </w:r>
      <w:bookmarkEnd w:id="207"/>
    </w:p>
    <w:p>
      <w:pPr>
        <w:widowControl/>
        <w:spacing w:line="300" w:lineRule="exact"/>
        <w:jc w:val="left"/>
        <w:rPr>
          <w:rFonts w:ascii="宋体" w:hAnsi="宋体"/>
          <w:b/>
          <w:bCs/>
          <w:sz w:val="21"/>
          <w:szCs w:val="21"/>
        </w:rPr>
      </w:pPr>
    </w:p>
    <w:tbl>
      <w:tblPr>
        <w:tblStyle w:val="46"/>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709"/>
        <w:gridCol w:w="5061"/>
        <w:gridCol w:w="1034"/>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18" w:hRule="atLeast"/>
        </w:trPr>
        <w:tc>
          <w:tcPr>
            <w:tcW w:w="1526" w:type="dxa"/>
            <w:vMerge w:val="restart"/>
            <w:tcBorders>
              <w:top w:val="single" w:color="auto" w:sz="4" w:space="0"/>
              <w:right w:val="single" w:color="auto" w:sz="4" w:space="0"/>
            </w:tcBorders>
            <w:vAlign w:val="center"/>
          </w:tcPr>
          <w:p>
            <w:pPr>
              <w:widowControl/>
              <w:spacing w:line="240" w:lineRule="atLeast"/>
              <w:jc w:val="left"/>
              <w:rPr>
                <w:rFonts w:ascii="宋体" w:hAnsi="宋体"/>
                <w:b/>
                <w:bCs/>
                <w:sz w:val="21"/>
                <w:szCs w:val="21"/>
              </w:rPr>
            </w:pPr>
            <w:r>
              <w:rPr>
                <w:rFonts w:hint="eastAsia" w:ascii="宋体" w:hAnsi="宋体"/>
                <w:b/>
                <w:bCs/>
                <w:sz w:val="21"/>
                <w:szCs w:val="21"/>
              </w:rPr>
              <w:t>价格部分</w:t>
            </w:r>
          </w:p>
        </w:tc>
        <w:tc>
          <w:tcPr>
            <w:tcW w:w="709" w:type="dxa"/>
            <w:tcBorders>
              <w:top w:val="single" w:color="auto" w:sz="4" w:space="0"/>
              <w:left w:val="single" w:color="auto" w:sz="4" w:space="0"/>
            </w:tcBorders>
            <w:vAlign w:val="center"/>
          </w:tcPr>
          <w:p>
            <w:pPr>
              <w:widowControl/>
              <w:numPr>
                <w:ilvl w:val="0"/>
                <w:numId w:val="62"/>
              </w:numPr>
              <w:spacing w:line="300" w:lineRule="exact"/>
              <w:jc w:val="left"/>
              <w:rPr>
                <w:rFonts w:ascii="宋体" w:hAnsi="宋体"/>
                <w:b/>
                <w:bCs/>
                <w:sz w:val="21"/>
                <w:szCs w:val="21"/>
              </w:rPr>
            </w:pPr>
          </w:p>
        </w:tc>
        <w:tc>
          <w:tcPr>
            <w:tcW w:w="5061" w:type="dxa"/>
            <w:tcBorders>
              <w:top w:val="single" w:color="auto" w:sz="4" w:space="0"/>
            </w:tcBorders>
            <w:vAlign w:val="center"/>
          </w:tcPr>
          <w:p>
            <w:pPr>
              <w:widowControl/>
              <w:spacing w:line="300" w:lineRule="exact"/>
              <w:jc w:val="left"/>
              <w:rPr>
                <w:rFonts w:ascii="宋体" w:hAnsi="宋体"/>
                <w:b/>
                <w:bCs/>
                <w:sz w:val="21"/>
                <w:szCs w:val="21"/>
              </w:rPr>
            </w:pPr>
            <w:r>
              <w:rPr>
                <w:rFonts w:hint="eastAsia" w:ascii="宋体" w:hAnsi="宋体"/>
                <w:b/>
                <w:bCs/>
                <w:sz w:val="21"/>
                <w:szCs w:val="21"/>
              </w:rPr>
              <w:t>开标一览表</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6" w:type="dxa"/>
            <w:vMerge w:val="continue"/>
            <w:tcBorders>
              <w:right w:val="single" w:color="auto" w:sz="4" w:space="0"/>
            </w:tcBorders>
            <w:vAlign w:val="center"/>
          </w:tcPr>
          <w:p>
            <w:pPr>
              <w:widowControl/>
              <w:spacing w:line="300" w:lineRule="exact"/>
              <w:jc w:val="left"/>
              <w:rPr>
                <w:rFonts w:ascii="宋体" w:hAnsi="宋体"/>
                <w:b/>
                <w:bCs/>
                <w:sz w:val="21"/>
                <w:szCs w:val="21"/>
              </w:rPr>
            </w:pPr>
          </w:p>
        </w:tc>
        <w:tc>
          <w:tcPr>
            <w:tcW w:w="709" w:type="dxa"/>
            <w:tcBorders>
              <w:left w:val="single" w:color="auto" w:sz="4" w:space="0"/>
            </w:tcBorders>
            <w:vAlign w:val="center"/>
          </w:tcPr>
          <w:p>
            <w:pPr>
              <w:widowControl/>
              <w:numPr>
                <w:ilvl w:val="0"/>
                <w:numId w:val="62"/>
              </w:numPr>
              <w:spacing w:line="300" w:lineRule="exact"/>
              <w:jc w:val="left"/>
              <w:rPr>
                <w:rFonts w:ascii="宋体" w:hAnsi="宋体"/>
                <w:b/>
                <w:bCs/>
                <w:sz w:val="21"/>
                <w:szCs w:val="21"/>
              </w:rPr>
            </w:pPr>
          </w:p>
        </w:tc>
        <w:tc>
          <w:tcPr>
            <w:tcW w:w="5061" w:type="dxa"/>
            <w:vAlign w:val="center"/>
          </w:tcPr>
          <w:p>
            <w:pPr>
              <w:widowControl/>
              <w:spacing w:line="300" w:lineRule="exact"/>
              <w:jc w:val="left"/>
              <w:rPr>
                <w:rFonts w:ascii="宋体" w:hAnsi="宋体"/>
                <w:b/>
                <w:bCs/>
                <w:sz w:val="21"/>
                <w:szCs w:val="21"/>
              </w:rPr>
            </w:pPr>
            <w:r>
              <w:rPr>
                <w:rFonts w:hint="eastAsia" w:ascii="宋体" w:hAnsi="宋体"/>
                <w:b/>
                <w:bCs/>
                <w:sz w:val="21"/>
                <w:szCs w:val="21"/>
              </w:rPr>
              <w:t>详细报价表</w:t>
            </w:r>
          </w:p>
        </w:tc>
        <w:tc>
          <w:tcPr>
            <w:tcW w:w="1034" w:type="dxa"/>
            <w:tcBorders>
              <w:right w:val="single" w:color="auto" w:sz="4" w:space="0"/>
            </w:tcBorders>
            <w:vAlign w:val="center"/>
          </w:tcPr>
          <w:p>
            <w:pPr>
              <w:widowControl/>
              <w:spacing w:line="300" w:lineRule="exact"/>
              <w:jc w:val="left"/>
              <w:rPr>
                <w:rFonts w:ascii="宋体" w:hAnsi="宋体"/>
                <w:b/>
                <w:bCs/>
                <w:sz w:val="21"/>
                <w:szCs w:val="21"/>
              </w:rPr>
            </w:pPr>
          </w:p>
        </w:tc>
        <w:tc>
          <w:tcPr>
            <w:tcW w:w="1417" w:type="dxa"/>
            <w:tcBorders>
              <w:left w:val="single" w:color="auto" w:sz="4" w:space="0"/>
            </w:tcBorders>
            <w:vAlign w:val="center"/>
          </w:tcPr>
          <w:p>
            <w:pPr>
              <w:widowControl/>
              <w:spacing w:line="300" w:lineRule="exact"/>
              <w:jc w:val="left"/>
              <w:rPr>
                <w:rFonts w:ascii="宋体" w:hAnsi="宋体"/>
                <w:b/>
                <w:bCs/>
                <w:sz w:val="21"/>
                <w:szCs w:val="21"/>
              </w:rPr>
            </w:pPr>
          </w:p>
        </w:tc>
      </w:tr>
    </w:tbl>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spacing w:line="700" w:lineRule="exact"/>
        <w:jc w:val="left"/>
        <w:rPr>
          <w:b/>
          <w:sz w:val="21"/>
          <w:szCs w:val="21"/>
        </w:rPr>
      </w:pPr>
    </w:p>
    <w:p>
      <w:pPr>
        <w:pStyle w:val="55"/>
        <w:rPr>
          <w:lang w:val="en-US"/>
        </w:rPr>
      </w:pPr>
    </w:p>
    <w:p>
      <w:pPr>
        <w:pStyle w:val="55"/>
        <w:rPr>
          <w:lang w:val="en-US"/>
        </w:rPr>
      </w:pPr>
    </w:p>
    <w:p>
      <w:pPr>
        <w:pStyle w:val="2"/>
        <w:keepNext w:val="0"/>
        <w:keepLines w:val="0"/>
        <w:widowControl/>
        <w:numPr>
          <w:ilvl w:val="1"/>
          <w:numId w:val="63"/>
        </w:numPr>
        <w:spacing w:before="188" w:after="188" w:line="400" w:lineRule="exact"/>
        <w:jc w:val="center"/>
        <w:rPr>
          <w:rFonts w:ascii="宋体" w:hAnsi="宋体" w:eastAsia="宋体"/>
          <w:sz w:val="21"/>
          <w:szCs w:val="21"/>
        </w:rPr>
      </w:pPr>
      <w:bookmarkStart w:id="208" w:name="_Toc492488530"/>
      <w:bookmarkStart w:id="209" w:name="_Toc8126"/>
      <w:r>
        <w:rPr>
          <w:rFonts w:hint="eastAsia" w:ascii="宋体" w:hAnsi="宋体" w:eastAsia="宋体"/>
          <w:sz w:val="21"/>
          <w:szCs w:val="21"/>
        </w:rPr>
        <w:t>开标一览表</w:t>
      </w:r>
      <w:bookmarkEnd w:id="208"/>
      <w:bookmarkEnd w:id="209"/>
    </w:p>
    <w:p>
      <w:pPr>
        <w:tabs>
          <w:tab w:val="left" w:pos="6946"/>
        </w:tabs>
        <w:spacing w:before="120" w:after="120" w:line="360" w:lineRule="exact"/>
        <w:ind w:left="142" w:leftChars="59"/>
        <w:jc w:val="left"/>
        <w:rPr>
          <w:rFonts w:ascii="宋体" w:hAnsi="宋体" w:cs="Arial"/>
          <w:sz w:val="21"/>
          <w:szCs w:val="21"/>
        </w:rPr>
      </w:pPr>
      <w:r>
        <w:rPr>
          <w:rFonts w:hint="eastAsia" w:ascii="宋体" w:hAnsi="宋体" w:cs="Arial"/>
          <w:sz w:val="21"/>
          <w:szCs w:val="21"/>
        </w:rPr>
        <w:t>项目编号：441900-201905-0007004001-0003</w:t>
      </w:r>
      <w:r>
        <w:rPr>
          <w:rFonts w:hint="eastAsia" w:ascii="宋体" w:hAnsi="宋体" w:cs="Arial"/>
          <w:sz w:val="21"/>
          <w:szCs w:val="21"/>
        </w:rPr>
        <w:tab/>
      </w:r>
      <w:r>
        <w:rPr>
          <w:rFonts w:hint="eastAsia" w:ascii="宋体" w:hAnsi="宋体" w:cs="Arial"/>
          <w:sz w:val="21"/>
          <w:szCs w:val="21"/>
        </w:rPr>
        <w:t>金额单位：元（人民币）</w:t>
      </w:r>
    </w:p>
    <w:tbl>
      <w:tblPr>
        <w:tblStyle w:val="46"/>
        <w:tblW w:w="9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4678"/>
        <w:gridCol w:w="1276"/>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74" w:type="dxa"/>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项目名称</w:t>
            </w:r>
          </w:p>
        </w:tc>
        <w:tc>
          <w:tcPr>
            <w:tcW w:w="4678" w:type="dxa"/>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投标报价</w:t>
            </w:r>
          </w:p>
        </w:tc>
        <w:tc>
          <w:tcPr>
            <w:tcW w:w="1276" w:type="dxa"/>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完工时间</w:t>
            </w:r>
          </w:p>
        </w:tc>
        <w:tc>
          <w:tcPr>
            <w:tcW w:w="1137" w:type="dxa"/>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74" w:type="dxa"/>
            <w:vMerge w:val="restart"/>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cs="宋体"/>
                <w:b/>
                <w:bCs/>
                <w:sz w:val="21"/>
                <w:szCs w:val="21"/>
              </w:rPr>
              <w:t>气相色谱-质谱联用仪离子色谱仪</w:t>
            </w:r>
            <w:r>
              <w:rPr>
                <w:rFonts w:hint="eastAsia" w:ascii="宋体" w:hAnsi="宋体" w:cs="宋体"/>
                <w:b/>
                <w:bCs/>
                <w:sz w:val="21"/>
                <w:szCs w:val="21"/>
                <w:lang w:eastAsia="zh-CN"/>
              </w:rPr>
              <w:t>等仪器设备采购(重新采购)</w:t>
            </w:r>
          </w:p>
        </w:tc>
        <w:tc>
          <w:tcPr>
            <w:tcW w:w="4678" w:type="dxa"/>
            <w:vAlign w:val="center"/>
          </w:tcPr>
          <w:p>
            <w:pPr>
              <w:spacing w:line="360" w:lineRule="auto"/>
              <w:jc w:val="left"/>
              <w:rPr>
                <w:rFonts w:ascii="宋体" w:hAnsi="宋体" w:cs="宋体"/>
                <w:kern w:val="0"/>
                <w:sz w:val="21"/>
                <w:szCs w:val="21"/>
              </w:rPr>
            </w:pPr>
            <w:r>
              <w:rPr>
                <w:rFonts w:hint="eastAsia" w:ascii="宋体" w:hAnsi="宋体" w:cs="宋体"/>
                <w:bCs/>
                <w:kern w:val="0"/>
                <w:sz w:val="21"/>
                <w:szCs w:val="21"/>
              </w:rPr>
              <w:t>大写：人民币</w:t>
            </w:r>
            <w:r>
              <w:rPr>
                <w:rFonts w:hint="eastAsia" w:ascii="宋体" w:hAnsi="宋体" w:cs="宋体"/>
                <w:bCs/>
                <w:kern w:val="0"/>
                <w:sz w:val="21"/>
                <w:szCs w:val="21"/>
                <w:u w:val="single"/>
              </w:rPr>
              <w:t xml:space="preserve">                 </w:t>
            </w:r>
            <w:r>
              <w:rPr>
                <w:rFonts w:hint="eastAsia" w:ascii="宋体" w:hAnsi="宋体" w:cs="宋体"/>
                <w:bCs/>
                <w:kern w:val="0"/>
                <w:sz w:val="21"/>
                <w:szCs w:val="21"/>
              </w:rPr>
              <w:t xml:space="preserve">元                   </w:t>
            </w:r>
          </w:p>
        </w:tc>
        <w:tc>
          <w:tcPr>
            <w:tcW w:w="1276" w:type="dxa"/>
            <w:vMerge w:val="restart"/>
            <w:vAlign w:val="center"/>
          </w:tcPr>
          <w:p>
            <w:pPr>
              <w:spacing w:line="360" w:lineRule="auto"/>
              <w:ind w:left="225"/>
              <w:jc w:val="left"/>
              <w:rPr>
                <w:rFonts w:ascii="宋体" w:hAnsi="宋体" w:cs="宋体"/>
                <w:kern w:val="0"/>
                <w:sz w:val="21"/>
                <w:szCs w:val="21"/>
              </w:rPr>
            </w:pPr>
          </w:p>
        </w:tc>
        <w:tc>
          <w:tcPr>
            <w:tcW w:w="1137" w:type="dxa"/>
            <w:vMerge w:val="restart"/>
            <w:vAlign w:val="center"/>
          </w:tcPr>
          <w:p>
            <w:pPr>
              <w:spacing w:line="360" w:lineRule="auto"/>
              <w:ind w:left="225"/>
              <w:jc w:val="left"/>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74" w:type="dxa"/>
            <w:vMerge w:val="continue"/>
            <w:vAlign w:val="center"/>
          </w:tcPr>
          <w:p>
            <w:pPr>
              <w:spacing w:line="360" w:lineRule="auto"/>
              <w:jc w:val="left"/>
              <w:rPr>
                <w:rFonts w:ascii="宋体" w:hAnsi="宋体" w:cs="宋体"/>
                <w:kern w:val="0"/>
                <w:sz w:val="21"/>
                <w:szCs w:val="21"/>
              </w:rPr>
            </w:pPr>
          </w:p>
        </w:tc>
        <w:tc>
          <w:tcPr>
            <w:tcW w:w="4678" w:type="dxa"/>
            <w:vAlign w:val="center"/>
          </w:tcPr>
          <w:p>
            <w:pPr>
              <w:spacing w:line="360" w:lineRule="auto"/>
              <w:jc w:val="left"/>
              <w:rPr>
                <w:rFonts w:ascii="宋体" w:hAnsi="宋体" w:cs="宋体"/>
                <w:kern w:val="0"/>
                <w:sz w:val="21"/>
                <w:szCs w:val="21"/>
              </w:rPr>
            </w:pPr>
            <w:r>
              <w:rPr>
                <w:rFonts w:hint="eastAsia" w:ascii="宋体" w:hAnsi="宋体" w:cs="宋体"/>
                <w:bCs/>
                <w:kern w:val="0"/>
                <w:sz w:val="21"/>
                <w:szCs w:val="21"/>
              </w:rPr>
              <w:t>小写：¥</w:t>
            </w:r>
            <w:r>
              <w:rPr>
                <w:rFonts w:ascii="宋体" w:hAnsi="宋体" w:cs="宋体"/>
                <w:bCs/>
                <w:kern w:val="0"/>
                <w:sz w:val="21"/>
                <w:szCs w:val="21"/>
              </w:rPr>
              <w:t xml:space="preserve"> </w:t>
            </w:r>
            <w:r>
              <w:rPr>
                <w:rFonts w:ascii="宋体" w:hAnsi="宋体" w:cs="宋体"/>
                <w:bCs/>
                <w:kern w:val="0"/>
                <w:sz w:val="21"/>
                <w:szCs w:val="21"/>
                <w:u w:val="single"/>
              </w:rPr>
              <w:t xml:space="preserve">                </w:t>
            </w:r>
            <w:r>
              <w:rPr>
                <w:rFonts w:hint="eastAsia" w:ascii="宋体" w:hAnsi="宋体" w:cs="宋体"/>
                <w:bCs/>
                <w:kern w:val="0"/>
                <w:sz w:val="21"/>
                <w:szCs w:val="21"/>
              </w:rPr>
              <w:t>元</w:t>
            </w:r>
          </w:p>
        </w:tc>
        <w:tc>
          <w:tcPr>
            <w:tcW w:w="1276" w:type="dxa"/>
            <w:vMerge w:val="continue"/>
            <w:vAlign w:val="center"/>
          </w:tcPr>
          <w:p>
            <w:pPr>
              <w:spacing w:line="360" w:lineRule="auto"/>
              <w:jc w:val="left"/>
              <w:rPr>
                <w:rFonts w:ascii="宋体" w:hAnsi="宋体" w:cs="宋体"/>
                <w:kern w:val="0"/>
                <w:sz w:val="21"/>
                <w:szCs w:val="21"/>
              </w:rPr>
            </w:pPr>
          </w:p>
        </w:tc>
        <w:tc>
          <w:tcPr>
            <w:tcW w:w="1137" w:type="dxa"/>
            <w:vMerge w:val="continue"/>
            <w:vAlign w:val="center"/>
          </w:tcPr>
          <w:p>
            <w:pPr>
              <w:spacing w:line="360" w:lineRule="auto"/>
              <w:jc w:val="left"/>
              <w:rPr>
                <w:rFonts w:ascii="宋体" w:hAnsi="宋体" w:cs="宋体"/>
                <w:kern w:val="0"/>
                <w:sz w:val="21"/>
                <w:szCs w:val="21"/>
              </w:rPr>
            </w:pPr>
          </w:p>
        </w:tc>
      </w:tr>
    </w:tbl>
    <w:p>
      <w:pPr>
        <w:pStyle w:val="22"/>
        <w:snapToGrid w:val="0"/>
        <w:ind w:right="137" w:rightChars="57"/>
        <w:jc w:val="left"/>
        <w:rPr>
          <w:rFonts w:hAnsi="宋体" w:cs="Arial"/>
          <w:sz w:val="21"/>
        </w:rPr>
      </w:pPr>
    </w:p>
    <w:p>
      <w:pPr>
        <w:pStyle w:val="22"/>
        <w:numPr>
          <w:ilvl w:val="0"/>
          <w:numId w:val="64"/>
        </w:numPr>
        <w:tabs>
          <w:tab w:val="left" w:pos="360"/>
        </w:tabs>
        <w:snapToGrid w:val="0"/>
        <w:ind w:right="137" w:rightChars="57"/>
        <w:jc w:val="left"/>
        <w:rPr>
          <w:rFonts w:hAnsi="宋体" w:cs="Arial"/>
          <w:sz w:val="21"/>
        </w:rPr>
      </w:pPr>
      <w:r>
        <w:rPr>
          <w:rFonts w:hAnsi="宋体" w:cs="Arial"/>
          <w:sz w:val="21"/>
        </w:rPr>
        <w:t>此表原件一式两份，一份附在正本的投标文件价格文件中，并另封装一份于“开标一览表”信封中。</w:t>
      </w:r>
    </w:p>
    <w:p>
      <w:pPr>
        <w:pStyle w:val="22"/>
        <w:numPr>
          <w:ilvl w:val="0"/>
          <w:numId w:val="64"/>
        </w:numPr>
        <w:tabs>
          <w:tab w:val="left" w:pos="360"/>
        </w:tabs>
        <w:snapToGrid w:val="0"/>
        <w:ind w:right="137" w:rightChars="57"/>
        <w:jc w:val="left"/>
        <w:rPr>
          <w:rFonts w:hAnsi="宋体" w:cs="Arial"/>
          <w:sz w:val="21"/>
        </w:rPr>
      </w:pPr>
      <w:r>
        <w:rPr>
          <w:rFonts w:hint="eastAsia" w:hAnsi="宋体" w:cs="Arial"/>
          <w:sz w:val="21"/>
        </w:rPr>
        <w:t>本表格中的投标报价应等于“详细报价表”中的总报价。</w:t>
      </w:r>
    </w:p>
    <w:p>
      <w:pPr>
        <w:pStyle w:val="22"/>
        <w:numPr>
          <w:ilvl w:val="0"/>
          <w:numId w:val="64"/>
        </w:numPr>
        <w:snapToGrid w:val="0"/>
        <w:ind w:right="137" w:rightChars="57"/>
        <w:jc w:val="left"/>
        <w:rPr>
          <w:rFonts w:hAnsi="宋体" w:cs="Arial"/>
          <w:sz w:val="21"/>
        </w:rPr>
      </w:pPr>
      <w:r>
        <w:rPr>
          <w:rFonts w:hint="eastAsia" w:hAnsi="宋体" w:cs="Arial"/>
          <w:sz w:val="21"/>
        </w:rPr>
        <w:t>此表的投标报价系所有需采购人支付的包括招标文件中要求的相关服务内容的全部费用。</w:t>
      </w:r>
    </w:p>
    <w:p>
      <w:pPr>
        <w:pStyle w:val="22"/>
        <w:spacing w:line="480" w:lineRule="exact"/>
        <w:ind w:left="735" w:hanging="735"/>
        <w:jc w:val="left"/>
        <w:rPr>
          <w:rFonts w:hAnsi="宋体" w:cs="Arial"/>
          <w:sz w:val="21"/>
        </w:rPr>
      </w:pPr>
    </w:p>
    <w:p>
      <w:pPr>
        <w:tabs>
          <w:tab w:val="left" w:pos="0"/>
        </w:tabs>
        <w:spacing w:line="360" w:lineRule="auto"/>
        <w:ind w:right="-212"/>
        <w:jc w:val="left"/>
        <w:rPr>
          <w:rFonts w:ascii="宋体" w:hAnsi="宋体"/>
          <w:sz w:val="21"/>
          <w:szCs w:val="21"/>
        </w:rPr>
      </w:pPr>
    </w:p>
    <w:p>
      <w:pPr>
        <w:spacing w:line="360" w:lineRule="auto"/>
        <w:ind w:left="748" w:hanging="567"/>
        <w:jc w:val="left"/>
        <w:rPr>
          <w:rFonts w:ascii="宋体" w:hAnsi="宋体"/>
          <w:sz w:val="21"/>
          <w:szCs w:val="21"/>
        </w:rPr>
      </w:pPr>
      <w:r>
        <w:rPr>
          <w:rFonts w:hint="eastAsia" w:ascii="宋体" w:hAnsi="宋体"/>
          <w:sz w:val="21"/>
          <w:szCs w:val="21"/>
        </w:rPr>
        <w:t>投标人名称（并加盖公章）：</w:t>
      </w:r>
    </w:p>
    <w:p>
      <w:pPr>
        <w:spacing w:line="360" w:lineRule="auto"/>
        <w:ind w:left="748" w:hanging="567"/>
        <w:jc w:val="left"/>
        <w:rPr>
          <w:rFonts w:ascii="宋体" w:hAnsi="宋体"/>
          <w:sz w:val="21"/>
          <w:szCs w:val="21"/>
        </w:rPr>
      </w:pPr>
    </w:p>
    <w:p>
      <w:pPr>
        <w:spacing w:line="360" w:lineRule="auto"/>
        <w:ind w:left="748" w:hanging="567"/>
        <w:jc w:val="left"/>
        <w:rPr>
          <w:rFonts w:ascii="宋体" w:hAnsi="宋体"/>
          <w:sz w:val="21"/>
          <w:szCs w:val="21"/>
        </w:rPr>
      </w:pPr>
      <w:r>
        <w:rPr>
          <w:rFonts w:hint="eastAsia" w:ascii="宋体" w:hAnsi="宋体" w:cs="Arial"/>
          <w:sz w:val="21"/>
          <w:szCs w:val="21"/>
        </w:rPr>
        <w:t>投标人法定代表人或其委托人</w:t>
      </w:r>
      <w:r>
        <w:rPr>
          <w:rFonts w:hint="eastAsia" w:ascii="宋体" w:hAnsi="宋体"/>
          <w:sz w:val="21"/>
          <w:szCs w:val="21"/>
        </w:rPr>
        <w:t>签名或印鉴</w:t>
      </w:r>
      <w:r>
        <w:rPr>
          <w:rFonts w:hint="eastAsia" w:ascii="宋体" w:hAnsi="宋体" w:cs="Arial"/>
          <w:sz w:val="21"/>
          <w:szCs w:val="21"/>
        </w:rPr>
        <w:t>：</w:t>
      </w:r>
    </w:p>
    <w:p>
      <w:pPr>
        <w:spacing w:line="360" w:lineRule="auto"/>
        <w:ind w:left="748" w:hanging="567"/>
        <w:jc w:val="left"/>
        <w:rPr>
          <w:rFonts w:ascii="宋体" w:hAnsi="宋体"/>
          <w:sz w:val="21"/>
          <w:szCs w:val="21"/>
        </w:rPr>
      </w:pPr>
    </w:p>
    <w:p>
      <w:pPr>
        <w:spacing w:line="360" w:lineRule="auto"/>
        <w:ind w:left="748" w:hanging="567"/>
        <w:jc w:val="left"/>
        <w:rPr>
          <w:rFonts w:ascii="宋体" w:hAnsi="宋体"/>
          <w:sz w:val="21"/>
          <w:szCs w:val="21"/>
        </w:rPr>
      </w:pPr>
      <w:r>
        <w:rPr>
          <w:rFonts w:hint="eastAsia" w:ascii="宋体" w:hAnsi="宋体"/>
          <w:sz w:val="21"/>
          <w:szCs w:val="21"/>
        </w:rPr>
        <w:t>日  期：</w:t>
      </w:r>
    </w:p>
    <w:p>
      <w:pPr>
        <w:pStyle w:val="2"/>
        <w:keepNext w:val="0"/>
        <w:keepLines w:val="0"/>
        <w:widowControl/>
        <w:numPr>
          <w:ilvl w:val="1"/>
          <w:numId w:val="63"/>
        </w:numPr>
        <w:spacing w:before="188" w:after="188" w:line="400" w:lineRule="exact"/>
        <w:jc w:val="center"/>
        <w:rPr>
          <w:rFonts w:ascii="宋体" w:hAnsi="宋体"/>
          <w:sz w:val="21"/>
          <w:szCs w:val="21"/>
        </w:rPr>
      </w:pPr>
      <w:r>
        <w:rPr>
          <w:rFonts w:ascii="宋体" w:hAnsi="宋体"/>
          <w:sz w:val="21"/>
          <w:szCs w:val="21"/>
        </w:rPr>
        <w:br w:type="page"/>
      </w:r>
      <w:bookmarkStart w:id="210" w:name="_Toc3740"/>
      <w:bookmarkStart w:id="211" w:name="_Toc492488531"/>
      <w:r>
        <w:rPr>
          <w:rFonts w:hint="eastAsia" w:ascii="宋体" w:hAnsi="宋体"/>
          <w:sz w:val="21"/>
          <w:szCs w:val="21"/>
        </w:rPr>
        <w:t>详细报价表</w:t>
      </w:r>
      <w:bookmarkEnd w:id="210"/>
      <w:bookmarkEnd w:id="211"/>
    </w:p>
    <w:p>
      <w:pPr>
        <w:tabs>
          <w:tab w:val="left" w:pos="7088"/>
        </w:tabs>
        <w:spacing w:before="120" w:after="120" w:line="360" w:lineRule="exact"/>
        <w:jc w:val="left"/>
        <w:rPr>
          <w:rFonts w:ascii="宋体" w:hAnsi="宋体" w:cs="Arial"/>
          <w:sz w:val="21"/>
          <w:szCs w:val="21"/>
        </w:rPr>
      </w:pPr>
      <w:r>
        <w:rPr>
          <w:rFonts w:hint="eastAsia" w:ascii="宋体" w:hAnsi="宋体" w:cs="Arial"/>
          <w:sz w:val="21"/>
          <w:szCs w:val="21"/>
        </w:rPr>
        <w:t>项目编号：441900-201905-0007004001-0003</w:t>
      </w:r>
      <w:r>
        <w:rPr>
          <w:rFonts w:hint="eastAsia" w:ascii="宋体" w:hAnsi="宋体" w:cs="Arial"/>
          <w:sz w:val="21"/>
          <w:szCs w:val="21"/>
        </w:rPr>
        <w:tab/>
      </w:r>
      <w:r>
        <w:rPr>
          <w:rFonts w:hint="eastAsia" w:ascii="宋体" w:hAnsi="宋体" w:cs="Arial"/>
          <w:sz w:val="21"/>
          <w:szCs w:val="21"/>
        </w:rPr>
        <w:t>金额单位：元（人民币）</w:t>
      </w:r>
    </w:p>
    <w:tbl>
      <w:tblPr>
        <w:tblStyle w:val="46"/>
        <w:tblW w:w="9629" w:type="dxa"/>
        <w:tblInd w:w="0" w:type="dxa"/>
        <w:tblLayout w:type="fixed"/>
        <w:tblCellMar>
          <w:top w:w="0" w:type="dxa"/>
          <w:left w:w="108" w:type="dxa"/>
          <w:bottom w:w="0" w:type="dxa"/>
          <w:right w:w="108" w:type="dxa"/>
        </w:tblCellMar>
      </w:tblPr>
      <w:tblGrid>
        <w:gridCol w:w="674"/>
        <w:gridCol w:w="4537"/>
        <w:gridCol w:w="709"/>
        <w:gridCol w:w="992"/>
        <w:gridCol w:w="1701"/>
        <w:gridCol w:w="1016"/>
      </w:tblGrid>
      <w:tr>
        <w:tblPrEx>
          <w:tblLayout w:type="fixed"/>
          <w:tblCellMar>
            <w:top w:w="0" w:type="dxa"/>
            <w:left w:w="108" w:type="dxa"/>
            <w:bottom w:w="0" w:type="dxa"/>
            <w:right w:w="108" w:type="dxa"/>
          </w:tblCellMar>
        </w:tblPrEx>
        <w:trPr>
          <w:trHeight w:val="869" w:hRule="atLeast"/>
        </w:trPr>
        <w:tc>
          <w:tcPr>
            <w:tcW w:w="674"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Arial"/>
                <w:b/>
                <w:sz w:val="21"/>
                <w:szCs w:val="21"/>
              </w:rPr>
            </w:pPr>
            <w:r>
              <w:rPr>
                <w:rFonts w:hint="eastAsia" w:ascii="宋体" w:hAnsi="宋体" w:cs="Arial"/>
                <w:b/>
                <w:sz w:val="21"/>
                <w:szCs w:val="21"/>
              </w:rPr>
              <w:t>序号</w:t>
            </w:r>
          </w:p>
        </w:tc>
        <w:tc>
          <w:tcPr>
            <w:tcW w:w="4537"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Arial"/>
                <w:b/>
                <w:sz w:val="21"/>
                <w:szCs w:val="21"/>
              </w:rPr>
            </w:pPr>
            <w:r>
              <w:rPr>
                <w:rFonts w:hint="eastAsia" w:ascii="宋体" w:hAnsi="宋体" w:cs="Arial"/>
                <w:b/>
                <w:sz w:val="21"/>
                <w:szCs w:val="21"/>
              </w:rPr>
              <w:t>分项名称</w:t>
            </w:r>
          </w:p>
        </w:tc>
        <w:tc>
          <w:tcPr>
            <w:tcW w:w="709"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Arial"/>
                <w:b/>
                <w:sz w:val="21"/>
                <w:szCs w:val="21"/>
              </w:rPr>
            </w:pPr>
            <w:r>
              <w:rPr>
                <w:rFonts w:hint="eastAsia" w:ascii="宋体" w:hAnsi="宋体" w:cs="Arial"/>
                <w:b/>
                <w:sz w:val="21"/>
                <w:szCs w:val="21"/>
              </w:rPr>
              <w:t>数量</w:t>
            </w:r>
          </w:p>
        </w:tc>
        <w:tc>
          <w:tcPr>
            <w:tcW w:w="992"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Arial"/>
                <w:b/>
                <w:sz w:val="21"/>
                <w:szCs w:val="21"/>
              </w:rPr>
            </w:pPr>
            <w:r>
              <w:rPr>
                <w:rFonts w:hint="eastAsia" w:ascii="宋体" w:hAnsi="宋体" w:cs="Arial"/>
                <w:b/>
                <w:sz w:val="21"/>
                <w:szCs w:val="21"/>
              </w:rPr>
              <w:t>单价</w:t>
            </w:r>
          </w:p>
        </w:tc>
        <w:tc>
          <w:tcPr>
            <w:tcW w:w="1701"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Arial"/>
                <w:b/>
                <w:sz w:val="21"/>
                <w:szCs w:val="21"/>
              </w:rPr>
            </w:pPr>
            <w:r>
              <w:rPr>
                <w:rFonts w:hint="eastAsia" w:ascii="宋体" w:hAnsi="宋体" w:cs="Arial"/>
                <w:b/>
                <w:sz w:val="21"/>
                <w:szCs w:val="21"/>
              </w:rPr>
              <w:t>是否小型/微型企业产品/服务</w:t>
            </w:r>
          </w:p>
          <w:p>
            <w:pPr>
              <w:jc w:val="left"/>
              <w:rPr>
                <w:rFonts w:ascii="宋体" w:hAnsi="宋体" w:cs="Arial"/>
                <w:b/>
                <w:sz w:val="21"/>
                <w:szCs w:val="21"/>
              </w:rPr>
            </w:pPr>
            <w:r>
              <w:rPr>
                <w:rFonts w:hint="eastAsia" w:ascii="宋体" w:hAnsi="宋体" w:cs="Arial"/>
                <w:b/>
                <w:sz w:val="21"/>
                <w:szCs w:val="21"/>
              </w:rPr>
              <w:t>（是/否）</w:t>
            </w:r>
          </w:p>
        </w:tc>
        <w:tc>
          <w:tcPr>
            <w:tcW w:w="1016"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Arial"/>
                <w:b/>
                <w:sz w:val="21"/>
                <w:szCs w:val="21"/>
              </w:rPr>
            </w:pPr>
            <w:r>
              <w:rPr>
                <w:rFonts w:hint="eastAsia" w:ascii="宋体" w:hAnsi="宋体" w:cs="Arial"/>
                <w:b/>
                <w:sz w:val="21"/>
                <w:szCs w:val="21"/>
              </w:rPr>
              <w:t>分项报价</w:t>
            </w:r>
          </w:p>
        </w:tc>
      </w:tr>
      <w:tr>
        <w:tblPrEx>
          <w:tblLayout w:type="fixed"/>
          <w:tblCellMar>
            <w:top w:w="0" w:type="dxa"/>
            <w:left w:w="108" w:type="dxa"/>
            <w:bottom w:w="0" w:type="dxa"/>
            <w:right w:w="108" w:type="dxa"/>
          </w:tblCellMar>
        </w:tblPrEx>
        <w:trPr>
          <w:trHeight w:val="554" w:hRule="atLeast"/>
        </w:trPr>
        <w:tc>
          <w:tcPr>
            <w:tcW w:w="674"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4537" w:type="dxa"/>
            <w:tcBorders>
              <w:top w:val="single" w:color="auto" w:sz="6" w:space="0"/>
              <w:left w:val="single" w:color="auto" w:sz="6" w:space="0"/>
              <w:bottom w:val="single" w:color="auto" w:sz="6" w:space="0"/>
              <w:right w:val="single" w:color="auto" w:sz="6" w:space="0"/>
            </w:tcBorders>
          </w:tcPr>
          <w:p>
            <w:pPr>
              <w:jc w:val="left"/>
              <w:rPr>
                <w:rFonts w:ascii="宋体" w:hAnsi="宋体" w:cs="Arial"/>
                <w:b/>
                <w:sz w:val="21"/>
                <w:szCs w:val="21"/>
              </w:rPr>
            </w:pPr>
          </w:p>
        </w:tc>
        <w:tc>
          <w:tcPr>
            <w:tcW w:w="709"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992"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1701"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1016"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r>
      <w:tr>
        <w:tblPrEx>
          <w:tblLayout w:type="fixed"/>
          <w:tblCellMar>
            <w:top w:w="0" w:type="dxa"/>
            <w:left w:w="108" w:type="dxa"/>
            <w:bottom w:w="0" w:type="dxa"/>
            <w:right w:w="108" w:type="dxa"/>
          </w:tblCellMar>
        </w:tblPrEx>
        <w:trPr>
          <w:trHeight w:val="554" w:hRule="atLeast"/>
        </w:trPr>
        <w:tc>
          <w:tcPr>
            <w:tcW w:w="674"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4537" w:type="dxa"/>
            <w:tcBorders>
              <w:top w:val="single" w:color="auto" w:sz="6" w:space="0"/>
              <w:left w:val="single" w:color="auto" w:sz="6" w:space="0"/>
              <w:bottom w:val="single" w:color="auto" w:sz="6" w:space="0"/>
              <w:right w:val="single" w:color="auto" w:sz="6" w:space="0"/>
            </w:tcBorders>
          </w:tcPr>
          <w:p>
            <w:pPr>
              <w:jc w:val="left"/>
              <w:rPr>
                <w:rFonts w:ascii="宋体" w:hAnsi="宋体" w:cs="Arial"/>
                <w:b/>
                <w:sz w:val="21"/>
                <w:szCs w:val="21"/>
              </w:rPr>
            </w:pPr>
          </w:p>
        </w:tc>
        <w:tc>
          <w:tcPr>
            <w:tcW w:w="709"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992"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1701"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1016"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r>
      <w:tr>
        <w:tblPrEx>
          <w:tblLayout w:type="fixed"/>
          <w:tblCellMar>
            <w:top w:w="0" w:type="dxa"/>
            <w:left w:w="108" w:type="dxa"/>
            <w:bottom w:w="0" w:type="dxa"/>
            <w:right w:w="108" w:type="dxa"/>
          </w:tblCellMar>
        </w:tblPrEx>
        <w:trPr>
          <w:trHeight w:val="566" w:hRule="atLeast"/>
        </w:trPr>
        <w:tc>
          <w:tcPr>
            <w:tcW w:w="674"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4537" w:type="dxa"/>
            <w:tcBorders>
              <w:top w:val="single" w:color="auto" w:sz="6" w:space="0"/>
              <w:left w:val="single" w:color="auto" w:sz="6" w:space="0"/>
              <w:bottom w:val="single" w:color="auto" w:sz="6" w:space="0"/>
              <w:right w:val="single" w:color="auto" w:sz="6" w:space="0"/>
            </w:tcBorders>
          </w:tcPr>
          <w:p>
            <w:pPr>
              <w:jc w:val="left"/>
              <w:rPr>
                <w:rFonts w:ascii="宋体" w:hAnsi="宋体" w:cs="Arial"/>
                <w:b/>
                <w:sz w:val="21"/>
                <w:szCs w:val="21"/>
              </w:rPr>
            </w:pPr>
            <w:r>
              <w:rPr>
                <w:rFonts w:hint="eastAsia" w:ascii="宋体" w:hAnsi="宋体" w:cs="Arial"/>
                <w:b/>
                <w:sz w:val="21"/>
                <w:szCs w:val="21"/>
              </w:rPr>
              <w:t>……</w:t>
            </w:r>
          </w:p>
        </w:tc>
        <w:tc>
          <w:tcPr>
            <w:tcW w:w="709"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992"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1701"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c>
          <w:tcPr>
            <w:tcW w:w="1016"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r>
      <w:tr>
        <w:tblPrEx>
          <w:tblLayout w:type="fixed"/>
          <w:tblCellMar>
            <w:top w:w="0" w:type="dxa"/>
            <w:left w:w="108" w:type="dxa"/>
            <w:bottom w:w="0" w:type="dxa"/>
            <w:right w:w="108" w:type="dxa"/>
          </w:tblCellMar>
        </w:tblPrEx>
        <w:trPr>
          <w:trHeight w:val="466" w:hRule="atLeast"/>
        </w:trPr>
        <w:tc>
          <w:tcPr>
            <w:tcW w:w="8613" w:type="dxa"/>
            <w:gridSpan w:val="5"/>
            <w:tcBorders>
              <w:top w:val="single" w:color="auto" w:sz="6" w:space="0"/>
              <w:left w:val="single" w:color="auto" w:sz="6" w:space="0"/>
              <w:bottom w:val="single" w:color="auto" w:sz="6" w:space="0"/>
              <w:right w:val="single" w:color="auto" w:sz="6" w:space="0"/>
            </w:tcBorders>
            <w:vAlign w:val="center"/>
          </w:tcPr>
          <w:p>
            <w:pPr>
              <w:spacing w:beforeLines="50" w:afterLines="50" w:line="360" w:lineRule="exact"/>
              <w:jc w:val="left"/>
              <w:rPr>
                <w:rFonts w:ascii="宋体" w:hAnsi="宋体" w:cs="Arial"/>
                <w:b/>
                <w:sz w:val="21"/>
                <w:szCs w:val="21"/>
              </w:rPr>
            </w:pPr>
            <w:r>
              <w:rPr>
                <w:rFonts w:hint="eastAsia" w:ascii="宋体" w:hAnsi="宋体" w:cs="Arial"/>
                <w:b/>
                <w:sz w:val="21"/>
                <w:szCs w:val="21"/>
              </w:rPr>
              <w:t>总报价:</w:t>
            </w:r>
          </w:p>
        </w:tc>
        <w:tc>
          <w:tcPr>
            <w:tcW w:w="1016"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r>
      <w:tr>
        <w:tblPrEx>
          <w:tblLayout w:type="fixed"/>
          <w:tblCellMar>
            <w:top w:w="0" w:type="dxa"/>
            <w:left w:w="108" w:type="dxa"/>
            <w:bottom w:w="0" w:type="dxa"/>
            <w:right w:w="108" w:type="dxa"/>
          </w:tblCellMar>
        </w:tblPrEx>
        <w:trPr>
          <w:trHeight w:val="466" w:hRule="atLeast"/>
        </w:trPr>
        <w:tc>
          <w:tcPr>
            <w:tcW w:w="8613" w:type="dxa"/>
            <w:gridSpan w:val="5"/>
            <w:tcBorders>
              <w:top w:val="single" w:color="auto" w:sz="6" w:space="0"/>
              <w:left w:val="single" w:color="auto" w:sz="6" w:space="0"/>
              <w:bottom w:val="single" w:color="auto" w:sz="6" w:space="0"/>
              <w:right w:val="single" w:color="auto" w:sz="6" w:space="0"/>
            </w:tcBorders>
            <w:vAlign w:val="center"/>
          </w:tcPr>
          <w:p>
            <w:pPr>
              <w:spacing w:beforeLines="50" w:afterLines="50" w:line="360" w:lineRule="exact"/>
              <w:jc w:val="left"/>
              <w:rPr>
                <w:rFonts w:ascii="宋体" w:hAnsi="宋体" w:cs="Arial"/>
                <w:b/>
                <w:sz w:val="21"/>
                <w:szCs w:val="21"/>
              </w:rPr>
            </w:pPr>
            <w:r>
              <w:rPr>
                <w:rFonts w:hint="eastAsia" w:ascii="宋体" w:hAnsi="宋体" w:cs="Arial"/>
                <w:b/>
                <w:sz w:val="21"/>
                <w:szCs w:val="21"/>
              </w:rPr>
              <w:t>小型/微型企业产品/服务价格合计:</w:t>
            </w:r>
          </w:p>
        </w:tc>
        <w:tc>
          <w:tcPr>
            <w:tcW w:w="1016" w:type="dxa"/>
            <w:tcBorders>
              <w:top w:val="single" w:color="auto" w:sz="6" w:space="0"/>
              <w:left w:val="single" w:color="auto" w:sz="6" w:space="0"/>
              <w:bottom w:val="single" w:color="auto" w:sz="6" w:space="0"/>
              <w:right w:val="single" w:color="auto" w:sz="6" w:space="0"/>
            </w:tcBorders>
          </w:tcPr>
          <w:p>
            <w:pPr>
              <w:spacing w:beforeLines="50" w:afterLines="50" w:line="360" w:lineRule="exact"/>
              <w:jc w:val="left"/>
              <w:rPr>
                <w:rFonts w:ascii="宋体" w:hAnsi="宋体" w:cs="Arial"/>
                <w:sz w:val="21"/>
                <w:szCs w:val="21"/>
              </w:rPr>
            </w:pPr>
          </w:p>
        </w:tc>
      </w:tr>
    </w:tbl>
    <w:p>
      <w:pPr>
        <w:pStyle w:val="22"/>
        <w:snapToGrid w:val="0"/>
        <w:ind w:left="-60" w:right="137" w:rightChars="57"/>
        <w:jc w:val="left"/>
        <w:rPr>
          <w:rFonts w:hAnsi="宋体" w:cs="Arial"/>
          <w:sz w:val="21"/>
        </w:rPr>
      </w:pPr>
    </w:p>
    <w:p>
      <w:pPr>
        <w:pStyle w:val="22"/>
        <w:snapToGrid w:val="0"/>
        <w:ind w:left="-60" w:right="137" w:rightChars="57"/>
        <w:jc w:val="left"/>
        <w:rPr>
          <w:rFonts w:hAnsi="宋体" w:cs="Arial"/>
          <w:sz w:val="21"/>
        </w:rPr>
      </w:pPr>
      <w:r>
        <w:rPr>
          <w:rFonts w:hAnsi="宋体" w:cs="Arial"/>
          <w:sz w:val="21"/>
        </w:rPr>
        <w:t>注：</w:t>
      </w:r>
    </w:p>
    <w:p>
      <w:pPr>
        <w:pStyle w:val="22"/>
        <w:numPr>
          <w:ilvl w:val="0"/>
          <w:numId w:val="65"/>
        </w:numPr>
        <w:tabs>
          <w:tab w:val="clear" w:pos="1260"/>
        </w:tabs>
        <w:snapToGrid w:val="0"/>
        <w:ind w:left="360" w:right="137" w:rightChars="57"/>
        <w:jc w:val="left"/>
        <w:rPr>
          <w:rFonts w:hAnsi="宋体" w:cs="Arial"/>
          <w:sz w:val="21"/>
        </w:rPr>
      </w:pPr>
      <w:r>
        <w:rPr>
          <w:rFonts w:hint="eastAsia" w:hAnsi="宋体" w:cs="Arial"/>
          <w:sz w:val="21"/>
        </w:rPr>
        <w:t>此表的总计系所有需采购人支付的包括招标文件中要求的相关服务内容的全部费用。</w:t>
      </w:r>
    </w:p>
    <w:p>
      <w:pPr>
        <w:pStyle w:val="22"/>
        <w:numPr>
          <w:ilvl w:val="0"/>
          <w:numId w:val="65"/>
        </w:numPr>
        <w:tabs>
          <w:tab w:val="clear" w:pos="1260"/>
        </w:tabs>
        <w:snapToGrid w:val="0"/>
        <w:ind w:left="360" w:right="137" w:rightChars="57"/>
        <w:jc w:val="left"/>
        <w:rPr>
          <w:rFonts w:hAnsi="宋体" w:cs="Arial"/>
          <w:sz w:val="21"/>
        </w:rPr>
      </w:pPr>
      <w:r>
        <w:rPr>
          <w:rFonts w:hAnsi="宋体" w:cs="Arial"/>
          <w:sz w:val="21"/>
        </w:rPr>
        <w:t>如果分项报价的汇总价与总报价不一致的，以分项报价的汇总为准；</w:t>
      </w:r>
      <w:r>
        <w:rPr>
          <w:rFonts w:hint="eastAsia" w:hAnsi="宋体" w:cs="Arial"/>
          <w:sz w:val="21"/>
        </w:rPr>
        <w:t>总报价</w:t>
      </w:r>
      <w:r>
        <w:rPr>
          <w:rFonts w:hAnsi="宋体" w:cs="Arial"/>
          <w:sz w:val="21"/>
        </w:rPr>
        <w:t>等于“开标一览表”中的</w:t>
      </w:r>
      <w:r>
        <w:rPr>
          <w:rFonts w:hint="eastAsia" w:hAnsi="宋体" w:cs="Arial"/>
          <w:sz w:val="21"/>
        </w:rPr>
        <w:t>投标报价</w:t>
      </w:r>
      <w:r>
        <w:rPr>
          <w:rFonts w:hAnsi="宋体" w:cs="Arial"/>
          <w:sz w:val="21"/>
        </w:rPr>
        <w:t>。</w:t>
      </w:r>
    </w:p>
    <w:p>
      <w:pPr>
        <w:pStyle w:val="22"/>
        <w:numPr>
          <w:ilvl w:val="0"/>
          <w:numId w:val="65"/>
        </w:numPr>
        <w:tabs>
          <w:tab w:val="clear" w:pos="1260"/>
        </w:tabs>
        <w:snapToGrid w:val="0"/>
        <w:ind w:left="360" w:right="137" w:rightChars="57"/>
        <w:jc w:val="left"/>
        <w:rPr>
          <w:rFonts w:hAnsi="宋体" w:cs="Arial"/>
          <w:sz w:val="21"/>
        </w:rPr>
      </w:pPr>
      <w:r>
        <w:rPr>
          <w:rFonts w:hint="eastAsia" w:hAnsi="宋体" w:cs="Arial"/>
          <w:sz w:val="21"/>
        </w:rPr>
        <w:t>所投货物/服务为小型或微型企业产品的，请在上表中标注，填写小型/微型企业产品/服务价格合计一项(非小型/微型企业产品/服务此项标注“--”),并提供附表《中小微企业声明函》或《</w:t>
      </w:r>
      <w:r>
        <w:rPr>
          <w:rFonts w:hint="eastAsia" w:hAnsi="宋体"/>
          <w:sz w:val="21"/>
        </w:rPr>
        <w:t>残疾人福利性单位声明函》或监狱企业证明文件</w:t>
      </w:r>
      <w:r>
        <w:rPr>
          <w:rFonts w:hint="eastAsia" w:hAnsi="宋体" w:cs="Arial"/>
          <w:sz w:val="21"/>
        </w:rPr>
        <w:t>。</w:t>
      </w:r>
    </w:p>
    <w:p>
      <w:pPr>
        <w:pStyle w:val="22"/>
        <w:snapToGrid w:val="0"/>
        <w:ind w:left="360" w:right="137" w:rightChars="57"/>
        <w:jc w:val="left"/>
        <w:rPr>
          <w:rFonts w:hAnsi="宋体" w:cs="Arial"/>
          <w:sz w:val="21"/>
        </w:rPr>
      </w:pPr>
    </w:p>
    <w:p>
      <w:pPr>
        <w:spacing w:line="360" w:lineRule="auto"/>
        <w:jc w:val="left"/>
        <w:rPr>
          <w:rFonts w:ascii="宋体" w:hAnsi="宋体"/>
          <w:sz w:val="21"/>
          <w:szCs w:val="21"/>
        </w:rPr>
      </w:pPr>
      <w:r>
        <w:rPr>
          <w:rFonts w:hint="eastAsia" w:ascii="宋体" w:hAnsi="宋体"/>
          <w:sz w:val="21"/>
          <w:szCs w:val="21"/>
        </w:rPr>
        <w:t>投标人名称（并加盖公章）：</w:t>
      </w:r>
    </w:p>
    <w:p>
      <w:pPr>
        <w:spacing w:line="360" w:lineRule="auto"/>
        <w:jc w:val="left"/>
        <w:rPr>
          <w:rFonts w:ascii="宋体" w:hAnsi="宋体"/>
          <w:sz w:val="21"/>
          <w:szCs w:val="21"/>
        </w:rPr>
      </w:pPr>
      <w:r>
        <w:rPr>
          <w:rFonts w:hint="eastAsia" w:ascii="宋体" w:hAnsi="宋体"/>
          <w:sz w:val="21"/>
          <w:szCs w:val="21"/>
        </w:rPr>
        <w:t>投标人法定代表人或其委托人签名或印鉴：</w:t>
      </w:r>
    </w:p>
    <w:p>
      <w:pPr>
        <w:spacing w:line="360" w:lineRule="auto"/>
        <w:jc w:val="left"/>
        <w:rPr>
          <w:rFonts w:ascii="宋体" w:hAnsi="宋体"/>
          <w:sz w:val="21"/>
          <w:szCs w:val="21"/>
        </w:rPr>
      </w:pPr>
      <w:r>
        <w:rPr>
          <w:rFonts w:hint="eastAsia" w:ascii="宋体" w:hAnsi="宋体"/>
          <w:sz w:val="21"/>
          <w:szCs w:val="21"/>
        </w:rPr>
        <w:t>日期：</w:t>
      </w:r>
    </w:p>
    <w:p>
      <w:pPr>
        <w:spacing w:line="360" w:lineRule="auto"/>
        <w:jc w:val="left"/>
        <w:rPr>
          <w:rFonts w:ascii="宋体" w:hAnsi="宋体"/>
          <w:sz w:val="21"/>
          <w:szCs w:val="21"/>
        </w:rPr>
      </w:pPr>
      <w:r>
        <w:rPr>
          <w:rFonts w:ascii="宋体" w:hAnsi="宋体"/>
          <w:sz w:val="21"/>
          <w:szCs w:val="21"/>
        </w:rPr>
        <w:br w:type="page"/>
      </w:r>
      <w:r>
        <w:rPr>
          <w:rFonts w:hint="eastAsia" w:ascii="宋体" w:hAnsi="宋体"/>
          <w:sz w:val="21"/>
          <w:szCs w:val="21"/>
        </w:rPr>
        <w:t>附表1：中小微企业声明函（中小微型企业适用；事业单位、民办非企业单位参与投标的，其本身不作为扶持对象）</w:t>
      </w:r>
    </w:p>
    <w:p>
      <w:pPr>
        <w:spacing w:line="360" w:lineRule="auto"/>
        <w:jc w:val="left"/>
        <w:rPr>
          <w:rFonts w:ascii="宋体" w:hAnsi="宋体"/>
          <w:sz w:val="21"/>
          <w:szCs w:val="21"/>
        </w:rPr>
      </w:pPr>
    </w:p>
    <w:p>
      <w:pPr>
        <w:spacing w:beforeLines="50" w:afterLines="50" w:line="360" w:lineRule="auto"/>
        <w:jc w:val="center"/>
        <w:rPr>
          <w:rFonts w:ascii="宋体" w:hAnsi="宋体"/>
          <w:b/>
          <w:sz w:val="21"/>
          <w:szCs w:val="21"/>
        </w:rPr>
      </w:pPr>
      <w:r>
        <w:rPr>
          <w:rFonts w:hint="eastAsia" w:ascii="宋体" w:hAnsi="宋体"/>
          <w:b/>
          <w:sz w:val="21"/>
          <w:szCs w:val="21"/>
        </w:rPr>
        <w:t>中小微企业声明函</w:t>
      </w:r>
    </w:p>
    <w:p>
      <w:pPr>
        <w:spacing w:line="360" w:lineRule="auto"/>
        <w:ind w:firstLine="420" w:firstLineChars="200"/>
        <w:jc w:val="left"/>
        <w:rPr>
          <w:rFonts w:ascii="宋体" w:hAnsi="宋体"/>
          <w:sz w:val="21"/>
          <w:szCs w:val="21"/>
        </w:rPr>
      </w:pPr>
      <w:r>
        <w:rPr>
          <w:rFonts w:hint="eastAsia" w:ascii="宋体" w:hAnsi="宋体"/>
          <w:sz w:val="21"/>
          <w:szCs w:val="21"/>
        </w:rPr>
        <w:t>本单位郑重声明，根据《政府采购促进中小企业发展暂行办法》（财库〔2011〕181号）的规定，本单位为（请填写：中型、小型、微型）企业。即，本单位同时满足以下条件：</w:t>
      </w:r>
    </w:p>
    <w:p>
      <w:pPr>
        <w:spacing w:line="360" w:lineRule="auto"/>
        <w:ind w:firstLine="420" w:firstLineChars="200"/>
        <w:jc w:val="left"/>
        <w:rPr>
          <w:rFonts w:ascii="宋体" w:hAnsi="宋体"/>
          <w:sz w:val="21"/>
          <w:szCs w:val="21"/>
        </w:rPr>
      </w:pPr>
      <w:r>
        <w:rPr>
          <w:rFonts w:hint="eastAsia" w:ascii="宋体" w:hAnsi="宋体"/>
          <w:sz w:val="21"/>
          <w:szCs w:val="21"/>
        </w:rPr>
        <w:t>1.根据《工业和信息化部、国家统计局、国家发展和改革委员会、财政部关于印发中小企业划型标准规定的通知》（工信部联企业〔2011〕300号）规定的划分标准，本单位为（请填写：中型、小型、微型）企业。</w:t>
      </w:r>
    </w:p>
    <w:p>
      <w:pPr>
        <w:spacing w:line="360" w:lineRule="auto"/>
        <w:ind w:firstLine="420" w:firstLineChars="200"/>
        <w:jc w:val="left"/>
        <w:rPr>
          <w:rFonts w:ascii="宋体" w:hAnsi="宋体"/>
          <w:sz w:val="21"/>
          <w:szCs w:val="21"/>
        </w:rPr>
      </w:pPr>
      <w:r>
        <w:rPr>
          <w:rFonts w:hint="eastAsia" w:ascii="宋体" w:hAnsi="宋体"/>
          <w:sz w:val="21"/>
          <w:szCs w:val="21"/>
        </w:rPr>
        <w:t>2.本单位参加单位的项目采购活动提供本企业制造的货物，由本企业承担工程、提供服务，或者提供其他（请填写：中型、小型、微型）企业制造的货物。本条所称货物不包括使用大型企业注册商标的货物。</w:t>
      </w:r>
    </w:p>
    <w:p>
      <w:pPr>
        <w:spacing w:line="360" w:lineRule="auto"/>
        <w:ind w:firstLine="420" w:firstLineChars="200"/>
        <w:jc w:val="left"/>
        <w:rPr>
          <w:rFonts w:ascii="宋体" w:hAnsi="宋体"/>
          <w:sz w:val="21"/>
          <w:szCs w:val="21"/>
        </w:rPr>
      </w:pPr>
      <w:r>
        <w:rPr>
          <w:rFonts w:hint="eastAsia" w:ascii="宋体" w:hAnsi="宋体"/>
          <w:sz w:val="21"/>
          <w:szCs w:val="21"/>
        </w:rPr>
        <w:t>本单位对上述声明的真实性负责。如有虚假，将依法承担相应责任。</w:t>
      </w:r>
    </w:p>
    <w:p>
      <w:pPr>
        <w:spacing w:line="360" w:lineRule="auto"/>
        <w:ind w:firstLine="420" w:firstLineChars="200"/>
        <w:jc w:val="left"/>
        <w:rPr>
          <w:rFonts w:ascii="宋体" w:hAnsi="宋体"/>
          <w:sz w:val="21"/>
          <w:szCs w:val="21"/>
        </w:rPr>
      </w:pPr>
    </w:p>
    <w:p>
      <w:pPr>
        <w:spacing w:line="360" w:lineRule="auto"/>
        <w:ind w:firstLine="6201" w:firstLineChars="2953"/>
        <w:jc w:val="left"/>
        <w:rPr>
          <w:rFonts w:ascii="宋体" w:hAnsi="宋体"/>
          <w:sz w:val="21"/>
          <w:szCs w:val="21"/>
        </w:rPr>
      </w:pPr>
    </w:p>
    <w:p>
      <w:pPr>
        <w:spacing w:line="360" w:lineRule="auto"/>
        <w:ind w:firstLine="6201" w:firstLineChars="2953"/>
        <w:jc w:val="left"/>
        <w:rPr>
          <w:rFonts w:ascii="宋体" w:hAnsi="宋体"/>
          <w:sz w:val="21"/>
          <w:szCs w:val="21"/>
        </w:rPr>
      </w:pPr>
      <w:r>
        <w:rPr>
          <w:rFonts w:hint="eastAsia" w:ascii="宋体" w:hAnsi="宋体"/>
          <w:sz w:val="21"/>
          <w:szCs w:val="21"/>
        </w:rPr>
        <w:t>企业名称（盖章）：</w:t>
      </w:r>
    </w:p>
    <w:p>
      <w:pPr>
        <w:spacing w:line="360" w:lineRule="auto"/>
        <w:ind w:firstLine="6201" w:firstLineChars="2953"/>
        <w:jc w:val="left"/>
        <w:rPr>
          <w:rFonts w:ascii="宋体" w:hAnsi="宋体"/>
          <w:sz w:val="21"/>
          <w:szCs w:val="21"/>
        </w:rPr>
      </w:pPr>
      <w:r>
        <w:rPr>
          <w:rFonts w:hint="eastAsia" w:ascii="宋体" w:hAnsi="宋体"/>
          <w:sz w:val="21"/>
          <w:szCs w:val="21"/>
        </w:rPr>
        <w:t>日 期：</w:t>
      </w:r>
    </w:p>
    <w:p>
      <w:pPr>
        <w:spacing w:line="588" w:lineRule="exact"/>
        <w:jc w:val="left"/>
        <w:rPr>
          <w:rFonts w:ascii="宋体" w:hAnsi="宋体"/>
          <w:sz w:val="21"/>
          <w:szCs w:val="21"/>
        </w:rPr>
      </w:pPr>
      <w:r>
        <w:rPr>
          <w:rFonts w:ascii="宋体" w:hAnsi="宋体"/>
          <w:sz w:val="21"/>
          <w:szCs w:val="21"/>
        </w:rPr>
        <w:br w:type="page"/>
      </w:r>
      <w:r>
        <w:rPr>
          <w:rFonts w:hint="eastAsia" w:ascii="宋体" w:hAnsi="宋体"/>
          <w:sz w:val="21"/>
          <w:szCs w:val="21"/>
        </w:rPr>
        <w:t>附表2：残疾人福利性单位声明函（享受政府采购支持政策的残疾人福利性单位提供，残疾人福利性单位属于小型、微型企业的，不重复享受政策）</w:t>
      </w:r>
    </w:p>
    <w:p>
      <w:pPr>
        <w:spacing w:beforeLines="50" w:afterLines="50" w:line="360" w:lineRule="auto"/>
        <w:jc w:val="center"/>
        <w:rPr>
          <w:rFonts w:ascii="宋体" w:hAnsi="宋体"/>
          <w:b/>
          <w:sz w:val="21"/>
          <w:szCs w:val="21"/>
        </w:rPr>
      </w:pPr>
      <w:r>
        <w:rPr>
          <w:rFonts w:hint="eastAsia" w:ascii="宋体" w:hAnsi="宋体"/>
          <w:b/>
          <w:sz w:val="21"/>
          <w:szCs w:val="21"/>
        </w:rPr>
        <w:t>残疾人福利性单位声明函</w:t>
      </w:r>
    </w:p>
    <w:p>
      <w:pPr>
        <w:spacing w:line="588" w:lineRule="exact"/>
        <w:ind w:firstLine="444" w:firstLineChars="200"/>
        <w:jc w:val="left"/>
        <w:rPr>
          <w:rFonts w:ascii="宋体" w:hAnsi="宋体"/>
          <w:spacing w:val="6"/>
          <w:sz w:val="21"/>
          <w:szCs w:val="21"/>
        </w:rPr>
      </w:pPr>
      <w:r>
        <w:rPr>
          <w:rFonts w:hint="eastAsia" w:ascii="宋体" w:hAnsi="宋体"/>
          <w:spacing w:val="6"/>
          <w:sz w:val="21"/>
          <w:szCs w:val="21"/>
        </w:rPr>
        <w:t>本单位郑重声明，根据《财政部 民政部 中国残疾人联合会关于促进残疾人就业政府采购政策的通知》（财库</w:t>
      </w:r>
      <w:r>
        <w:rPr>
          <w:rFonts w:hint="eastAsia" w:ascii="宋体" w:hAnsi="宋体"/>
          <w:sz w:val="21"/>
          <w:szCs w:val="21"/>
        </w:rPr>
        <w:t>〔2017〕 141</w:t>
      </w:r>
      <w:r>
        <w:rPr>
          <w:rFonts w:hint="eastAsia" w:ascii="宋体" w:hAnsi="宋体"/>
          <w:spacing w:val="6"/>
          <w:sz w:val="21"/>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jc w:val="left"/>
        <w:rPr>
          <w:rFonts w:ascii="宋体" w:hAnsi="宋体"/>
          <w:spacing w:val="6"/>
          <w:sz w:val="21"/>
          <w:szCs w:val="21"/>
        </w:rPr>
      </w:pPr>
      <w:r>
        <w:rPr>
          <w:rFonts w:hint="eastAsia" w:ascii="宋体" w:hAnsi="宋体"/>
          <w:spacing w:val="6"/>
          <w:sz w:val="21"/>
          <w:szCs w:val="21"/>
        </w:rPr>
        <w:t>本单位对上述声明的真实性负责。如有虚假，将依法承担相应责任。</w:t>
      </w:r>
    </w:p>
    <w:p>
      <w:pPr>
        <w:spacing w:line="588" w:lineRule="exact"/>
        <w:ind w:firstLine="444" w:firstLineChars="200"/>
        <w:jc w:val="left"/>
        <w:rPr>
          <w:rFonts w:ascii="宋体" w:hAnsi="宋体"/>
          <w:spacing w:val="6"/>
          <w:sz w:val="21"/>
          <w:szCs w:val="21"/>
        </w:rPr>
      </w:pPr>
    </w:p>
    <w:p>
      <w:pPr>
        <w:tabs>
          <w:tab w:val="left" w:pos="4860"/>
        </w:tabs>
        <w:spacing w:line="588" w:lineRule="exact"/>
        <w:ind w:right="1560" w:firstLine="444" w:firstLineChars="200"/>
        <w:jc w:val="left"/>
        <w:rPr>
          <w:rFonts w:ascii="宋体" w:hAnsi="宋体"/>
          <w:spacing w:val="6"/>
          <w:sz w:val="21"/>
          <w:szCs w:val="21"/>
        </w:rPr>
      </w:pPr>
      <w:r>
        <w:rPr>
          <w:rFonts w:hint="eastAsia" w:ascii="宋体" w:hAnsi="宋体"/>
          <w:spacing w:val="6"/>
          <w:sz w:val="21"/>
          <w:szCs w:val="21"/>
        </w:rPr>
        <w:t>单位名称（盖章）：</w:t>
      </w:r>
    </w:p>
    <w:p>
      <w:pPr>
        <w:tabs>
          <w:tab w:val="left" w:pos="4860"/>
        </w:tabs>
        <w:spacing w:line="588" w:lineRule="exact"/>
        <w:ind w:right="1560" w:firstLine="444" w:firstLineChars="200"/>
        <w:jc w:val="left"/>
        <w:rPr>
          <w:rFonts w:ascii="宋体" w:hAnsi="宋体"/>
          <w:spacing w:val="6"/>
          <w:sz w:val="21"/>
          <w:szCs w:val="21"/>
        </w:rPr>
      </w:pPr>
      <w:r>
        <w:rPr>
          <w:rFonts w:hint="eastAsia" w:ascii="宋体" w:hAnsi="宋体"/>
          <w:spacing w:val="6"/>
          <w:sz w:val="21"/>
          <w:szCs w:val="21"/>
        </w:rPr>
        <w:t>日  期：</w:t>
      </w:r>
    </w:p>
    <w:p>
      <w:pPr>
        <w:spacing w:line="360" w:lineRule="auto"/>
        <w:jc w:val="left"/>
        <w:rPr>
          <w:rFonts w:ascii="宋体" w:hAnsi="宋体"/>
          <w:sz w:val="21"/>
          <w:szCs w:val="21"/>
        </w:rPr>
      </w:pPr>
    </w:p>
    <w:p>
      <w:pPr>
        <w:spacing w:line="360" w:lineRule="auto"/>
        <w:jc w:val="left"/>
        <w:rPr>
          <w:rFonts w:ascii="宋体" w:hAnsi="宋体"/>
          <w:spacing w:val="6"/>
          <w:sz w:val="21"/>
          <w:szCs w:val="21"/>
        </w:rPr>
      </w:pPr>
      <w:r>
        <w:rPr>
          <w:rFonts w:hint="eastAsia" w:ascii="宋体" w:hAnsi="宋体"/>
          <w:spacing w:val="6"/>
          <w:sz w:val="21"/>
          <w:szCs w:val="21"/>
        </w:rPr>
        <w:t>（享受政府采购支持政策的残疾人福利性单位认定标准详见“财库〔2017〕141号《</w:t>
      </w:r>
      <w:r>
        <w:rPr>
          <w:rFonts w:ascii="宋体" w:hAnsi="宋体"/>
          <w:spacing w:val="6"/>
          <w:sz w:val="21"/>
          <w:szCs w:val="21"/>
        </w:rPr>
        <w:t>三部门联合发布关于促进残疾人就业政府采购政策的通知</w:t>
      </w:r>
      <w:r>
        <w:rPr>
          <w:rFonts w:hint="eastAsia" w:ascii="宋体" w:hAnsi="宋体"/>
          <w:spacing w:val="6"/>
          <w:sz w:val="21"/>
          <w:szCs w:val="21"/>
        </w:rPr>
        <w:t>》”）</w:t>
      </w:r>
    </w:p>
    <w:p>
      <w:pPr>
        <w:spacing w:line="360" w:lineRule="auto"/>
        <w:ind w:left="748" w:hanging="567"/>
        <w:jc w:val="left"/>
        <w:rPr>
          <w:rFonts w:ascii="宋体" w:hAnsi="宋体"/>
          <w:sz w:val="21"/>
          <w:szCs w:val="21"/>
        </w:rPr>
      </w:pPr>
    </w:p>
    <w:p>
      <w:pPr>
        <w:spacing w:line="360" w:lineRule="auto"/>
        <w:jc w:val="left"/>
        <w:rPr>
          <w:rFonts w:ascii="宋体" w:hAnsi="宋体"/>
          <w:sz w:val="21"/>
          <w:szCs w:val="21"/>
        </w:rPr>
      </w:pPr>
    </w:p>
    <w:p>
      <w:pPr>
        <w:spacing w:line="360" w:lineRule="auto"/>
        <w:jc w:val="left"/>
        <w:rPr>
          <w:rFonts w:ascii="宋体" w:hAnsi="宋体"/>
          <w:sz w:val="21"/>
          <w:szCs w:val="21"/>
        </w:rPr>
      </w:pPr>
    </w:p>
    <w:p>
      <w:pPr>
        <w:spacing w:line="360" w:lineRule="auto"/>
        <w:jc w:val="left"/>
        <w:rPr>
          <w:rFonts w:ascii="宋体" w:hAnsi="宋体"/>
          <w:sz w:val="21"/>
          <w:szCs w:val="21"/>
        </w:rPr>
      </w:pPr>
    </w:p>
    <w:sectPr>
      <w:headerReference r:id="rId3" w:type="default"/>
      <w:footerReference r:id="rId4" w:type="default"/>
      <w:type w:val="oddPage"/>
      <w:pgSz w:w="11906" w:h="16838"/>
      <w:pgMar w:top="1304" w:right="1134" w:bottom="1440" w:left="1134" w:header="851" w:footer="777" w:gutter="0"/>
      <w:pgNumType w:start="1"/>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Futura Bk">
    <w:altName w:val="微软雅黑"/>
    <w:panose1 w:val="00000000000000000000"/>
    <w:charset w:val="00"/>
    <w:family w:val="swiss"/>
    <w:pitch w:val="default"/>
    <w:sig w:usb0="00000000" w:usb1="00000000" w:usb2="00000010" w:usb3="00000000" w:csb0="0004009F" w:csb1="00000000"/>
  </w:font>
  <w:font w:name="MS Mincho">
    <w:altName w:val="Yu Gothic UI"/>
    <w:panose1 w:val="02020609040205080304"/>
    <w:charset w:val="80"/>
    <w:family w:val="roman"/>
    <w:pitch w:val="default"/>
    <w:sig w:usb0="00000000" w:usb1="00000000" w:usb2="00000012" w:usb3="00000000" w:csb0="4002009F" w:csb1="DFD70000"/>
  </w:font>
  <w:font w:name="仿宋">
    <w:panose1 w:val="02010609060101010101"/>
    <w:charset w:val="86"/>
    <w:family w:val="modern"/>
    <w:pitch w:val="default"/>
    <w:sig w:usb0="800002BF" w:usb1="38CF7CFA" w:usb2="00000016" w:usb3="00000000" w:csb0="00040001" w:csb1="00000000"/>
  </w:font>
  <w:font w:name="Book Antiqua">
    <w:altName w:val="Segoe Print"/>
    <w:panose1 w:val="02040602050305030304"/>
    <w:charset w:val="00"/>
    <w:family w:val="roman"/>
    <w:pitch w:val="default"/>
    <w:sig w:usb0="00000000"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rPr>
    </w:pPr>
    <w:r>
      <w:rPr>
        <w:rFonts w:hint="eastAsia" w:ascii="宋体" w:hAnsi="宋体"/>
      </w:rPr>
      <w:t>___________________________________________________________________________________________________________</w:t>
    </w:r>
  </w:p>
  <w:p>
    <w:pPr>
      <w:pStyle w:val="27"/>
      <w:rPr>
        <w:rFonts w:ascii="Times New Roman" w:hAnsi="Times New Roman"/>
      </w:rPr>
    </w:pPr>
    <w:r>
      <w:rPr>
        <w:rFonts w:hint="eastAsia" w:ascii="宋体" w:hAnsi="宋体"/>
      </w:rPr>
      <w:t xml:space="preserve">广东志正招标有限公司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42</w:t>
    </w:r>
    <w:r>
      <w:rPr>
        <w:rFonts w:ascii="Times New Roman" w:hAnsi="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right" w:pos="9000"/>
        <w:tab w:val="clear" w:pos="8306"/>
      </w:tabs>
      <w:ind w:right="-94" w:rightChars="-39"/>
      <w:jc w:val="both"/>
      <w:rPr>
        <w:rFonts w:ascii="宋体" w:hAnsi="宋体"/>
      </w:rPr>
    </w:pPr>
    <w:r>
      <w:rPr>
        <w:rFonts w:hint="eastAsia" w:ascii="宋体" w:hAnsi="宋体"/>
      </w:rPr>
      <w:t>气相色谱-质谱联用仪离子色谱仪</w:t>
    </w:r>
    <w:r>
      <w:rPr>
        <w:rFonts w:hint="eastAsia" w:ascii="宋体" w:hAnsi="宋体"/>
        <w:lang w:eastAsia="zh-CN"/>
      </w:rPr>
      <w:t>等仪器设备采购(重新采购)</w:t>
    </w:r>
    <w:r>
      <w:rPr>
        <w:rFonts w:hint="eastAsia" w:ascii="宋体" w:hAnsi="宋体"/>
      </w:rPr>
      <w:t xml:space="preserve"> 招标文件  项目编号：441900-201905-0007004001-0003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7BC83"/>
    <w:multiLevelType w:val="singleLevel"/>
    <w:tmpl w:val="8B07BC83"/>
    <w:lvl w:ilvl="0" w:tentative="0">
      <w:start w:val="3"/>
      <w:numFmt w:val="chineseCounting"/>
      <w:suff w:val="space"/>
      <w:lvlText w:val="第%1部分"/>
      <w:lvlJc w:val="left"/>
      <w:rPr>
        <w:rFonts w:hint="eastAsia"/>
      </w:rPr>
    </w:lvl>
  </w:abstractNum>
  <w:abstractNum w:abstractNumId="1">
    <w:nsid w:val="00000005"/>
    <w:multiLevelType w:val="multilevel"/>
    <w:tmpl w:val="00000005"/>
    <w:lvl w:ilvl="0" w:tentative="0">
      <w:start w:val="1"/>
      <w:numFmt w:val="decimal"/>
      <w:lvlText w:val="%1"/>
      <w:lvlJc w:val="left"/>
      <w:pPr>
        <w:tabs>
          <w:tab w:val="left" w:pos="425"/>
        </w:tabs>
        <w:ind w:left="425" w:hanging="425"/>
      </w:pPr>
      <w:rPr>
        <w:rFonts w:hint="eastAsia"/>
        <w:b/>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2">
    <w:nsid w:val="0000000A"/>
    <w:multiLevelType w:val="multilevel"/>
    <w:tmpl w:val="0000000A"/>
    <w:lvl w:ilvl="0" w:tentative="0">
      <w:start w:val="1"/>
      <w:numFmt w:val="decimal"/>
      <w:lvlText w:val="%1、"/>
      <w:lvlJc w:val="left"/>
      <w:pPr>
        <w:tabs>
          <w:tab w:val="left" w:pos="900"/>
        </w:tabs>
        <w:ind w:left="900" w:hanging="720"/>
      </w:pPr>
    </w:lvl>
    <w:lvl w:ilvl="1" w:tentative="0">
      <w:start w:val="1"/>
      <w:numFmt w:val="decimal"/>
      <w:lvlText w:val="%2."/>
      <w:lvlJc w:val="left"/>
      <w:pPr>
        <w:tabs>
          <w:tab w:val="left" w:pos="1060"/>
        </w:tabs>
        <w:ind w:left="1060" w:hanging="360"/>
      </w:pPr>
    </w:lvl>
    <w:lvl w:ilvl="2" w:tentative="0">
      <w:start w:val="1"/>
      <w:numFmt w:val="decimal"/>
      <w:lvlText w:val="%3."/>
      <w:lvlJc w:val="left"/>
      <w:pPr>
        <w:tabs>
          <w:tab w:val="left" w:pos="1780"/>
        </w:tabs>
        <w:ind w:left="1780" w:hanging="360"/>
      </w:pPr>
    </w:lvl>
    <w:lvl w:ilvl="3" w:tentative="0">
      <w:start w:val="1"/>
      <w:numFmt w:val="decimal"/>
      <w:lvlText w:val="%4."/>
      <w:lvlJc w:val="left"/>
      <w:pPr>
        <w:tabs>
          <w:tab w:val="left" w:pos="2500"/>
        </w:tabs>
        <w:ind w:left="2500" w:hanging="360"/>
      </w:pPr>
    </w:lvl>
    <w:lvl w:ilvl="4" w:tentative="0">
      <w:start w:val="1"/>
      <w:numFmt w:val="decimal"/>
      <w:lvlText w:val="%5."/>
      <w:lvlJc w:val="left"/>
      <w:pPr>
        <w:tabs>
          <w:tab w:val="left" w:pos="3220"/>
        </w:tabs>
        <w:ind w:left="3220" w:hanging="360"/>
      </w:pPr>
    </w:lvl>
    <w:lvl w:ilvl="5" w:tentative="0">
      <w:start w:val="1"/>
      <w:numFmt w:val="decimal"/>
      <w:lvlText w:val="%6."/>
      <w:lvlJc w:val="left"/>
      <w:pPr>
        <w:tabs>
          <w:tab w:val="left" w:pos="3940"/>
        </w:tabs>
        <w:ind w:left="3940" w:hanging="360"/>
      </w:pPr>
    </w:lvl>
    <w:lvl w:ilvl="6" w:tentative="0">
      <w:start w:val="1"/>
      <w:numFmt w:val="decimal"/>
      <w:lvlText w:val="%7."/>
      <w:lvlJc w:val="left"/>
      <w:pPr>
        <w:tabs>
          <w:tab w:val="left" w:pos="4660"/>
        </w:tabs>
        <w:ind w:left="4660" w:hanging="360"/>
      </w:pPr>
    </w:lvl>
    <w:lvl w:ilvl="7" w:tentative="0">
      <w:start w:val="1"/>
      <w:numFmt w:val="decimal"/>
      <w:lvlText w:val="%8."/>
      <w:lvlJc w:val="left"/>
      <w:pPr>
        <w:tabs>
          <w:tab w:val="left" w:pos="5380"/>
        </w:tabs>
        <w:ind w:left="5380" w:hanging="360"/>
      </w:pPr>
    </w:lvl>
    <w:lvl w:ilvl="8" w:tentative="0">
      <w:start w:val="1"/>
      <w:numFmt w:val="decimal"/>
      <w:lvlText w:val="%9."/>
      <w:lvlJc w:val="left"/>
      <w:pPr>
        <w:tabs>
          <w:tab w:val="left" w:pos="6100"/>
        </w:tabs>
        <w:ind w:left="6100" w:hanging="360"/>
      </w:pPr>
    </w:lvl>
  </w:abstractNum>
  <w:abstractNum w:abstractNumId="3">
    <w:nsid w:val="00000014"/>
    <w:multiLevelType w:val="multilevel"/>
    <w:tmpl w:val="00000014"/>
    <w:lvl w:ilvl="0" w:tentative="0">
      <w:start w:val="1"/>
      <w:numFmt w:val="decimal"/>
      <w:lvlText w:val="%1、"/>
      <w:lvlJc w:val="left"/>
      <w:pPr>
        <w:tabs>
          <w:tab w:val="left" w:pos="420"/>
        </w:tabs>
        <w:ind w:left="420" w:hanging="420"/>
      </w:pPr>
      <w:rPr>
        <w:rFonts w:hint="eastAsia"/>
        <w:color w:val="auto"/>
      </w:rPr>
    </w:lvl>
    <w:lvl w:ilvl="1" w:tentative="0">
      <w:start w:val="1"/>
      <w:numFmt w:val="lowerLetter"/>
      <w:lvlText w:val="%2)"/>
      <w:lvlJc w:val="left"/>
      <w:pPr>
        <w:tabs>
          <w:tab w:val="left" w:pos="510"/>
        </w:tabs>
        <w:ind w:left="510" w:hanging="510"/>
      </w:pPr>
      <w:rPr>
        <w:rFonts w:hint="default"/>
      </w:rPr>
    </w:lvl>
    <w:lvl w:ilvl="2" w:tentative="0">
      <w:start w:val="1"/>
      <w:numFmt w:val="decimal"/>
      <w:lvlText w:val="%3)"/>
      <w:lvlJc w:val="left"/>
      <w:pPr>
        <w:tabs>
          <w:tab w:val="left" w:pos="840"/>
        </w:tabs>
        <w:ind w:left="840" w:hanging="420"/>
      </w:pPr>
      <w:rPr>
        <w:rFonts w:hint="eastAsia"/>
        <w:color w:val="auto"/>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4">
    <w:nsid w:val="00000016"/>
    <w:multiLevelType w:val="multilevel"/>
    <w:tmpl w:val="00000016"/>
    <w:lvl w:ilvl="0" w:tentative="0">
      <w:start w:val="1"/>
      <w:numFmt w:val="decimal"/>
      <w:lvlText w:val="%1"/>
      <w:lvlJc w:val="left"/>
      <w:pPr>
        <w:tabs>
          <w:tab w:val="left" w:pos="425"/>
        </w:tabs>
        <w:ind w:left="425" w:hanging="425"/>
      </w:pPr>
      <w:rPr>
        <w:b/>
      </w:rPr>
    </w:lvl>
    <w:lvl w:ilvl="1" w:tentative="0">
      <w:start w:val="1"/>
      <w:numFmt w:val="decimal"/>
      <w:lvlText w:val="%1.%2"/>
      <w:lvlJc w:val="left"/>
      <w:pPr>
        <w:tabs>
          <w:tab w:val="left" w:pos="567"/>
        </w:tabs>
        <w:ind w:left="567" w:hanging="567"/>
      </w:pPr>
      <w:rPr>
        <w:rFonts w:ascii="宋体" w:hAnsi="宋体" w:eastAsia="宋体"/>
        <w:b w:val="0"/>
      </w:r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399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202"/>
        </w:tabs>
        <w:ind w:left="5102" w:hanging="1700"/>
      </w:pPr>
    </w:lvl>
  </w:abstractNum>
  <w:abstractNum w:abstractNumId="5">
    <w:nsid w:val="0000001C"/>
    <w:multiLevelType w:val="multilevel"/>
    <w:tmpl w:val="0000001C"/>
    <w:lvl w:ilvl="0" w:tentative="0">
      <w:start w:val="1"/>
      <w:numFmt w:val="japaneseCounting"/>
      <w:lvlText w:val="%1、"/>
      <w:lvlJc w:val="left"/>
      <w:pPr>
        <w:tabs>
          <w:tab w:val="left" w:pos="720"/>
        </w:tabs>
        <w:ind w:left="720" w:hanging="720"/>
      </w:pPr>
      <w:rPr>
        <w:rFonts w:hint="eastAsia"/>
        <w:sz w:val="21"/>
        <w:szCs w:val="21"/>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default"/>
      </w:rPr>
    </w:lvl>
    <w:lvl w:ilvl="4" w:tentative="0">
      <w:start w:val="4"/>
      <w:numFmt w:val="decimal"/>
      <w:lvlText w:val="%5、"/>
      <w:lvlJc w:val="left"/>
      <w:pPr>
        <w:tabs>
          <w:tab w:val="left" w:pos="2040"/>
        </w:tabs>
        <w:ind w:left="2040" w:hanging="360"/>
      </w:pPr>
      <w:rPr>
        <w:rFonts w:hint="eastAsia"/>
      </w:rPr>
    </w:lvl>
    <w:lvl w:ilvl="5" w:tentative="0">
      <w:start w:val="1"/>
      <w:numFmt w:val="japaneseCounting"/>
      <w:lvlText w:val="%6．"/>
      <w:lvlJc w:val="left"/>
      <w:pPr>
        <w:tabs>
          <w:tab w:val="left" w:pos="2580"/>
        </w:tabs>
        <w:ind w:left="2580" w:hanging="48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F"/>
    <w:multiLevelType w:val="multilevel"/>
    <w:tmpl w:val="0000001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val="0"/>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7">
    <w:nsid w:val="00000022"/>
    <w:multiLevelType w:val="multilevel"/>
    <w:tmpl w:val="00000022"/>
    <w:lvl w:ilvl="0" w:tentative="0">
      <w:start w:val="1"/>
      <w:numFmt w:val="decimal"/>
      <w:lvlText w:val="(%1)"/>
      <w:lvlJc w:val="left"/>
      <w:pPr>
        <w:tabs>
          <w:tab w:val="left" w:pos="845"/>
        </w:tabs>
        <w:ind w:left="845" w:hanging="420"/>
      </w:pPr>
      <w:rPr>
        <w:rFonts w:hint="eastAsia"/>
      </w:rPr>
    </w:lvl>
    <w:lvl w:ilvl="1" w:tentative="0">
      <w:start w:val="1"/>
      <w:numFmt w:val="japaneseCounting"/>
      <w:lvlText w:val="%2、"/>
      <w:lvlJc w:val="left"/>
      <w:pPr>
        <w:tabs>
          <w:tab w:val="left" w:pos="1565"/>
        </w:tabs>
        <w:ind w:left="1565" w:hanging="720"/>
      </w:pPr>
      <w:rPr>
        <w:rFonts w:hint="default"/>
      </w:r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8">
    <w:nsid w:val="00000026"/>
    <w:multiLevelType w:val="multilevel"/>
    <w:tmpl w:val="00000026"/>
    <w:lvl w:ilvl="0" w:tentative="0">
      <w:start w:val="1"/>
      <w:numFmt w:val="decimal"/>
      <w:lvlText w:val="%1"/>
      <w:lvlJc w:val="left"/>
      <w:pPr>
        <w:tabs>
          <w:tab w:val="left" w:pos="420"/>
        </w:tabs>
        <w:ind w:left="420" w:hanging="420"/>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9">
    <w:nsid w:val="0000002B"/>
    <w:multiLevelType w:val="multilevel"/>
    <w:tmpl w:val="0000002B"/>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ascii="宋体" w:hAnsi="宋体" w:eastAsia="宋体"/>
        <w:color w:val="auto"/>
      </w:rPr>
    </w:lvl>
    <w:lvl w:ilvl="2" w:tentative="0">
      <w:start w:val="1"/>
      <w:numFmt w:val="decimal"/>
      <w:lvlText w:val="(%3)"/>
      <w:lvlJc w:val="left"/>
      <w:pPr>
        <w:tabs>
          <w:tab w:val="left" w:pos="1271"/>
        </w:tabs>
        <w:ind w:left="1271" w:hanging="420"/>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0">
    <w:nsid w:val="0000002F"/>
    <w:multiLevelType w:val="multilevel"/>
    <w:tmpl w:val="0000002F"/>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11">
    <w:nsid w:val="00000031"/>
    <w:multiLevelType w:val="multilevel"/>
    <w:tmpl w:val="00000031"/>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510"/>
        </w:tabs>
        <w:ind w:left="510" w:hanging="510"/>
      </w:pPr>
      <w:rPr>
        <w:rFonts w:hint="default"/>
      </w:rPr>
    </w:lvl>
    <w:lvl w:ilvl="2" w:tentative="0">
      <w:start w:val="1"/>
      <w:numFmt w:val="decimal"/>
      <w:lvlText w:val="%3)"/>
      <w:lvlJc w:val="left"/>
      <w:pPr>
        <w:tabs>
          <w:tab w:val="left" w:pos="840"/>
        </w:tabs>
        <w:ind w:left="840" w:hanging="420"/>
      </w:pPr>
      <w:rPr>
        <w:rFonts w:hint="eastAsia"/>
        <w:color w:val="auto"/>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2">
    <w:nsid w:val="00000032"/>
    <w:multiLevelType w:val="multilevel"/>
    <w:tmpl w:val="00000032"/>
    <w:lvl w:ilvl="0" w:tentative="0">
      <w:start w:val="1"/>
      <w:numFmt w:val="decimal"/>
      <w:lvlText w:val="（%1）"/>
      <w:lvlJc w:val="left"/>
      <w:pPr>
        <w:tabs>
          <w:tab w:val="left" w:pos="1080"/>
        </w:tabs>
        <w:ind w:left="1080" w:hanging="1080"/>
      </w:pPr>
    </w:lvl>
    <w:lvl w:ilvl="1" w:tentative="0">
      <w:start w:val="1"/>
      <w:numFmt w:val="bullet"/>
      <w:lvlText w:val=""/>
      <w:lvlJc w:val="left"/>
      <w:pPr>
        <w:tabs>
          <w:tab w:val="left" w:pos="600"/>
        </w:tabs>
        <w:ind w:left="600"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00000033"/>
    <w:multiLevelType w:val="multilevel"/>
    <w:tmpl w:val="00000033"/>
    <w:lvl w:ilvl="0" w:tentative="0">
      <w:start w:val="1"/>
      <w:numFmt w:val="decimal"/>
      <w:lvlText w:val="%1."/>
      <w:lvlJc w:val="left"/>
      <w:pPr>
        <w:tabs>
          <w:tab w:val="left" w:pos="1260"/>
        </w:tabs>
        <w:ind w:left="12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36"/>
    <w:multiLevelType w:val="multilevel"/>
    <w:tmpl w:val="00000036"/>
    <w:lvl w:ilvl="0" w:tentative="0">
      <w:start w:val="1"/>
      <w:numFmt w:val="decimal"/>
      <w:pStyle w:val="13"/>
      <w:lvlText w:val="%1"/>
      <w:lvlJc w:val="left"/>
      <w:pPr>
        <w:ind w:left="425" w:hanging="425"/>
      </w:pPr>
      <w:rPr>
        <w:rFonts w:hint="eastAsia"/>
      </w:rPr>
    </w:lvl>
    <w:lvl w:ilvl="1" w:tentative="0">
      <w:start w:val="1"/>
      <w:numFmt w:val="chineseCountingThousand"/>
      <w:lvlText w:val="%2、"/>
      <w:lvlJc w:val="left"/>
      <w:pPr>
        <w:ind w:left="851" w:hanging="567"/>
      </w:pPr>
      <w:rPr>
        <w:rFonts w:hint="eastAsia"/>
        <w:b w:val="0"/>
        <w:sz w:val="21"/>
        <w:szCs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00000037"/>
    <w:multiLevelType w:val="multilevel"/>
    <w:tmpl w:val="0000003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ascii="宋体" w:hAnsi="宋体" w:eastAsia="宋体"/>
        <w:color w:val="auto"/>
      </w:rPr>
    </w:lvl>
    <w:lvl w:ilvl="2" w:tentative="0">
      <w:start w:val="1"/>
      <w:numFmt w:val="decimal"/>
      <w:lvlText w:val="(%3)"/>
      <w:lvlJc w:val="left"/>
      <w:pPr>
        <w:tabs>
          <w:tab w:val="left" w:pos="1271"/>
        </w:tabs>
        <w:ind w:left="1271" w:hanging="420"/>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6">
    <w:nsid w:val="00000038"/>
    <w:multiLevelType w:val="multilevel"/>
    <w:tmpl w:val="00000038"/>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3"/>
        </w:tabs>
        <w:ind w:left="993" w:hanging="567"/>
      </w:pPr>
      <w:rPr>
        <w:rFonts w:hint="eastAsia" w:ascii="宋体" w:hAnsi="宋体" w:eastAsia="宋体"/>
        <w:color w:val="auto"/>
      </w:rPr>
    </w:lvl>
    <w:lvl w:ilvl="2" w:tentative="0">
      <w:start w:val="1"/>
      <w:numFmt w:val="decimal"/>
      <w:lvlText w:val="(%3)"/>
      <w:lvlJc w:val="left"/>
      <w:pPr>
        <w:tabs>
          <w:tab w:val="left" w:pos="1271"/>
        </w:tabs>
        <w:ind w:left="1271" w:hanging="420"/>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7">
    <w:nsid w:val="00000039"/>
    <w:multiLevelType w:val="multilevel"/>
    <w:tmpl w:val="00000039"/>
    <w:lvl w:ilvl="0" w:tentative="0">
      <w:start w:val="1"/>
      <w:numFmt w:val="decimal"/>
      <w:lvlText w:val="%1"/>
      <w:lvlJc w:val="left"/>
      <w:pPr>
        <w:tabs>
          <w:tab w:val="left" w:pos="425"/>
        </w:tabs>
        <w:ind w:left="425" w:hanging="425"/>
      </w:pPr>
      <w:rPr>
        <w:b/>
      </w:rPr>
    </w:lvl>
    <w:lvl w:ilvl="1" w:tentative="0">
      <w:start w:val="1"/>
      <w:numFmt w:val="decimal"/>
      <w:lvlText w:val="%1.%2"/>
      <w:lvlJc w:val="left"/>
      <w:pPr>
        <w:tabs>
          <w:tab w:val="left" w:pos="992"/>
        </w:tabs>
        <w:ind w:left="992" w:hanging="567"/>
      </w:pPr>
      <w:rPr>
        <w:rFonts w:ascii="宋体" w:hAnsi="宋体" w:eastAsia="宋体"/>
        <w:b w:val="0"/>
      </w:r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399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202"/>
        </w:tabs>
        <w:ind w:left="5102" w:hanging="1700"/>
      </w:pPr>
    </w:lvl>
  </w:abstractNum>
  <w:abstractNum w:abstractNumId="18">
    <w:nsid w:val="0000003C"/>
    <w:multiLevelType w:val="multilevel"/>
    <w:tmpl w:val="0000003C"/>
    <w:lvl w:ilvl="0" w:tentative="0">
      <w:start w:val="1"/>
      <w:numFmt w:val="decimal"/>
      <w:lvlText w:val="%1"/>
      <w:lvlJc w:val="left"/>
      <w:pPr>
        <w:tabs>
          <w:tab w:val="left" w:pos="425"/>
        </w:tabs>
        <w:ind w:left="425" w:hanging="425"/>
      </w:pPr>
      <w:rPr>
        <w:rFonts w:hint="eastAsia"/>
        <w:b/>
      </w:rPr>
    </w:lvl>
    <w:lvl w:ilvl="1" w:tentative="0">
      <w:start w:val="1"/>
      <w:numFmt w:val="decimal"/>
      <w:lvlText w:val="%1.%2"/>
      <w:lvlJc w:val="left"/>
      <w:pPr>
        <w:tabs>
          <w:tab w:val="left" w:pos="992"/>
        </w:tabs>
        <w:ind w:left="992" w:hanging="567"/>
      </w:pPr>
      <w:rPr>
        <w:rFonts w:hint="eastAsia" w:ascii="宋体" w:hAnsi="宋体" w:eastAsia="宋体"/>
        <w:b w:val="0"/>
        <w:color w:val="auto"/>
      </w:rPr>
    </w:lvl>
    <w:lvl w:ilvl="2" w:tentative="0">
      <w:start w:val="1"/>
      <w:numFmt w:val="decimal"/>
      <w:lvlText w:val="(%3)"/>
      <w:lvlJc w:val="left"/>
      <w:pPr>
        <w:tabs>
          <w:tab w:val="left" w:pos="1271"/>
        </w:tabs>
        <w:ind w:left="1271" w:hanging="420"/>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9">
    <w:nsid w:val="00000040"/>
    <w:multiLevelType w:val="multilevel"/>
    <w:tmpl w:val="00000040"/>
    <w:lvl w:ilvl="0" w:tentative="0">
      <w:start w:val="1"/>
      <w:numFmt w:val="lowerLetter"/>
      <w:lvlText w:val="%1)"/>
      <w:lvlJc w:val="left"/>
      <w:pPr>
        <w:ind w:left="1391" w:hanging="420"/>
      </w:pPr>
    </w:lvl>
    <w:lvl w:ilvl="1" w:tentative="0">
      <w:start w:val="1"/>
      <w:numFmt w:val="lowerLetter"/>
      <w:lvlText w:val="%2)"/>
      <w:lvlJc w:val="left"/>
      <w:pPr>
        <w:ind w:left="1811" w:hanging="420"/>
      </w:pPr>
    </w:lvl>
    <w:lvl w:ilvl="2" w:tentative="0">
      <w:start w:val="1"/>
      <w:numFmt w:val="lowerRoman"/>
      <w:lvlText w:val="%3."/>
      <w:lvlJc w:val="right"/>
      <w:pPr>
        <w:ind w:left="2231" w:hanging="420"/>
      </w:pPr>
    </w:lvl>
    <w:lvl w:ilvl="3" w:tentative="0">
      <w:start w:val="1"/>
      <w:numFmt w:val="decimal"/>
      <w:lvlText w:val="%4."/>
      <w:lvlJc w:val="left"/>
      <w:pPr>
        <w:ind w:left="2651" w:hanging="420"/>
      </w:pPr>
    </w:lvl>
    <w:lvl w:ilvl="4" w:tentative="0">
      <w:start w:val="1"/>
      <w:numFmt w:val="lowerLetter"/>
      <w:lvlText w:val="%5)"/>
      <w:lvlJc w:val="left"/>
      <w:pPr>
        <w:ind w:left="3071" w:hanging="420"/>
      </w:pPr>
    </w:lvl>
    <w:lvl w:ilvl="5" w:tentative="0">
      <w:start w:val="1"/>
      <w:numFmt w:val="lowerRoman"/>
      <w:lvlText w:val="%6."/>
      <w:lvlJc w:val="right"/>
      <w:pPr>
        <w:ind w:left="3491" w:hanging="420"/>
      </w:pPr>
    </w:lvl>
    <w:lvl w:ilvl="6" w:tentative="0">
      <w:start w:val="1"/>
      <w:numFmt w:val="decimal"/>
      <w:lvlText w:val="%7."/>
      <w:lvlJc w:val="left"/>
      <w:pPr>
        <w:ind w:left="3911" w:hanging="420"/>
      </w:pPr>
    </w:lvl>
    <w:lvl w:ilvl="7" w:tentative="0">
      <w:start w:val="1"/>
      <w:numFmt w:val="lowerLetter"/>
      <w:lvlText w:val="%8)"/>
      <w:lvlJc w:val="left"/>
      <w:pPr>
        <w:ind w:left="4331" w:hanging="420"/>
      </w:pPr>
    </w:lvl>
    <w:lvl w:ilvl="8" w:tentative="0">
      <w:start w:val="1"/>
      <w:numFmt w:val="lowerRoman"/>
      <w:lvlText w:val="%9."/>
      <w:lvlJc w:val="right"/>
      <w:pPr>
        <w:ind w:left="4751" w:hanging="420"/>
      </w:pPr>
    </w:lvl>
  </w:abstractNum>
  <w:abstractNum w:abstractNumId="20">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4957543"/>
    <w:multiLevelType w:val="multilevel"/>
    <w:tmpl w:val="0495754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pStyle w:val="38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7CB2C9E"/>
    <w:multiLevelType w:val="multilevel"/>
    <w:tmpl w:val="07CB2C9E"/>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ascii="宋体" w:hAnsi="宋体" w:eastAsia="宋体"/>
        <w:color w:val="auto"/>
      </w:rPr>
    </w:lvl>
    <w:lvl w:ilvl="2" w:tentative="0">
      <w:start w:val="1"/>
      <w:numFmt w:val="decimal"/>
      <w:lvlText w:val="(%3)"/>
      <w:lvlJc w:val="left"/>
      <w:pPr>
        <w:tabs>
          <w:tab w:val="left" w:pos="1271"/>
        </w:tabs>
        <w:ind w:left="1271" w:hanging="420"/>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23">
    <w:nsid w:val="0A494028"/>
    <w:multiLevelType w:val="multilevel"/>
    <w:tmpl w:val="0A49402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B903B18"/>
    <w:multiLevelType w:val="multilevel"/>
    <w:tmpl w:val="0B903B18"/>
    <w:lvl w:ilvl="0" w:tentative="0">
      <w:start w:val="5"/>
      <w:numFmt w:val="decimal"/>
      <w:lvlText w:val="%1"/>
      <w:lvlJc w:val="left"/>
      <w:pPr>
        <w:tabs>
          <w:tab w:val="left" w:pos="425"/>
        </w:tabs>
        <w:ind w:left="425" w:hanging="425"/>
      </w:pPr>
      <w:rPr>
        <w:rFonts w:hint="eastAsia"/>
        <w:b/>
      </w:rPr>
    </w:lvl>
    <w:lvl w:ilvl="1" w:tentative="0">
      <w:start w:val="1"/>
      <w:numFmt w:val="chineseCountingThousand"/>
      <w:lvlText w:val="(%2)"/>
      <w:lvlJc w:val="left"/>
      <w:pPr>
        <w:tabs>
          <w:tab w:val="left" w:pos="992"/>
        </w:tabs>
        <w:ind w:left="992" w:hanging="567"/>
      </w:pPr>
      <w:rPr>
        <w:rFonts w:hint="eastAsia"/>
        <w:b/>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25">
    <w:nsid w:val="0DC62694"/>
    <w:multiLevelType w:val="multilevel"/>
    <w:tmpl w:val="0DC62694"/>
    <w:lvl w:ilvl="0" w:tentative="0">
      <w:start w:val="1"/>
      <w:numFmt w:val="decimal"/>
      <w:lvlText w:val="%1"/>
      <w:lvlJc w:val="left"/>
      <w:pPr>
        <w:tabs>
          <w:tab w:val="left" w:pos="425"/>
        </w:tabs>
        <w:ind w:left="425" w:hanging="425"/>
      </w:pPr>
      <w:rPr>
        <w:rFonts w:hint="eastAsia"/>
        <w:b/>
      </w:rPr>
    </w:lvl>
    <w:lvl w:ilvl="1" w:tentative="0">
      <w:start w:val="1"/>
      <w:numFmt w:val="decimal"/>
      <w:lvlText w:val="%1.%2"/>
      <w:lvlJc w:val="left"/>
      <w:pPr>
        <w:tabs>
          <w:tab w:val="left" w:pos="992"/>
        </w:tabs>
        <w:ind w:left="992" w:hanging="567"/>
      </w:pPr>
      <w:rPr>
        <w:rFonts w:hint="eastAsia" w:ascii="宋体" w:hAnsi="宋体" w:eastAsia="宋体"/>
        <w:b w:val="0"/>
        <w:color w:val="auto"/>
      </w:rPr>
    </w:lvl>
    <w:lvl w:ilvl="2" w:tentative="0">
      <w:start w:val="1"/>
      <w:numFmt w:val="decimal"/>
      <w:lvlText w:val="(%3)"/>
      <w:lvlJc w:val="left"/>
      <w:pPr>
        <w:tabs>
          <w:tab w:val="left" w:pos="1271"/>
        </w:tabs>
        <w:ind w:left="1271" w:hanging="420"/>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26">
    <w:nsid w:val="0E1E55C0"/>
    <w:multiLevelType w:val="multilevel"/>
    <w:tmpl w:val="0E1E55C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EFC1DA4"/>
    <w:multiLevelType w:val="multilevel"/>
    <w:tmpl w:val="0EFC1DA4"/>
    <w:lvl w:ilvl="0" w:tentative="0">
      <w:start w:val="1"/>
      <w:numFmt w:val="japaneseCounting"/>
      <w:lvlText w:val="（%1）"/>
      <w:lvlJc w:val="left"/>
      <w:pPr>
        <w:ind w:left="1080" w:hanging="720"/>
      </w:pPr>
      <w:rPr>
        <w:rFonts w:hint="default"/>
        <w:color w:val="000000"/>
      </w:rPr>
    </w:lvl>
    <w:lvl w:ilvl="1" w:tentative="0">
      <w:start w:val="3"/>
      <w:numFmt w:val="decimal"/>
      <w:lvlText w:val="%2、"/>
      <w:lvlJc w:val="left"/>
      <w:pPr>
        <w:ind w:left="1500" w:hanging="720"/>
      </w:pPr>
      <w:rPr>
        <w:rFonts w:hint="default"/>
        <w:color w:val="000000"/>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8">
    <w:nsid w:val="183C604A"/>
    <w:multiLevelType w:val="singleLevel"/>
    <w:tmpl w:val="183C604A"/>
    <w:lvl w:ilvl="0" w:tentative="0">
      <w:start w:val="1"/>
      <w:numFmt w:val="japaneseCounting"/>
      <w:lvlText w:val="%1、"/>
      <w:lvlJc w:val="left"/>
      <w:pPr>
        <w:tabs>
          <w:tab w:val="left" w:pos="960"/>
        </w:tabs>
        <w:ind w:left="960" w:hanging="480"/>
      </w:pPr>
      <w:rPr>
        <w:rFonts w:hint="eastAsia"/>
        <w:b/>
      </w:rPr>
    </w:lvl>
  </w:abstractNum>
  <w:abstractNum w:abstractNumId="29">
    <w:nsid w:val="19A9267F"/>
    <w:multiLevelType w:val="multilevel"/>
    <w:tmpl w:val="19A9267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ascii="宋体" w:hAnsi="宋体" w:eastAsia="宋体"/>
        <w:color w:val="auto"/>
      </w:rPr>
    </w:lvl>
    <w:lvl w:ilvl="2" w:tentative="0">
      <w:start w:val="1"/>
      <w:numFmt w:val="decimal"/>
      <w:lvlText w:val="(%3)"/>
      <w:lvlJc w:val="left"/>
      <w:pPr>
        <w:tabs>
          <w:tab w:val="left" w:pos="1271"/>
        </w:tabs>
        <w:ind w:left="1271" w:hanging="420"/>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30">
    <w:nsid w:val="1B6073F2"/>
    <w:multiLevelType w:val="multilevel"/>
    <w:tmpl w:val="1B6073F2"/>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pStyle w:val="431"/>
      <w:lvlText w:val="%5)"/>
      <w:lvlJc w:val="left"/>
      <w:pPr>
        <w:ind w:left="2100" w:hanging="420"/>
      </w:pPr>
    </w:lvl>
    <w:lvl w:ilvl="5" w:tentative="0">
      <w:start w:val="1"/>
      <w:numFmt w:val="lowerRoman"/>
      <w:pStyle w:val="390"/>
      <w:lvlText w:val="%6."/>
      <w:lvlJc w:val="right"/>
      <w:pPr>
        <w:ind w:left="2520" w:hanging="420"/>
      </w:pPr>
    </w:lvl>
    <w:lvl w:ilvl="6" w:tentative="0">
      <w:start w:val="1"/>
      <w:numFmt w:val="decimal"/>
      <w:pStyle w:val="417"/>
      <w:lvlText w:val="%7."/>
      <w:lvlJc w:val="left"/>
      <w:pPr>
        <w:ind w:left="2940" w:hanging="420"/>
      </w:pPr>
    </w:lvl>
    <w:lvl w:ilvl="7" w:tentative="0">
      <w:start w:val="1"/>
      <w:numFmt w:val="lowerLetter"/>
      <w:pStyle w:val="450"/>
      <w:lvlText w:val="%8)"/>
      <w:lvlJc w:val="left"/>
      <w:pPr>
        <w:ind w:left="3360" w:hanging="420"/>
      </w:pPr>
    </w:lvl>
    <w:lvl w:ilvl="8" w:tentative="0">
      <w:start w:val="1"/>
      <w:numFmt w:val="lowerRoman"/>
      <w:pStyle w:val="457"/>
      <w:lvlText w:val="%9."/>
      <w:lvlJc w:val="right"/>
      <w:pPr>
        <w:ind w:left="3780" w:hanging="420"/>
      </w:pPr>
    </w:lvl>
  </w:abstractNum>
  <w:abstractNum w:abstractNumId="32">
    <w:nsid w:val="30ED4166"/>
    <w:multiLevelType w:val="multilevel"/>
    <w:tmpl w:val="30ED4166"/>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510"/>
        </w:tabs>
        <w:ind w:left="510" w:hanging="510"/>
      </w:pPr>
      <w:rPr>
        <w:rFonts w:hint="default"/>
      </w:rPr>
    </w:lvl>
    <w:lvl w:ilvl="2" w:tentative="0">
      <w:start w:val="1"/>
      <w:numFmt w:val="decimal"/>
      <w:lvlText w:val="%3)"/>
      <w:lvlJc w:val="left"/>
      <w:pPr>
        <w:tabs>
          <w:tab w:val="left" w:pos="840"/>
        </w:tabs>
        <w:ind w:left="840" w:hanging="420"/>
      </w:pPr>
      <w:rPr>
        <w:rFonts w:hint="eastAsia"/>
        <w:color w:val="auto"/>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3">
    <w:nsid w:val="318A3BD0"/>
    <w:multiLevelType w:val="multilevel"/>
    <w:tmpl w:val="318A3BD0"/>
    <w:lvl w:ilvl="0" w:tentative="0">
      <w:start w:val="1"/>
      <w:numFmt w:val="decimal"/>
      <w:lvlText w:val="%1"/>
      <w:lvlJc w:val="left"/>
      <w:pPr>
        <w:tabs>
          <w:tab w:val="left" w:pos="425"/>
        </w:tabs>
        <w:ind w:left="425" w:hanging="425"/>
      </w:pPr>
      <w:rPr>
        <w:b/>
      </w:rPr>
    </w:lvl>
    <w:lvl w:ilvl="1" w:tentative="0">
      <w:start w:val="1"/>
      <w:numFmt w:val="decimal"/>
      <w:lvlText w:val="1.%2."/>
      <w:lvlJc w:val="left"/>
      <w:pPr>
        <w:tabs>
          <w:tab w:val="left" w:pos="992"/>
        </w:tabs>
        <w:ind w:left="992" w:hanging="567"/>
      </w:pPr>
      <w:rPr>
        <w:rFonts w:hint="eastAsia"/>
        <w:b/>
      </w:r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399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202"/>
        </w:tabs>
        <w:ind w:left="5102" w:hanging="1700"/>
      </w:pPr>
    </w:lvl>
  </w:abstractNum>
  <w:abstractNum w:abstractNumId="34">
    <w:nsid w:val="326D2AD7"/>
    <w:multiLevelType w:val="multilevel"/>
    <w:tmpl w:val="326D2AD7"/>
    <w:lvl w:ilvl="0" w:tentative="0">
      <w:start w:val="3"/>
      <w:numFmt w:val="decimal"/>
      <w:lvlText w:val="%1"/>
      <w:lvlJc w:val="left"/>
      <w:pPr>
        <w:ind w:left="360" w:hanging="360"/>
      </w:pPr>
      <w:rPr>
        <w:rFonts w:hint="default"/>
      </w:rPr>
    </w:lvl>
    <w:lvl w:ilvl="1" w:tentative="0">
      <w:start w:val="1"/>
      <w:numFmt w:val="decimal"/>
      <w:lvlText w:val="1-%2"/>
      <w:lvlJc w:val="left"/>
      <w:pPr>
        <w:ind w:left="540" w:hanging="360"/>
      </w:pPr>
      <w:rPr>
        <w:rFonts w:hint="eastAsia"/>
        <w:sz w:val="21"/>
        <w:szCs w:val="21"/>
      </w:rPr>
    </w:lvl>
    <w:lvl w:ilvl="2" w:tentative="0">
      <w:start w:val="1"/>
      <w:numFmt w:val="decimal"/>
      <w:lvlText w:val="%1-%2.%3"/>
      <w:lvlJc w:val="left"/>
      <w:pPr>
        <w:ind w:left="1080" w:hanging="720"/>
      </w:pPr>
      <w:rPr>
        <w:rFonts w:hint="default"/>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1800" w:hanging="108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520" w:hanging="144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240" w:hanging="1800"/>
      </w:pPr>
      <w:rPr>
        <w:rFonts w:hint="default"/>
      </w:rPr>
    </w:lvl>
  </w:abstractNum>
  <w:abstractNum w:abstractNumId="35">
    <w:nsid w:val="33D07B2F"/>
    <w:multiLevelType w:val="multilevel"/>
    <w:tmpl w:val="33D07B2F"/>
    <w:lvl w:ilvl="0" w:tentative="0">
      <w:start w:val="1"/>
      <w:numFmt w:val="decimal"/>
      <w:lvlText w:val="%1."/>
      <w:lvlJc w:val="left"/>
      <w:pPr>
        <w:tabs>
          <w:tab w:val="left" w:pos="1260"/>
        </w:tabs>
        <w:ind w:left="12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358F7A7C"/>
    <w:multiLevelType w:val="multilevel"/>
    <w:tmpl w:val="358F7A7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376F4EEB"/>
    <w:multiLevelType w:val="multilevel"/>
    <w:tmpl w:val="376F4EEB"/>
    <w:lvl w:ilvl="0" w:tentative="0">
      <w:start w:val="3"/>
      <w:numFmt w:val="decimal"/>
      <w:lvlText w:val="%1"/>
      <w:lvlJc w:val="left"/>
      <w:pPr>
        <w:ind w:left="360" w:hanging="360"/>
      </w:pPr>
      <w:rPr>
        <w:rFonts w:hint="default"/>
      </w:rPr>
    </w:lvl>
    <w:lvl w:ilvl="1" w:tentative="0">
      <w:start w:val="1"/>
      <w:numFmt w:val="decimal"/>
      <w:pStyle w:val="507"/>
      <w:lvlText w:val="%1.%2"/>
      <w:lvlJc w:val="left"/>
      <w:pPr>
        <w:ind w:left="644" w:hanging="360"/>
      </w:pPr>
      <w:rPr>
        <w:rFonts w:hint="default" w:ascii="Times New Roman" w:hAnsi="Times New Roman" w:cs="Times New Roman"/>
        <w:b w:val="0"/>
      </w:rPr>
    </w:lvl>
    <w:lvl w:ilvl="2" w:tentative="0">
      <w:start w:val="1"/>
      <w:numFmt w:val="decimal"/>
      <w:pStyle w:val="508"/>
      <w:lvlText w:val="%1.%2.%3"/>
      <w:lvlJc w:val="left"/>
      <w:pPr>
        <w:ind w:left="720" w:hanging="720"/>
      </w:pPr>
      <w:rPr>
        <w:rFonts w:hint="default"/>
        <w:b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8">
    <w:nsid w:val="41D96DD1"/>
    <w:multiLevelType w:val="multilevel"/>
    <w:tmpl w:val="41D96DD1"/>
    <w:lvl w:ilvl="0" w:tentative="0">
      <w:start w:val="1"/>
      <w:numFmt w:val="decimal"/>
      <w:lvlText w:val="%1、"/>
      <w:lvlJc w:val="left"/>
      <w:pPr>
        <w:tabs>
          <w:tab w:val="left" w:pos="900"/>
        </w:tabs>
        <w:ind w:left="900" w:hanging="720"/>
      </w:pPr>
    </w:lvl>
    <w:lvl w:ilvl="1" w:tentative="0">
      <w:start w:val="1"/>
      <w:numFmt w:val="decimal"/>
      <w:lvlText w:val="%2."/>
      <w:lvlJc w:val="left"/>
      <w:pPr>
        <w:tabs>
          <w:tab w:val="left" w:pos="1060"/>
        </w:tabs>
        <w:ind w:left="1060" w:hanging="360"/>
      </w:pPr>
      <w:rPr>
        <w:rFonts w:hint="eastAsia"/>
      </w:rPr>
    </w:lvl>
    <w:lvl w:ilvl="2" w:tentative="0">
      <w:start w:val="1"/>
      <w:numFmt w:val="decimal"/>
      <w:lvlText w:val="%3."/>
      <w:lvlJc w:val="left"/>
      <w:pPr>
        <w:tabs>
          <w:tab w:val="left" w:pos="1780"/>
        </w:tabs>
        <w:ind w:left="1780" w:hanging="360"/>
      </w:pPr>
    </w:lvl>
    <w:lvl w:ilvl="3" w:tentative="0">
      <w:start w:val="1"/>
      <w:numFmt w:val="decimal"/>
      <w:lvlText w:val="%4."/>
      <w:lvlJc w:val="left"/>
      <w:pPr>
        <w:tabs>
          <w:tab w:val="left" w:pos="2500"/>
        </w:tabs>
        <w:ind w:left="2500" w:hanging="360"/>
      </w:pPr>
    </w:lvl>
    <w:lvl w:ilvl="4" w:tentative="0">
      <w:start w:val="1"/>
      <w:numFmt w:val="decimal"/>
      <w:lvlText w:val="%5."/>
      <w:lvlJc w:val="left"/>
      <w:pPr>
        <w:tabs>
          <w:tab w:val="left" w:pos="3220"/>
        </w:tabs>
        <w:ind w:left="3220" w:hanging="360"/>
      </w:pPr>
    </w:lvl>
    <w:lvl w:ilvl="5" w:tentative="0">
      <w:start w:val="1"/>
      <w:numFmt w:val="decimal"/>
      <w:lvlText w:val="%6."/>
      <w:lvlJc w:val="left"/>
      <w:pPr>
        <w:tabs>
          <w:tab w:val="left" w:pos="3940"/>
        </w:tabs>
        <w:ind w:left="3940" w:hanging="360"/>
      </w:pPr>
    </w:lvl>
    <w:lvl w:ilvl="6" w:tentative="0">
      <w:start w:val="1"/>
      <w:numFmt w:val="decimal"/>
      <w:lvlText w:val="%7."/>
      <w:lvlJc w:val="left"/>
      <w:pPr>
        <w:tabs>
          <w:tab w:val="left" w:pos="4660"/>
        </w:tabs>
        <w:ind w:left="4660" w:hanging="360"/>
      </w:pPr>
    </w:lvl>
    <w:lvl w:ilvl="7" w:tentative="0">
      <w:start w:val="1"/>
      <w:numFmt w:val="decimal"/>
      <w:lvlText w:val="%8."/>
      <w:lvlJc w:val="left"/>
      <w:pPr>
        <w:tabs>
          <w:tab w:val="left" w:pos="5380"/>
        </w:tabs>
        <w:ind w:left="5380" w:hanging="360"/>
      </w:pPr>
    </w:lvl>
    <w:lvl w:ilvl="8" w:tentative="0">
      <w:start w:val="1"/>
      <w:numFmt w:val="decimal"/>
      <w:lvlText w:val="%9."/>
      <w:lvlJc w:val="left"/>
      <w:pPr>
        <w:tabs>
          <w:tab w:val="left" w:pos="6100"/>
        </w:tabs>
        <w:ind w:left="6100" w:hanging="360"/>
      </w:pPr>
    </w:lvl>
  </w:abstractNum>
  <w:abstractNum w:abstractNumId="39">
    <w:nsid w:val="44510D5A"/>
    <w:multiLevelType w:val="multilevel"/>
    <w:tmpl w:val="44510D5A"/>
    <w:lvl w:ilvl="0" w:tentative="0">
      <w:start w:val="1"/>
      <w:numFmt w:val="japaneseCounting"/>
      <w:lvlText w:val="%1、"/>
      <w:lvlJc w:val="left"/>
      <w:pPr>
        <w:ind w:left="720" w:hanging="72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450F1E8A"/>
    <w:multiLevelType w:val="multilevel"/>
    <w:tmpl w:val="450F1E8A"/>
    <w:lvl w:ilvl="0" w:tentative="0">
      <w:start w:val="1"/>
      <w:numFmt w:val="decimal"/>
      <w:lvlText w:val="19.%1"/>
      <w:lvlJc w:val="left"/>
      <w:pPr>
        <w:tabs>
          <w:tab w:val="left" w:pos="720"/>
        </w:tabs>
        <w:ind w:left="720" w:hanging="720"/>
      </w:pPr>
      <w:rPr>
        <w:rFonts w:hint="default"/>
      </w:rPr>
    </w:lvl>
    <w:lvl w:ilvl="1" w:tentative="0">
      <w:start w:val="1"/>
      <w:numFmt w:val="decimalEnclosedCircle"/>
      <w:lvlText w:val="%2"/>
      <w:lvlJc w:val="left"/>
      <w:pPr>
        <w:tabs>
          <w:tab w:val="left" w:pos="780"/>
        </w:tabs>
        <w:ind w:left="780" w:hanging="360"/>
      </w:pPr>
      <w:rPr>
        <w:rFonts w:hint="default"/>
      </w:rPr>
    </w:lvl>
    <w:lvl w:ilvl="2" w:tentative="0">
      <w:start w:val="23"/>
      <w:numFmt w:val="decimal"/>
      <w:lvlText w:val="%3．"/>
      <w:lvlJc w:val="left"/>
      <w:pPr>
        <w:tabs>
          <w:tab w:val="left" w:pos="1260"/>
        </w:tabs>
        <w:ind w:left="1260" w:hanging="420"/>
      </w:pPr>
      <w:rPr>
        <w:rFonts w:hint="default"/>
        <w:b/>
        <w:i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4C8137C7"/>
    <w:multiLevelType w:val="multilevel"/>
    <w:tmpl w:val="4C8137C7"/>
    <w:lvl w:ilvl="0" w:tentative="0">
      <w:start w:val="3"/>
      <w:numFmt w:val="decimal"/>
      <w:lvlText w:val="%1"/>
      <w:lvlJc w:val="left"/>
      <w:pPr>
        <w:tabs>
          <w:tab w:val="left" w:pos="425"/>
        </w:tabs>
        <w:ind w:left="425" w:hanging="425"/>
      </w:pPr>
      <w:rPr>
        <w:rFonts w:hint="eastAsia"/>
      </w:rPr>
    </w:lvl>
    <w:lvl w:ilvl="1" w:tentative="0">
      <w:start w:val="1"/>
      <w:numFmt w:val="decimal"/>
      <w:lvlText w:val="%2."/>
      <w:lvlJc w:val="left"/>
      <w:pPr>
        <w:tabs>
          <w:tab w:val="left" w:pos="992"/>
        </w:tabs>
        <w:ind w:left="992" w:hanging="567"/>
      </w:pPr>
      <w:rPr>
        <w:rFonts w:hint="eastAsia"/>
        <w:b w:val="0"/>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42">
    <w:nsid w:val="4DF03FC9"/>
    <w:multiLevelType w:val="multilevel"/>
    <w:tmpl w:val="4DF03FC9"/>
    <w:lvl w:ilvl="0" w:tentative="0">
      <w:start w:val="1"/>
      <w:numFmt w:val="decimal"/>
      <w:pStyle w:val="381"/>
      <w:lvlText w:val="%1、"/>
      <w:lvlJc w:val="left"/>
      <w:pPr>
        <w:tabs>
          <w:tab w:val="left" w:pos="900"/>
        </w:tabs>
        <w:ind w:left="900" w:hanging="720"/>
      </w:pPr>
    </w:lvl>
    <w:lvl w:ilvl="1" w:tentative="0">
      <w:start w:val="1"/>
      <w:numFmt w:val="decimal"/>
      <w:lvlText w:val="%2."/>
      <w:lvlJc w:val="left"/>
      <w:pPr>
        <w:tabs>
          <w:tab w:val="left" w:pos="1060"/>
        </w:tabs>
        <w:ind w:left="1060" w:hanging="360"/>
      </w:pPr>
      <w:rPr>
        <w:rFonts w:hint="eastAsia"/>
      </w:rPr>
    </w:lvl>
    <w:lvl w:ilvl="2" w:tentative="0">
      <w:start w:val="1"/>
      <w:numFmt w:val="decimal"/>
      <w:lvlText w:val="%3."/>
      <w:lvlJc w:val="left"/>
      <w:pPr>
        <w:tabs>
          <w:tab w:val="left" w:pos="1780"/>
        </w:tabs>
        <w:ind w:left="1780" w:hanging="360"/>
      </w:pPr>
    </w:lvl>
    <w:lvl w:ilvl="3" w:tentative="0">
      <w:start w:val="1"/>
      <w:numFmt w:val="decimal"/>
      <w:lvlText w:val="%4."/>
      <w:lvlJc w:val="left"/>
      <w:pPr>
        <w:tabs>
          <w:tab w:val="left" w:pos="2500"/>
        </w:tabs>
        <w:ind w:left="2500" w:hanging="360"/>
      </w:pPr>
    </w:lvl>
    <w:lvl w:ilvl="4" w:tentative="0">
      <w:start w:val="1"/>
      <w:numFmt w:val="decimal"/>
      <w:lvlText w:val="%5."/>
      <w:lvlJc w:val="left"/>
      <w:pPr>
        <w:tabs>
          <w:tab w:val="left" w:pos="3220"/>
        </w:tabs>
        <w:ind w:left="3220" w:hanging="360"/>
      </w:pPr>
    </w:lvl>
    <w:lvl w:ilvl="5" w:tentative="0">
      <w:start w:val="1"/>
      <w:numFmt w:val="decimal"/>
      <w:lvlText w:val="%6."/>
      <w:lvlJc w:val="left"/>
      <w:pPr>
        <w:tabs>
          <w:tab w:val="left" w:pos="3940"/>
        </w:tabs>
        <w:ind w:left="3940" w:hanging="360"/>
      </w:pPr>
    </w:lvl>
    <w:lvl w:ilvl="6" w:tentative="0">
      <w:start w:val="1"/>
      <w:numFmt w:val="decimal"/>
      <w:lvlText w:val="%7."/>
      <w:lvlJc w:val="left"/>
      <w:pPr>
        <w:tabs>
          <w:tab w:val="left" w:pos="4660"/>
        </w:tabs>
        <w:ind w:left="4660" w:hanging="360"/>
      </w:pPr>
    </w:lvl>
    <w:lvl w:ilvl="7" w:tentative="0">
      <w:start w:val="1"/>
      <w:numFmt w:val="decimal"/>
      <w:lvlText w:val="%8."/>
      <w:lvlJc w:val="left"/>
      <w:pPr>
        <w:tabs>
          <w:tab w:val="left" w:pos="5380"/>
        </w:tabs>
        <w:ind w:left="5380" w:hanging="360"/>
      </w:pPr>
    </w:lvl>
    <w:lvl w:ilvl="8" w:tentative="0">
      <w:start w:val="1"/>
      <w:numFmt w:val="decimal"/>
      <w:lvlText w:val="%9."/>
      <w:lvlJc w:val="left"/>
      <w:pPr>
        <w:tabs>
          <w:tab w:val="left" w:pos="6100"/>
        </w:tabs>
        <w:ind w:left="6100" w:hanging="360"/>
      </w:pPr>
    </w:lvl>
  </w:abstractNum>
  <w:abstractNum w:abstractNumId="43">
    <w:nsid w:val="4F5F332F"/>
    <w:multiLevelType w:val="multilevel"/>
    <w:tmpl w:val="4F5F332F"/>
    <w:lvl w:ilvl="0" w:tentative="0">
      <w:start w:val="1"/>
      <w:numFmt w:val="decimal"/>
      <w:pStyle w:val="378"/>
      <w:lvlText w:val="%1、"/>
      <w:lvlJc w:val="left"/>
      <w:pPr>
        <w:tabs>
          <w:tab w:val="left" w:pos="900"/>
        </w:tabs>
        <w:ind w:left="900" w:hanging="720"/>
      </w:pPr>
    </w:lvl>
    <w:lvl w:ilvl="1" w:tentative="0">
      <w:start w:val="1"/>
      <w:numFmt w:val="decimal"/>
      <w:lvlText w:val="%2."/>
      <w:lvlJc w:val="left"/>
      <w:pPr>
        <w:tabs>
          <w:tab w:val="left" w:pos="1060"/>
        </w:tabs>
        <w:ind w:left="1060" w:hanging="360"/>
      </w:pPr>
      <w:rPr>
        <w:rFonts w:hint="eastAsia"/>
      </w:rPr>
    </w:lvl>
    <w:lvl w:ilvl="2" w:tentative="0">
      <w:start w:val="1"/>
      <w:numFmt w:val="decimal"/>
      <w:lvlText w:val="%3."/>
      <w:lvlJc w:val="left"/>
      <w:pPr>
        <w:tabs>
          <w:tab w:val="left" w:pos="1780"/>
        </w:tabs>
        <w:ind w:left="1780" w:hanging="360"/>
      </w:pPr>
    </w:lvl>
    <w:lvl w:ilvl="3" w:tentative="0">
      <w:start w:val="1"/>
      <w:numFmt w:val="decimal"/>
      <w:lvlText w:val="%4."/>
      <w:lvlJc w:val="left"/>
      <w:pPr>
        <w:tabs>
          <w:tab w:val="left" w:pos="2500"/>
        </w:tabs>
        <w:ind w:left="2500" w:hanging="360"/>
      </w:pPr>
    </w:lvl>
    <w:lvl w:ilvl="4" w:tentative="0">
      <w:start w:val="1"/>
      <w:numFmt w:val="decimal"/>
      <w:lvlText w:val="%5."/>
      <w:lvlJc w:val="left"/>
      <w:pPr>
        <w:tabs>
          <w:tab w:val="left" w:pos="3220"/>
        </w:tabs>
        <w:ind w:left="3220" w:hanging="360"/>
      </w:pPr>
    </w:lvl>
    <w:lvl w:ilvl="5" w:tentative="0">
      <w:start w:val="1"/>
      <w:numFmt w:val="decimal"/>
      <w:lvlText w:val="%6."/>
      <w:lvlJc w:val="left"/>
      <w:pPr>
        <w:tabs>
          <w:tab w:val="left" w:pos="3940"/>
        </w:tabs>
        <w:ind w:left="3940" w:hanging="360"/>
      </w:pPr>
    </w:lvl>
    <w:lvl w:ilvl="6" w:tentative="0">
      <w:start w:val="1"/>
      <w:numFmt w:val="decimal"/>
      <w:lvlText w:val="%7."/>
      <w:lvlJc w:val="left"/>
      <w:pPr>
        <w:tabs>
          <w:tab w:val="left" w:pos="4660"/>
        </w:tabs>
        <w:ind w:left="4660" w:hanging="360"/>
      </w:pPr>
    </w:lvl>
    <w:lvl w:ilvl="7" w:tentative="0">
      <w:start w:val="1"/>
      <w:numFmt w:val="decimal"/>
      <w:lvlText w:val="%8."/>
      <w:lvlJc w:val="left"/>
      <w:pPr>
        <w:tabs>
          <w:tab w:val="left" w:pos="5380"/>
        </w:tabs>
        <w:ind w:left="5380" w:hanging="360"/>
      </w:pPr>
    </w:lvl>
    <w:lvl w:ilvl="8" w:tentative="0">
      <w:start w:val="1"/>
      <w:numFmt w:val="decimal"/>
      <w:lvlText w:val="%9."/>
      <w:lvlJc w:val="left"/>
      <w:pPr>
        <w:tabs>
          <w:tab w:val="left" w:pos="6100"/>
        </w:tabs>
        <w:ind w:left="6100" w:hanging="360"/>
      </w:pPr>
    </w:lvl>
  </w:abstractNum>
  <w:abstractNum w:abstractNumId="44">
    <w:nsid w:val="51BC4EB7"/>
    <w:multiLevelType w:val="multilevel"/>
    <w:tmpl w:val="51BC4EB7"/>
    <w:lvl w:ilvl="0" w:tentative="0">
      <w:start w:val="2"/>
      <w:numFmt w:val="decimal"/>
      <w:lvlText w:val="%1"/>
      <w:lvlJc w:val="left"/>
      <w:pPr>
        <w:ind w:left="360" w:hanging="360"/>
      </w:pPr>
      <w:rPr>
        <w:rFonts w:hint="default" w:eastAsia="宋体"/>
        <w:b/>
      </w:rPr>
    </w:lvl>
    <w:lvl w:ilvl="1" w:tentative="0">
      <w:start w:val="1"/>
      <w:numFmt w:val="decimal"/>
      <w:lvlText w:val="%1-%2"/>
      <w:lvlJc w:val="left"/>
      <w:pPr>
        <w:ind w:left="900" w:hanging="360"/>
      </w:pPr>
      <w:rPr>
        <w:rFonts w:hint="default" w:eastAsia="宋体"/>
        <w:b/>
      </w:rPr>
    </w:lvl>
    <w:lvl w:ilvl="2" w:tentative="0">
      <w:start w:val="1"/>
      <w:numFmt w:val="decimal"/>
      <w:lvlText w:val="%1-%2.%3"/>
      <w:lvlJc w:val="left"/>
      <w:pPr>
        <w:ind w:left="1800" w:hanging="720"/>
      </w:pPr>
      <w:rPr>
        <w:rFonts w:hint="default" w:eastAsia="宋体"/>
        <w:b/>
      </w:rPr>
    </w:lvl>
    <w:lvl w:ilvl="3" w:tentative="0">
      <w:start w:val="1"/>
      <w:numFmt w:val="decimal"/>
      <w:lvlText w:val="%1-%2.%3.%4"/>
      <w:lvlJc w:val="left"/>
      <w:pPr>
        <w:ind w:left="2700" w:hanging="1080"/>
      </w:pPr>
      <w:rPr>
        <w:rFonts w:hint="default" w:eastAsia="宋体"/>
        <w:b/>
      </w:rPr>
    </w:lvl>
    <w:lvl w:ilvl="4" w:tentative="0">
      <w:start w:val="1"/>
      <w:numFmt w:val="decimal"/>
      <w:lvlText w:val="%1-%2.%3.%4.%5"/>
      <w:lvlJc w:val="left"/>
      <w:pPr>
        <w:ind w:left="3240" w:hanging="1080"/>
      </w:pPr>
      <w:rPr>
        <w:rFonts w:hint="default" w:eastAsia="宋体"/>
        <w:b/>
      </w:rPr>
    </w:lvl>
    <w:lvl w:ilvl="5" w:tentative="0">
      <w:start w:val="1"/>
      <w:numFmt w:val="decimal"/>
      <w:lvlText w:val="%1-%2.%3.%4.%5.%6"/>
      <w:lvlJc w:val="left"/>
      <w:pPr>
        <w:ind w:left="4140" w:hanging="1440"/>
      </w:pPr>
      <w:rPr>
        <w:rFonts w:hint="default" w:eastAsia="宋体"/>
        <w:b/>
      </w:rPr>
    </w:lvl>
    <w:lvl w:ilvl="6" w:tentative="0">
      <w:start w:val="1"/>
      <w:numFmt w:val="decimal"/>
      <w:lvlText w:val="%1-%2.%3.%4.%5.%6.%7"/>
      <w:lvlJc w:val="left"/>
      <w:pPr>
        <w:ind w:left="4680" w:hanging="1440"/>
      </w:pPr>
      <w:rPr>
        <w:rFonts w:hint="default" w:eastAsia="宋体"/>
        <w:b/>
      </w:rPr>
    </w:lvl>
    <w:lvl w:ilvl="7" w:tentative="0">
      <w:start w:val="1"/>
      <w:numFmt w:val="decimal"/>
      <w:lvlText w:val="%1-%2.%3.%4.%5.%6.%7.%8"/>
      <w:lvlJc w:val="left"/>
      <w:pPr>
        <w:ind w:left="5580" w:hanging="1800"/>
      </w:pPr>
      <w:rPr>
        <w:rFonts w:hint="default" w:eastAsia="宋体"/>
        <w:b/>
      </w:rPr>
    </w:lvl>
    <w:lvl w:ilvl="8" w:tentative="0">
      <w:start w:val="1"/>
      <w:numFmt w:val="decimal"/>
      <w:lvlText w:val="%1-%2.%3.%4.%5.%6.%7.%8.%9"/>
      <w:lvlJc w:val="left"/>
      <w:pPr>
        <w:ind w:left="6120" w:hanging="1800"/>
      </w:pPr>
      <w:rPr>
        <w:rFonts w:hint="default" w:eastAsia="宋体"/>
        <w:b/>
      </w:rPr>
    </w:lvl>
  </w:abstractNum>
  <w:abstractNum w:abstractNumId="45">
    <w:nsid w:val="526065B0"/>
    <w:multiLevelType w:val="multilevel"/>
    <w:tmpl w:val="526065B0"/>
    <w:lvl w:ilvl="0" w:tentative="0">
      <w:start w:val="1"/>
      <w:numFmt w:val="decimal"/>
      <w:lvlText w:val="%1"/>
      <w:lvlJc w:val="left"/>
      <w:pPr>
        <w:tabs>
          <w:tab w:val="left" w:pos="420"/>
        </w:tabs>
        <w:ind w:left="420" w:hanging="420"/>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bullet"/>
      <w:lvlText w:val=""/>
      <w:lvlJc w:val="left"/>
      <w:pPr>
        <w:tabs>
          <w:tab w:val="left" w:pos="1271"/>
        </w:tabs>
        <w:ind w:left="1271" w:hanging="420"/>
      </w:pPr>
      <w:rPr>
        <w:rFonts w:hint="default" w:ascii="Wingdings" w:hAnsi="Wingdings"/>
        <w:b w:val="0"/>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46">
    <w:nsid w:val="5C322488"/>
    <w:multiLevelType w:val="multilevel"/>
    <w:tmpl w:val="5C32248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F2853D6"/>
    <w:multiLevelType w:val="multilevel"/>
    <w:tmpl w:val="5F2853D6"/>
    <w:lvl w:ilvl="0" w:tentative="0">
      <w:start w:val="1"/>
      <w:numFmt w:val="decimal"/>
      <w:lvlText w:val="3.%1."/>
      <w:lvlJc w:val="left"/>
      <w:pPr>
        <w:ind w:left="845" w:hanging="420"/>
      </w:pPr>
      <w:rPr>
        <w:rFonts w:hint="eastAsia"/>
        <w:b/>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8">
    <w:nsid w:val="608941DD"/>
    <w:multiLevelType w:val="multilevel"/>
    <w:tmpl w:val="608941DD"/>
    <w:lvl w:ilvl="0" w:tentative="0">
      <w:start w:val="1"/>
      <w:numFmt w:val="decimal"/>
      <w:lvlText w:val="%1、"/>
      <w:lvlJc w:val="left"/>
      <w:pPr>
        <w:ind w:left="1080" w:hanging="72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9">
    <w:nsid w:val="61F94B54"/>
    <w:multiLevelType w:val="multilevel"/>
    <w:tmpl w:val="61F94B54"/>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0">
    <w:nsid w:val="62761D1E"/>
    <w:multiLevelType w:val="multilevel"/>
    <w:tmpl w:val="62761D1E"/>
    <w:lvl w:ilvl="0" w:tentative="0">
      <w:start w:val="1"/>
      <w:numFmt w:val="decimal"/>
      <w:lvlText w:val="%1"/>
      <w:lvlJc w:val="left"/>
      <w:pPr>
        <w:tabs>
          <w:tab w:val="left" w:pos="425"/>
        </w:tabs>
        <w:ind w:left="425" w:hanging="425"/>
      </w:pPr>
      <w:rPr>
        <w:rFonts w:hint="eastAsia"/>
        <w:b/>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51">
    <w:nsid w:val="62A06D36"/>
    <w:multiLevelType w:val="multilevel"/>
    <w:tmpl w:val="62A06D36"/>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510"/>
        </w:tabs>
        <w:ind w:left="510" w:hanging="510"/>
      </w:pPr>
      <w:rPr>
        <w:rFonts w:hint="default"/>
      </w:rPr>
    </w:lvl>
    <w:lvl w:ilvl="2" w:tentative="0">
      <w:start w:val="1"/>
      <w:numFmt w:val="decimal"/>
      <w:lvlText w:val="%3)"/>
      <w:lvlJc w:val="left"/>
      <w:pPr>
        <w:tabs>
          <w:tab w:val="left" w:pos="840"/>
        </w:tabs>
        <w:ind w:left="840" w:hanging="420"/>
      </w:pPr>
      <w:rPr>
        <w:rFonts w:hint="eastAsia"/>
        <w:color w:val="auto"/>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52">
    <w:nsid w:val="65B87E8B"/>
    <w:multiLevelType w:val="multilevel"/>
    <w:tmpl w:val="65B87E8B"/>
    <w:lvl w:ilvl="0" w:tentative="0">
      <w:start w:val="1"/>
      <w:numFmt w:val="decimal"/>
      <w:pStyle w:val="395"/>
      <w:lvlText w:val="%1"/>
      <w:lvlJc w:val="left"/>
      <w:pPr>
        <w:tabs>
          <w:tab w:val="left" w:pos="425"/>
        </w:tabs>
        <w:ind w:left="425" w:hanging="425"/>
      </w:pPr>
      <w:rPr>
        <w:b/>
      </w:rPr>
    </w:lvl>
    <w:lvl w:ilvl="1" w:tentative="0">
      <w:start w:val="1"/>
      <w:numFmt w:val="decimal"/>
      <w:lvlText w:val="%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399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202"/>
        </w:tabs>
        <w:ind w:left="5102" w:hanging="1700"/>
      </w:pPr>
    </w:lvl>
  </w:abstractNum>
  <w:abstractNum w:abstractNumId="53">
    <w:nsid w:val="67EF7D61"/>
    <w:multiLevelType w:val="multilevel"/>
    <w:tmpl w:val="67EF7D6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val="0"/>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54">
    <w:nsid w:val="682D60D7"/>
    <w:multiLevelType w:val="multilevel"/>
    <w:tmpl w:val="682D60D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68C6AA64"/>
    <w:multiLevelType w:val="multilevel"/>
    <w:tmpl w:val="68C6AA64"/>
    <w:lvl w:ilvl="0" w:tentative="0">
      <w:start w:val="1"/>
      <w:numFmt w:val="decimal"/>
      <w:lvlText w:val="%1、"/>
      <w:lvlJc w:val="left"/>
      <w:pPr>
        <w:tabs>
          <w:tab w:val="left" w:pos="900"/>
        </w:tabs>
        <w:ind w:left="900" w:hanging="720"/>
      </w:pPr>
    </w:lvl>
    <w:lvl w:ilvl="1" w:tentative="0">
      <w:start w:val="1"/>
      <w:numFmt w:val="decimal"/>
      <w:lvlText w:val="%2."/>
      <w:lvlJc w:val="left"/>
      <w:pPr>
        <w:tabs>
          <w:tab w:val="left" w:pos="1060"/>
        </w:tabs>
        <w:ind w:left="1060" w:hanging="360"/>
      </w:pPr>
      <w:rPr>
        <w:rFonts w:hint="eastAsia"/>
      </w:rPr>
    </w:lvl>
    <w:lvl w:ilvl="2" w:tentative="0">
      <w:start w:val="1"/>
      <w:numFmt w:val="decimal"/>
      <w:lvlText w:val="%3."/>
      <w:lvlJc w:val="left"/>
      <w:pPr>
        <w:tabs>
          <w:tab w:val="left" w:pos="1780"/>
        </w:tabs>
        <w:ind w:left="1780" w:hanging="360"/>
      </w:pPr>
    </w:lvl>
    <w:lvl w:ilvl="3" w:tentative="0">
      <w:start w:val="1"/>
      <w:numFmt w:val="decimal"/>
      <w:lvlText w:val="%4."/>
      <w:lvlJc w:val="left"/>
      <w:pPr>
        <w:tabs>
          <w:tab w:val="left" w:pos="2500"/>
        </w:tabs>
        <w:ind w:left="2500" w:hanging="360"/>
      </w:pPr>
    </w:lvl>
    <w:lvl w:ilvl="4" w:tentative="0">
      <w:start w:val="1"/>
      <w:numFmt w:val="decimal"/>
      <w:lvlText w:val="%5."/>
      <w:lvlJc w:val="left"/>
      <w:pPr>
        <w:tabs>
          <w:tab w:val="left" w:pos="3220"/>
        </w:tabs>
        <w:ind w:left="3220" w:hanging="360"/>
      </w:pPr>
    </w:lvl>
    <w:lvl w:ilvl="5" w:tentative="0">
      <w:start w:val="1"/>
      <w:numFmt w:val="decimal"/>
      <w:lvlText w:val="%6."/>
      <w:lvlJc w:val="left"/>
      <w:pPr>
        <w:tabs>
          <w:tab w:val="left" w:pos="3940"/>
        </w:tabs>
        <w:ind w:left="3940" w:hanging="360"/>
      </w:pPr>
    </w:lvl>
    <w:lvl w:ilvl="6" w:tentative="0">
      <w:start w:val="1"/>
      <w:numFmt w:val="decimal"/>
      <w:lvlText w:val="%7."/>
      <w:lvlJc w:val="left"/>
      <w:pPr>
        <w:tabs>
          <w:tab w:val="left" w:pos="4660"/>
        </w:tabs>
        <w:ind w:left="4660" w:hanging="360"/>
      </w:pPr>
    </w:lvl>
    <w:lvl w:ilvl="7" w:tentative="0">
      <w:start w:val="1"/>
      <w:numFmt w:val="decimal"/>
      <w:lvlText w:val="%8."/>
      <w:lvlJc w:val="left"/>
      <w:pPr>
        <w:tabs>
          <w:tab w:val="left" w:pos="5380"/>
        </w:tabs>
        <w:ind w:left="5380" w:hanging="360"/>
      </w:pPr>
    </w:lvl>
    <w:lvl w:ilvl="8" w:tentative="0">
      <w:start w:val="1"/>
      <w:numFmt w:val="decimal"/>
      <w:lvlText w:val="%9."/>
      <w:lvlJc w:val="left"/>
      <w:pPr>
        <w:tabs>
          <w:tab w:val="left" w:pos="6100"/>
        </w:tabs>
        <w:ind w:left="6100" w:hanging="360"/>
      </w:pPr>
    </w:lvl>
  </w:abstractNum>
  <w:abstractNum w:abstractNumId="56">
    <w:nsid w:val="6A476BC4"/>
    <w:multiLevelType w:val="multilevel"/>
    <w:tmpl w:val="6A476BC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b w: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7">
    <w:nsid w:val="6DBB6A53"/>
    <w:multiLevelType w:val="multilevel"/>
    <w:tmpl w:val="6DBB6A53"/>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val="0"/>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58">
    <w:nsid w:val="6E230785"/>
    <w:multiLevelType w:val="multilevel"/>
    <w:tmpl w:val="6E230785"/>
    <w:lvl w:ilvl="0" w:tentative="0">
      <w:start w:val="1"/>
      <w:numFmt w:val="bullet"/>
      <w:pStyle w:val="359"/>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9">
    <w:nsid w:val="6E394D43"/>
    <w:multiLevelType w:val="multilevel"/>
    <w:tmpl w:val="6E394D43"/>
    <w:lvl w:ilvl="0" w:tentative="0">
      <w:start w:val="1"/>
      <w:numFmt w:val="decimal"/>
      <w:lvlText w:val="%1、"/>
      <w:lvlJc w:val="left"/>
      <w:pPr>
        <w:tabs>
          <w:tab w:val="left" w:pos="900"/>
        </w:tabs>
        <w:ind w:left="900" w:hanging="720"/>
      </w:pPr>
    </w:lvl>
    <w:lvl w:ilvl="1" w:tentative="0">
      <w:start w:val="1"/>
      <w:numFmt w:val="decimal"/>
      <w:lvlText w:val="%2."/>
      <w:lvlJc w:val="left"/>
      <w:pPr>
        <w:tabs>
          <w:tab w:val="left" w:pos="1060"/>
        </w:tabs>
        <w:ind w:left="1060" w:hanging="360"/>
      </w:pPr>
    </w:lvl>
    <w:lvl w:ilvl="2" w:tentative="0">
      <w:start w:val="1"/>
      <w:numFmt w:val="decimal"/>
      <w:lvlText w:val="%3."/>
      <w:lvlJc w:val="left"/>
      <w:pPr>
        <w:tabs>
          <w:tab w:val="left" w:pos="1780"/>
        </w:tabs>
        <w:ind w:left="1780" w:hanging="360"/>
      </w:pPr>
    </w:lvl>
    <w:lvl w:ilvl="3" w:tentative="0">
      <w:start w:val="1"/>
      <w:numFmt w:val="decimal"/>
      <w:lvlText w:val="%4."/>
      <w:lvlJc w:val="left"/>
      <w:pPr>
        <w:tabs>
          <w:tab w:val="left" w:pos="2500"/>
        </w:tabs>
        <w:ind w:left="2500" w:hanging="360"/>
      </w:pPr>
    </w:lvl>
    <w:lvl w:ilvl="4" w:tentative="0">
      <w:start w:val="1"/>
      <w:numFmt w:val="decimal"/>
      <w:lvlText w:val="%5."/>
      <w:lvlJc w:val="left"/>
      <w:pPr>
        <w:tabs>
          <w:tab w:val="left" w:pos="3220"/>
        </w:tabs>
        <w:ind w:left="3220" w:hanging="360"/>
      </w:pPr>
    </w:lvl>
    <w:lvl w:ilvl="5" w:tentative="0">
      <w:start w:val="1"/>
      <w:numFmt w:val="decimal"/>
      <w:lvlText w:val="%6."/>
      <w:lvlJc w:val="left"/>
      <w:pPr>
        <w:tabs>
          <w:tab w:val="left" w:pos="3940"/>
        </w:tabs>
        <w:ind w:left="3940" w:hanging="360"/>
      </w:pPr>
    </w:lvl>
    <w:lvl w:ilvl="6" w:tentative="0">
      <w:start w:val="1"/>
      <w:numFmt w:val="decimal"/>
      <w:lvlText w:val="%7."/>
      <w:lvlJc w:val="left"/>
      <w:pPr>
        <w:tabs>
          <w:tab w:val="left" w:pos="4660"/>
        </w:tabs>
        <w:ind w:left="4660" w:hanging="360"/>
      </w:pPr>
    </w:lvl>
    <w:lvl w:ilvl="7" w:tentative="0">
      <w:start w:val="1"/>
      <w:numFmt w:val="decimal"/>
      <w:lvlText w:val="%8."/>
      <w:lvlJc w:val="left"/>
      <w:pPr>
        <w:tabs>
          <w:tab w:val="left" w:pos="5380"/>
        </w:tabs>
        <w:ind w:left="5380" w:hanging="360"/>
      </w:pPr>
    </w:lvl>
    <w:lvl w:ilvl="8" w:tentative="0">
      <w:start w:val="1"/>
      <w:numFmt w:val="decimal"/>
      <w:lvlText w:val="%9."/>
      <w:lvlJc w:val="left"/>
      <w:pPr>
        <w:tabs>
          <w:tab w:val="left" w:pos="6100"/>
        </w:tabs>
        <w:ind w:left="6100" w:hanging="360"/>
      </w:pPr>
    </w:lvl>
  </w:abstractNum>
  <w:abstractNum w:abstractNumId="60">
    <w:nsid w:val="73C7A916"/>
    <w:multiLevelType w:val="singleLevel"/>
    <w:tmpl w:val="73C7A916"/>
    <w:lvl w:ilvl="0" w:tentative="0">
      <w:start w:val="1"/>
      <w:numFmt w:val="decimal"/>
      <w:lvlText w:val="%1."/>
      <w:lvlJc w:val="left"/>
    </w:lvl>
  </w:abstractNum>
  <w:abstractNum w:abstractNumId="61">
    <w:nsid w:val="76736AD7"/>
    <w:multiLevelType w:val="multilevel"/>
    <w:tmpl w:val="76736AD7"/>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2">
    <w:nsid w:val="7F204BF1"/>
    <w:multiLevelType w:val="multilevel"/>
    <w:tmpl w:val="7F204BF1"/>
    <w:lvl w:ilvl="0" w:tentative="0">
      <w:start w:val="3"/>
      <w:numFmt w:val="decimal"/>
      <w:lvlText w:val="%1"/>
      <w:lvlJc w:val="left"/>
      <w:pPr>
        <w:ind w:left="360" w:hanging="360"/>
      </w:pPr>
      <w:rPr>
        <w:rFonts w:hint="default"/>
      </w:rPr>
    </w:lvl>
    <w:lvl w:ilvl="1" w:tentative="0">
      <w:start w:val="1"/>
      <w:numFmt w:val="decimal"/>
      <w:lvlText w:val="%1-%2"/>
      <w:lvlJc w:val="left"/>
      <w:pPr>
        <w:ind w:left="540" w:hanging="360"/>
      </w:pPr>
      <w:rPr>
        <w:rFonts w:hint="default" w:ascii="宋体" w:hAnsi="宋体" w:eastAsia="宋体"/>
        <w:sz w:val="21"/>
        <w:szCs w:val="21"/>
      </w:rPr>
    </w:lvl>
    <w:lvl w:ilvl="2" w:tentative="0">
      <w:start w:val="1"/>
      <w:numFmt w:val="decimal"/>
      <w:lvlText w:val="%1-%2.%3"/>
      <w:lvlJc w:val="left"/>
      <w:pPr>
        <w:ind w:left="1080" w:hanging="720"/>
      </w:pPr>
      <w:rPr>
        <w:rFonts w:hint="default"/>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1800" w:hanging="108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520" w:hanging="144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240" w:hanging="1800"/>
      </w:pPr>
      <w:rPr>
        <w:rFonts w:hint="default"/>
      </w:rPr>
    </w:lvl>
  </w:abstractNum>
  <w:num w:numId="1">
    <w:abstractNumId w:val="14"/>
  </w:num>
  <w:num w:numId="2">
    <w:abstractNumId w:val="58"/>
  </w:num>
  <w:num w:numId="3">
    <w:abstractNumId w:val="43"/>
  </w:num>
  <w:num w:numId="4">
    <w:abstractNumId w:val="42"/>
  </w:num>
  <w:num w:numId="5">
    <w:abstractNumId w:val="21"/>
  </w:num>
  <w:num w:numId="6">
    <w:abstractNumId w:val="31"/>
  </w:num>
  <w:num w:numId="7">
    <w:abstractNumId w:val="52"/>
  </w:num>
  <w:num w:numId="8">
    <w:abstractNumId w:val="37"/>
  </w:num>
  <w:num w:numId="9">
    <w:abstractNumId w:val="38"/>
  </w:num>
  <w:num w:numId="10">
    <w:abstractNumId w:val="55"/>
  </w:num>
  <w:num w:numId="11">
    <w:abstractNumId w:val="5"/>
  </w:num>
  <w:num w:numId="12">
    <w:abstractNumId w:val="17"/>
  </w:num>
  <w:num w:numId="13">
    <w:abstractNumId w:val="4"/>
  </w:num>
  <w:num w:numId="14">
    <w:abstractNumId w:val="8"/>
  </w:num>
  <w:num w:numId="15">
    <w:abstractNumId w:val="6"/>
  </w:num>
  <w:num w:numId="16">
    <w:abstractNumId w:val="45"/>
  </w:num>
  <w:num w:numId="17">
    <w:abstractNumId w:val="53"/>
  </w:num>
  <w:num w:numId="18">
    <w:abstractNumId w:val="57"/>
  </w:num>
  <w:num w:numId="19">
    <w:abstractNumId w:val="1"/>
  </w:num>
  <w:num w:numId="20">
    <w:abstractNumId w:val="40"/>
  </w:num>
  <w:num w:numId="21">
    <w:abstractNumId w:val="40"/>
    <w:lvlOverride w:ilvl="1">
      <w:startOverride w:val="1"/>
    </w:lvlOverride>
  </w:num>
  <w:num w:numId="22">
    <w:abstractNumId w:val="10"/>
  </w:num>
  <w:num w:numId="23">
    <w:abstractNumId w:val="7"/>
  </w:num>
  <w:num w:numId="24">
    <w:abstractNumId w:val="56"/>
  </w:num>
  <w:num w:numId="25">
    <w:abstractNumId w:val="50"/>
  </w:num>
  <w:num w:numId="26">
    <w:abstractNumId w:val="18"/>
  </w:num>
  <w:num w:numId="27">
    <w:abstractNumId w:val="41"/>
  </w:num>
  <w:num w:numId="28">
    <w:abstractNumId w:val="25"/>
  </w:num>
  <w:num w:numId="29">
    <w:abstractNumId w:val="9"/>
  </w:num>
  <w:num w:numId="30">
    <w:abstractNumId w:val="16"/>
  </w:num>
  <w:num w:numId="31">
    <w:abstractNumId w:val="22"/>
  </w:num>
  <w:num w:numId="32">
    <w:abstractNumId w:val="15"/>
  </w:num>
  <w:num w:numId="33">
    <w:abstractNumId w:val="29"/>
  </w:num>
  <w:num w:numId="34">
    <w:abstractNumId w:val="5"/>
    <w:lvlOverride w:ilvl="1">
      <w:startOverride w:val="1"/>
    </w:lvlOverride>
  </w:num>
  <w:num w:numId="35">
    <w:abstractNumId w:val="28"/>
  </w:num>
  <w:num w:numId="36">
    <w:abstractNumId w:val="60"/>
  </w:num>
  <w:num w:numId="37">
    <w:abstractNumId w:val="0"/>
  </w:num>
  <w:num w:numId="38">
    <w:abstractNumId w:val="33"/>
  </w:num>
  <w:num w:numId="39">
    <w:abstractNumId w:val="47"/>
  </w:num>
  <w:num w:numId="40">
    <w:abstractNumId w:val="12"/>
  </w:num>
  <w:num w:numId="41">
    <w:abstractNumId w:val="11"/>
  </w:num>
  <w:num w:numId="42">
    <w:abstractNumId w:val="3"/>
  </w:num>
  <w:num w:numId="43">
    <w:abstractNumId w:val="19"/>
  </w:num>
  <w:num w:numId="44">
    <w:abstractNumId w:val="24"/>
  </w:num>
  <w:num w:numId="45">
    <w:abstractNumId w:val="2"/>
  </w:num>
  <w:num w:numId="46">
    <w:abstractNumId w:val="59"/>
  </w:num>
  <w:num w:numId="47">
    <w:abstractNumId w:val="30"/>
  </w:num>
  <w:num w:numId="48">
    <w:abstractNumId w:val="61"/>
  </w:num>
  <w:num w:numId="49">
    <w:abstractNumId w:val="54"/>
  </w:num>
  <w:num w:numId="50">
    <w:abstractNumId w:val="46"/>
  </w:num>
  <w:num w:numId="51">
    <w:abstractNumId w:val="36"/>
  </w:num>
  <w:num w:numId="52">
    <w:abstractNumId w:val="44"/>
  </w:num>
  <w:num w:numId="53">
    <w:abstractNumId w:val="62"/>
  </w:num>
  <w:num w:numId="54">
    <w:abstractNumId w:val="20"/>
  </w:num>
  <w:num w:numId="55">
    <w:abstractNumId w:val="51"/>
  </w:num>
  <w:num w:numId="56">
    <w:abstractNumId w:val="35"/>
  </w:num>
  <w:num w:numId="57">
    <w:abstractNumId w:val="23"/>
  </w:num>
  <w:num w:numId="58">
    <w:abstractNumId w:val="39"/>
  </w:num>
  <w:num w:numId="59">
    <w:abstractNumId w:val="27"/>
  </w:num>
  <w:num w:numId="60">
    <w:abstractNumId w:val="48"/>
  </w:num>
  <w:num w:numId="61">
    <w:abstractNumId w:val="49"/>
  </w:num>
  <w:num w:numId="62">
    <w:abstractNumId w:val="26"/>
  </w:num>
  <w:num w:numId="63">
    <w:abstractNumId w:val="34"/>
  </w:num>
  <w:num w:numId="64">
    <w:abstractNumId w:val="32"/>
  </w:num>
  <w:num w:numId="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hideSpellingErrors/>
  <w:documentProtection w:enforcement="0"/>
  <w:defaultTabStop w:val="420"/>
  <w:drawingGridHorizontalSpacing w:val="120"/>
  <w:drawingGridVerticalSpacing w:val="16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6D"/>
    <w:rsid w:val="00001AB1"/>
    <w:rsid w:val="0000205E"/>
    <w:rsid w:val="000053E5"/>
    <w:rsid w:val="0000557E"/>
    <w:rsid w:val="00006110"/>
    <w:rsid w:val="00006975"/>
    <w:rsid w:val="000076C7"/>
    <w:rsid w:val="00007C71"/>
    <w:rsid w:val="00010D07"/>
    <w:rsid w:val="0001177D"/>
    <w:rsid w:val="00011BBF"/>
    <w:rsid w:val="00013E58"/>
    <w:rsid w:val="0001461D"/>
    <w:rsid w:val="00014799"/>
    <w:rsid w:val="000154AB"/>
    <w:rsid w:val="0001559C"/>
    <w:rsid w:val="000168CA"/>
    <w:rsid w:val="00016AEF"/>
    <w:rsid w:val="00020BAC"/>
    <w:rsid w:val="00021423"/>
    <w:rsid w:val="00021E7E"/>
    <w:rsid w:val="00022091"/>
    <w:rsid w:val="000220EC"/>
    <w:rsid w:val="000237DA"/>
    <w:rsid w:val="00023922"/>
    <w:rsid w:val="00024E67"/>
    <w:rsid w:val="000275A6"/>
    <w:rsid w:val="00027971"/>
    <w:rsid w:val="00030A33"/>
    <w:rsid w:val="00031163"/>
    <w:rsid w:val="000317D7"/>
    <w:rsid w:val="00035FEE"/>
    <w:rsid w:val="00037A3C"/>
    <w:rsid w:val="00037E06"/>
    <w:rsid w:val="00040A05"/>
    <w:rsid w:val="00043DB5"/>
    <w:rsid w:val="00044A24"/>
    <w:rsid w:val="00044C0A"/>
    <w:rsid w:val="00046985"/>
    <w:rsid w:val="00046BD4"/>
    <w:rsid w:val="00046D5D"/>
    <w:rsid w:val="00047228"/>
    <w:rsid w:val="00047738"/>
    <w:rsid w:val="00051379"/>
    <w:rsid w:val="00051538"/>
    <w:rsid w:val="0005284F"/>
    <w:rsid w:val="00052E61"/>
    <w:rsid w:val="0005303B"/>
    <w:rsid w:val="00053B2B"/>
    <w:rsid w:val="00054BEB"/>
    <w:rsid w:val="0005684B"/>
    <w:rsid w:val="00056B0B"/>
    <w:rsid w:val="00056C98"/>
    <w:rsid w:val="00056FBF"/>
    <w:rsid w:val="00057009"/>
    <w:rsid w:val="000578B8"/>
    <w:rsid w:val="000601E3"/>
    <w:rsid w:val="000602BF"/>
    <w:rsid w:val="00060F90"/>
    <w:rsid w:val="00062767"/>
    <w:rsid w:val="00063B29"/>
    <w:rsid w:val="000643B1"/>
    <w:rsid w:val="00066224"/>
    <w:rsid w:val="0006643E"/>
    <w:rsid w:val="00066676"/>
    <w:rsid w:val="00066E05"/>
    <w:rsid w:val="00066E25"/>
    <w:rsid w:val="00066ECA"/>
    <w:rsid w:val="00067951"/>
    <w:rsid w:val="00071623"/>
    <w:rsid w:val="000716A6"/>
    <w:rsid w:val="000717E3"/>
    <w:rsid w:val="00072767"/>
    <w:rsid w:val="000807AF"/>
    <w:rsid w:val="00080D7D"/>
    <w:rsid w:val="00081DEA"/>
    <w:rsid w:val="000821C1"/>
    <w:rsid w:val="00082365"/>
    <w:rsid w:val="000824FF"/>
    <w:rsid w:val="00083236"/>
    <w:rsid w:val="000835E7"/>
    <w:rsid w:val="000842EE"/>
    <w:rsid w:val="00084878"/>
    <w:rsid w:val="00084CEB"/>
    <w:rsid w:val="00085E42"/>
    <w:rsid w:val="000872C8"/>
    <w:rsid w:val="0008744E"/>
    <w:rsid w:val="00087F97"/>
    <w:rsid w:val="00090128"/>
    <w:rsid w:val="00093D02"/>
    <w:rsid w:val="00094577"/>
    <w:rsid w:val="00095717"/>
    <w:rsid w:val="000958E9"/>
    <w:rsid w:val="00095C52"/>
    <w:rsid w:val="00096560"/>
    <w:rsid w:val="000969DD"/>
    <w:rsid w:val="00097463"/>
    <w:rsid w:val="000A0617"/>
    <w:rsid w:val="000A0747"/>
    <w:rsid w:val="000A0B88"/>
    <w:rsid w:val="000A23FE"/>
    <w:rsid w:val="000A31B0"/>
    <w:rsid w:val="000A3AED"/>
    <w:rsid w:val="000A475D"/>
    <w:rsid w:val="000A53F3"/>
    <w:rsid w:val="000A71BF"/>
    <w:rsid w:val="000A7710"/>
    <w:rsid w:val="000B142A"/>
    <w:rsid w:val="000B32B9"/>
    <w:rsid w:val="000B4241"/>
    <w:rsid w:val="000B493E"/>
    <w:rsid w:val="000C05BD"/>
    <w:rsid w:val="000C072C"/>
    <w:rsid w:val="000C0D23"/>
    <w:rsid w:val="000C18F1"/>
    <w:rsid w:val="000C37A6"/>
    <w:rsid w:val="000C4263"/>
    <w:rsid w:val="000C70E0"/>
    <w:rsid w:val="000C7D2D"/>
    <w:rsid w:val="000C7DC0"/>
    <w:rsid w:val="000D1332"/>
    <w:rsid w:val="000D38CB"/>
    <w:rsid w:val="000D4097"/>
    <w:rsid w:val="000D4762"/>
    <w:rsid w:val="000D515F"/>
    <w:rsid w:val="000D5BBB"/>
    <w:rsid w:val="000D5CCD"/>
    <w:rsid w:val="000D6C2C"/>
    <w:rsid w:val="000E1A2A"/>
    <w:rsid w:val="000E462A"/>
    <w:rsid w:val="000E4B44"/>
    <w:rsid w:val="000E5AFA"/>
    <w:rsid w:val="000E5F38"/>
    <w:rsid w:val="000E6424"/>
    <w:rsid w:val="000E6696"/>
    <w:rsid w:val="000E67B5"/>
    <w:rsid w:val="000E6838"/>
    <w:rsid w:val="000F07B2"/>
    <w:rsid w:val="000F0C29"/>
    <w:rsid w:val="000F251F"/>
    <w:rsid w:val="000F276B"/>
    <w:rsid w:val="000F2DAD"/>
    <w:rsid w:val="000F2DF0"/>
    <w:rsid w:val="000F698B"/>
    <w:rsid w:val="000F6B51"/>
    <w:rsid w:val="000F7624"/>
    <w:rsid w:val="000F7759"/>
    <w:rsid w:val="00102B09"/>
    <w:rsid w:val="0010377F"/>
    <w:rsid w:val="0010767B"/>
    <w:rsid w:val="001102B6"/>
    <w:rsid w:val="001116EC"/>
    <w:rsid w:val="00111D56"/>
    <w:rsid w:val="00113291"/>
    <w:rsid w:val="001144A7"/>
    <w:rsid w:val="00115FC6"/>
    <w:rsid w:val="001161D7"/>
    <w:rsid w:val="00117ED6"/>
    <w:rsid w:val="001203DF"/>
    <w:rsid w:val="00120697"/>
    <w:rsid w:val="00120943"/>
    <w:rsid w:val="00120D66"/>
    <w:rsid w:val="00120FB9"/>
    <w:rsid w:val="001225B3"/>
    <w:rsid w:val="001227C8"/>
    <w:rsid w:val="001233E1"/>
    <w:rsid w:val="0012480E"/>
    <w:rsid w:val="001248C1"/>
    <w:rsid w:val="001267AC"/>
    <w:rsid w:val="00126AAB"/>
    <w:rsid w:val="00127103"/>
    <w:rsid w:val="00127ECA"/>
    <w:rsid w:val="001307A4"/>
    <w:rsid w:val="00131F47"/>
    <w:rsid w:val="0013224E"/>
    <w:rsid w:val="001324CC"/>
    <w:rsid w:val="001324DE"/>
    <w:rsid w:val="00132789"/>
    <w:rsid w:val="00133884"/>
    <w:rsid w:val="00134335"/>
    <w:rsid w:val="00136F46"/>
    <w:rsid w:val="00137317"/>
    <w:rsid w:val="00142066"/>
    <w:rsid w:val="00144A27"/>
    <w:rsid w:val="001453E0"/>
    <w:rsid w:val="00146875"/>
    <w:rsid w:val="00147999"/>
    <w:rsid w:val="00147B74"/>
    <w:rsid w:val="00150033"/>
    <w:rsid w:val="001506E1"/>
    <w:rsid w:val="00151616"/>
    <w:rsid w:val="00152504"/>
    <w:rsid w:val="00152590"/>
    <w:rsid w:val="00153214"/>
    <w:rsid w:val="0015335A"/>
    <w:rsid w:val="001550EF"/>
    <w:rsid w:val="001552ED"/>
    <w:rsid w:val="00156587"/>
    <w:rsid w:val="0015676F"/>
    <w:rsid w:val="00157138"/>
    <w:rsid w:val="00157296"/>
    <w:rsid w:val="0015793C"/>
    <w:rsid w:val="00157CCB"/>
    <w:rsid w:val="0016103C"/>
    <w:rsid w:val="00162100"/>
    <w:rsid w:val="00162EE0"/>
    <w:rsid w:val="001630A0"/>
    <w:rsid w:val="00163834"/>
    <w:rsid w:val="00163A76"/>
    <w:rsid w:val="001646D6"/>
    <w:rsid w:val="00164BB1"/>
    <w:rsid w:val="00164D8A"/>
    <w:rsid w:val="00165619"/>
    <w:rsid w:val="00165F6A"/>
    <w:rsid w:val="00166279"/>
    <w:rsid w:val="001715E6"/>
    <w:rsid w:val="00171F3C"/>
    <w:rsid w:val="00172A27"/>
    <w:rsid w:val="00172C37"/>
    <w:rsid w:val="001730DF"/>
    <w:rsid w:val="00173271"/>
    <w:rsid w:val="001733DB"/>
    <w:rsid w:val="00173DA8"/>
    <w:rsid w:val="001759A3"/>
    <w:rsid w:val="00175F49"/>
    <w:rsid w:val="00176F05"/>
    <w:rsid w:val="00180822"/>
    <w:rsid w:val="00182D2C"/>
    <w:rsid w:val="00183BC6"/>
    <w:rsid w:val="00184048"/>
    <w:rsid w:val="00184F5C"/>
    <w:rsid w:val="00185617"/>
    <w:rsid w:val="001857B9"/>
    <w:rsid w:val="0018768D"/>
    <w:rsid w:val="001917E4"/>
    <w:rsid w:val="00193CBF"/>
    <w:rsid w:val="00193DAE"/>
    <w:rsid w:val="00193F16"/>
    <w:rsid w:val="001951BA"/>
    <w:rsid w:val="00195F91"/>
    <w:rsid w:val="0019612D"/>
    <w:rsid w:val="001973C6"/>
    <w:rsid w:val="00197D2C"/>
    <w:rsid w:val="001A1D4E"/>
    <w:rsid w:val="001A23B1"/>
    <w:rsid w:val="001A24BE"/>
    <w:rsid w:val="001A2806"/>
    <w:rsid w:val="001A2BD2"/>
    <w:rsid w:val="001A4052"/>
    <w:rsid w:val="001A665D"/>
    <w:rsid w:val="001A6C23"/>
    <w:rsid w:val="001B0B16"/>
    <w:rsid w:val="001B3411"/>
    <w:rsid w:val="001B3BD8"/>
    <w:rsid w:val="001B4D5F"/>
    <w:rsid w:val="001B602D"/>
    <w:rsid w:val="001B6B5A"/>
    <w:rsid w:val="001B6F5F"/>
    <w:rsid w:val="001B7A29"/>
    <w:rsid w:val="001C0821"/>
    <w:rsid w:val="001C1A19"/>
    <w:rsid w:val="001C1CFA"/>
    <w:rsid w:val="001C225F"/>
    <w:rsid w:val="001C39CB"/>
    <w:rsid w:val="001C4AB9"/>
    <w:rsid w:val="001C549D"/>
    <w:rsid w:val="001C7E70"/>
    <w:rsid w:val="001D0599"/>
    <w:rsid w:val="001D1CC6"/>
    <w:rsid w:val="001D2581"/>
    <w:rsid w:val="001D3225"/>
    <w:rsid w:val="001D3C10"/>
    <w:rsid w:val="001D5849"/>
    <w:rsid w:val="001D5A7B"/>
    <w:rsid w:val="001D5B2D"/>
    <w:rsid w:val="001D6E41"/>
    <w:rsid w:val="001D7010"/>
    <w:rsid w:val="001E0259"/>
    <w:rsid w:val="001E0B63"/>
    <w:rsid w:val="001E16E6"/>
    <w:rsid w:val="001E1E97"/>
    <w:rsid w:val="001E21BC"/>
    <w:rsid w:val="001E2A88"/>
    <w:rsid w:val="001E34DA"/>
    <w:rsid w:val="001E702E"/>
    <w:rsid w:val="001E7F3D"/>
    <w:rsid w:val="001F031E"/>
    <w:rsid w:val="001F1A6E"/>
    <w:rsid w:val="001F1A8A"/>
    <w:rsid w:val="001F38BE"/>
    <w:rsid w:val="001F54FD"/>
    <w:rsid w:val="002005D3"/>
    <w:rsid w:val="00200785"/>
    <w:rsid w:val="00201328"/>
    <w:rsid w:val="002027AD"/>
    <w:rsid w:val="00204542"/>
    <w:rsid w:val="002051A3"/>
    <w:rsid w:val="002053F2"/>
    <w:rsid w:val="0020636B"/>
    <w:rsid w:val="0020685E"/>
    <w:rsid w:val="00206898"/>
    <w:rsid w:val="00206CA4"/>
    <w:rsid w:val="00206DF4"/>
    <w:rsid w:val="00206EF7"/>
    <w:rsid w:val="00207C07"/>
    <w:rsid w:val="0021016B"/>
    <w:rsid w:val="0021142B"/>
    <w:rsid w:val="00211536"/>
    <w:rsid w:val="00212A7E"/>
    <w:rsid w:val="00214118"/>
    <w:rsid w:val="00214562"/>
    <w:rsid w:val="00214805"/>
    <w:rsid w:val="00215A88"/>
    <w:rsid w:val="0021624C"/>
    <w:rsid w:val="00216613"/>
    <w:rsid w:val="002167BF"/>
    <w:rsid w:val="00216B0D"/>
    <w:rsid w:val="002176B7"/>
    <w:rsid w:val="00217F03"/>
    <w:rsid w:val="00220CAC"/>
    <w:rsid w:val="0022179A"/>
    <w:rsid w:val="002221BE"/>
    <w:rsid w:val="00222D8A"/>
    <w:rsid w:val="00227A46"/>
    <w:rsid w:val="00230193"/>
    <w:rsid w:val="002338BE"/>
    <w:rsid w:val="0023490F"/>
    <w:rsid w:val="00234AEB"/>
    <w:rsid w:val="0023506F"/>
    <w:rsid w:val="0024063F"/>
    <w:rsid w:val="0024189A"/>
    <w:rsid w:val="00241F57"/>
    <w:rsid w:val="00242491"/>
    <w:rsid w:val="00242CC4"/>
    <w:rsid w:val="00242F23"/>
    <w:rsid w:val="0024544E"/>
    <w:rsid w:val="00246606"/>
    <w:rsid w:val="0024660B"/>
    <w:rsid w:val="0024673A"/>
    <w:rsid w:val="00246769"/>
    <w:rsid w:val="00246D78"/>
    <w:rsid w:val="00250E74"/>
    <w:rsid w:val="00251F80"/>
    <w:rsid w:val="00252981"/>
    <w:rsid w:val="00254051"/>
    <w:rsid w:val="00255096"/>
    <w:rsid w:val="00256DF2"/>
    <w:rsid w:val="00257075"/>
    <w:rsid w:val="00260177"/>
    <w:rsid w:val="00261E82"/>
    <w:rsid w:val="00262359"/>
    <w:rsid w:val="0026425A"/>
    <w:rsid w:val="00265450"/>
    <w:rsid w:val="002656DC"/>
    <w:rsid w:val="00265B3E"/>
    <w:rsid w:val="0026732E"/>
    <w:rsid w:val="002703CF"/>
    <w:rsid w:val="0027116E"/>
    <w:rsid w:val="00271263"/>
    <w:rsid w:val="00271931"/>
    <w:rsid w:val="00273576"/>
    <w:rsid w:val="00273B60"/>
    <w:rsid w:val="00273DC5"/>
    <w:rsid w:val="00274E07"/>
    <w:rsid w:val="0027628D"/>
    <w:rsid w:val="00277AD3"/>
    <w:rsid w:val="00277C53"/>
    <w:rsid w:val="002800CE"/>
    <w:rsid w:val="00280D91"/>
    <w:rsid w:val="00281D4A"/>
    <w:rsid w:val="0028267A"/>
    <w:rsid w:val="0028285D"/>
    <w:rsid w:val="002828B3"/>
    <w:rsid w:val="00282C12"/>
    <w:rsid w:val="002832B1"/>
    <w:rsid w:val="00284069"/>
    <w:rsid w:val="002841E4"/>
    <w:rsid w:val="00284285"/>
    <w:rsid w:val="00284576"/>
    <w:rsid w:val="002865C5"/>
    <w:rsid w:val="002866D9"/>
    <w:rsid w:val="00287D20"/>
    <w:rsid w:val="00287FDF"/>
    <w:rsid w:val="002904B6"/>
    <w:rsid w:val="00291C76"/>
    <w:rsid w:val="002926C1"/>
    <w:rsid w:val="00294361"/>
    <w:rsid w:val="002944F1"/>
    <w:rsid w:val="00294EDE"/>
    <w:rsid w:val="00296545"/>
    <w:rsid w:val="00296BF5"/>
    <w:rsid w:val="00297479"/>
    <w:rsid w:val="002A05DB"/>
    <w:rsid w:val="002A0739"/>
    <w:rsid w:val="002A091D"/>
    <w:rsid w:val="002A17EC"/>
    <w:rsid w:val="002A2642"/>
    <w:rsid w:val="002A4E8D"/>
    <w:rsid w:val="002A5268"/>
    <w:rsid w:val="002A77DF"/>
    <w:rsid w:val="002B0128"/>
    <w:rsid w:val="002B047F"/>
    <w:rsid w:val="002B0698"/>
    <w:rsid w:val="002B0787"/>
    <w:rsid w:val="002B0BB9"/>
    <w:rsid w:val="002B1A30"/>
    <w:rsid w:val="002B1BD4"/>
    <w:rsid w:val="002B233E"/>
    <w:rsid w:val="002B385C"/>
    <w:rsid w:val="002B38D6"/>
    <w:rsid w:val="002B47C0"/>
    <w:rsid w:val="002B48B0"/>
    <w:rsid w:val="002B5CD5"/>
    <w:rsid w:val="002B5DE6"/>
    <w:rsid w:val="002B5F74"/>
    <w:rsid w:val="002B7B19"/>
    <w:rsid w:val="002C0F76"/>
    <w:rsid w:val="002C1092"/>
    <w:rsid w:val="002C29F8"/>
    <w:rsid w:val="002C309C"/>
    <w:rsid w:val="002C3AC0"/>
    <w:rsid w:val="002C568A"/>
    <w:rsid w:val="002C583C"/>
    <w:rsid w:val="002C5F32"/>
    <w:rsid w:val="002C729A"/>
    <w:rsid w:val="002D1A3A"/>
    <w:rsid w:val="002D2864"/>
    <w:rsid w:val="002D31EE"/>
    <w:rsid w:val="002D3535"/>
    <w:rsid w:val="002D36A1"/>
    <w:rsid w:val="002D3703"/>
    <w:rsid w:val="002D3E29"/>
    <w:rsid w:val="002D46D0"/>
    <w:rsid w:val="002D5AF9"/>
    <w:rsid w:val="002D7259"/>
    <w:rsid w:val="002D73F4"/>
    <w:rsid w:val="002E056A"/>
    <w:rsid w:val="002E0A03"/>
    <w:rsid w:val="002E108E"/>
    <w:rsid w:val="002E1147"/>
    <w:rsid w:val="002E1914"/>
    <w:rsid w:val="002E2292"/>
    <w:rsid w:val="002E2986"/>
    <w:rsid w:val="002E2FA0"/>
    <w:rsid w:val="002E3337"/>
    <w:rsid w:val="002E4466"/>
    <w:rsid w:val="002E4C78"/>
    <w:rsid w:val="002E5F23"/>
    <w:rsid w:val="002E669F"/>
    <w:rsid w:val="002F06F2"/>
    <w:rsid w:val="002F1DFC"/>
    <w:rsid w:val="002F236A"/>
    <w:rsid w:val="002F2EB3"/>
    <w:rsid w:val="002F3242"/>
    <w:rsid w:val="002F3901"/>
    <w:rsid w:val="002F4C6A"/>
    <w:rsid w:val="002F6052"/>
    <w:rsid w:val="002F6C32"/>
    <w:rsid w:val="002F6E6F"/>
    <w:rsid w:val="00300672"/>
    <w:rsid w:val="003014EA"/>
    <w:rsid w:val="00301B4C"/>
    <w:rsid w:val="00301B7D"/>
    <w:rsid w:val="00301D3F"/>
    <w:rsid w:val="00301F3A"/>
    <w:rsid w:val="00302400"/>
    <w:rsid w:val="00304DEB"/>
    <w:rsid w:val="00305B48"/>
    <w:rsid w:val="00305CD6"/>
    <w:rsid w:val="00306045"/>
    <w:rsid w:val="003075E5"/>
    <w:rsid w:val="003114DC"/>
    <w:rsid w:val="003127FD"/>
    <w:rsid w:val="00313758"/>
    <w:rsid w:val="003137AE"/>
    <w:rsid w:val="00313A93"/>
    <w:rsid w:val="00314EE2"/>
    <w:rsid w:val="00315CA6"/>
    <w:rsid w:val="00317E64"/>
    <w:rsid w:val="00320CBC"/>
    <w:rsid w:val="003217BA"/>
    <w:rsid w:val="00321EA1"/>
    <w:rsid w:val="003226A1"/>
    <w:rsid w:val="00323A76"/>
    <w:rsid w:val="00323D10"/>
    <w:rsid w:val="00323D7D"/>
    <w:rsid w:val="00324278"/>
    <w:rsid w:val="00324905"/>
    <w:rsid w:val="0032516D"/>
    <w:rsid w:val="00325682"/>
    <w:rsid w:val="00325E1A"/>
    <w:rsid w:val="003260EB"/>
    <w:rsid w:val="0032648C"/>
    <w:rsid w:val="00326966"/>
    <w:rsid w:val="003270C5"/>
    <w:rsid w:val="003300BF"/>
    <w:rsid w:val="00330F48"/>
    <w:rsid w:val="003317C3"/>
    <w:rsid w:val="00332239"/>
    <w:rsid w:val="003328F3"/>
    <w:rsid w:val="00333191"/>
    <w:rsid w:val="003358B0"/>
    <w:rsid w:val="00336610"/>
    <w:rsid w:val="003373E0"/>
    <w:rsid w:val="00337419"/>
    <w:rsid w:val="003376AC"/>
    <w:rsid w:val="00341114"/>
    <w:rsid w:val="00341C7C"/>
    <w:rsid w:val="003442F9"/>
    <w:rsid w:val="00345DD6"/>
    <w:rsid w:val="00346774"/>
    <w:rsid w:val="00346BE4"/>
    <w:rsid w:val="00351A87"/>
    <w:rsid w:val="00352553"/>
    <w:rsid w:val="00353499"/>
    <w:rsid w:val="00353DA2"/>
    <w:rsid w:val="0035487B"/>
    <w:rsid w:val="0036138B"/>
    <w:rsid w:val="00361406"/>
    <w:rsid w:val="0036187B"/>
    <w:rsid w:val="00361A43"/>
    <w:rsid w:val="00363B1C"/>
    <w:rsid w:val="00364180"/>
    <w:rsid w:val="00364AE9"/>
    <w:rsid w:val="00365D6D"/>
    <w:rsid w:val="003665FF"/>
    <w:rsid w:val="00366A4F"/>
    <w:rsid w:val="00367864"/>
    <w:rsid w:val="0037037D"/>
    <w:rsid w:val="00370668"/>
    <w:rsid w:val="003709C8"/>
    <w:rsid w:val="0037111D"/>
    <w:rsid w:val="003719F7"/>
    <w:rsid w:val="0037236B"/>
    <w:rsid w:val="00372937"/>
    <w:rsid w:val="00375B8D"/>
    <w:rsid w:val="003778B4"/>
    <w:rsid w:val="00377D45"/>
    <w:rsid w:val="00380F2B"/>
    <w:rsid w:val="00381868"/>
    <w:rsid w:val="00381BB8"/>
    <w:rsid w:val="00382186"/>
    <w:rsid w:val="003824BF"/>
    <w:rsid w:val="00382E22"/>
    <w:rsid w:val="00385B1E"/>
    <w:rsid w:val="00387B04"/>
    <w:rsid w:val="00390D76"/>
    <w:rsid w:val="00391437"/>
    <w:rsid w:val="0039147E"/>
    <w:rsid w:val="00391AF1"/>
    <w:rsid w:val="0039260B"/>
    <w:rsid w:val="00393C93"/>
    <w:rsid w:val="003940DE"/>
    <w:rsid w:val="00394586"/>
    <w:rsid w:val="0039478E"/>
    <w:rsid w:val="003953EA"/>
    <w:rsid w:val="00397181"/>
    <w:rsid w:val="00397A39"/>
    <w:rsid w:val="003A1324"/>
    <w:rsid w:val="003A154C"/>
    <w:rsid w:val="003A15E1"/>
    <w:rsid w:val="003A1F08"/>
    <w:rsid w:val="003A3F45"/>
    <w:rsid w:val="003A5404"/>
    <w:rsid w:val="003A5992"/>
    <w:rsid w:val="003A643C"/>
    <w:rsid w:val="003A6F59"/>
    <w:rsid w:val="003A789D"/>
    <w:rsid w:val="003B0138"/>
    <w:rsid w:val="003B0D54"/>
    <w:rsid w:val="003B1164"/>
    <w:rsid w:val="003B140D"/>
    <w:rsid w:val="003B250A"/>
    <w:rsid w:val="003B34BF"/>
    <w:rsid w:val="003B3D62"/>
    <w:rsid w:val="003B5BED"/>
    <w:rsid w:val="003B5C41"/>
    <w:rsid w:val="003B6898"/>
    <w:rsid w:val="003B68A3"/>
    <w:rsid w:val="003B786D"/>
    <w:rsid w:val="003C060E"/>
    <w:rsid w:val="003C07B9"/>
    <w:rsid w:val="003C372F"/>
    <w:rsid w:val="003C381C"/>
    <w:rsid w:val="003C42A1"/>
    <w:rsid w:val="003C4510"/>
    <w:rsid w:val="003C4835"/>
    <w:rsid w:val="003C5A6E"/>
    <w:rsid w:val="003C60BC"/>
    <w:rsid w:val="003C7F8E"/>
    <w:rsid w:val="003D424D"/>
    <w:rsid w:val="003D4C89"/>
    <w:rsid w:val="003D5AD9"/>
    <w:rsid w:val="003D73C8"/>
    <w:rsid w:val="003D7614"/>
    <w:rsid w:val="003D7710"/>
    <w:rsid w:val="003D7ABD"/>
    <w:rsid w:val="003E0304"/>
    <w:rsid w:val="003E3844"/>
    <w:rsid w:val="003E3C4C"/>
    <w:rsid w:val="003E5AC5"/>
    <w:rsid w:val="003E6263"/>
    <w:rsid w:val="003E727D"/>
    <w:rsid w:val="003E76E1"/>
    <w:rsid w:val="003F13E7"/>
    <w:rsid w:val="003F1F46"/>
    <w:rsid w:val="003F1F66"/>
    <w:rsid w:val="003F2631"/>
    <w:rsid w:val="003F3976"/>
    <w:rsid w:val="003F55DD"/>
    <w:rsid w:val="003F7970"/>
    <w:rsid w:val="004000C7"/>
    <w:rsid w:val="00400D76"/>
    <w:rsid w:val="004016A4"/>
    <w:rsid w:val="0040187F"/>
    <w:rsid w:val="004023D6"/>
    <w:rsid w:val="0040282D"/>
    <w:rsid w:val="004035DB"/>
    <w:rsid w:val="004040CA"/>
    <w:rsid w:val="00404BC7"/>
    <w:rsid w:val="004056DB"/>
    <w:rsid w:val="00406E5E"/>
    <w:rsid w:val="004120D0"/>
    <w:rsid w:val="0041268E"/>
    <w:rsid w:val="0041292C"/>
    <w:rsid w:val="00413EDB"/>
    <w:rsid w:val="00413F9E"/>
    <w:rsid w:val="00414ED8"/>
    <w:rsid w:val="00415174"/>
    <w:rsid w:val="004178BE"/>
    <w:rsid w:val="00420147"/>
    <w:rsid w:val="0042032D"/>
    <w:rsid w:val="00420AA6"/>
    <w:rsid w:val="00424608"/>
    <w:rsid w:val="0042512F"/>
    <w:rsid w:val="0042772B"/>
    <w:rsid w:val="00427951"/>
    <w:rsid w:val="00430796"/>
    <w:rsid w:val="0043171E"/>
    <w:rsid w:val="004323D9"/>
    <w:rsid w:val="00432D0E"/>
    <w:rsid w:val="00432E25"/>
    <w:rsid w:val="0043342E"/>
    <w:rsid w:val="0043365F"/>
    <w:rsid w:val="0043450F"/>
    <w:rsid w:val="0043671E"/>
    <w:rsid w:val="00441DB9"/>
    <w:rsid w:val="004426D2"/>
    <w:rsid w:val="00443044"/>
    <w:rsid w:val="00443892"/>
    <w:rsid w:val="00444D5C"/>
    <w:rsid w:val="00445399"/>
    <w:rsid w:val="00447198"/>
    <w:rsid w:val="004476B5"/>
    <w:rsid w:val="0044772C"/>
    <w:rsid w:val="00450BF3"/>
    <w:rsid w:val="00450EDD"/>
    <w:rsid w:val="00451A98"/>
    <w:rsid w:val="0045388D"/>
    <w:rsid w:val="004552E1"/>
    <w:rsid w:val="00455400"/>
    <w:rsid w:val="00455B5E"/>
    <w:rsid w:val="004560DA"/>
    <w:rsid w:val="0045711C"/>
    <w:rsid w:val="00460257"/>
    <w:rsid w:val="00460BFC"/>
    <w:rsid w:val="00464A9C"/>
    <w:rsid w:val="00464B4F"/>
    <w:rsid w:val="00465075"/>
    <w:rsid w:val="00465665"/>
    <w:rsid w:val="0046721B"/>
    <w:rsid w:val="004679B2"/>
    <w:rsid w:val="00467CC6"/>
    <w:rsid w:val="00467E5C"/>
    <w:rsid w:val="00470A37"/>
    <w:rsid w:val="004711AA"/>
    <w:rsid w:val="004714F2"/>
    <w:rsid w:val="0047150A"/>
    <w:rsid w:val="004721D9"/>
    <w:rsid w:val="00472F70"/>
    <w:rsid w:val="00473959"/>
    <w:rsid w:val="004740A6"/>
    <w:rsid w:val="00474E49"/>
    <w:rsid w:val="00475771"/>
    <w:rsid w:val="00476430"/>
    <w:rsid w:val="00477760"/>
    <w:rsid w:val="00480F9D"/>
    <w:rsid w:val="00481062"/>
    <w:rsid w:val="0048204D"/>
    <w:rsid w:val="004821A3"/>
    <w:rsid w:val="00482704"/>
    <w:rsid w:val="00483009"/>
    <w:rsid w:val="0048487A"/>
    <w:rsid w:val="0048658C"/>
    <w:rsid w:val="00486AF6"/>
    <w:rsid w:val="00491653"/>
    <w:rsid w:val="00492829"/>
    <w:rsid w:val="00492C4F"/>
    <w:rsid w:val="00492D20"/>
    <w:rsid w:val="0049321D"/>
    <w:rsid w:val="004952EF"/>
    <w:rsid w:val="00495521"/>
    <w:rsid w:val="00495789"/>
    <w:rsid w:val="004957E6"/>
    <w:rsid w:val="00495BEF"/>
    <w:rsid w:val="00495E7D"/>
    <w:rsid w:val="00497406"/>
    <w:rsid w:val="00497A14"/>
    <w:rsid w:val="00497E4D"/>
    <w:rsid w:val="004A0698"/>
    <w:rsid w:val="004A0DE0"/>
    <w:rsid w:val="004A1B9F"/>
    <w:rsid w:val="004A2471"/>
    <w:rsid w:val="004A3D2B"/>
    <w:rsid w:val="004A580F"/>
    <w:rsid w:val="004A5825"/>
    <w:rsid w:val="004A6B53"/>
    <w:rsid w:val="004A7D90"/>
    <w:rsid w:val="004B07E8"/>
    <w:rsid w:val="004B14A8"/>
    <w:rsid w:val="004B2F93"/>
    <w:rsid w:val="004B2FDA"/>
    <w:rsid w:val="004B3223"/>
    <w:rsid w:val="004B3A43"/>
    <w:rsid w:val="004B4F94"/>
    <w:rsid w:val="004B5A3D"/>
    <w:rsid w:val="004B741D"/>
    <w:rsid w:val="004B7ECC"/>
    <w:rsid w:val="004C02D0"/>
    <w:rsid w:val="004C06F5"/>
    <w:rsid w:val="004C0CC4"/>
    <w:rsid w:val="004C10A8"/>
    <w:rsid w:val="004C263F"/>
    <w:rsid w:val="004C28F5"/>
    <w:rsid w:val="004C33D4"/>
    <w:rsid w:val="004C3559"/>
    <w:rsid w:val="004C368F"/>
    <w:rsid w:val="004C61D7"/>
    <w:rsid w:val="004D023A"/>
    <w:rsid w:val="004D090F"/>
    <w:rsid w:val="004D0C97"/>
    <w:rsid w:val="004D3BAA"/>
    <w:rsid w:val="004D4BF3"/>
    <w:rsid w:val="004D5C4C"/>
    <w:rsid w:val="004D7E2C"/>
    <w:rsid w:val="004E0417"/>
    <w:rsid w:val="004E1FD8"/>
    <w:rsid w:val="004E3916"/>
    <w:rsid w:val="004E4A1D"/>
    <w:rsid w:val="004E4A73"/>
    <w:rsid w:val="004E4FAF"/>
    <w:rsid w:val="004E5D9B"/>
    <w:rsid w:val="004E7328"/>
    <w:rsid w:val="004E78C6"/>
    <w:rsid w:val="004E7AE3"/>
    <w:rsid w:val="004F04FA"/>
    <w:rsid w:val="004F1628"/>
    <w:rsid w:val="004F1B30"/>
    <w:rsid w:val="004F1BC5"/>
    <w:rsid w:val="004F1E86"/>
    <w:rsid w:val="004F319A"/>
    <w:rsid w:val="004F5B75"/>
    <w:rsid w:val="004F7FE0"/>
    <w:rsid w:val="00500915"/>
    <w:rsid w:val="005011AD"/>
    <w:rsid w:val="005012E9"/>
    <w:rsid w:val="0050211B"/>
    <w:rsid w:val="00503146"/>
    <w:rsid w:val="0050351F"/>
    <w:rsid w:val="00504025"/>
    <w:rsid w:val="005043AC"/>
    <w:rsid w:val="0050470B"/>
    <w:rsid w:val="00504850"/>
    <w:rsid w:val="00505F8D"/>
    <w:rsid w:val="00506492"/>
    <w:rsid w:val="00507BF4"/>
    <w:rsid w:val="00510240"/>
    <w:rsid w:val="0051278D"/>
    <w:rsid w:val="0051290A"/>
    <w:rsid w:val="005131CD"/>
    <w:rsid w:val="005141DB"/>
    <w:rsid w:val="005168C1"/>
    <w:rsid w:val="00517BA6"/>
    <w:rsid w:val="005207E9"/>
    <w:rsid w:val="00521BE5"/>
    <w:rsid w:val="00522C0B"/>
    <w:rsid w:val="00523897"/>
    <w:rsid w:val="005247A8"/>
    <w:rsid w:val="005277C9"/>
    <w:rsid w:val="00527C17"/>
    <w:rsid w:val="00527E58"/>
    <w:rsid w:val="00527EB0"/>
    <w:rsid w:val="005307F0"/>
    <w:rsid w:val="005327F2"/>
    <w:rsid w:val="00533A05"/>
    <w:rsid w:val="00534426"/>
    <w:rsid w:val="00534ECA"/>
    <w:rsid w:val="00535345"/>
    <w:rsid w:val="00535761"/>
    <w:rsid w:val="00535D5D"/>
    <w:rsid w:val="00536250"/>
    <w:rsid w:val="00540530"/>
    <w:rsid w:val="00540761"/>
    <w:rsid w:val="00541B18"/>
    <w:rsid w:val="005424FA"/>
    <w:rsid w:val="005425F4"/>
    <w:rsid w:val="00544123"/>
    <w:rsid w:val="00544AD5"/>
    <w:rsid w:val="005453DF"/>
    <w:rsid w:val="005468C9"/>
    <w:rsid w:val="0054737E"/>
    <w:rsid w:val="005476FE"/>
    <w:rsid w:val="0055029B"/>
    <w:rsid w:val="00550707"/>
    <w:rsid w:val="0055138C"/>
    <w:rsid w:val="005514E5"/>
    <w:rsid w:val="005523DC"/>
    <w:rsid w:val="005545F2"/>
    <w:rsid w:val="005550BA"/>
    <w:rsid w:val="0055565B"/>
    <w:rsid w:val="0055644E"/>
    <w:rsid w:val="005564BE"/>
    <w:rsid w:val="00556DA6"/>
    <w:rsid w:val="00557628"/>
    <w:rsid w:val="005618F1"/>
    <w:rsid w:val="00561A5F"/>
    <w:rsid w:val="00561C5A"/>
    <w:rsid w:val="00561C5E"/>
    <w:rsid w:val="0056268F"/>
    <w:rsid w:val="00563A48"/>
    <w:rsid w:val="005640AE"/>
    <w:rsid w:val="00564146"/>
    <w:rsid w:val="00564919"/>
    <w:rsid w:val="00564BE6"/>
    <w:rsid w:val="0056527F"/>
    <w:rsid w:val="005655A7"/>
    <w:rsid w:val="00565702"/>
    <w:rsid w:val="00567F30"/>
    <w:rsid w:val="00570250"/>
    <w:rsid w:val="00570831"/>
    <w:rsid w:val="00571738"/>
    <w:rsid w:val="00573844"/>
    <w:rsid w:val="00573BC1"/>
    <w:rsid w:val="00574D6C"/>
    <w:rsid w:val="00581F4A"/>
    <w:rsid w:val="00582A87"/>
    <w:rsid w:val="00583019"/>
    <w:rsid w:val="00583512"/>
    <w:rsid w:val="005839D2"/>
    <w:rsid w:val="00585424"/>
    <w:rsid w:val="00585FA0"/>
    <w:rsid w:val="00586B9D"/>
    <w:rsid w:val="005872DE"/>
    <w:rsid w:val="00595225"/>
    <w:rsid w:val="00595CE0"/>
    <w:rsid w:val="00596096"/>
    <w:rsid w:val="00596F3C"/>
    <w:rsid w:val="005A0BE1"/>
    <w:rsid w:val="005A0D76"/>
    <w:rsid w:val="005A17F3"/>
    <w:rsid w:val="005A1DD0"/>
    <w:rsid w:val="005A2176"/>
    <w:rsid w:val="005A3CB9"/>
    <w:rsid w:val="005A4050"/>
    <w:rsid w:val="005A57A5"/>
    <w:rsid w:val="005A6800"/>
    <w:rsid w:val="005A76B0"/>
    <w:rsid w:val="005A7B0E"/>
    <w:rsid w:val="005B0C37"/>
    <w:rsid w:val="005B1962"/>
    <w:rsid w:val="005B1D9C"/>
    <w:rsid w:val="005B37D7"/>
    <w:rsid w:val="005B5373"/>
    <w:rsid w:val="005B59E8"/>
    <w:rsid w:val="005B6620"/>
    <w:rsid w:val="005C06DC"/>
    <w:rsid w:val="005C1024"/>
    <w:rsid w:val="005C12B1"/>
    <w:rsid w:val="005C1D14"/>
    <w:rsid w:val="005C201D"/>
    <w:rsid w:val="005C510C"/>
    <w:rsid w:val="005C7FE5"/>
    <w:rsid w:val="005D16D1"/>
    <w:rsid w:val="005D3442"/>
    <w:rsid w:val="005D36B7"/>
    <w:rsid w:val="005D4F95"/>
    <w:rsid w:val="005D5BAB"/>
    <w:rsid w:val="005D6584"/>
    <w:rsid w:val="005D6D77"/>
    <w:rsid w:val="005D7D6B"/>
    <w:rsid w:val="005E071A"/>
    <w:rsid w:val="005E34F0"/>
    <w:rsid w:val="005E4EDF"/>
    <w:rsid w:val="005E5625"/>
    <w:rsid w:val="005E74DD"/>
    <w:rsid w:val="005F01BF"/>
    <w:rsid w:val="005F1840"/>
    <w:rsid w:val="005F32EC"/>
    <w:rsid w:val="005F5230"/>
    <w:rsid w:val="005F5C78"/>
    <w:rsid w:val="005F77A1"/>
    <w:rsid w:val="00600D45"/>
    <w:rsid w:val="00603751"/>
    <w:rsid w:val="00604585"/>
    <w:rsid w:val="00604901"/>
    <w:rsid w:val="00605E89"/>
    <w:rsid w:val="00606081"/>
    <w:rsid w:val="00610EB0"/>
    <w:rsid w:val="00611242"/>
    <w:rsid w:val="00611D33"/>
    <w:rsid w:val="00611E80"/>
    <w:rsid w:val="006120F5"/>
    <w:rsid w:val="0061214B"/>
    <w:rsid w:val="006128D6"/>
    <w:rsid w:val="00613098"/>
    <w:rsid w:val="00613813"/>
    <w:rsid w:val="00615146"/>
    <w:rsid w:val="00621E2B"/>
    <w:rsid w:val="00623235"/>
    <w:rsid w:val="00624883"/>
    <w:rsid w:val="00625D00"/>
    <w:rsid w:val="006266A1"/>
    <w:rsid w:val="006277E0"/>
    <w:rsid w:val="00630C0B"/>
    <w:rsid w:val="006312A0"/>
    <w:rsid w:val="00631762"/>
    <w:rsid w:val="00631900"/>
    <w:rsid w:val="00632909"/>
    <w:rsid w:val="0063379E"/>
    <w:rsid w:val="00633DB6"/>
    <w:rsid w:val="0063459F"/>
    <w:rsid w:val="0063484F"/>
    <w:rsid w:val="006357D2"/>
    <w:rsid w:val="00637B96"/>
    <w:rsid w:val="00637F4F"/>
    <w:rsid w:val="006407FF"/>
    <w:rsid w:val="00645BD4"/>
    <w:rsid w:val="00646EAA"/>
    <w:rsid w:val="006475FF"/>
    <w:rsid w:val="00647BD7"/>
    <w:rsid w:val="00647C83"/>
    <w:rsid w:val="00650EBA"/>
    <w:rsid w:val="006525E9"/>
    <w:rsid w:val="0065260D"/>
    <w:rsid w:val="00653262"/>
    <w:rsid w:val="00653DA1"/>
    <w:rsid w:val="00654703"/>
    <w:rsid w:val="00657779"/>
    <w:rsid w:val="00657D88"/>
    <w:rsid w:val="00660F02"/>
    <w:rsid w:val="00661130"/>
    <w:rsid w:val="0066129D"/>
    <w:rsid w:val="00661EB4"/>
    <w:rsid w:val="00662148"/>
    <w:rsid w:val="0066267F"/>
    <w:rsid w:val="00662AA6"/>
    <w:rsid w:val="00663523"/>
    <w:rsid w:val="00663713"/>
    <w:rsid w:val="00663AE1"/>
    <w:rsid w:val="0066461B"/>
    <w:rsid w:val="00665072"/>
    <w:rsid w:val="00666EFB"/>
    <w:rsid w:val="006674CE"/>
    <w:rsid w:val="00667FA6"/>
    <w:rsid w:val="0067039F"/>
    <w:rsid w:val="00670A04"/>
    <w:rsid w:val="00670AE4"/>
    <w:rsid w:val="00674A5C"/>
    <w:rsid w:val="00675D7B"/>
    <w:rsid w:val="006760B3"/>
    <w:rsid w:val="0067660D"/>
    <w:rsid w:val="00677D41"/>
    <w:rsid w:val="00681A5F"/>
    <w:rsid w:val="00682D8B"/>
    <w:rsid w:val="00686C18"/>
    <w:rsid w:val="00690E51"/>
    <w:rsid w:val="0069130F"/>
    <w:rsid w:val="006919FC"/>
    <w:rsid w:val="006958ED"/>
    <w:rsid w:val="00695F42"/>
    <w:rsid w:val="006966FB"/>
    <w:rsid w:val="006978D9"/>
    <w:rsid w:val="00697DCC"/>
    <w:rsid w:val="006A0485"/>
    <w:rsid w:val="006A076D"/>
    <w:rsid w:val="006A09DB"/>
    <w:rsid w:val="006A1FF6"/>
    <w:rsid w:val="006A49AA"/>
    <w:rsid w:val="006B0A70"/>
    <w:rsid w:val="006B188A"/>
    <w:rsid w:val="006B2960"/>
    <w:rsid w:val="006B39BA"/>
    <w:rsid w:val="006B3A36"/>
    <w:rsid w:val="006B4968"/>
    <w:rsid w:val="006B53C9"/>
    <w:rsid w:val="006B5F0D"/>
    <w:rsid w:val="006B6C94"/>
    <w:rsid w:val="006C064E"/>
    <w:rsid w:val="006C101F"/>
    <w:rsid w:val="006C27A1"/>
    <w:rsid w:val="006C2F55"/>
    <w:rsid w:val="006C31B9"/>
    <w:rsid w:val="006C4EE3"/>
    <w:rsid w:val="006C4F53"/>
    <w:rsid w:val="006C7732"/>
    <w:rsid w:val="006D01C6"/>
    <w:rsid w:val="006D053D"/>
    <w:rsid w:val="006D0FA7"/>
    <w:rsid w:val="006D242D"/>
    <w:rsid w:val="006D48E9"/>
    <w:rsid w:val="006D4B14"/>
    <w:rsid w:val="006D4D2C"/>
    <w:rsid w:val="006D5556"/>
    <w:rsid w:val="006D5636"/>
    <w:rsid w:val="006D7EB0"/>
    <w:rsid w:val="006E0350"/>
    <w:rsid w:val="006E0CB2"/>
    <w:rsid w:val="006E0D72"/>
    <w:rsid w:val="006E17D9"/>
    <w:rsid w:val="006E185B"/>
    <w:rsid w:val="006E1E5C"/>
    <w:rsid w:val="006E3D22"/>
    <w:rsid w:val="006E3E23"/>
    <w:rsid w:val="006E3EDA"/>
    <w:rsid w:val="006E4BAF"/>
    <w:rsid w:val="006E5542"/>
    <w:rsid w:val="006E5569"/>
    <w:rsid w:val="006E6470"/>
    <w:rsid w:val="006E6A36"/>
    <w:rsid w:val="006E6CF2"/>
    <w:rsid w:val="006F09F5"/>
    <w:rsid w:val="006F21E6"/>
    <w:rsid w:val="006F263A"/>
    <w:rsid w:val="006F2A2C"/>
    <w:rsid w:val="006F2B8B"/>
    <w:rsid w:val="006F2C1E"/>
    <w:rsid w:val="006F2CD3"/>
    <w:rsid w:val="006F380A"/>
    <w:rsid w:val="006F415A"/>
    <w:rsid w:val="006F4631"/>
    <w:rsid w:val="0070033D"/>
    <w:rsid w:val="007008E7"/>
    <w:rsid w:val="00701876"/>
    <w:rsid w:val="007045BE"/>
    <w:rsid w:val="00704EA5"/>
    <w:rsid w:val="007050A9"/>
    <w:rsid w:val="0070522F"/>
    <w:rsid w:val="007061FE"/>
    <w:rsid w:val="007063EE"/>
    <w:rsid w:val="007073F3"/>
    <w:rsid w:val="007105EB"/>
    <w:rsid w:val="00710A81"/>
    <w:rsid w:val="00711527"/>
    <w:rsid w:val="00711BB1"/>
    <w:rsid w:val="00711BCC"/>
    <w:rsid w:val="00711C85"/>
    <w:rsid w:val="007122D1"/>
    <w:rsid w:val="00712B89"/>
    <w:rsid w:val="0071310C"/>
    <w:rsid w:val="00714872"/>
    <w:rsid w:val="00714AC5"/>
    <w:rsid w:val="007161FF"/>
    <w:rsid w:val="00717C45"/>
    <w:rsid w:val="00722E63"/>
    <w:rsid w:val="007253A5"/>
    <w:rsid w:val="00725EEF"/>
    <w:rsid w:val="0073046A"/>
    <w:rsid w:val="0073095C"/>
    <w:rsid w:val="00731852"/>
    <w:rsid w:val="007327D9"/>
    <w:rsid w:val="0073364B"/>
    <w:rsid w:val="00733CD6"/>
    <w:rsid w:val="00740071"/>
    <w:rsid w:val="0074065D"/>
    <w:rsid w:val="007406B2"/>
    <w:rsid w:val="0074136B"/>
    <w:rsid w:val="00741519"/>
    <w:rsid w:val="00741547"/>
    <w:rsid w:val="007418FB"/>
    <w:rsid w:val="00743383"/>
    <w:rsid w:val="00744604"/>
    <w:rsid w:val="00744BC6"/>
    <w:rsid w:val="00744EA3"/>
    <w:rsid w:val="007475BA"/>
    <w:rsid w:val="00750FA0"/>
    <w:rsid w:val="00751E05"/>
    <w:rsid w:val="00753811"/>
    <w:rsid w:val="0075412F"/>
    <w:rsid w:val="00754754"/>
    <w:rsid w:val="00755193"/>
    <w:rsid w:val="007554E0"/>
    <w:rsid w:val="00755508"/>
    <w:rsid w:val="0075602A"/>
    <w:rsid w:val="00756499"/>
    <w:rsid w:val="00756A83"/>
    <w:rsid w:val="0076250D"/>
    <w:rsid w:val="007638C3"/>
    <w:rsid w:val="00764266"/>
    <w:rsid w:val="00764CF3"/>
    <w:rsid w:val="0076698C"/>
    <w:rsid w:val="00767176"/>
    <w:rsid w:val="007714BA"/>
    <w:rsid w:val="00771963"/>
    <w:rsid w:val="0077211C"/>
    <w:rsid w:val="007728F4"/>
    <w:rsid w:val="00772ACE"/>
    <w:rsid w:val="00773AE5"/>
    <w:rsid w:val="0077442A"/>
    <w:rsid w:val="00774BAC"/>
    <w:rsid w:val="007751CF"/>
    <w:rsid w:val="00776A02"/>
    <w:rsid w:val="007771E9"/>
    <w:rsid w:val="00780292"/>
    <w:rsid w:val="00780AB7"/>
    <w:rsid w:val="0078114E"/>
    <w:rsid w:val="00781177"/>
    <w:rsid w:val="007819B5"/>
    <w:rsid w:val="00782437"/>
    <w:rsid w:val="00783A89"/>
    <w:rsid w:val="00783D57"/>
    <w:rsid w:val="0078422A"/>
    <w:rsid w:val="00784E21"/>
    <w:rsid w:val="00785D1B"/>
    <w:rsid w:val="00786410"/>
    <w:rsid w:val="00790C64"/>
    <w:rsid w:val="007920E4"/>
    <w:rsid w:val="00792591"/>
    <w:rsid w:val="0079279E"/>
    <w:rsid w:val="0079467B"/>
    <w:rsid w:val="007947E8"/>
    <w:rsid w:val="00794B8D"/>
    <w:rsid w:val="00795A61"/>
    <w:rsid w:val="00797B77"/>
    <w:rsid w:val="00797C58"/>
    <w:rsid w:val="007A17A2"/>
    <w:rsid w:val="007A2087"/>
    <w:rsid w:val="007A2F44"/>
    <w:rsid w:val="007A3360"/>
    <w:rsid w:val="007A35C6"/>
    <w:rsid w:val="007A3DC0"/>
    <w:rsid w:val="007A72BD"/>
    <w:rsid w:val="007A7A86"/>
    <w:rsid w:val="007A7AD2"/>
    <w:rsid w:val="007B094B"/>
    <w:rsid w:val="007B373F"/>
    <w:rsid w:val="007B526F"/>
    <w:rsid w:val="007B559F"/>
    <w:rsid w:val="007B68E4"/>
    <w:rsid w:val="007B6CEA"/>
    <w:rsid w:val="007B6FD5"/>
    <w:rsid w:val="007B7631"/>
    <w:rsid w:val="007B7823"/>
    <w:rsid w:val="007C00E3"/>
    <w:rsid w:val="007C0856"/>
    <w:rsid w:val="007C17BA"/>
    <w:rsid w:val="007C3EC2"/>
    <w:rsid w:val="007C427F"/>
    <w:rsid w:val="007C464C"/>
    <w:rsid w:val="007C56B0"/>
    <w:rsid w:val="007C6E90"/>
    <w:rsid w:val="007C7763"/>
    <w:rsid w:val="007C7FD0"/>
    <w:rsid w:val="007D302E"/>
    <w:rsid w:val="007D4ED4"/>
    <w:rsid w:val="007D5575"/>
    <w:rsid w:val="007D6ED1"/>
    <w:rsid w:val="007D7828"/>
    <w:rsid w:val="007D7AAA"/>
    <w:rsid w:val="007D7E5F"/>
    <w:rsid w:val="007E1297"/>
    <w:rsid w:val="007E1AED"/>
    <w:rsid w:val="007E2BB9"/>
    <w:rsid w:val="007E397C"/>
    <w:rsid w:val="007E4247"/>
    <w:rsid w:val="007E43C3"/>
    <w:rsid w:val="007E45BF"/>
    <w:rsid w:val="007E59BB"/>
    <w:rsid w:val="007E6704"/>
    <w:rsid w:val="007E7729"/>
    <w:rsid w:val="007E79D5"/>
    <w:rsid w:val="007F028E"/>
    <w:rsid w:val="007F199D"/>
    <w:rsid w:val="007F2044"/>
    <w:rsid w:val="007F2A91"/>
    <w:rsid w:val="007F3150"/>
    <w:rsid w:val="007F350F"/>
    <w:rsid w:val="007F3CCD"/>
    <w:rsid w:val="007F55DE"/>
    <w:rsid w:val="007F68E4"/>
    <w:rsid w:val="008007D6"/>
    <w:rsid w:val="008008F8"/>
    <w:rsid w:val="00800ABF"/>
    <w:rsid w:val="00801122"/>
    <w:rsid w:val="0080144A"/>
    <w:rsid w:val="00801DE0"/>
    <w:rsid w:val="00802787"/>
    <w:rsid w:val="008035D1"/>
    <w:rsid w:val="008037E7"/>
    <w:rsid w:val="00804022"/>
    <w:rsid w:val="00804236"/>
    <w:rsid w:val="00804D0B"/>
    <w:rsid w:val="00805768"/>
    <w:rsid w:val="00806507"/>
    <w:rsid w:val="00806535"/>
    <w:rsid w:val="00806A9F"/>
    <w:rsid w:val="008100A1"/>
    <w:rsid w:val="00813317"/>
    <w:rsid w:val="00814AA2"/>
    <w:rsid w:val="00815206"/>
    <w:rsid w:val="00815973"/>
    <w:rsid w:val="00815E0E"/>
    <w:rsid w:val="0082162B"/>
    <w:rsid w:val="00821738"/>
    <w:rsid w:val="008229E6"/>
    <w:rsid w:val="008232AB"/>
    <w:rsid w:val="00823486"/>
    <w:rsid w:val="00824ED3"/>
    <w:rsid w:val="0082516B"/>
    <w:rsid w:val="00826438"/>
    <w:rsid w:val="00826DFE"/>
    <w:rsid w:val="00831F72"/>
    <w:rsid w:val="00834060"/>
    <w:rsid w:val="00834668"/>
    <w:rsid w:val="0083468F"/>
    <w:rsid w:val="00834947"/>
    <w:rsid w:val="00834FBA"/>
    <w:rsid w:val="0083570A"/>
    <w:rsid w:val="008400AA"/>
    <w:rsid w:val="00843187"/>
    <w:rsid w:val="00844E7B"/>
    <w:rsid w:val="00845B2F"/>
    <w:rsid w:val="0084683B"/>
    <w:rsid w:val="00846EB1"/>
    <w:rsid w:val="00847766"/>
    <w:rsid w:val="00850511"/>
    <w:rsid w:val="00850912"/>
    <w:rsid w:val="00852412"/>
    <w:rsid w:val="00852D19"/>
    <w:rsid w:val="008534DE"/>
    <w:rsid w:val="00853B00"/>
    <w:rsid w:val="00856021"/>
    <w:rsid w:val="008576B3"/>
    <w:rsid w:val="008617F3"/>
    <w:rsid w:val="00861DDD"/>
    <w:rsid w:val="00862C3C"/>
    <w:rsid w:val="00862E64"/>
    <w:rsid w:val="008638B9"/>
    <w:rsid w:val="00863C33"/>
    <w:rsid w:val="00865557"/>
    <w:rsid w:val="0086654C"/>
    <w:rsid w:val="00867579"/>
    <w:rsid w:val="00867974"/>
    <w:rsid w:val="008712C4"/>
    <w:rsid w:val="00871CDA"/>
    <w:rsid w:val="00874527"/>
    <w:rsid w:val="00874EF6"/>
    <w:rsid w:val="00875362"/>
    <w:rsid w:val="0087745D"/>
    <w:rsid w:val="00877D97"/>
    <w:rsid w:val="00877E05"/>
    <w:rsid w:val="0088051A"/>
    <w:rsid w:val="00881B4F"/>
    <w:rsid w:val="00881CF0"/>
    <w:rsid w:val="00881D57"/>
    <w:rsid w:val="00882BD7"/>
    <w:rsid w:val="00885D27"/>
    <w:rsid w:val="0089181A"/>
    <w:rsid w:val="008929A4"/>
    <w:rsid w:val="0089457F"/>
    <w:rsid w:val="008945A9"/>
    <w:rsid w:val="00895253"/>
    <w:rsid w:val="008972E9"/>
    <w:rsid w:val="008974EC"/>
    <w:rsid w:val="00897E97"/>
    <w:rsid w:val="00897EE0"/>
    <w:rsid w:val="00897FF5"/>
    <w:rsid w:val="008A0AD5"/>
    <w:rsid w:val="008A194A"/>
    <w:rsid w:val="008A203F"/>
    <w:rsid w:val="008A3158"/>
    <w:rsid w:val="008A4755"/>
    <w:rsid w:val="008A4C1F"/>
    <w:rsid w:val="008A7A71"/>
    <w:rsid w:val="008A7BFF"/>
    <w:rsid w:val="008A7ED2"/>
    <w:rsid w:val="008B0777"/>
    <w:rsid w:val="008B0A1F"/>
    <w:rsid w:val="008B126A"/>
    <w:rsid w:val="008B2E47"/>
    <w:rsid w:val="008B34D2"/>
    <w:rsid w:val="008B4832"/>
    <w:rsid w:val="008B5686"/>
    <w:rsid w:val="008B655F"/>
    <w:rsid w:val="008B7337"/>
    <w:rsid w:val="008C0808"/>
    <w:rsid w:val="008C1B69"/>
    <w:rsid w:val="008C243E"/>
    <w:rsid w:val="008C2714"/>
    <w:rsid w:val="008C51D1"/>
    <w:rsid w:val="008C53A8"/>
    <w:rsid w:val="008C6906"/>
    <w:rsid w:val="008D0C99"/>
    <w:rsid w:val="008D0CA0"/>
    <w:rsid w:val="008D108A"/>
    <w:rsid w:val="008D370D"/>
    <w:rsid w:val="008D4368"/>
    <w:rsid w:val="008D4551"/>
    <w:rsid w:val="008D466D"/>
    <w:rsid w:val="008D501C"/>
    <w:rsid w:val="008D5EFE"/>
    <w:rsid w:val="008D63FB"/>
    <w:rsid w:val="008D6C6E"/>
    <w:rsid w:val="008D7272"/>
    <w:rsid w:val="008D7489"/>
    <w:rsid w:val="008E008D"/>
    <w:rsid w:val="008E19E1"/>
    <w:rsid w:val="008E243C"/>
    <w:rsid w:val="008E4107"/>
    <w:rsid w:val="008E65DA"/>
    <w:rsid w:val="008E69E5"/>
    <w:rsid w:val="008F2AAF"/>
    <w:rsid w:val="008F2BE9"/>
    <w:rsid w:val="008F3265"/>
    <w:rsid w:val="008F3687"/>
    <w:rsid w:val="008F3887"/>
    <w:rsid w:val="008F4529"/>
    <w:rsid w:val="008F570C"/>
    <w:rsid w:val="008F67D7"/>
    <w:rsid w:val="008F6988"/>
    <w:rsid w:val="008F69FC"/>
    <w:rsid w:val="008F7894"/>
    <w:rsid w:val="00901729"/>
    <w:rsid w:val="00901C9D"/>
    <w:rsid w:val="00901E93"/>
    <w:rsid w:val="009024A5"/>
    <w:rsid w:val="00903507"/>
    <w:rsid w:val="00903CEA"/>
    <w:rsid w:val="00904C0E"/>
    <w:rsid w:val="00904F61"/>
    <w:rsid w:val="00905394"/>
    <w:rsid w:val="0090548A"/>
    <w:rsid w:val="0090621A"/>
    <w:rsid w:val="00907680"/>
    <w:rsid w:val="0091080D"/>
    <w:rsid w:val="00910992"/>
    <w:rsid w:val="009135A9"/>
    <w:rsid w:val="009160E4"/>
    <w:rsid w:val="00920710"/>
    <w:rsid w:val="00921C84"/>
    <w:rsid w:val="00923654"/>
    <w:rsid w:val="009246BD"/>
    <w:rsid w:val="009247BD"/>
    <w:rsid w:val="00925D37"/>
    <w:rsid w:val="0092617F"/>
    <w:rsid w:val="00926348"/>
    <w:rsid w:val="00926F39"/>
    <w:rsid w:val="00927BEF"/>
    <w:rsid w:val="00927F15"/>
    <w:rsid w:val="0093043E"/>
    <w:rsid w:val="00930FFC"/>
    <w:rsid w:val="0093126D"/>
    <w:rsid w:val="00931DFE"/>
    <w:rsid w:val="00933D06"/>
    <w:rsid w:val="009345EE"/>
    <w:rsid w:val="00934B54"/>
    <w:rsid w:val="00935CE8"/>
    <w:rsid w:val="00936D55"/>
    <w:rsid w:val="009410D3"/>
    <w:rsid w:val="0094128E"/>
    <w:rsid w:val="00941ED3"/>
    <w:rsid w:val="0094363A"/>
    <w:rsid w:val="00943677"/>
    <w:rsid w:val="00943C3E"/>
    <w:rsid w:val="009455BF"/>
    <w:rsid w:val="00945F75"/>
    <w:rsid w:val="00946595"/>
    <w:rsid w:val="00947D42"/>
    <w:rsid w:val="00947DF1"/>
    <w:rsid w:val="00954779"/>
    <w:rsid w:val="00955417"/>
    <w:rsid w:val="00957488"/>
    <w:rsid w:val="009605E4"/>
    <w:rsid w:val="009623D2"/>
    <w:rsid w:val="00962649"/>
    <w:rsid w:val="0096287E"/>
    <w:rsid w:val="00964711"/>
    <w:rsid w:val="00965D95"/>
    <w:rsid w:val="00965DC1"/>
    <w:rsid w:val="00965DFA"/>
    <w:rsid w:val="00966DED"/>
    <w:rsid w:val="009704C4"/>
    <w:rsid w:val="0097076A"/>
    <w:rsid w:val="0097140A"/>
    <w:rsid w:val="00971642"/>
    <w:rsid w:val="00972DA3"/>
    <w:rsid w:val="0097363E"/>
    <w:rsid w:val="009737C7"/>
    <w:rsid w:val="00974A10"/>
    <w:rsid w:val="009751F7"/>
    <w:rsid w:val="009752B4"/>
    <w:rsid w:val="00975B84"/>
    <w:rsid w:val="009760B4"/>
    <w:rsid w:val="00976A3A"/>
    <w:rsid w:val="009770AB"/>
    <w:rsid w:val="0097770A"/>
    <w:rsid w:val="00977A2C"/>
    <w:rsid w:val="00980152"/>
    <w:rsid w:val="0098170A"/>
    <w:rsid w:val="00981F07"/>
    <w:rsid w:val="00982AA7"/>
    <w:rsid w:val="00983198"/>
    <w:rsid w:val="00984168"/>
    <w:rsid w:val="00984866"/>
    <w:rsid w:val="00984E62"/>
    <w:rsid w:val="00985CB1"/>
    <w:rsid w:val="00986C69"/>
    <w:rsid w:val="00990803"/>
    <w:rsid w:val="00991095"/>
    <w:rsid w:val="009915B4"/>
    <w:rsid w:val="009920A2"/>
    <w:rsid w:val="00995916"/>
    <w:rsid w:val="0099638A"/>
    <w:rsid w:val="0099645E"/>
    <w:rsid w:val="009966E6"/>
    <w:rsid w:val="009A1DD9"/>
    <w:rsid w:val="009A225A"/>
    <w:rsid w:val="009A2C5B"/>
    <w:rsid w:val="009A3AD4"/>
    <w:rsid w:val="009A46C3"/>
    <w:rsid w:val="009A5360"/>
    <w:rsid w:val="009A7F20"/>
    <w:rsid w:val="009B0F9E"/>
    <w:rsid w:val="009B1897"/>
    <w:rsid w:val="009B2B61"/>
    <w:rsid w:val="009B2D4E"/>
    <w:rsid w:val="009B30C0"/>
    <w:rsid w:val="009B4C77"/>
    <w:rsid w:val="009B5F6B"/>
    <w:rsid w:val="009B6544"/>
    <w:rsid w:val="009B6AA2"/>
    <w:rsid w:val="009B6EB7"/>
    <w:rsid w:val="009C0211"/>
    <w:rsid w:val="009C0A26"/>
    <w:rsid w:val="009C0C0C"/>
    <w:rsid w:val="009C12AD"/>
    <w:rsid w:val="009C1DEF"/>
    <w:rsid w:val="009C359C"/>
    <w:rsid w:val="009C3B38"/>
    <w:rsid w:val="009C5E83"/>
    <w:rsid w:val="009C62C5"/>
    <w:rsid w:val="009C6AB6"/>
    <w:rsid w:val="009C6B73"/>
    <w:rsid w:val="009C7A02"/>
    <w:rsid w:val="009D0312"/>
    <w:rsid w:val="009D1768"/>
    <w:rsid w:val="009D19F1"/>
    <w:rsid w:val="009D2063"/>
    <w:rsid w:val="009D39B3"/>
    <w:rsid w:val="009D3C28"/>
    <w:rsid w:val="009D4536"/>
    <w:rsid w:val="009D4838"/>
    <w:rsid w:val="009D4C5B"/>
    <w:rsid w:val="009D5C59"/>
    <w:rsid w:val="009E0136"/>
    <w:rsid w:val="009E0C4B"/>
    <w:rsid w:val="009E12C1"/>
    <w:rsid w:val="009E15F7"/>
    <w:rsid w:val="009E2468"/>
    <w:rsid w:val="009E270B"/>
    <w:rsid w:val="009E4BA9"/>
    <w:rsid w:val="009E4CFE"/>
    <w:rsid w:val="009E569A"/>
    <w:rsid w:val="009E5E8B"/>
    <w:rsid w:val="009E7436"/>
    <w:rsid w:val="009E7570"/>
    <w:rsid w:val="009F0446"/>
    <w:rsid w:val="009F07B5"/>
    <w:rsid w:val="009F121A"/>
    <w:rsid w:val="009F1284"/>
    <w:rsid w:val="009F162F"/>
    <w:rsid w:val="009F2A5E"/>
    <w:rsid w:val="009F5450"/>
    <w:rsid w:val="009F605E"/>
    <w:rsid w:val="009F7F59"/>
    <w:rsid w:val="00A00A94"/>
    <w:rsid w:val="00A03BA8"/>
    <w:rsid w:val="00A03C9D"/>
    <w:rsid w:val="00A0402E"/>
    <w:rsid w:val="00A046C9"/>
    <w:rsid w:val="00A048C4"/>
    <w:rsid w:val="00A04DD1"/>
    <w:rsid w:val="00A052C2"/>
    <w:rsid w:val="00A05C8D"/>
    <w:rsid w:val="00A06199"/>
    <w:rsid w:val="00A06767"/>
    <w:rsid w:val="00A077BD"/>
    <w:rsid w:val="00A12087"/>
    <w:rsid w:val="00A136A9"/>
    <w:rsid w:val="00A14120"/>
    <w:rsid w:val="00A144C5"/>
    <w:rsid w:val="00A14674"/>
    <w:rsid w:val="00A16858"/>
    <w:rsid w:val="00A16EB8"/>
    <w:rsid w:val="00A170F5"/>
    <w:rsid w:val="00A17587"/>
    <w:rsid w:val="00A179E2"/>
    <w:rsid w:val="00A21C0C"/>
    <w:rsid w:val="00A249D0"/>
    <w:rsid w:val="00A26898"/>
    <w:rsid w:val="00A2736A"/>
    <w:rsid w:val="00A3098E"/>
    <w:rsid w:val="00A30F7E"/>
    <w:rsid w:val="00A318FB"/>
    <w:rsid w:val="00A31D41"/>
    <w:rsid w:val="00A33240"/>
    <w:rsid w:val="00A36E8C"/>
    <w:rsid w:val="00A4003E"/>
    <w:rsid w:val="00A4011E"/>
    <w:rsid w:val="00A403AA"/>
    <w:rsid w:val="00A4088F"/>
    <w:rsid w:val="00A4242C"/>
    <w:rsid w:val="00A4651A"/>
    <w:rsid w:val="00A4675A"/>
    <w:rsid w:val="00A4734F"/>
    <w:rsid w:val="00A47D38"/>
    <w:rsid w:val="00A513DA"/>
    <w:rsid w:val="00A53848"/>
    <w:rsid w:val="00A55EF8"/>
    <w:rsid w:val="00A57415"/>
    <w:rsid w:val="00A57EA9"/>
    <w:rsid w:val="00A6025A"/>
    <w:rsid w:val="00A604E2"/>
    <w:rsid w:val="00A6099A"/>
    <w:rsid w:val="00A62A49"/>
    <w:rsid w:val="00A63B93"/>
    <w:rsid w:val="00A64A0A"/>
    <w:rsid w:val="00A6556C"/>
    <w:rsid w:val="00A657DB"/>
    <w:rsid w:val="00A66C14"/>
    <w:rsid w:val="00A71FA0"/>
    <w:rsid w:val="00A7271E"/>
    <w:rsid w:val="00A7276B"/>
    <w:rsid w:val="00A74AA3"/>
    <w:rsid w:val="00A74FDD"/>
    <w:rsid w:val="00A756B3"/>
    <w:rsid w:val="00A75960"/>
    <w:rsid w:val="00A76BE5"/>
    <w:rsid w:val="00A771E2"/>
    <w:rsid w:val="00A774DF"/>
    <w:rsid w:val="00A80475"/>
    <w:rsid w:val="00A81EC8"/>
    <w:rsid w:val="00A81F51"/>
    <w:rsid w:val="00A83F35"/>
    <w:rsid w:val="00A8423F"/>
    <w:rsid w:val="00A90772"/>
    <w:rsid w:val="00A91FB3"/>
    <w:rsid w:val="00A92A16"/>
    <w:rsid w:val="00A92A1C"/>
    <w:rsid w:val="00A93E23"/>
    <w:rsid w:val="00A95C22"/>
    <w:rsid w:val="00A95F39"/>
    <w:rsid w:val="00A9607F"/>
    <w:rsid w:val="00A96D96"/>
    <w:rsid w:val="00A97936"/>
    <w:rsid w:val="00AA02D7"/>
    <w:rsid w:val="00AA113B"/>
    <w:rsid w:val="00AA13E9"/>
    <w:rsid w:val="00AA154E"/>
    <w:rsid w:val="00AA1CDD"/>
    <w:rsid w:val="00AA4906"/>
    <w:rsid w:val="00AA49E0"/>
    <w:rsid w:val="00AA589F"/>
    <w:rsid w:val="00AA5B70"/>
    <w:rsid w:val="00AA5E63"/>
    <w:rsid w:val="00AB182B"/>
    <w:rsid w:val="00AB3629"/>
    <w:rsid w:val="00AB364A"/>
    <w:rsid w:val="00AB3A0F"/>
    <w:rsid w:val="00AB3A5C"/>
    <w:rsid w:val="00AB6331"/>
    <w:rsid w:val="00AB6FEE"/>
    <w:rsid w:val="00AB7B2B"/>
    <w:rsid w:val="00AB7CB7"/>
    <w:rsid w:val="00AC08A2"/>
    <w:rsid w:val="00AC0A8B"/>
    <w:rsid w:val="00AC10EF"/>
    <w:rsid w:val="00AC11B8"/>
    <w:rsid w:val="00AC2A5E"/>
    <w:rsid w:val="00AC2B79"/>
    <w:rsid w:val="00AC4613"/>
    <w:rsid w:val="00AC6E6A"/>
    <w:rsid w:val="00AC6F3A"/>
    <w:rsid w:val="00AC7955"/>
    <w:rsid w:val="00AD1A79"/>
    <w:rsid w:val="00AD28D0"/>
    <w:rsid w:val="00AD2938"/>
    <w:rsid w:val="00AD32D9"/>
    <w:rsid w:val="00AD36E4"/>
    <w:rsid w:val="00AD426B"/>
    <w:rsid w:val="00AD733B"/>
    <w:rsid w:val="00AE01C4"/>
    <w:rsid w:val="00AE0205"/>
    <w:rsid w:val="00AE043E"/>
    <w:rsid w:val="00AE05ED"/>
    <w:rsid w:val="00AE2E0C"/>
    <w:rsid w:val="00AE3797"/>
    <w:rsid w:val="00AE38D6"/>
    <w:rsid w:val="00AE4BD8"/>
    <w:rsid w:val="00AE55C4"/>
    <w:rsid w:val="00AE697B"/>
    <w:rsid w:val="00AE6A69"/>
    <w:rsid w:val="00AE7628"/>
    <w:rsid w:val="00AF101F"/>
    <w:rsid w:val="00AF29DE"/>
    <w:rsid w:val="00AF3639"/>
    <w:rsid w:val="00AF380A"/>
    <w:rsid w:val="00AF3C42"/>
    <w:rsid w:val="00AF3E0D"/>
    <w:rsid w:val="00AF61E0"/>
    <w:rsid w:val="00AF6751"/>
    <w:rsid w:val="00AF7624"/>
    <w:rsid w:val="00B00684"/>
    <w:rsid w:val="00B014BA"/>
    <w:rsid w:val="00B0168A"/>
    <w:rsid w:val="00B03A42"/>
    <w:rsid w:val="00B03E0C"/>
    <w:rsid w:val="00B04440"/>
    <w:rsid w:val="00B04A95"/>
    <w:rsid w:val="00B0555E"/>
    <w:rsid w:val="00B055F8"/>
    <w:rsid w:val="00B0590D"/>
    <w:rsid w:val="00B05942"/>
    <w:rsid w:val="00B071AE"/>
    <w:rsid w:val="00B0775A"/>
    <w:rsid w:val="00B078DB"/>
    <w:rsid w:val="00B07988"/>
    <w:rsid w:val="00B105CE"/>
    <w:rsid w:val="00B114F8"/>
    <w:rsid w:val="00B12515"/>
    <w:rsid w:val="00B13E6C"/>
    <w:rsid w:val="00B157FE"/>
    <w:rsid w:val="00B205D6"/>
    <w:rsid w:val="00B21942"/>
    <w:rsid w:val="00B22E5B"/>
    <w:rsid w:val="00B22F63"/>
    <w:rsid w:val="00B240D0"/>
    <w:rsid w:val="00B24A18"/>
    <w:rsid w:val="00B2508A"/>
    <w:rsid w:val="00B2528F"/>
    <w:rsid w:val="00B25562"/>
    <w:rsid w:val="00B25A0B"/>
    <w:rsid w:val="00B25CC2"/>
    <w:rsid w:val="00B25E98"/>
    <w:rsid w:val="00B269D6"/>
    <w:rsid w:val="00B32CEB"/>
    <w:rsid w:val="00B347FC"/>
    <w:rsid w:val="00B35019"/>
    <w:rsid w:val="00B357BF"/>
    <w:rsid w:val="00B35A7E"/>
    <w:rsid w:val="00B42147"/>
    <w:rsid w:val="00B428EE"/>
    <w:rsid w:val="00B4301B"/>
    <w:rsid w:val="00B432F1"/>
    <w:rsid w:val="00B44D71"/>
    <w:rsid w:val="00B46C16"/>
    <w:rsid w:val="00B50291"/>
    <w:rsid w:val="00B5203D"/>
    <w:rsid w:val="00B52A07"/>
    <w:rsid w:val="00B545A8"/>
    <w:rsid w:val="00B54DA1"/>
    <w:rsid w:val="00B56075"/>
    <w:rsid w:val="00B5760D"/>
    <w:rsid w:val="00B57864"/>
    <w:rsid w:val="00B57D09"/>
    <w:rsid w:val="00B57EF1"/>
    <w:rsid w:val="00B60A55"/>
    <w:rsid w:val="00B61BAA"/>
    <w:rsid w:val="00B62321"/>
    <w:rsid w:val="00B6491E"/>
    <w:rsid w:val="00B65864"/>
    <w:rsid w:val="00B66F44"/>
    <w:rsid w:val="00B7027A"/>
    <w:rsid w:val="00B715BC"/>
    <w:rsid w:val="00B7270D"/>
    <w:rsid w:val="00B73176"/>
    <w:rsid w:val="00B749C8"/>
    <w:rsid w:val="00B74AF4"/>
    <w:rsid w:val="00B762AA"/>
    <w:rsid w:val="00B76507"/>
    <w:rsid w:val="00B77925"/>
    <w:rsid w:val="00B808F1"/>
    <w:rsid w:val="00B81883"/>
    <w:rsid w:val="00B81F91"/>
    <w:rsid w:val="00B82A1B"/>
    <w:rsid w:val="00B834D6"/>
    <w:rsid w:val="00B84BC1"/>
    <w:rsid w:val="00B87152"/>
    <w:rsid w:val="00B8771D"/>
    <w:rsid w:val="00B87B1D"/>
    <w:rsid w:val="00B92543"/>
    <w:rsid w:val="00B9337B"/>
    <w:rsid w:val="00B93906"/>
    <w:rsid w:val="00B94476"/>
    <w:rsid w:val="00B945AB"/>
    <w:rsid w:val="00B95481"/>
    <w:rsid w:val="00B971C2"/>
    <w:rsid w:val="00BA0388"/>
    <w:rsid w:val="00BA0E73"/>
    <w:rsid w:val="00BA0FE4"/>
    <w:rsid w:val="00BA158B"/>
    <w:rsid w:val="00BA1BFF"/>
    <w:rsid w:val="00BA343F"/>
    <w:rsid w:val="00BA5318"/>
    <w:rsid w:val="00BA5476"/>
    <w:rsid w:val="00BA5D92"/>
    <w:rsid w:val="00BA6311"/>
    <w:rsid w:val="00BA6A2A"/>
    <w:rsid w:val="00BA723E"/>
    <w:rsid w:val="00BA7FD7"/>
    <w:rsid w:val="00BB0A8B"/>
    <w:rsid w:val="00BB2452"/>
    <w:rsid w:val="00BB287E"/>
    <w:rsid w:val="00BB2A9F"/>
    <w:rsid w:val="00BB2B50"/>
    <w:rsid w:val="00BB2C68"/>
    <w:rsid w:val="00BB3878"/>
    <w:rsid w:val="00BB41A6"/>
    <w:rsid w:val="00BB44CD"/>
    <w:rsid w:val="00BB729F"/>
    <w:rsid w:val="00BB7346"/>
    <w:rsid w:val="00BB7BF8"/>
    <w:rsid w:val="00BC0073"/>
    <w:rsid w:val="00BC019F"/>
    <w:rsid w:val="00BC0E9C"/>
    <w:rsid w:val="00BC1127"/>
    <w:rsid w:val="00BC1739"/>
    <w:rsid w:val="00BC24E5"/>
    <w:rsid w:val="00BC4E30"/>
    <w:rsid w:val="00BC54A5"/>
    <w:rsid w:val="00BC57C0"/>
    <w:rsid w:val="00BC5E41"/>
    <w:rsid w:val="00BC69FB"/>
    <w:rsid w:val="00BD1237"/>
    <w:rsid w:val="00BD2450"/>
    <w:rsid w:val="00BD3053"/>
    <w:rsid w:val="00BD36B3"/>
    <w:rsid w:val="00BD40AE"/>
    <w:rsid w:val="00BD4441"/>
    <w:rsid w:val="00BD4B4F"/>
    <w:rsid w:val="00BD583E"/>
    <w:rsid w:val="00BD6680"/>
    <w:rsid w:val="00BD6D13"/>
    <w:rsid w:val="00BD704A"/>
    <w:rsid w:val="00BD7961"/>
    <w:rsid w:val="00BD7DB5"/>
    <w:rsid w:val="00BE054E"/>
    <w:rsid w:val="00BE07C2"/>
    <w:rsid w:val="00BE12D0"/>
    <w:rsid w:val="00BE1496"/>
    <w:rsid w:val="00BE1B16"/>
    <w:rsid w:val="00BE1BF5"/>
    <w:rsid w:val="00BE1F96"/>
    <w:rsid w:val="00BE34B4"/>
    <w:rsid w:val="00BE413D"/>
    <w:rsid w:val="00BE469D"/>
    <w:rsid w:val="00BE6BD0"/>
    <w:rsid w:val="00BF00A7"/>
    <w:rsid w:val="00BF0140"/>
    <w:rsid w:val="00BF113F"/>
    <w:rsid w:val="00BF1A8A"/>
    <w:rsid w:val="00BF262E"/>
    <w:rsid w:val="00BF2C6F"/>
    <w:rsid w:val="00BF3A91"/>
    <w:rsid w:val="00BF3DD8"/>
    <w:rsid w:val="00BF3E10"/>
    <w:rsid w:val="00BF43ED"/>
    <w:rsid w:val="00BF5076"/>
    <w:rsid w:val="00BF7545"/>
    <w:rsid w:val="00C00634"/>
    <w:rsid w:val="00C01357"/>
    <w:rsid w:val="00C03934"/>
    <w:rsid w:val="00C066D4"/>
    <w:rsid w:val="00C1004D"/>
    <w:rsid w:val="00C103D0"/>
    <w:rsid w:val="00C10D0F"/>
    <w:rsid w:val="00C10D29"/>
    <w:rsid w:val="00C13480"/>
    <w:rsid w:val="00C137FB"/>
    <w:rsid w:val="00C13EED"/>
    <w:rsid w:val="00C14EB9"/>
    <w:rsid w:val="00C1568A"/>
    <w:rsid w:val="00C158DB"/>
    <w:rsid w:val="00C17DB4"/>
    <w:rsid w:val="00C17ED2"/>
    <w:rsid w:val="00C2027E"/>
    <w:rsid w:val="00C20EA8"/>
    <w:rsid w:val="00C210EC"/>
    <w:rsid w:val="00C21666"/>
    <w:rsid w:val="00C216B8"/>
    <w:rsid w:val="00C218F0"/>
    <w:rsid w:val="00C245BF"/>
    <w:rsid w:val="00C25097"/>
    <w:rsid w:val="00C25677"/>
    <w:rsid w:val="00C25EB1"/>
    <w:rsid w:val="00C2623F"/>
    <w:rsid w:val="00C26C02"/>
    <w:rsid w:val="00C26F54"/>
    <w:rsid w:val="00C308E8"/>
    <w:rsid w:val="00C312A8"/>
    <w:rsid w:val="00C32DA3"/>
    <w:rsid w:val="00C33247"/>
    <w:rsid w:val="00C346A5"/>
    <w:rsid w:val="00C34CDA"/>
    <w:rsid w:val="00C35054"/>
    <w:rsid w:val="00C36095"/>
    <w:rsid w:val="00C362F7"/>
    <w:rsid w:val="00C373EB"/>
    <w:rsid w:val="00C4106F"/>
    <w:rsid w:val="00C41692"/>
    <w:rsid w:val="00C42BE8"/>
    <w:rsid w:val="00C44969"/>
    <w:rsid w:val="00C45749"/>
    <w:rsid w:val="00C46634"/>
    <w:rsid w:val="00C511A8"/>
    <w:rsid w:val="00C51C4B"/>
    <w:rsid w:val="00C5219C"/>
    <w:rsid w:val="00C52690"/>
    <w:rsid w:val="00C53308"/>
    <w:rsid w:val="00C536C2"/>
    <w:rsid w:val="00C536F4"/>
    <w:rsid w:val="00C53CB7"/>
    <w:rsid w:val="00C53FC1"/>
    <w:rsid w:val="00C55E8F"/>
    <w:rsid w:val="00C5765B"/>
    <w:rsid w:val="00C60FD9"/>
    <w:rsid w:val="00C615D0"/>
    <w:rsid w:val="00C61718"/>
    <w:rsid w:val="00C617AE"/>
    <w:rsid w:val="00C62CE2"/>
    <w:rsid w:val="00C62D5D"/>
    <w:rsid w:val="00C63B11"/>
    <w:rsid w:val="00C640AB"/>
    <w:rsid w:val="00C64502"/>
    <w:rsid w:val="00C6492A"/>
    <w:rsid w:val="00C66041"/>
    <w:rsid w:val="00C663AC"/>
    <w:rsid w:val="00C66C30"/>
    <w:rsid w:val="00C673FB"/>
    <w:rsid w:val="00C70C32"/>
    <w:rsid w:val="00C713AE"/>
    <w:rsid w:val="00C72EA1"/>
    <w:rsid w:val="00C73357"/>
    <w:rsid w:val="00C739F7"/>
    <w:rsid w:val="00C741A9"/>
    <w:rsid w:val="00C75108"/>
    <w:rsid w:val="00C758D2"/>
    <w:rsid w:val="00C75DBA"/>
    <w:rsid w:val="00C768A6"/>
    <w:rsid w:val="00C779F2"/>
    <w:rsid w:val="00C8065A"/>
    <w:rsid w:val="00C811DB"/>
    <w:rsid w:val="00C8186E"/>
    <w:rsid w:val="00C83F22"/>
    <w:rsid w:val="00C842C0"/>
    <w:rsid w:val="00C85BEC"/>
    <w:rsid w:val="00C86C48"/>
    <w:rsid w:val="00C87027"/>
    <w:rsid w:val="00C8703E"/>
    <w:rsid w:val="00C87135"/>
    <w:rsid w:val="00C875F6"/>
    <w:rsid w:val="00C90698"/>
    <w:rsid w:val="00C91590"/>
    <w:rsid w:val="00C91648"/>
    <w:rsid w:val="00C9175F"/>
    <w:rsid w:val="00C92A37"/>
    <w:rsid w:val="00C92AC4"/>
    <w:rsid w:val="00C92C82"/>
    <w:rsid w:val="00C92DF9"/>
    <w:rsid w:val="00C93AFA"/>
    <w:rsid w:val="00C93C37"/>
    <w:rsid w:val="00C94925"/>
    <w:rsid w:val="00C95018"/>
    <w:rsid w:val="00C952C9"/>
    <w:rsid w:val="00C96946"/>
    <w:rsid w:val="00C97086"/>
    <w:rsid w:val="00C974EC"/>
    <w:rsid w:val="00CA030A"/>
    <w:rsid w:val="00CA1D0B"/>
    <w:rsid w:val="00CA1F76"/>
    <w:rsid w:val="00CA304D"/>
    <w:rsid w:val="00CA3635"/>
    <w:rsid w:val="00CA4299"/>
    <w:rsid w:val="00CA445D"/>
    <w:rsid w:val="00CA611E"/>
    <w:rsid w:val="00CA7E2C"/>
    <w:rsid w:val="00CB06B6"/>
    <w:rsid w:val="00CB0966"/>
    <w:rsid w:val="00CB1969"/>
    <w:rsid w:val="00CB3436"/>
    <w:rsid w:val="00CB3CDB"/>
    <w:rsid w:val="00CB69D5"/>
    <w:rsid w:val="00CB6B63"/>
    <w:rsid w:val="00CC07DB"/>
    <w:rsid w:val="00CC0904"/>
    <w:rsid w:val="00CC09CC"/>
    <w:rsid w:val="00CC171B"/>
    <w:rsid w:val="00CC1788"/>
    <w:rsid w:val="00CC2292"/>
    <w:rsid w:val="00CC29B8"/>
    <w:rsid w:val="00CC2C12"/>
    <w:rsid w:val="00CC4367"/>
    <w:rsid w:val="00CC5FE3"/>
    <w:rsid w:val="00CC7C34"/>
    <w:rsid w:val="00CD0BC1"/>
    <w:rsid w:val="00CD1515"/>
    <w:rsid w:val="00CD3AA3"/>
    <w:rsid w:val="00CD4EBB"/>
    <w:rsid w:val="00CD5F38"/>
    <w:rsid w:val="00CD629A"/>
    <w:rsid w:val="00CD63CF"/>
    <w:rsid w:val="00CD75E5"/>
    <w:rsid w:val="00CD7DC5"/>
    <w:rsid w:val="00CE0A83"/>
    <w:rsid w:val="00CE1107"/>
    <w:rsid w:val="00CE1210"/>
    <w:rsid w:val="00CE1399"/>
    <w:rsid w:val="00CE1608"/>
    <w:rsid w:val="00CE2121"/>
    <w:rsid w:val="00CE4260"/>
    <w:rsid w:val="00CE59FE"/>
    <w:rsid w:val="00CE66CC"/>
    <w:rsid w:val="00CE6918"/>
    <w:rsid w:val="00CE710A"/>
    <w:rsid w:val="00CF0E06"/>
    <w:rsid w:val="00CF0E39"/>
    <w:rsid w:val="00CF2111"/>
    <w:rsid w:val="00CF3025"/>
    <w:rsid w:val="00CF382E"/>
    <w:rsid w:val="00CF5C51"/>
    <w:rsid w:val="00CF66E2"/>
    <w:rsid w:val="00CF6AFE"/>
    <w:rsid w:val="00CF737F"/>
    <w:rsid w:val="00CF760E"/>
    <w:rsid w:val="00D001EB"/>
    <w:rsid w:val="00D03B67"/>
    <w:rsid w:val="00D0480F"/>
    <w:rsid w:val="00D05756"/>
    <w:rsid w:val="00D05773"/>
    <w:rsid w:val="00D0577B"/>
    <w:rsid w:val="00D05BD0"/>
    <w:rsid w:val="00D06326"/>
    <w:rsid w:val="00D06B7B"/>
    <w:rsid w:val="00D07493"/>
    <w:rsid w:val="00D0759D"/>
    <w:rsid w:val="00D10B42"/>
    <w:rsid w:val="00D111C7"/>
    <w:rsid w:val="00D12339"/>
    <w:rsid w:val="00D13CE7"/>
    <w:rsid w:val="00D16549"/>
    <w:rsid w:val="00D2089A"/>
    <w:rsid w:val="00D21C99"/>
    <w:rsid w:val="00D22EA4"/>
    <w:rsid w:val="00D239C4"/>
    <w:rsid w:val="00D25170"/>
    <w:rsid w:val="00D25D84"/>
    <w:rsid w:val="00D278BE"/>
    <w:rsid w:val="00D30EA1"/>
    <w:rsid w:val="00D31813"/>
    <w:rsid w:val="00D32424"/>
    <w:rsid w:val="00D32443"/>
    <w:rsid w:val="00D32EDC"/>
    <w:rsid w:val="00D33B7A"/>
    <w:rsid w:val="00D35F5C"/>
    <w:rsid w:val="00D36B07"/>
    <w:rsid w:val="00D378C6"/>
    <w:rsid w:val="00D37BE4"/>
    <w:rsid w:val="00D40770"/>
    <w:rsid w:val="00D41DE7"/>
    <w:rsid w:val="00D42A4D"/>
    <w:rsid w:val="00D42F51"/>
    <w:rsid w:val="00D43E11"/>
    <w:rsid w:val="00D447BF"/>
    <w:rsid w:val="00D44A3F"/>
    <w:rsid w:val="00D47EA0"/>
    <w:rsid w:val="00D508AF"/>
    <w:rsid w:val="00D50B71"/>
    <w:rsid w:val="00D51138"/>
    <w:rsid w:val="00D51325"/>
    <w:rsid w:val="00D51668"/>
    <w:rsid w:val="00D51ECC"/>
    <w:rsid w:val="00D52DAC"/>
    <w:rsid w:val="00D53190"/>
    <w:rsid w:val="00D53391"/>
    <w:rsid w:val="00D534EC"/>
    <w:rsid w:val="00D53A87"/>
    <w:rsid w:val="00D53D5A"/>
    <w:rsid w:val="00D55198"/>
    <w:rsid w:val="00D56D10"/>
    <w:rsid w:val="00D572F3"/>
    <w:rsid w:val="00D57890"/>
    <w:rsid w:val="00D6156B"/>
    <w:rsid w:val="00D61AE7"/>
    <w:rsid w:val="00D624F3"/>
    <w:rsid w:val="00D63900"/>
    <w:rsid w:val="00D66B56"/>
    <w:rsid w:val="00D66D84"/>
    <w:rsid w:val="00D71105"/>
    <w:rsid w:val="00D72B2F"/>
    <w:rsid w:val="00D72D3B"/>
    <w:rsid w:val="00D74E7E"/>
    <w:rsid w:val="00D75324"/>
    <w:rsid w:val="00D75384"/>
    <w:rsid w:val="00D761CE"/>
    <w:rsid w:val="00D7655E"/>
    <w:rsid w:val="00D76D3C"/>
    <w:rsid w:val="00D807AE"/>
    <w:rsid w:val="00D82C8E"/>
    <w:rsid w:val="00D8386C"/>
    <w:rsid w:val="00D83D6C"/>
    <w:rsid w:val="00D86B2B"/>
    <w:rsid w:val="00D94EF5"/>
    <w:rsid w:val="00D9537D"/>
    <w:rsid w:val="00D9655C"/>
    <w:rsid w:val="00D967E6"/>
    <w:rsid w:val="00D9736A"/>
    <w:rsid w:val="00D975E0"/>
    <w:rsid w:val="00D9796E"/>
    <w:rsid w:val="00DA0AD2"/>
    <w:rsid w:val="00DA10D7"/>
    <w:rsid w:val="00DA12F0"/>
    <w:rsid w:val="00DA17B2"/>
    <w:rsid w:val="00DA1882"/>
    <w:rsid w:val="00DA2503"/>
    <w:rsid w:val="00DA366F"/>
    <w:rsid w:val="00DA45AF"/>
    <w:rsid w:val="00DA46A7"/>
    <w:rsid w:val="00DA5B5E"/>
    <w:rsid w:val="00DA67CF"/>
    <w:rsid w:val="00DA6966"/>
    <w:rsid w:val="00DB2334"/>
    <w:rsid w:val="00DB2914"/>
    <w:rsid w:val="00DB35E4"/>
    <w:rsid w:val="00DB3E6F"/>
    <w:rsid w:val="00DB4766"/>
    <w:rsid w:val="00DB561F"/>
    <w:rsid w:val="00DB5B91"/>
    <w:rsid w:val="00DB601D"/>
    <w:rsid w:val="00DB67DC"/>
    <w:rsid w:val="00DB7A25"/>
    <w:rsid w:val="00DB7B52"/>
    <w:rsid w:val="00DB7C42"/>
    <w:rsid w:val="00DC05E6"/>
    <w:rsid w:val="00DC134D"/>
    <w:rsid w:val="00DC15EC"/>
    <w:rsid w:val="00DC1DBA"/>
    <w:rsid w:val="00DC22AE"/>
    <w:rsid w:val="00DC28F2"/>
    <w:rsid w:val="00DC2ACA"/>
    <w:rsid w:val="00DC40D6"/>
    <w:rsid w:val="00DC44F2"/>
    <w:rsid w:val="00DC491E"/>
    <w:rsid w:val="00DC4D4D"/>
    <w:rsid w:val="00DC5289"/>
    <w:rsid w:val="00DC5713"/>
    <w:rsid w:val="00DC7616"/>
    <w:rsid w:val="00DD03C3"/>
    <w:rsid w:val="00DD2146"/>
    <w:rsid w:val="00DD2DD5"/>
    <w:rsid w:val="00DD3800"/>
    <w:rsid w:val="00DD564A"/>
    <w:rsid w:val="00DD756F"/>
    <w:rsid w:val="00DE024B"/>
    <w:rsid w:val="00DE1C11"/>
    <w:rsid w:val="00DE2025"/>
    <w:rsid w:val="00DE2034"/>
    <w:rsid w:val="00DE2157"/>
    <w:rsid w:val="00DE24C7"/>
    <w:rsid w:val="00DE3822"/>
    <w:rsid w:val="00DE4040"/>
    <w:rsid w:val="00DE55E6"/>
    <w:rsid w:val="00DE645E"/>
    <w:rsid w:val="00DE6735"/>
    <w:rsid w:val="00DF09A5"/>
    <w:rsid w:val="00DF0DFB"/>
    <w:rsid w:val="00DF1773"/>
    <w:rsid w:val="00DF19F5"/>
    <w:rsid w:val="00DF5848"/>
    <w:rsid w:val="00DF603D"/>
    <w:rsid w:val="00DF6835"/>
    <w:rsid w:val="00DF791F"/>
    <w:rsid w:val="00DF7BD1"/>
    <w:rsid w:val="00DF7DA6"/>
    <w:rsid w:val="00E01D41"/>
    <w:rsid w:val="00E03226"/>
    <w:rsid w:val="00E03404"/>
    <w:rsid w:val="00E0381B"/>
    <w:rsid w:val="00E03F7C"/>
    <w:rsid w:val="00E04071"/>
    <w:rsid w:val="00E0477C"/>
    <w:rsid w:val="00E04EEA"/>
    <w:rsid w:val="00E071D6"/>
    <w:rsid w:val="00E07215"/>
    <w:rsid w:val="00E078B4"/>
    <w:rsid w:val="00E10780"/>
    <w:rsid w:val="00E115F3"/>
    <w:rsid w:val="00E120E4"/>
    <w:rsid w:val="00E12663"/>
    <w:rsid w:val="00E12DFC"/>
    <w:rsid w:val="00E13321"/>
    <w:rsid w:val="00E14DAA"/>
    <w:rsid w:val="00E150D1"/>
    <w:rsid w:val="00E15907"/>
    <w:rsid w:val="00E1615E"/>
    <w:rsid w:val="00E16C3D"/>
    <w:rsid w:val="00E17253"/>
    <w:rsid w:val="00E2027A"/>
    <w:rsid w:val="00E20361"/>
    <w:rsid w:val="00E21D08"/>
    <w:rsid w:val="00E23051"/>
    <w:rsid w:val="00E236BC"/>
    <w:rsid w:val="00E24DC2"/>
    <w:rsid w:val="00E25175"/>
    <w:rsid w:val="00E263F9"/>
    <w:rsid w:val="00E26612"/>
    <w:rsid w:val="00E276AB"/>
    <w:rsid w:val="00E27F71"/>
    <w:rsid w:val="00E30D24"/>
    <w:rsid w:val="00E30DB5"/>
    <w:rsid w:val="00E30E8E"/>
    <w:rsid w:val="00E3268E"/>
    <w:rsid w:val="00E33A18"/>
    <w:rsid w:val="00E3514A"/>
    <w:rsid w:val="00E373AE"/>
    <w:rsid w:val="00E375D0"/>
    <w:rsid w:val="00E37E6D"/>
    <w:rsid w:val="00E4006E"/>
    <w:rsid w:val="00E406AA"/>
    <w:rsid w:val="00E40CA2"/>
    <w:rsid w:val="00E41C6C"/>
    <w:rsid w:val="00E42120"/>
    <w:rsid w:val="00E42EF6"/>
    <w:rsid w:val="00E43491"/>
    <w:rsid w:val="00E4435D"/>
    <w:rsid w:val="00E453C0"/>
    <w:rsid w:val="00E46507"/>
    <w:rsid w:val="00E478AF"/>
    <w:rsid w:val="00E47D88"/>
    <w:rsid w:val="00E50FF6"/>
    <w:rsid w:val="00E53121"/>
    <w:rsid w:val="00E53619"/>
    <w:rsid w:val="00E536DA"/>
    <w:rsid w:val="00E54394"/>
    <w:rsid w:val="00E55741"/>
    <w:rsid w:val="00E560F5"/>
    <w:rsid w:val="00E5658A"/>
    <w:rsid w:val="00E56998"/>
    <w:rsid w:val="00E57014"/>
    <w:rsid w:val="00E5757F"/>
    <w:rsid w:val="00E6030D"/>
    <w:rsid w:val="00E60ADE"/>
    <w:rsid w:val="00E62E57"/>
    <w:rsid w:val="00E65016"/>
    <w:rsid w:val="00E650AC"/>
    <w:rsid w:val="00E65ED1"/>
    <w:rsid w:val="00E6728A"/>
    <w:rsid w:val="00E706ED"/>
    <w:rsid w:val="00E720D2"/>
    <w:rsid w:val="00E72603"/>
    <w:rsid w:val="00E72CC3"/>
    <w:rsid w:val="00E74311"/>
    <w:rsid w:val="00E744AB"/>
    <w:rsid w:val="00E75363"/>
    <w:rsid w:val="00E75C21"/>
    <w:rsid w:val="00E75EA6"/>
    <w:rsid w:val="00E77E72"/>
    <w:rsid w:val="00E80436"/>
    <w:rsid w:val="00E83A70"/>
    <w:rsid w:val="00E87C14"/>
    <w:rsid w:val="00E90163"/>
    <w:rsid w:val="00E903B6"/>
    <w:rsid w:val="00E9047F"/>
    <w:rsid w:val="00E905EC"/>
    <w:rsid w:val="00E90DA4"/>
    <w:rsid w:val="00E90E51"/>
    <w:rsid w:val="00E923D9"/>
    <w:rsid w:val="00E926C6"/>
    <w:rsid w:val="00E939FA"/>
    <w:rsid w:val="00E93A3B"/>
    <w:rsid w:val="00E93C6A"/>
    <w:rsid w:val="00E93F40"/>
    <w:rsid w:val="00E94495"/>
    <w:rsid w:val="00E94A2C"/>
    <w:rsid w:val="00E94B47"/>
    <w:rsid w:val="00E9666B"/>
    <w:rsid w:val="00E97B54"/>
    <w:rsid w:val="00E97EA9"/>
    <w:rsid w:val="00EA13CA"/>
    <w:rsid w:val="00EA18D0"/>
    <w:rsid w:val="00EA1C32"/>
    <w:rsid w:val="00EA22F5"/>
    <w:rsid w:val="00EA612F"/>
    <w:rsid w:val="00EA6E82"/>
    <w:rsid w:val="00EB20A5"/>
    <w:rsid w:val="00EB4425"/>
    <w:rsid w:val="00EB485F"/>
    <w:rsid w:val="00EB708C"/>
    <w:rsid w:val="00EC1711"/>
    <w:rsid w:val="00EC1DF9"/>
    <w:rsid w:val="00EC2753"/>
    <w:rsid w:val="00EC2D45"/>
    <w:rsid w:val="00EC3426"/>
    <w:rsid w:val="00EC4087"/>
    <w:rsid w:val="00EC4AAF"/>
    <w:rsid w:val="00EC4C94"/>
    <w:rsid w:val="00EC589C"/>
    <w:rsid w:val="00EC69FC"/>
    <w:rsid w:val="00EC72A6"/>
    <w:rsid w:val="00EC7537"/>
    <w:rsid w:val="00ED0CE7"/>
    <w:rsid w:val="00ED0DC8"/>
    <w:rsid w:val="00ED54A9"/>
    <w:rsid w:val="00ED63F5"/>
    <w:rsid w:val="00ED68AF"/>
    <w:rsid w:val="00ED720C"/>
    <w:rsid w:val="00EE24EF"/>
    <w:rsid w:val="00EE2F26"/>
    <w:rsid w:val="00EE31FC"/>
    <w:rsid w:val="00EE3355"/>
    <w:rsid w:val="00EE4627"/>
    <w:rsid w:val="00EE5A34"/>
    <w:rsid w:val="00EE612F"/>
    <w:rsid w:val="00EF039B"/>
    <w:rsid w:val="00EF0484"/>
    <w:rsid w:val="00EF1047"/>
    <w:rsid w:val="00EF25C1"/>
    <w:rsid w:val="00EF40D1"/>
    <w:rsid w:val="00EF4FA3"/>
    <w:rsid w:val="00EF51BA"/>
    <w:rsid w:val="00EF622D"/>
    <w:rsid w:val="00EF64D7"/>
    <w:rsid w:val="00EF6AD2"/>
    <w:rsid w:val="00EF7BD8"/>
    <w:rsid w:val="00F002A4"/>
    <w:rsid w:val="00F00535"/>
    <w:rsid w:val="00F00952"/>
    <w:rsid w:val="00F0223B"/>
    <w:rsid w:val="00F02779"/>
    <w:rsid w:val="00F03649"/>
    <w:rsid w:val="00F043A6"/>
    <w:rsid w:val="00F04560"/>
    <w:rsid w:val="00F04963"/>
    <w:rsid w:val="00F05EB7"/>
    <w:rsid w:val="00F07976"/>
    <w:rsid w:val="00F1066D"/>
    <w:rsid w:val="00F116CF"/>
    <w:rsid w:val="00F11933"/>
    <w:rsid w:val="00F12306"/>
    <w:rsid w:val="00F124EC"/>
    <w:rsid w:val="00F12B6D"/>
    <w:rsid w:val="00F13125"/>
    <w:rsid w:val="00F14BC8"/>
    <w:rsid w:val="00F15406"/>
    <w:rsid w:val="00F15AE8"/>
    <w:rsid w:val="00F15D20"/>
    <w:rsid w:val="00F16831"/>
    <w:rsid w:val="00F176CE"/>
    <w:rsid w:val="00F17720"/>
    <w:rsid w:val="00F17F78"/>
    <w:rsid w:val="00F2080E"/>
    <w:rsid w:val="00F20F43"/>
    <w:rsid w:val="00F2202E"/>
    <w:rsid w:val="00F2274B"/>
    <w:rsid w:val="00F228BF"/>
    <w:rsid w:val="00F229DE"/>
    <w:rsid w:val="00F23608"/>
    <w:rsid w:val="00F24DC7"/>
    <w:rsid w:val="00F256E7"/>
    <w:rsid w:val="00F30549"/>
    <w:rsid w:val="00F30A42"/>
    <w:rsid w:val="00F311C1"/>
    <w:rsid w:val="00F36593"/>
    <w:rsid w:val="00F36FEF"/>
    <w:rsid w:val="00F41E65"/>
    <w:rsid w:val="00F41EC0"/>
    <w:rsid w:val="00F428D1"/>
    <w:rsid w:val="00F4292C"/>
    <w:rsid w:val="00F42FCD"/>
    <w:rsid w:val="00F447C9"/>
    <w:rsid w:val="00F45C64"/>
    <w:rsid w:val="00F466C6"/>
    <w:rsid w:val="00F46899"/>
    <w:rsid w:val="00F46CA1"/>
    <w:rsid w:val="00F47FE4"/>
    <w:rsid w:val="00F51625"/>
    <w:rsid w:val="00F52E3B"/>
    <w:rsid w:val="00F53F8E"/>
    <w:rsid w:val="00F54266"/>
    <w:rsid w:val="00F55AC1"/>
    <w:rsid w:val="00F55C39"/>
    <w:rsid w:val="00F561EA"/>
    <w:rsid w:val="00F5625F"/>
    <w:rsid w:val="00F56E56"/>
    <w:rsid w:val="00F57DF4"/>
    <w:rsid w:val="00F628FD"/>
    <w:rsid w:val="00F62FDE"/>
    <w:rsid w:val="00F63AE0"/>
    <w:rsid w:val="00F63D6E"/>
    <w:rsid w:val="00F641F8"/>
    <w:rsid w:val="00F6474D"/>
    <w:rsid w:val="00F65D2B"/>
    <w:rsid w:val="00F67174"/>
    <w:rsid w:val="00F67DC6"/>
    <w:rsid w:val="00F70879"/>
    <w:rsid w:val="00F709F4"/>
    <w:rsid w:val="00F70A8D"/>
    <w:rsid w:val="00F71E9B"/>
    <w:rsid w:val="00F73767"/>
    <w:rsid w:val="00F73B61"/>
    <w:rsid w:val="00F74F32"/>
    <w:rsid w:val="00F77311"/>
    <w:rsid w:val="00F8108D"/>
    <w:rsid w:val="00F8199F"/>
    <w:rsid w:val="00F82FAC"/>
    <w:rsid w:val="00F836FF"/>
    <w:rsid w:val="00F86ED3"/>
    <w:rsid w:val="00F87162"/>
    <w:rsid w:val="00F90109"/>
    <w:rsid w:val="00F91935"/>
    <w:rsid w:val="00F928FA"/>
    <w:rsid w:val="00F93FC8"/>
    <w:rsid w:val="00F94595"/>
    <w:rsid w:val="00F94AC6"/>
    <w:rsid w:val="00FA423C"/>
    <w:rsid w:val="00FA4C8D"/>
    <w:rsid w:val="00FA5ACC"/>
    <w:rsid w:val="00FA5DED"/>
    <w:rsid w:val="00FA697A"/>
    <w:rsid w:val="00FA6BF8"/>
    <w:rsid w:val="00FA6D0A"/>
    <w:rsid w:val="00FA6F6F"/>
    <w:rsid w:val="00FA77C0"/>
    <w:rsid w:val="00FB110D"/>
    <w:rsid w:val="00FB30A5"/>
    <w:rsid w:val="00FB40B8"/>
    <w:rsid w:val="00FB4ED6"/>
    <w:rsid w:val="00FB53BA"/>
    <w:rsid w:val="00FB652A"/>
    <w:rsid w:val="00FB66B5"/>
    <w:rsid w:val="00FC0067"/>
    <w:rsid w:val="00FC03B9"/>
    <w:rsid w:val="00FC0413"/>
    <w:rsid w:val="00FC0663"/>
    <w:rsid w:val="00FC06C9"/>
    <w:rsid w:val="00FC13AF"/>
    <w:rsid w:val="00FC274F"/>
    <w:rsid w:val="00FC2B6C"/>
    <w:rsid w:val="00FC2F49"/>
    <w:rsid w:val="00FC3D48"/>
    <w:rsid w:val="00FC4019"/>
    <w:rsid w:val="00FC452F"/>
    <w:rsid w:val="00FC49C3"/>
    <w:rsid w:val="00FC770A"/>
    <w:rsid w:val="00FD0BC0"/>
    <w:rsid w:val="00FD2909"/>
    <w:rsid w:val="00FD2AA6"/>
    <w:rsid w:val="00FD3D11"/>
    <w:rsid w:val="00FD3D3B"/>
    <w:rsid w:val="00FD3EE5"/>
    <w:rsid w:val="00FD4C9B"/>
    <w:rsid w:val="00FD6539"/>
    <w:rsid w:val="00FD69F1"/>
    <w:rsid w:val="00FD7763"/>
    <w:rsid w:val="00FD78D8"/>
    <w:rsid w:val="00FE003E"/>
    <w:rsid w:val="00FE04EC"/>
    <w:rsid w:val="00FE0A71"/>
    <w:rsid w:val="00FE1697"/>
    <w:rsid w:val="00FE1BF1"/>
    <w:rsid w:val="00FE1F37"/>
    <w:rsid w:val="00FE2FEE"/>
    <w:rsid w:val="00FE3B46"/>
    <w:rsid w:val="00FE434E"/>
    <w:rsid w:val="00FE4B25"/>
    <w:rsid w:val="00FE4C68"/>
    <w:rsid w:val="00FE545D"/>
    <w:rsid w:val="00FE663F"/>
    <w:rsid w:val="00FE695F"/>
    <w:rsid w:val="00FE71D6"/>
    <w:rsid w:val="00FE7382"/>
    <w:rsid w:val="00FF0610"/>
    <w:rsid w:val="00FF0763"/>
    <w:rsid w:val="00FF16A7"/>
    <w:rsid w:val="00FF33C8"/>
    <w:rsid w:val="00FF5000"/>
    <w:rsid w:val="00FF509E"/>
    <w:rsid w:val="00FF5D83"/>
    <w:rsid w:val="02C42CA6"/>
    <w:rsid w:val="03F936D4"/>
    <w:rsid w:val="04FE43E1"/>
    <w:rsid w:val="05014481"/>
    <w:rsid w:val="09C5490D"/>
    <w:rsid w:val="0A0442B4"/>
    <w:rsid w:val="0A2E01BD"/>
    <w:rsid w:val="0A49177E"/>
    <w:rsid w:val="0A655D8B"/>
    <w:rsid w:val="0C9843D4"/>
    <w:rsid w:val="0D5F6DE0"/>
    <w:rsid w:val="119D4EBD"/>
    <w:rsid w:val="129943C1"/>
    <w:rsid w:val="12C843FF"/>
    <w:rsid w:val="13474EFD"/>
    <w:rsid w:val="145B3A12"/>
    <w:rsid w:val="14B86ED6"/>
    <w:rsid w:val="14DF48D0"/>
    <w:rsid w:val="16AD2B0B"/>
    <w:rsid w:val="187C7EA2"/>
    <w:rsid w:val="19BA5213"/>
    <w:rsid w:val="1AE36623"/>
    <w:rsid w:val="1B571F3C"/>
    <w:rsid w:val="1DD44852"/>
    <w:rsid w:val="1E974050"/>
    <w:rsid w:val="211D3AB0"/>
    <w:rsid w:val="22622582"/>
    <w:rsid w:val="23190325"/>
    <w:rsid w:val="23BD3812"/>
    <w:rsid w:val="264A6785"/>
    <w:rsid w:val="27106982"/>
    <w:rsid w:val="27C3725D"/>
    <w:rsid w:val="28842E30"/>
    <w:rsid w:val="28B949E9"/>
    <w:rsid w:val="29A87CCF"/>
    <w:rsid w:val="2AA320DE"/>
    <w:rsid w:val="2D904563"/>
    <w:rsid w:val="2EC441ED"/>
    <w:rsid w:val="2FE3122A"/>
    <w:rsid w:val="32ED0A26"/>
    <w:rsid w:val="334D5501"/>
    <w:rsid w:val="33D92871"/>
    <w:rsid w:val="35102F2F"/>
    <w:rsid w:val="37FC114B"/>
    <w:rsid w:val="38505E37"/>
    <w:rsid w:val="38A535F2"/>
    <w:rsid w:val="3A645280"/>
    <w:rsid w:val="3D0F7ADC"/>
    <w:rsid w:val="3D162A4F"/>
    <w:rsid w:val="3DB57CA8"/>
    <w:rsid w:val="3F7756A4"/>
    <w:rsid w:val="403676A8"/>
    <w:rsid w:val="40676D39"/>
    <w:rsid w:val="40B9229E"/>
    <w:rsid w:val="40E83726"/>
    <w:rsid w:val="41CC6F66"/>
    <w:rsid w:val="41D61D07"/>
    <w:rsid w:val="41E574C4"/>
    <w:rsid w:val="42685515"/>
    <w:rsid w:val="428A53CE"/>
    <w:rsid w:val="44AC0836"/>
    <w:rsid w:val="476821DB"/>
    <w:rsid w:val="47F3286F"/>
    <w:rsid w:val="487659F9"/>
    <w:rsid w:val="487C620B"/>
    <w:rsid w:val="49DA116A"/>
    <w:rsid w:val="4A1A425F"/>
    <w:rsid w:val="4B98720F"/>
    <w:rsid w:val="4CFA7B80"/>
    <w:rsid w:val="4E537BFE"/>
    <w:rsid w:val="4E7D7CB3"/>
    <w:rsid w:val="4F150C9C"/>
    <w:rsid w:val="4F612DE2"/>
    <w:rsid w:val="503A21C5"/>
    <w:rsid w:val="5143562B"/>
    <w:rsid w:val="53F929DF"/>
    <w:rsid w:val="54000855"/>
    <w:rsid w:val="54B82AD2"/>
    <w:rsid w:val="56533AC0"/>
    <w:rsid w:val="57793299"/>
    <w:rsid w:val="57B43336"/>
    <w:rsid w:val="57D44FD0"/>
    <w:rsid w:val="580E222A"/>
    <w:rsid w:val="5A15374D"/>
    <w:rsid w:val="5B3F4CAD"/>
    <w:rsid w:val="5E412662"/>
    <w:rsid w:val="5E614DBE"/>
    <w:rsid w:val="63882B93"/>
    <w:rsid w:val="656D5B0C"/>
    <w:rsid w:val="696F7C4C"/>
    <w:rsid w:val="69910912"/>
    <w:rsid w:val="69B97CE3"/>
    <w:rsid w:val="6ACC0E90"/>
    <w:rsid w:val="6B532B05"/>
    <w:rsid w:val="6CDA1CA5"/>
    <w:rsid w:val="6CEC3C79"/>
    <w:rsid w:val="6D2F3FA9"/>
    <w:rsid w:val="6DF06A59"/>
    <w:rsid w:val="70F55A1D"/>
    <w:rsid w:val="71851708"/>
    <w:rsid w:val="728F119E"/>
    <w:rsid w:val="737C1573"/>
    <w:rsid w:val="750F24B5"/>
    <w:rsid w:val="75922D01"/>
    <w:rsid w:val="75CB3E7B"/>
    <w:rsid w:val="76494551"/>
    <w:rsid w:val="77FB3549"/>
    <w:rsid w:val="78337CA1"/>
    <w:rsid w:val="78907ACA"/>
    <w:rsid w:val="789B3E7B"/>
    <w:rsid w:val="79145584"/>
    <w:rsid w:val="7ADA0E98"/>
    <w:rsid w:val="7B2A6E05"/>
    <w:rsid w:val="7BA77768"/>
    <w:rsid w:val="7BCF2689"/>
    <w:rsid w:val="7D8E2C23"/>
    <w:rsid w:val="7E2816CC"/>
    <w:rsid w:val="7E81050D"/>
    <w:rsid w:val="7E986D60"/>
    <w:rsid w:val="7E99577C"/>
    <w:rsid w:val="7F64100B"/>
    <w:rsid w:val="7F7614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ahoma" w:hAnsi="Tahoma" w:eastAsia="宋体" w:cs="Times New Roman"/>
      <w:kern w:val="2"/>
      <w:sz w:val="24"/>
      <w:szCs w:val="24"/>
      <w:lang w:val="en-US" w:eastAsia="zh-CN" w:bidi="ar-SA"/>
    </w:rPr>
  </w:style>
  <w:style w:type="paragraph" w:styleId="3">
    <w:name w:val="heading 1"/>
    <w:basedOn w:val="1"/>
    <w:next w:val="1"/>
    <w:link w:val="56"/>
    <w:qFormat/>
    <w:uiPriority w:val="0"/>
    <w:pPr>
      <w:keepNext/>
      <w:keepLines/>
      <w:spacing w:before="340" w:after="330" w:line="576" w:lineRule="auto"/>
      <w:outlineLvl w:val="0"/>
    </w:pPr>
    <w:rPr>
      <w:kern w:val="44"/>
      <w:sz w:val="44"/>
      <w:szCs w:val="44"/>
    </w:rPr>
  </w:style>
  <w:style w:type="paragraph" w:styleId="2">
    <w:name w:val="heading 2"/>
    <w:basedOn w:val="1"/>
    <w:next w:val="1"/>
    <w:link w:val="57"/>
    <w:qFormat/>
    <w:uiPriority w:val="9"/>
    <w:pPr>
      <w:keepNext/>
      <w:keepLines/>
      <w:spacing w:before="260" w:after="260" w:line="408" w:lineRule="auto"/>
      <w:outlineLvl w:val="1"/>
    </w:pPr>
    <w:rPr>
      <w:rFonts w:ascii="仿宋_GB2312" w:hAnsi="仿宋_GB2312" w:eastAsia="黑体" w:cs="Arial"/>
      <w:b/>
      <w:kern w:val="44"/>
      <w:sz w:val="28"/>
      <w:szCs w:val="28"/>
    </w:rPr>
  </w:style>
  <w:style w:type="paragraph" w:styleId="4">
    <w:name w:val="heading 3"/>
    <w:basedOn w:val="1"/>
    <w:next w:val="1"/>
    <w:link w:val="58"/>
    <w:qFormat/>
    <w:uiPriority w:val="9"/>
    <w:pPr>
      <w:keepNext/>
      <w:keepLines/>
      <w:spacing w:before="260" w:after="260" w:line="413" w:lineRule="auto"/>
      <w:outlineLvl w:val="2"/>
    </w:pPr>
    <w:rPr>
      <w:rFonts w:ascii="Times New Roman" w:hAnsi="Times New Roman" w:eastAsia="黑体"/>
      <w:bCs/>
      <w:sz w:val="30"/>
      <w:szCs w:val="32"/>
    </w:rPr>
  </w:style>
  <w:style w:type="paragraph" w:styleId="5">
    <w:name w:val="heading 4"/>
    <w:basedOn w:val="1"/>
    <w:next w:val="6"/>
    <w:link w:val="60"/>
    <w:qFormat/>
    <w:uiPriority w:val="9"/>
    <w:pPr>
      <w:keepNext/>
      <w:spacing w:line="360" w:lineRule="auto"/>
      <w:jc w:val="center"/>
      <w:outlineLvl w:val="3"/>
    </w:pPr>
    <w:rPr>
      <w:rFonts w:ascii="Times New Roman" w:hAnsi="Times New Roman"/>
      <w:sz w:val="28"/>
      <w:szCs w:val="20"/>
    </w:rPr>
  </w:style>
  <w:style w:type="paragraph" w:styleId="7">
    <w:name w:val="heading 5"/>
    <w:basedOn w:val="1"/>
    <w:next w:val="1"/>
    <w:link w:val="61"/>
    <w:qFormat/>
    <w:uiPriority w:val="0"/>
    <w:pPr>
      <w:keepNext/>
      <w:keepLines/>
      <w:spacing w:before="280" w:after="290" w:line="372" w:lineRule="auto"/>
      <w:outlineLvl w:val="4"/>
    </w:pPr>
    <w:rPr>
      <w:rFonts w:ascii="Times New Roman" w:hAnsi="Times New Roman"/>
      <w:b/>
      <w:bCs/>
      <w:szCs w:val="28"/>
    </w:rPr>
  </w:style>
  <w:style w:type="paragraph" w:styleId="8">
    <w:name w:val="heading 6"/>
    <w:basedOn w:val="1"/>
    <w:next w:val="1"/>
    <w:link w:val="62"/>
    <w:qFormat/>
    <w:uiPriority w:val="0"/>
    <w:pPr>
      <w:keepNext/>
      <w:keepLines/>
      <w:spacing w:before="240" w:after="64" w:line="317" w:lineRule="auto"/>
      <w:outlineLvl w:val="5"/>
    </w:pPr>
    <w:rPr>
      <w:rFonts w:ascii="Arial" w:hAnsi="Arial" w:eastAsia="黑体"/>
      <w:b/>
      <w:bCs/>
    </w:rPr>
  </w:style>
  <w:style w:type="paragraph" w:styleId="9">
    <w:name w:val="heading 7"/>
    <w:basedOn w:val="1"/>
    <w:next w:val="1"/>
    <w:link w:val="63"/>
    <w:qFormat/>
    <w:uiPriority w:val="0"/>
    <w:pPr>
      <w:keepNext/>
      <w:keepLines/>
      <w:spacing w:before="240" w:after="64" w:line="317" w:lineRule="auto"/>
      <w:outlineLvl w:val="6"/>
    </w:pPr>
    <w:rPr>
      <w:rFonts w:ascii="Times New Roman" w:hAnsi="Times New Roman"/>
      <w:b/>
      <w:bCs/>
    </w:rPr>
  </w:style>
  <w:style w:type="paragraph" w:styleId="10">
    <w:name w:val="heading 8"/>
    <w:basedOn w:val="1"/>
    <w:next w:val="1"/>
    <w:link w:val="64"/>
    <w:qFormat/>
    <w:uiPriority w:val="0"/>
    <w:pPr>
      <w:keepNext/>
      <w:keepLines/>
      <w:spacing w:before="240" w:after="64" w:line="317" w:lineRule="auto"/>
      <w:outlineLvl w:val="7"/>
    </w:pPr>
    <w:rPr>
      <w:rFonts w:ascii="Arial" w:hAnsi="Arial" w:eastAsia="黑体"/>
    </w:rPr>
  </w:style>
  <w:style w:type="paragraph" w:styleId="11">
    <w:name w:val="heading 9"/>
    <w:basedOn w:val="1"/>
    <w:next w:val="1"/>
    <w:link w:val="65"/>
    <w:qFormat/>
    <w:uiPriority w:val="0"/>
    <w:pPr>
      <w:keepNext/>
      <w:keepLines/>
      <w:spacing w:before="240" w:after="64" w:line="317" w:lineRule="auto"/>
      <w:outlineLvl w:val="8"/>
    </w:pPr>
    <w:rPr>
      <w:rFonts w:ascii="Arial" w:hAnsi="Arial" w:eastAsia="黑体"/>
      <w:szCs w:val="21"/>
    </w:rPr>
  </w:style>
  <w:style w:type="character" w:default="1" w:styleId="47">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59"/>
    <w:qFormat/>
    <w:uiPriority w:val="0"/>
    <w:pPr>
      <w:autoSpaceDE w:val="0"/>
      <w:autoSpaceDN w:val="0"/>
      <w:spacing w:line="360" w:lineRule="auto"/>
      <w:ind w:left="181" w:firstLine="420"/>
    </w:pPr>
    <w:rPr>
      <w:rFonts w:ascii="Times New Roman" w:hAnsi="Times New Roman"/>
      <w:szCs w:val="20"/>
    </w:rPr>
  </w:style>
  <w:style w:type="paragraph" w:styleId="12">
    <w:name w:val="toc 7"/>
    <w:basedOn w:val="1"/>
    <w:next w:val="1"/>
    <w:qFormat/>
    <w:uiPriority w:val="39"/>
    <w:pPr>
      <w:ind w:left="1440"/>
      <w:jc w:val="left"/>
    </w:pPr>
    <w:rPr>
      <w:rFonts w:ascii="Times New Roman" w:hAnsi="Times New Roman"/>
      <w:sz w:val="18"/>
      <w:szCs w:val="21"/>
    </w:rPr>
  </w:style>
  <w:style w:type="paragraph" w:styleId="13">
    <w:name w:val="caption"/>
    <w:basedOn w:val="1"/>
    <w:next w:val="1"/>
    <w:link w:val="370"/>
    <w:qFormat/>
    <w:uiPriority w:val="0"/>
    <w:pPr>
      <w:numPr>
        <w:ilvl w:val="0"/>
        <w:numId w:val="1"/>
      </w:numPr>
      <w:spacing w:line="360" w:lineRule="auto"/>
      <w:ind w:left="0" w:firstLine="0"/>
      <w:jc w:val="center"/>
    </w:pPr>
    <w:rPr>
      <w:rFonts w:ascii="Arial Unicode MS" w:hAnsi="Arial Unicode MS"/>
      <w:sz w:val="21"/>
      <w:szCs w:val="20"/>
    </w:rPr>
  </w:style>
  <w:style w:type="paragraph" w:styleId="14">
    <w:name w:val="Document Map"/>
    <w:basedOn w:val="1"/>
    <w:link w:val="70"/>
    <w:qFormat/>
    <w:uiPriority w:val="99"/>
    <w:pPr>
      <w:shd w:val="clear" w:color="auto" w:fill="000080"/>
    </w:pPr>
  </w:style>
  <w:style w:type="paragraph" w:styleId="15">
    <w:name w:val="annotation text"/>
    <w:basedOn w:val="1"/>
    <w:link w:val="66"/>
    <w:qFormat/>
    <w:uiPriority w:val="0"/>
    <w:pPr>
      <w:jc w:val="left"/>
    </w:pPr>
    <w:rPr>
      <w:rFonts w:ascii="Times New Roman" w:hAnsi="Times New Roman"/>
      <w:sz w:val="21"/>
    </w:rPr>
  </w:style>
  <w:style w:type="paragraph" w:styleId="16">
    <w:name w:val="Body Text 3"/>
    <w:basedOn w:val="1"/>
    <w:link w:val="71"/>
    <w:qFormat/>
    <w:uiPriority w:val="0"/>
    <w:pPr>
      <w:spacing w:after="120"/>
    </w:pPr>
    <w:rPr>
      <w:sz w:val="16"/>
      <w:szCs w:val="16"/>
    </w:rPr>
  </w:style>
  <w:style w:type="paragraph" w:styleId="17">
    <w:name w:val="Body Text"/>
    <w:basedOn w:val="1"/>
    <w:link w:val="68"/>
    <w:qFormat/>
    <w:uiPriority w:val="1"/>
    <w:pPr>
      <w:widowControl/>
      <w:spacing w:before="100" w:beforeAutospacing="1" w:after="100" w:afterAutospacing="1"/>
      <w:jc w:val="left"/>
    </w:pPr>
    <w:rPr>
      <w:rFonts w:ascii="宋体" w:hAnsi="宋体"/>
      <w:kern w:val="0"/>
    </w:rPr>
  </w:style>
  <w:style w:type="paragraph" w:styleId="18">
    <w:name w:val="Body Text Indent"/>
    <w:basedOn w:val="1"/>
    <w:link w:val="72"/>
    <w:qFormat/>
    <w:uiPriority w:val="99"/>
    <w:pPr>
      <w:widowControl/>
      <w:spacing w:before="100" w:beforeAutospacing="1" w:after="100" w:afterAutospacing="1"/>
      <w:jc w:val="left"/>
    </w:pPr>
    <w:rPr>
      <w:rFonts w:ascii="宋体" w:hAnsi="宋体"/>
      <w:kern w:val="0"/>
    </w:rPr>
  </w:style>
  <w:style w:type="paragraph" w:styleId="19">
    <w:name w:val="Block Text"/>
    <w:basedOn w:val="1"/>
    <w:qFormat/>
    <w:uiPriority w:val="0"/>
    <w:pPr>
      <w:ind w:left="718" w:leftChars="342" w:right="25" w:rightChars="12" w:firstLine="2" w:firstLineChars="1"/>
    </w:pPr>
    <w:rPr>
      <w:rFonts w:ascii="Times New Roman" w:hAnsi="Times New Roman"/>
      <w:sz w:val="21"/>
    </w:rPr>
  </w:style>
  <w:style w:type="paragraph" w:styleId="20">
    <w:name w:val="toc 5"/>
    <w:basedOn w:val="1"/>
    <w:next w:val="1"/>
    <w:qFormat/>
    <w:uiPriority w:val="39"/>
    <w:pPr>
      <w:ind w:left="960"/>
      <w:jc w:val="left"/>
    </w:pPr>
    <w:rPr>
      <w:rFonts w:ascii="Times New Roman" w:hAnsi="Times New Roman"/>
      <w:sz w:val="18"/>
      <w:szCs w:val="21"/>
    </w:rPr>
  </w:style>
  <w:style w:type="paragraph" w:styleId="21">
    <w:name w:val="toc 3"/>
    <w:basedOn w:val="1"/>
    <w:next w:val="1"/>
    <w:qFormat/>
    <w:uiPriority w:val="39"/>
    <w:pPr>
      <w:ind w:left="480"/>
      <w:jc w:val="left"/>
    </w:pPr>
    <w:rPr>
      <w:rFonts w:ascii="Times New Roman" w:hAnsi="Times New Roman"/>
      <w:i/>
      <w:iCs/>
      <w:sz w:val="20"/>
    </w:rPr>
  </w:style>
  <w:style w:type="paragraph" w:styleId="22">
    <w:name w:val="Plain Text"/>
    <w:basedOn w:val="1"/>
    <w:link w:val="73"/>
    <w:qFormat/>
    <w:uiPriority w:val="0"/>
    <w:pPr>
      <w:spacing w:line="360" w:lineRule="auto"/>
    </w:pPr>
    <w:rPr>
      <w:rFonts w:ascii="宋体" w:hAnsi="Courier New"/>
      <w:szCs w:val="21"/>
    </w:rPr>
  </w:style>
  <w:style w:type="paragraph" w:styleId="23">
    <w:name w:val="toc 8"/>
    <w:basedOn w:val="1"/>
    <w:next w:val="1"/>
    <w:qFormat/>
    <w:uiPriority w:val="39"/>
    <w:pPr>
      <w:ind w:left="1680"/>
      <w:jc w:val="left"/>
    </w:pPr>
    <w:rPr>
      <w:rFonts w:ascii="Times New Roman" w:hAnsi="Times New Roman"/>
      <w:sz w:val="18"/>
      <w:szCs w:val="21"/>
    </w:rPr>
  </w:style>
  <w:style w:type="paragraph" w:styleId="24">
    <w:name w:val="Date"/>
    <w:basedOn w:val="1"/>
    <w:next w:val="1"/>
    <w:link w:val="74"/>
    <w:qFormat/>
    <w:uiPriority w:val="0"/>
    <w:rPr>
      <w:rFonts w:ascii="Times New Roman" w:hAnsi="Times New Roman"/>
      <w:sz w:val="28"/>
      <w:szCs w:val="20"/>
    </w:rPr>
  </w:style>
  <w:style w:type="paragraph" w:styleId="25">
    <w:name w:val="Body Text Indent 2"/>
    <w:basedOn w:val="1"/>
    <w:link w:val="75"/>
    <w:qFormat/>
    <w:uiPriority w:val="0"/>
    <w:pPr>
      <w:ind w:left="718" w:leftChars="342"/>
    </w:pPr>
    <w:rPr>
      <w:rFonts w:ascii="Times New Roman" w:hAnsi="Times New Roman"/>
      <w:sz w:val="28"/>
    </w:rPr>
  </w:style>
  <w:style w:type="paragraph" w:styleId="26">
    <w:name w:val="Balloon Text"/>
    <w:basedOn w:val="1"/>
    <w:link w:val="76"/>
    <w:qFormat/>
    <w:uiPriority w:val="99"/>
    <w:rPr>
      <w:sz w:val="18"/>
      <w:szCs w:val="18"/>
    </w:rPr>
  </w:style>
  <w:style w:type="paragraph" w:styleId="27">
    <w:name w:val="footer"/>
    <w:basedOn w:val="1"/>
    <w:link w:val="77"/>
    <w:qFormat/>
    <w:uiPriority w:val="99"/>
    <w:pPr>
      <w:tabs>
        <w:tab w:val="center" w:pos="4153"/>
        <w:tab w:val="right" w:pos="8306"/>
      </w:tabs>
      <w:snapToGrid w:val="0"/>
      <w:jc w:val="left"/>
    </w:pPr>
    <w:rPr>
      <w:sz w:val="18"/>
      <w:szCs w:val="18"/>
    </w:rPr>
  </w:style>
  <w:style w:type="paragraph" w:styleId="28">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9540"/>
      </w:tabs>
      <w:spacing w:before="120" w:after="120"/>
      <w:ind w:left="180" w:leftChars="75" w:right="-82" w:rightChars="-34"/>
      <w:jc w:val="left"/>
    </w:pPr>
    <w:rPr>
      <w:rFonts w:ascii="宋体" w:hAnsi="宋体"/>
      <w:b/>
      <w:bCs/>
      <w:caps/>
      <w:sz w:val="21"/>
      <w:szCs w:val="21"/>
    </w:rPr>
  </w:style>
  <w:style w:type="paragraph" w:styleId="30">
    <w:name w:val="toc 4"/>
    <w:basedOn w:val="1"/>
    <w:next w:val="1"/>
    <w:qFormat/>
    <w:uiPriority w:val="39"/>
    <w:pPr>
      <w:ind w:left="720"/>
      <w:jc w:val="left"/>
    </w:pPr>
    <w:rPr>
      <w:rFonts w:ascii="Times New Roman" w:hAnsi="Times New Roman"/>
      <w:sz w:val="18"/>
      <w:szCs w:val="21"/>
    </w:rPr>
  </w:style>
  <w:style w:type="paragraph" w:styleId="31">
    <w:name w:val="index heading"/>
    <w:basedOn w:val="1"/>
    <w:next w:val="32"/>
    <w:qFormat/>
    <w:uiPriority w:val="0"/>
    <w:rPr>
      <w:rFonts w:ascii="Times New Roman" w:hAnsi="Times New Roman"/>
      <w:sz w:val="21"/>
      <w:szCs w:val="20"/>
    </w:rPr>
  </w:style>
  <w:style w:type="paragraph" w:styleId="32">
    <w:name w:val="index 1"/>
    <w:basedOn w:val="1"/>
    <w:next w:val="1"/>
    <w:qFormat/>
    <w:uiPriority w:val="0"/>
    <w:rPr>
      <w:rFonts w:hint="eastAsia" w:ascii="宋体" w:hAnsi="宋体" w:cs="Arial"/>
    </w:rPr>
  </w:style>
  <w:style w:type="paragraph" w:styleId="33">
    <w:name w:val="List"/>
    <w:basedOn w:val="1"/>
    <w:qFormat/>
    <w:uiPriority w:val="0"/>
    <w:pPr>
      <w:ind w:left="200" w:hanging="200" w:hangingChars="200"/>
    </w:pPr>
    <w:rPr>
      <w:rFonts w:ascii="Times New Roman" w:hAnsi="Times New Roman"/>
      <w:sz w:val="21"/>
    </w:rPr>
  </w:style>
  <w:style w:type="paragraph" w:styleId="34">
    <w:name w:val="toc 6"/>
    <w:basedOn w:val="1"/>
    <w:next w:val="1"/>
    <w:qFormat/>
    <w:uiPriority w:val="39"/>
    <w:pPr>
      <w:ind w:left="1200"/>
      <w:jc w:val="left"/>
    </w:pPr>
    <w:rPr>
      <w:rFonts w:ascii="Times New Roman" w:hAnsi="Times New Roman"/>
      <w:sz w:val="18"/>
      <w:szCs w:val="21"/>
    </w:rPr>
  </w:style>
  <w:style w:type="paragraph" w:styleId="35">
    <w:name w:val="Body Text Indent 3"/>
    <w:basedOn w:val="1"/>
    <w:link w:val="80"/>
    <w:qFormat/>
    <w:uiPriority w:val="0"/>
    <w:pPr>
      <w:spacing w:after="120"/>
      <w:ind w:left="420" w:leftChars="200"/>
    </w:pPr>
    <w:rPr>
      <w:sz w:val="16"/>
      <w:szCs w:val="16"/>
    </w:rPr>
  </w:style>
  <w:style w:type="paragraph" w:styleId="36">
    <w:name w:val="table of figures"/>
    <w:basedOn w:val="1"/>
    <w:next w:val="1"/>
    <w:qFormat/>
    <w:uiPriority w:val="99"/>
    <w:pPr>
      <w:spacing w:line="360" w:lineRule="auto"/>
      <w:ind w:left="840" w:leftChars="200" w:hanging="420" w:hangingChars="200"/>
    </w:pPr>
    <w:rPr>
      <w:rFonts w:ascii="Times New Roman" w:hAnsi="Times New Roman"/>
      <w:szCs w:val="20"/>
    </w:rPr>
  </w:style>
  <w:style w:type="paragraph" w:styleId="37">
    <w:name w:val="toc 2"/>
    <w:basedOn w:val="1"/>
    <w:next w:val="1"/>
    <w:qFormat/>
    <w:uiPriority w:val="39"/>
    <w:pPr>
      <w:tabs>
        <w:tab w:val="left" w:pos="1080"/>
        <w:tab w:val="right" w:leader="dot" w:pos="9540"/>
        <w:tab w:val="right" w:leader="dot" w:pos="9628"/>
      </w:tabs>
      <w:ind w:left="150" w:leftChars="150" w:right="-34" w:rightChars="-34"/>
      <w:jc w:val="left"/>
    </w:pPr>
    <w:rPr>
      <w:rFonts w:ascii="Times New Roman" w:hAnsi="Times New Roman"/>
      <w:smallCaps/>
      <w:sz w:val="20"/>
    </w:rPr>
  </w:style>
  <w:style w:type="paragraph" w:styleId="38">
    <w:name w:val="toc 9"/>
    <w:basedOn w:val="1"/>
    <w:next w:val="1"/>
    <w:qFormat/>
    <w:uiPriority w:val="39"/>
    <w:pPr>
      <w:ind w:left="1920"/>
      <w:jc w:val="left"/>
    </w:pPr>
    <w:rPr>
      <w:rFonts w:ascii="Times New Roman" w:hAnsi="Times New Roman"/>
      <w:sz w:val="18"/>
      <w:szCs w:val="21"/>
    </w:rPr>
  </w:style>
  <w:style w:type="paragraph" w:styleId="39">
    <w:name w:val="Body Text 2"/>
    <w:basedOn w:val="1"/>
    <w:link w:val="81"/>
    <w:qFormat/>
    <w:uiPriority w:val="0"/>
    <w:rPr>
      <w:rFonts w:ascii="宋体" w:hAnsi="宋体"/>
      <w:b/>
      <w:bCs/>
      <w:sz w:val="28"/>
    </w:rPr>
  </w:style>
  <w:style w:type="paragraph" w:styleId="40">
    <w:name w:val="HTML Preformatted"/>
    <w:basedOn w:val="1"/>
    <w:link w:val="8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kern w:val="0"/>
      <w:sz w:val="21"/>
      <w:szCs w:val="21"/>
    </w:rPr>
  </w:style>
  <w:style w:type="paragraph" w:styleId="41">
    <w:name w:val="Normal (Web)"/>
    <w:basedOn w:val="1"/>
    <w:link w:val="506"/>
    <w:qFormat/>
    <w:uiPriority w:val="0"/>
    <w:pPr>
      <w:widowControl/>
      <w:spacing w:before="100" w:beforeAutospacing="1" w:after="100" w:afterAutospacing="1"/>
      <w:jc w:val="left"/>
    </w:pPr>
    <w:rPr>
      <w:rFonts w:ascii="Arial Unicode MS" w:hAnsi="Arial Unicode MS" w:eastAsia="Arial Unicode MS" w:cs="Arial Unicode MS"/>
      <w:kern w:val="0"/>
    </w:rPr>
  </w:style>
  <w:style w:type="paragraph" w:styleId="42">
    <w:name w:val="Title"/>
    <w:basedOn w:val="1"/>
    <w:link w:val="83"/>
    <w:qFormat/>
    <w:uiPriority w:val="0"/>
    <w:pPr>
      <w:spacing w:before="240" w:after="60"/>
      <w:jc w:val="center"/>
      <w:outlineLvl w:val="0"/>
    </w:pPr>
    <w:rPr>
      <w:rFonts w:ascii="Cambria" w:hAnsi="Cambria"/>
      <w:b/>
      <w:bCs/>
      <w:kern w:val="0"/>
      <w:sz w:val="32"/>
      <w:szCs w:val="32"/>
    </w:rPr>
  </w:style>
  <w:style w:type="paragraph" w:styleId="43">
    <w:name w:val="annotation subject"/>
    <w:basedOn w:val="15"/>
    <w:next w:val="15"/>
    <w:link w:val="67"/>
    <w:qFormat/>
    <w:uiPriority w:val="99"/>
    <w:rPr>
      <w:rFonts w:ascii="Tahoma" w:hAnsi="Tahoma"/>
      <w:b/>
      <w:bCs/>
      <w:sz w:val="24"/>
    </w:rPr>
  </w:style>
  <w:style w:type="paragraph" w:styleId="44">
    <w:name w:val="Body Text First Indent"/>
    <w:basedOn w:val="17"/>
    <w:link w:val="69"/>
    <w:qFormat/>
    <w:uiPriority w:val="0"/>
    <w:pPr>
      <w:widowControl w:val="0"/>
      <w:spacing w:before="0" w:beforeAutospacing="0" w:after="120" w:afterAutospacing="0"/>
      <w:ind w:firstLine="420" w:firstLineChars="100"/>
      <w:jc w:val="both"/>
    </w:pPr>
    <w:rPr>
      <w:rFonts w:ascii="Tahoma" w:hAnsi="Tahoma"/>
      <w:kern w:val="2"/>
    </w:rPr>
  </w:style>
  <w:style w:type="paragraph" w:styleId="45">
    <w:name w:val="Body Text First Indent 2"/>
    <w:basedOn w:val="18"/>
    <w:link w:val="78"/>
    <w:qFormat/>
    <w:uiPriority w:val="0"/>
    <w:pPr>
      <w:widowControl w:val="0"/>
      <w:snapToGrid w:val="0"/>
      <w:spacing w:before="0" w:beforeAutospacing="0" w:after="120" w:afterAutospacing="0" w:line="360" w:lineRule="auto"/>
      <w:ind w:left="420" w:firstLine="420" w:firstLineChars="200"/>
      <w:jc w:val="both"/>
    </w:pPr>
    <w:rPr>
      <w:rFonts w:ascii="Tahoma" w:hAnsi="Tahoma"/>
      <w:kern w:val="2"/>
      <w:sz w:val="28"/>
    </w:r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99"/>
    <w:rPr>
      <w:color w:val="800080"/>
      <w:u w:val="single"/>
    </w:rPr>
  </w:style>
  <w:style w:type="character" w:styleId="51">
    <w:name w:val="Emphasis"/>
    <w:basedOn w:val="47"/>
    <w:qFormat/>
    <w:uiPriority w:val="20"/>
    <w:rPr>
      <w:i/>
    </w:rPr>
  </w:style>
  <w:style w:type="character" w:styleId="52">
    <w:name w:val="line number"/>
    <w:basedOn w:val="47"/>
    <w:qFormat/>
    <w:uiPriority w:val="0"/>
  </w:style>
  <w:style w:type="character" w:styleId="53">
    <w:name w:val="Hyperlink"/>
    <w:qFormat/>
    <w:uiPriority w:val="99"/>
    <w:rPr>
      <w:color w:val="0000FF"/>
      <w:u w:val="single"/>
    </w:rPr>
  </w:style>
  <w:style w:type="character" w:styleId="54">
    <w:name w:val="annotation reference"/>
    <w:qFormat/>
    <w:uiPriority w:val="99"/>
    <w:rPr>
      <w:sz w:val="21"/>
      <w:szCs w:val="21"/>
    </w:rPr>
  </w:style>
  <w:style w:type="paragraph" w:customStyle="1" w:styleId="55">
    <w:name w:val="首行缩进"/>
    <w:basedOn w:val="1"/>
    <w:qFormat/>
    <w:uiPriority w:val="0"/>
    <w:pPr>
      <w:ind w:firstLine="480" w:firstLineChars="200"/>
    </w:pPr>
    <w:rPr>
      <w:lang w:val="zh-CN"/>
    </w:rPr>
  </w:style>
  <w:style w:type="character" w:customStyle="1" w:styleId="56">
    <w:name w:val="标题 1 Char"/>
    <w:link w:val="3"/>
    <w:qFormat/>
    <w:uiPriority w:val="0"/>
    <w:rPr>
      <w:rFonts w:ascii="Tahoma" w:hAnsi="Tahoma" w:eastAsia="宋体"/>
      <w:kern w:val="44"/>
      <w:sz w:val="44"/>
      <w:szCs w:val="44"/>
      <w:lang w:val="en-US" w:eastAsia="zh-CN" w:bidi="ar-SA"/>
    </w:rPr>
  </w:style>
  <w:style w:type="character" w:customStyle="1" w:styleId="57">
    <w:name w:val="标题 2 Char"/>
    <w:link w:val="2"/>
    <w:qFormat/>
    <w:uiPriority w:val="9"/>
    <w:rPr>
      <w:rFonts w:ascii="仿宋_GB2312" w:hAnsi="仿宋_GB2312" w:eastAsia="黑体" w:cs="Arial"/>
      <w:b/>
      <w:kern w:val="44"/>
      <w:sz w:val="28"/>
      <w:szCs w:val="28"/>
      <w:lang w:val="en-US" w:eastAsia="zh-CN" w:bidi="ar-SA"/>
    </w:rPr>
  </w:style>
  <w:style w:type="character" w:customStyle="1" w:styleId="58">
    <w:name w:val="标题 3 Char"/>
    <w:link w:val="4"/>
    <w:qFormat/>
    <w:uiPriority w:val="9"/>
    <w:rPr>
      <w:rFonts w:eastAsia="黑体"/>
      <w:bCs/>
      <w:kern w:val="2"/>
      <w:sz w:val="30"/>
      <w:szCs w:val="32"/>
      <w:lang w:val="en-US" w:eastAsia="zh-CN" w:bidi="ar-SA"/>
    </w:rPr>
  </w:style>
  <w:style w:type="character" w:customStyle="1" w:styleId="59">
    <w:name w:val="正文缩进 Char"/>
    <w:link w:val="6"/>
    <w:qFormat/>
    <w:uiPriority w:val="0"/>
    <w:rPr>
      <w:rFonts w:eastAsia="宋体"/>
      <w:kern w:val="2"/>
      <w:sz w:val="24"/>
      <w:lang w:val="en-US" w:eastAsia="zh-CN" w:bidi="ar-SA"/>
    </w:rPr>
  </w:style>
  <w:style w:type="character" w:customStyle="1" w:styleId="60">
    <w:name w:val="标题 4 Char"/>
    <w:link w:val="5"/>
    <w:qFormat/>
    <w:uiPriority w:val="9"/>
    <w:rPr>
      <w:rFonts w:eastAsia="宋体"/>
      <w:kern w:val="2"/>
      <w:sz w:val="28"/>
      <w:lang w:val="en-US" w:eastAsia="zh-CN" w:bidi="ar-SA"/>
    </w:rPr>
  </w:style>
  <w:style w:type="character" w:customStyle="1" w:styleId="61">
    <w:name w:val="标题 5 Char"/>
    <w:link w:val="7"/>
    <w:qFormat/>
    <w:uiPriority w:val="0"/>
    <w:rPr>
      <w:rFonts w:eastAsia="宋体"/>
      <w:b/>
      <w:bCs/>
      <w:kern w:val="2"/>
      <w:sz w:val="24"/>
      <w:szCs w:val="28"/>
      <w:lang w:val="en-US" w:eastAsia="zh-CN" w:bidi="ar-SA"/>
    </w:rPr>
  </w:style>
  <w:style w:type="character" w:customStyle="1" w:styleId="62">
    <w:name w:val="标题 6 Char"/>
    <w:link w:val="8"/>
    <w:qFormat/>
    <w:uiPriority w:val="0"/>
    <w:rPr>
      <w:rFonts w:ascii="Arial" w:hAnsi="Arial" w:eastAsia="黑体"/>
      <w:b/>
      <w:bCs/>
      <w:kern w:val="2"/>
      <w:sz w:val="24"/>
      <w:szCs w:val="24"/>
      <w:lang w:val="en-US" w:eastAsia="zh-CN" w:bidi="ar-SA"/>
    </w:rPr>
  </w:style>
  <w:style w:type="character" w:customStyle="1" w:styleId="63">
    <w:name w:val="标题 7 Char"/>
    <w:link w:val="9"/>
    <w:qFormat/>
    <w:uiPriority w:val="0"/>
    <w:rPr>
      <w:rFonts w:eastAsia="宋体"/>
      <w:b/>
      <w:bCs/>
      <w:kern w:val="2"/>
      <w:sz w:val="24"/>
      <w:szCs w:val="24"/>
      <w:lang w:val="en-US" w:eastAsia="zh-CN" w:bidi="ar-SA"/>
    </w:rPr>
  </w:style>
  <w:style w:type="character" w:customStyle="1" w:styleId="64">
    <w:name w:val="标题 8 Char"/>
    <w:link w:val="10"/>
    <w:qFormat/>
    <w:uiPriority w:val="0"/>
    <w:rPr>
      <w:rFonts w:ascii="Arial" w:hAnsi="Arial" w:eastAsia="黑体"/>
      <w:kern w:val="2"/>
      <w:sz w:val="24"/>
      <w:szCs w:val="24"/>
      <w:lang w:val="en-US" w:eastAsia="zh-CN" w:bidi="ar-SA"/>
    </w:rPr>
  </w:style>
  <w:style w:type="character" w:customStyle="1" w:styleId="65">
    <w:name w:val="标题 9 Char"/>
    <w:link w:val="11"/>
    <w:qFormat/>
    <w:uiPriority w:val="0"/>
    <w:rPr>
      <w:rFonts w:ascii="Arial" w:hAnsi="Arial" w:eastAsia="黑体"/>
      <w:kern w:val="2"/>
      <w:sz w:val="24"/>
      <w:szCs w:val="21"/>
      <w:lang w:val="en-US" w:eastAsia="zh-CN" w:bidi="ar-SA"/>
    </w:rPr>
  </w:style>
  <w:style w:type="character" w:customStyle="1" w:styleId="66">
    <w:name w:val="批注文字 Char"/>
    <w:link w:val="15"/>
    <w:qFormat/>
    <w:uiPriority w:val="0"/>
    <w:rPr>
      <w:kern w:val="2"/>
      <w:sz w:val="21"/>
      <w:szCs w:val="24"/>
    </w:rPr>
  </w:style>
  <w:style w:type="character" w:customStyle="1" w:styleId="67">
    <w:name w:val="批注主题 Char"/>
    <w:link w:val="43"/>
    <w:qFormat/>
    <w:uiPriority w:val="0"/>
    <w:rPr>
      <w:rFonts w:ascii="Tahoma" w:hAnsi="Tahoma"/>
      <w:b/>
      <w:bCs/>
      <w:kern w:val="2"/>
      <w:sz w:val="24"/>
      <w:szCs w:val="24"/>
    </w:rPr>
  </w:style>
  <w:style w:type="character" w:customStyle="1" w:styleId="68">
    <w:name w:val="正文文本 Char"/>
    <w:link w:val="17"/>
    <w:qFormat/>
    <w:uiPriority w:val="1"/>
    <w:rPr>
      <w:rFonts w:ascii="宋体" w:hAnsi="宋体" w:eastAsia="宋体"/>
      <w:sz w:val="24"/>
      <w:szCs w:val="24"/>
      <w:lang w:val="en-US" w:eastAsia="zh-CN" w:bidi="ar-SA"/>
    </w:rPr>
  </w:style>
  <w:style w:type="character" w:customStyle="1" w:styleId="69">
    <w:name w:val="正文首行缩进 Char"/>
    <w:link w:val="44"/>
    <w:qFormat/>
    <w:uiPriority w:val="0"/>
    <w:rPr>
      <w:rFonts w:ascii="Tahoma" w:hAnsi="Tahoma" w:eastAsia="宋体"/>
      <w:kern w:val="2"/>
      <w:sz w:val="24"/>
      <w:szCs w:val="24"/>
      <w:lang w:val="en-US" w:eastAsia="zh-CN" w:bidi="ar-SA"/>
    </w:rPr>
  </w:style>
  <w:style w:type="character" w:customStyle="1" w:styleId="70">
    <w:name w:val="文档结构图 Char"/>
    <w:link w:val="14"/>
    <w:qFormat/>
    <w:uiPriority w:val="99"/>
    <w:rPr>
      <w:rFonts w:ascii="Tahoma" w:hAnsi="Tahoma" w:eastAsia="宋体"/>
      <w:kern w:val="2"/>
      <w:sz w:val="24"/>
      <w:szCs w:val="24"/>
      <w:lang w:val="en-US" w:eastAsia="zh-CN" w:bidi="ar-SA"/>
    </w:rPr>
  </w:style>
  <w:style w:type="character" w:customStyle="1" w:styleId="71">
    <w:name w:val="正文文本 3 Char"/>
    <w:link w:val="16"/>
    <w:qFormat/>
    <w:uiPriority w:val="0"/>
    <w:rPr>
      <w:rFonts w:ascii="Tahoma" w:hAnsi="Tahoma"/>
      <w:kern w:val="2"/>
      <w:sz w:val="16"/>
      <w:szCs w:val="16"/>
    </w:rPr>
  </w:style>
  <w:style w:type="character" w:customStyle="1" w:styleId="72">
    <w:name w:val="正文文本缩进 Char"/>
    <w:link w:val="18"/>
    <w:qFormat/>
    <w:uiPriority w:val="99"/>
    <w:rPr>
      <w:rFonts w:ascii="宋体" w:hAnsi="宋体" w:eastAsia="宋体"/>
      <w:sz w:val="24"/>
      <w:szCs w:val="24"/>
      <w:lang w:val="en-US" w:eastAsia="zh-CN" w:bidi="ar-SA"/>
    </w:rPr>
  </w:style>
  <w:style w:type="character" w:customStyle="1" w:styleId="73">
    <w:name w:val="纯文本 Char"/>
    <w:link w:val="22"/>
    <w:qFormat/>
    <w:uiPriority w:val="0"/>
    <w:rPr>
      <w:rFonts w:ascii="宋体" w:hAnsi="Courier New" w:eastAsia="宋体"/>
      <w:kern w:val="2"/>
      <w:sz w:val="24"/>
      <w:szCs w:val="21"/>
      <w:lang w:val="en-US" w:eastAsia="zh-CN" w:bidi="ar-SA"/>
    </w:rPr>
  </w:style>
  <w:style w:type="character" w:customStyle="1" w:styleId="74">
    <w:name w:val="日期 Char"/>
    <w:link w:val="24"/>
    <w:qFormat/>
    <w:uiPriority w:val="0"/>
    <w:rPr>
      <w:rFonts w:eastAsia="宋体"/>
      <w:kern w:val="2"/>
      <w:sz w:val="28"/>
      <w:lang w:val="en-US" w:eastAsia="zh-CN" w:bidi="ar-SA"/>
    </w:rPr>
  </w:style>
  <w:style w:type="character" w:customStyle="1" w:styleId="75">
    <w:name w:val="正文文本缩进 2 Char"/>
    <w:link w:val="25"/>
    <w:qFormat/>
    <w:uiPriority w:val="0"/>
    <w:rPr>
      <w:rFonts w:eastAsia="宋体"/>
      <w:kern w:val="2"/>
      <w:sz w:val="28"/>
      <w:szCs w:val="24"/>
      <w:lang w:val="en-US" w:eastAsia="zh-CN" w:bidi="ar-SA"/>
    </w:rPr>
  </w:style>
  <w:style w:type="character" w:customStyle="1" w:styleId="76">
    <w:name w:val="批注框文本 Char"/>
    <w:link w:val="26"/>
    <w:qFormat/>
    <w:uiPriority w:val="99"/>
    <w:rPr>
      <w:rFonts w:ascii="Tahoma" w:hAnsi="Tahoma"/>
      <w:kern w:val="2"/>
      <w:sz w:val="18"/>
      <w:szCs w:val="18"/>
    </w:rPr>
  </w:style>
  <w:style w:type="character" w:customStyle="1" w:styleId="77">
    <w:name w:val="页脚 Char"/>
    <w:link w:val="27"/>
    <w:qFormat/>
    <w:uiPriority w:val="99"/>
    <w:rPr>
      <w:rFonts w:ascii="Tahoma" w:hAnsi="Tahoma"/>
      <w:kern w:val="2"/>
      <w:sz w:val="18"/>
      <w:szCs w:val="18"/>
    </w:rPr>
  </w:style>
  <w:style w:type="character" w:customStyle="1" w:styleId="78">
    <w:name w:val="正文首行缩进 2 Char"/>
    <w:link w:val="45"/>
    <w:qFormat/>
    <w:uiPriority w:val="0"/>
    <w:rPr>
      <w:rFonts w:ascii="Tahoma" w:hAnsi="Tahoma" w:eastAsia="宋体"/>
      <w:kern w:val="2"/>
      <w:sz w:val="28"/>
      <w:szCs w:val="24"/>
      <w:lang w:val="en-US" w:eastAsia="zh-CN" w:bidi="ar-SA"/>
    </w:rPr>
  </w:style>
  <w:style w:type="character" w:customStyle="1" w:styleId="79">
    <w:name w:val="页眉 Char"/>
    <w:link w:val="28"/>
    <w:qFormat/>
    <w:uiPriority w:val="99"/>
    <w:rPr>
      <w:rFonts w:ascii="Tahoma" w:hAnsi="Tahoma" w:eastAsia="宋体"/>
      <w:kern w:val="2"/>
      <w:sz w:val="18"/>
      <w:szCs w:val="18"/>
      <w:lang w:val="en-US" w:eastAsia="zh-CN" w:bidi="ar-SA"/>
    </w:rPr>
  </w:style>
  <w:style w:type="character" w:customStyle="1" w:styleId="80">
    <w:name w:val="正文文本缩进 3 Char"/>
    <w:link w:val="35"/>
    <w:qFormat/>
    <w:uiPriority w:val="0"/>
    <w:rPr>
      <w:rFonts w:ascii="Tahoma" w:hAnsi="Tahoma" w:eastAsia="宋体"/>
      <w:kern w:val="2"/>
      <w:sz w:val="16"/>
      <w:szCs w:val="16"/>
      <w:lang w:val="en-US" w:eastAsia="zh-CN" w:bidi="ar-SA"/>
    </w:rPr>
  </w:style>
  <w:style w:type="character" w:customStyle="1" w:styleId="81">
    <w:name w:val="正文文本 2 Char"/>
    <w:link w:val="39"/>
    <w:qFormat/>
    <w:uiPriority w:val="0"/>
    <w:rPr>
      <w:rFonts w:ascii="宋体" w:hAnsi="宋体" w:eastAsia="宋体"/>
      <w:b/>
      <w:bCs/>
      <w:kern w:val="2"/>
      <w:sz w:val="28"/>
      <w:szCs w:val="24"/>
      <w:lang w:val="en-US" w:eastAsia="zh-CN" w:bidi="ar-SA"/>
    </w:rPr>
  </w:style>
  <w:style w:type="character" w:customStyle="1" w:styleId="82">
    <w:name w:val="HTML 预设格式 Char"/>
    <w:link w:val="40"/>
    <w:qFormat/>
    <w:uiPriority w:val="0"/>
    <w:rPr>
      <w:rFonts w:ascii="Arial" w:hAnsi="Arial" w:cs="Arial"/>
      <w:sz w:val="21"/>
      <w:szCs w:val="21"/>
    </w:rPr>
  </w:style>
  <w:style w:type="character" w:customStyle="1" w:styleId="83">
    <w:name w:val="标题 Char"/>
    <w:link w:val="42"/>
    <w:qFormat/>
    <w:uiPriority w:val="0"/>
    <w:rPr>
      <w:rFonts w:ascii="Cambria" w:hAnsi="Cambria" w:eastAsia="宋体" w:cs="Times New Roman"/>
      <w:b/>
      <w:bCs/>
      <w:sz w:val="32"/>
      <w:szCs w:val="32"/>
    </w:rPr>
  </w:style>
  <w:style w:type="character" w:customStyle="1" w:styleId="84">
    <w:name w:val="reg"/>
    <w:basedOn w:val="47"/>
    <w:qFormat/>
    <w:uiPriority w:val="0"/>
  </w:style>
  <w:style w:type="character" w:customStyle="1" w:styleId="85">
    <w:name w:val="标题2 Char Char"/>
    <w:link w:val="86"/>
    <w:qFormat/>
    <w:uiPriority w:val="0"/>
    <w:rPr>
      <w:rFonts w:ascii="Arial" w:hAnsi="Arial" w:eastAsia="黑体"/>
      <w:b/>
      <w:bCs/>
      <w:spacing w:val="20"/>
      <w:kern w:val="28"/>
      <w:sz w:val="28"/>
      <w:szCs w:val="28"/>
      <w:lang w:eastAsia="en-US"/>
    </w:rPr>
  </w:style>
  <w:style w:type="paragraph" w:customStyle="1" w:styleId="86">
    <w:name w:val="标题2"/>
    <w:basedOn w:val="2"/>
    <w:link w:val="85"/>
    <w:qFormat/>
    <w:uiPriority w:val="0"/>
    <w:pPr>
      <w:keepLines w:val="0"/>
      <w:widowControl/>
      <w:tabs>
        <w:tab w:val="left" w:pos="1247"/>
      </w:tabs>
      <w:spacing w:before="320" w:after="160" w:line="240" w:lineRule="auto"/>
      <w:ind w:left="1247" w:hanging="1247"/>
      <w:jc w:val="left"/>
    </w:pPr>
    <w:rPr>
      <w:rFonts w:ascii="Arial" w:hAnsi="Arial" w:cs="Times New Roman"/>
      <w:bCs/>
      <w:spacing w:val="20"/>
      <w:kern w:val="28"/>
      <w:lang w:eastAsia="en-US"/>
    </w:rPr>
  </w:style>
  <w:style w:type="character" w:customStyle="1" w:styleId="87">
    <w:name w:val="p141"/>
    <w:qFormat/>
    <w:uiPriority w:val="0"/>
    <w:rPr>
      <w:sz w:val="21"/>
      <w:szCs w:val="21"/>
    </w:rPr>
  </w:style>
  <w:style w:type="character" w:customStyle="1" w:styleId="88">
    <w:name w:val="正文首行缩进 Char1"/>
    <w:basedOn w:val="89"/>
    <w:qFormat/>
    <w:uiPriority w:val="0"/>
    <w:rPr>
      <w:rFonts w:ascii="Tahoma" w:hAnsi="Tahoma" w:eastAsia="宋体" w:cs="Times New Roman"/>
      <w:sz w:val="24"/>
      <w:szCs w:val="24"/>
    </w:rPr>
  </w:style>
  <w:style w:type="character" w:customStyle="1" w:styleId="89">
    <w:name w:val="正文文本 Char1"/>
    <w:qFormat/>
    <w:uiPriority w:val="0"/>
    <w:rPr>
      <w:rFonts w:ascii="Tahoma" w:hAnsi="Tahoma" w:eastAsia="宋体" w:cs="Times New Roman"/>
      <w:sz w:val="24"/>
      <w:szCs w:val="24"/>
    </w:rPr>
  </w:style>
  <w:style w:type="character" w:customStyle="1" w:styleId="90">
    <w:name w:val="ca-41"/>
    <w:qFormat/>
    <w:uiPriority w:val="0"/>
    <w:rPr>
      <w:rFonts w:hint="eastAsia" w:ascii="宋体" w:hAnsi="宋体" w:eastAsia="宋体"/>
      <w:color w:val="000000"/>
      <w:sz w:val="20"/>
      <w:szCs w:val="20"/>
      <w:lang w:val="en-US" w:eastAsia="en-US"/>
    </w:rPr>
  </w:style>
  <w:style w:type="character" w:customStyle="1" w:styleId="91">
    <w:name w:val="页脚 Char Char"/>
    <w:qFormat/>
    <w:uiPriority w:val="0"/>
    <w:rPr>
      <w:rFonts w:ascii="Tahoma" w:hAnsi="Tahoma"/>
      <w:kern w:val="2"/>
      <w:sz w:val="18"/>
      <w:szCs w:val="18"/>
    </w:rPr>
  </w:style>
  <w:style w:type="character" w:customStyle="1" w:styleId="92">
    <w:name w:val="small"/>
    <w:basedOn w:val="47"/>
    <w:qFormat/>
    <w:uiPriority w:val="0"/>
  </w:style>
  <w:style w:type="character" w:customStyle="1" w:styleId="93">
    <w:name w:val="标题 3.1 Char Char"/>
    <w:link w:val="94"/>
    <w:qFormat/>
    <w:uiPriority w:val="0"/>
    <w:rPr>
      <w:rFonts w:ascii="华文仿宋" w:hAnsi="华文仿宋" w:eastAsia="华文仿宋"/>
      <w:b/>
      <w:kern w:val="2"/>
      <w:sz w:val="28"/>
      <w:szCs w:val="28"/>
      <w:lang w:val="en-US" w:eastAsia="zh-CN" w:bidi="ar-SA"/>
    </w:rPr>
  </w:style>
  <w:style w:type="paragraph" w:customStyle="1" w:styleId="94">
    <w:name w:val="标题 3.1"/>
    <w:basedOn w:val="4"/>
    <w:link w:val="93"/>
    <w:qFormat/>
    <w:uiPriority w:val="0"/>
    <w:pPr>
      <w:tabs>
        <w:tab w:val="left" w:pos="1440"/>
        <w:tab w:val="left" w:pos="1620"/>
      </w:tabs>
      <w:spacing w:line="600" w:lineRule="exact"/>
    </w:pPr>
    <w:rPr>
      <w:rFonts w:ascii="华文仿宋" w:hAnsi="华文仿宋" w:eastAsia="华文仿宋"/>
      <w:b/>
      <w:bCs w:val="0"/>
      <w:sz w:val="28"/>
      <w:szCs w:val="28"/>
    </w:rPr>
  </w:style>
  <w:style w:type="character" w:customStyle="1" w:styleId="95">
    <w:name w:val="正文文本缩进 2 Char Char"/>
    <w:qFormat/>
    <w:uiPriority w:val="0"/>
    <w:rPr>
      <w:rFonts w:hint="default" w:ascii="Times" w:hAnsi="Times" w:eastAsia="宋体" w:cs="Times"/>
      <w:kern w:val="2"/>
      <w:sz w:val="24"/>
      <w:lang w:val="en-US" w:eastAsia="zh-CN"/>
    </w:rPr>
  </w:style>
  <w:style w:type="character" w:customStyle="1" w:styleId="96">
    <w:name w:val="Indent 1 Char1"/>
    <w:qFormat/>
    <w:uiPriority w:val="0"/>
    <w:rPr>
      <w:rFonts w:ascii="Times New Roman" w:hAnsi="Times New Roman" w:eastAsia="宋体" w:cs="Times New Roman"/>
      <w:sz w:val="24"/>
      <w:szCs w:val="20"/>
    </w:rPr>
  </w:style>
  <w:style w:type="character" w:customStyle="1" w:styleId="97">
    <w:name w:val="正文文本缩进 Char1"/>
    <w:qFormat/>
    <w:uiPriority w:val="0"/>
    <w:rPr>
      <w:rFonts w:ascii="Tahoma" w:hAnsi="Tahoma" w:eastAsia="宋体" w:cs="Times New Roman"/>
      <w:sz w:val="24"/>
      <w:szCs w:val="24"/>
    </w:rPr>
  </w:style>
  <w:style w:type="character" w:customStyle="1" w:styleId="98">
    <w:name w:val="日期 Char1"/>
    <w:qFormat/>
    <w:uiPriority w:val="0"/>
    <w:rPr>
      <w:rFonts w:ascii="Tahoma" w:hAnsi="Tahoma" w:eastAsia="宋体" w:cs="Times New Roman"/>
      <w:sz w:val="24"/>
      <w:szCs w:val="24"/>
    </w:rPr>
  </w:style>
  <w:style w:type="character" w:customStyle="1" w:styleId="99">
    <w:name w:val="Char Char14"/>
    <w:qFormat/>
    <w:uiPriority w:val="0"/>
    <w:rPr>
      <w:rFonts w:ascii="Tahoma" w:hAnsi="Tahoma" w:eastAsia="宋体" w:cs="Times New Roman"/>
      <w:sz w:val="18"/>
      <w:szCs w:val="18"/>
    </w:rPr>
  </w:style>
  <w:style w:type="character" w:customStyle="1" w:styleId="100">
    <w:name w:val="标题 3 Char Char"/>
    <w:qFormat/>
    <w:uiPriority w:val="0"/>
    <w:rPr>
      <w:rFonts w:eastAsia="黑体"/>
      <w:bCs/>
      <w:kern w:val="2"/>
      <w:sz w:val="30"/>
      <w:szCs w:val="32"/>
      <w:lang w:val="en-US" w:eastAsia="zh-CN"/>
    </w:rPr>
  </w:style>
  <w:style w:type="character" w:customStyle="1" w:styleId="101">
    <w:name w:val="font10"/>
    <w:qFormat/>
    <w:uiPriority w:val="0"/>
    <w:rPr>
      <w:rFonts w:cs="Times New Roman"/>
    </w:rPr>
  </w:style>
  <w:style w:type="character" w:customStyle="1" w:styleId="102">
    <w:name w:val="正文首行缩进 2 Char1"/>
    <w:basedOn w:val="97"/>
    <w:qFormat/>
    <w:uiPriority w:val="0"/>
    <w:rPr>
      <w:rFonts w:ascii="Tahoma" w:hAnsi="Tahoma" w:eastAsia="宋体" w:cs="Times New Roman"/>
      <w:sz w:val="24"/>
      <w:szCs w:val="24"/>
    </w:rPr>
  </w:style>
  <w:style w:type="character" w:customStyle="1" w:styleId="103">
    <w:name w:val="正文文本缩进 3 Char1"/>
    <w:qFormat/>
    <w:uiPriority w:val="0"/>
    <w:rPr>
      <w:rFonts w:ascii="Tahoma" w:hAnsi="Tahoma" w:eastAsia="宋体" w:cs="Times New Roman"/>
      <w:sz w:val="16"/>
      <w:szCs w:val="16"/>
    </w:rPr>
  </w:style>
  <w:style w:type="character" w:customStyle="1" w:styleId="104">
    <w:name w:val="apple-style-span"/>
    <w:basedOn w:val="47"/>
    <w:qFormat/>
    <w:uiPriority w:val="0"/>
  </w:style>
  <w:style w:type="character" w:customStyle="1" w:styleId="105">
    <w:name w:val="正文缩进2格 Char Char"/>
    <w:link w:val="106"/>
    <w:qFormat/>
    <w:uiPriority w:val="0"/>
    <w:rPr>
      <w:rFonts w:ascii="仿宋_GB2312" w:hAnsi="宋体" w:eastAsia="仿宋_GB2312"/>
      <w:kern w:val="2"/>
      <w:sz w:val="31"/>
      <w:szCs w:val="28"/>
      <w:lang w:val="en-US" w:eastAsia="zh-CN" w:bidi="ar-SA"/>
    </w:rPr>
  </w:style>
  <w:style w:type="paragraph" w:customStyle="1" w:styleId="106">
    <w:name w:val="正文缩进2格"/>
    <w:basedOn w:val="1"/>
    <w:link w:val="105"/>
    <w:qFormat/>
    <w:uiPriority w:val="0"/>
    <w:pPr>
      <w:spacing w:line="600" w:lineRule="exact"/>
      <w:ind w:firstLine="639" w:firstLineChars="206"/>
    </w:pPr>
    <w:rPr>
      <w:rFonts w:ascii="仿宋_GB2312" w:hAnsi="宋体" w:eastAsia="仿宋_GB2312"/>
      <w:sz w:val="31"/>
      <w:szCs w:val="28"/>
    </w:rPr>
  </w:style>
  <w:style w:type="character" w:customStyle="1" w:styleId="107">
    <w:name w:val="段落 Char1"/>
    <w:link w:val="108"/>
    <w:qFormat/>
    <w:uiPriority w:val="0"/>
    <w:rPr>
      <w:rFonts w:eastAsia="仿宋_GB2312"/>
      <w:kern w:val="2"/>
      <w:sz w:val="24"/>
      <w:szCs w:val="24"/>
      <w:lang w:val="en-US" w:eastAsia="zh-CN" w:bidi="ar-SA"/>
    </w:rPr>
  </w:style>
  <w:style w:type="paragraph" w:customStyle="1" w:styleId="108">
    <w:name w:val="段落"/>
    <w:link w:val="107"/>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character" w:customStyle="1" w:styleId="109">
    <w:name w:val="a011"/>
    <w:qFormat/>
    <w:uiPriority w:val="0"/>
    <w:rPr>
      <w:rFonts w:hint="eastAsia" w:ascii="宋体" w:hAnsi="宋体" w:eastAsia="宋体"/>
      <w:sz w:val="24"/>
      <w:szCs w:val="24"/>
      <w:u w:val="none"/>
    </w:rPr>
  </w:style>
  <w:style w:type="character" w:customStyle="1" w:styleId="110">
    <w:name w:val="纯文本 Char2"/>
    <w:qFormat/>
    <w:uiPriority w:val="0"/>
    <w:rPr>
      <w:rFonts w:ascii="宋体" w:hAnsi="Courier New" w:eastAsia="宋体" w:cs="Courier New"/>
      <w:szCs w:val="21"/>
    </w:rPr>
  </w:style>
  <w:style w:type="character" w:customStyle="1" w:styleId="111">
    <w:name w:val="批注引用1"/>
    <w:qFormat/>
    <w:uiPriority w:val="0"/>
    <w:rPr>
      <w:sz w:val="21"/>
      <w:szCs w:val="21"/>
    </w:rPr>
  </w:style>
  <w:style w:type="character" w:customStyle="1" w:styleId="112">
    <w:name w:val="Char Char1"/>
    <w:qFormat/>
    <w:uiPriority w:val="0"/>
    <w:rPr>
      <w:rFonts w:ascii="Tahoma" w:hAnsi="Tahoma" w:eastAsia="宋体"/>
      <w:kern w:val="2"/>
      <w:sz w:val="18"/>
      <w:szCs w:val="18"/>
      <w:lang w:val="en-US" w:eastAsia="zh-CN" w:bidi="ar-SA"/>
    </w:rPr>
  </w:style>
  <w:style w:type="character" w:customStyle="1" w:styleId="113">
    <w:name w:val="表正文 Char"/>
    <w:qFormat/>
    <w:uiPriority w:val="0"/>
    <w:rPr>
      <w:rFonts w:eastAsia="宋体"/>
      <w:sz w:val="21"/>
      <w:lang w:val="en-US" w:eastAsia="zh-CN" w:bidi="ar-SA"/>
    </w:rPr>
  </w:style>
  <w:style w:type="character" w:customStyle="1" w:styleId="114">
    <w:name w:val="样式1 Char Char"/>
    <w:link w:val="115"/>
    <w:qFormat/>
    <w:uiPriority w:val="0"/>
    <w:rPr>
      <w:rFonts w:ascii="Tahoma" w:hAnsi="Tahoma" w:eastAsia="宋体"/>
      <w:kern w:val="2"/>
      <w:sz w:val="28"/>
      <w:szCs w:val="18"/>
      <w:lang w:val="en-US" w:eastAsia="zh-CN" w:bidi="ar-SA"/>
    </w:rPr>
  </w:style>
  <w:style w:type="paragraph" w:customStyle="1" w:styleId="115">
    <w:name w:val="样式1"/>
    <w:basedOn w:val="1"/>
    <w:link w:val="114"/>
    <w:qFormat/>
    <w:uiPriority w:val="0"/>
    <w:pPr>
      <w:widowControl/>
      <w:overflowPunct w:val="0"/>
      <w:autoSpaceDE w:val="0"/>
      <w:autoSpaceDN w:val="0"/>
      <w:adjustRightInd w:val="0"/>
      <w:spacing w:after="80" w:line="360" w:lineRule="auto"/>
      <w:ind w:firstLine="618"/>
      <w:textAlignment w:val="baseline"/>
    </w:pPr>
    <w:rPr>
      <w:sz w:val="28"/>
      <w:szCs w:val="18"/>
    </w:rPr>
  </w:style>
  <w:style w:type="character" w:customStyle="1" w:styleId="116">
    <w:name w:val="font1"/>
    <w:qFormat/>
    <w:uiPriority w:val="0"/>
    <w:rPr>
      <w:rFonts w:hint="default" w:ascii="Arial" w:hAnsi="Arial" w:cs="Arial"/>
      <w:color w:val="333333"/>
      <w:sz w:val="17"/>
      <w:szCs w:val="17"/>
    </w:rPr>
  </w:style>
  <w:style w:type="character" w:customStyle="1" w:styleId="117">
    <w:name w:val="ZGSM"/>
    <w:qFormat/>
    <w:uiPriority w:val="0"/>
  </w:style>
  <w:style w:type="character" w:customStyle="1" w:styleId="118">
    <w:name w:val="样式 正文首行缩进 + 宋体 Char"/>
    <w:qFormat/>
    <w:uiPriority w:val="0"/>
    <w:rPr>
      <w:rFonts w:eastAsia="宋体"/>
      <w:kern w:val="2"/>
      <w:sz w:val="28"/>
      <w:szCs w:val="28"/>
      <w:lang w:val="en-US" w:eastAsia="zh-CN" w:bidi="ar-SA"/>
    </w:rPr>
  </w:style>
  <w:style w:type="character" w:customStyle="1" w:styleId="119">
    <w:name w:val="bodytext1"/>
    <w:qFormat/>
    <w:uiPriority w:val="0"/>
    <w:rPr>
      <w:rFonts w:hint="default" w:ascii="Arial" w:hAnsi="Arial" w:cs="Arial"/>
      <w:color w:val="000000"/>
      <w:spacing w:val="240"/>
      <w:sz w:val="20"/>
      <w:szCs w:val="20"/>
    </w:rPr>
  </w:style>
  <w:style w:type="character" w:customStyle="1" w:styleId="120">
    <w:name w:val="a0"/>
    <w:basedOn w:val="47"/>
    <w:qFormat/>
    <w:uiPriority w:val="0"/>
  </w:style>
  <w:style w:type="character" w:customStyle="1" w:styleId="121">
    <w:name w:val="ca-01"/>
    <w:qFormat/>
    <w:uiPriority w:val="0"/>
    <w:rPr>
      <w:rFonts w:hint="eastAsia" w:ascii="宋体" w:hAnsi="宋体" w:eastAsia="宋体"/>
      <w:sz w:val="21"/>
      <w:szCs w:val="21"/>
    </w:rPr>
  </w:style>
  <w:style w:type="character" w:customStyle="1" w:styleId="122">
    <w:name w:val="HTML 预设格式 Char1"/>
    <w:qFormat/>
    <w:uiPriority w:val="0"/>
    <w:rPr>
      <w:rFonts w:ascii="Courier New" w:hAnsi="Courier New" w:eastAsia="宋体" w:cs="Courier New"/>
      <w:sz w:val="20"/>
      <w:szCs w:val="20"/>
    </w:rPr>
  </w:style>
  <w:style w:type="character" w:customStyle="1" w:styleId="123">
    <w:name w:val="copy1"/>
    <w:qFormat/>
    <w:uiPriority w:val="0"/>
    <w:rPr>
      <w:rFonts w:hint="default" w:ascii="Arial" w:hAnsi="Arial" w:cs="Arial"/>
      <w:color w:val="00367B"/>
      <w:sz w:val="22"/>
      <w:szCs w:val="22"/>
    </w:rPr>
  </w:style>
  <w:style w:type="character" w:customStyle="1" w:styleId="124">
    <w:name w:val="font14"/>
    <w:basedOn w:val="47"/>
    <w:qFormat/>
    <w:uiPriority w:val="0"/>
  </w:style>
  <w:style w:type="character" w:customStyle="1" w:styleId="125">
    <w:name w:val="标题 Char2"/>
    <w:qFormat/>
    <w:uiPriority w:val="0"/>
    <w:rPr>
      <w:rFonts w:ascii="Cambria" w:hAnsi="Cambria" w:eastAsia="宋体" w:cs="Times New Roman"/>
      <w:b/>
      <w:bCs/>
      <w:sz w:val="32"/>
      <w:szCs w:val="32"/>
    </w:rPr>
  </w:style>
  <w:style w:type="character" w:customStyle="1" w:styleId="126">
    <w:name w:val="表格样式居左 Char Char"/>
    <w:link w:val="127"/>
    <w:qFormat/>
    <w:uiPriority w:val="0"/>
    <w:rPr>
      <w:rFonts w:eastAsia="仿宋_GB2312"/>
      <w:bCs/>
      <w:sz w:val="21"/>
      <w:szCs w:val="44"/>
      <w:lang w:val="en-US" w:eastAsia="zh-CN" w:bidi="ar-SA"/>
    </w:rPr>
  </w:style>
  <w:style w:type="paragraph" w:customStyle="1" w:styleId="127">
    <w:name w:val="表格样式居左"/>
    <w:link w:val="126"/>
    <w:qFormat/>
    <w:uiPriority w:val="0"/>
    <w:pPr>
      <w:adjustRightInd w:val="0"/>
      <w:snapToGrid w:val="0"/>
    </w:pPr>
    <w:rPr>
      <w:rFonts w:ascii="Times New Roman" w:hAnsi="Times New Roman" w:eastAsia="仿宋_GB2312" w:cs="Times New Roman"/>
      <w:bCs/>
      <w:sz w:val="21"/>
      <w:szCs w:val="44"/>
      <w:lang w:val="en-US" w:eastAsia="zh-CN" w:bidi="ar-SA"/>
    </w:rPr>
  </w:style>
  <w:style w:type="character" w:customStyle="1" w:styleId="128">
    <w:name w:val="样式2 Char Char"/>
    <w:link w:val="129"/>
    <w:qFormat/>
    <w:uiPriority w:val="0"/>
    <w:rPr>
      <w:rFonts w:ascii="宋体" w:hAnsi="宋体" w:eastAsia="宋体"/>
      <w:kern w:val="2"/>
      <w:sz w:val="28"/>
      <w:szCs w:val="28"/>
      <w:lang w:val="en-US" w:eastAsia="zh-CN" w:bidi="ar-SA"/>
    </w:rPr>
  </w:style>
  <w:style w:type="paragraph" w:customStyle="1" w:styleId="129">
    <w:name w:val="样式2"/>
    <w:basedOn w:val="1"/>
    <w:link w:val="128"/>
    <w:qFormat/>
    <w:uiPriority w:val="0"/>
    <w:pPr>
      <w:tabs>
        <w:tab w:val="left" w:pos="-720"/>
        <w:tab w:val="left" w:pos="-180"/>
        <w:tab w:val="left" w:pos="2160"/>
        <w:tab w:val="left" w:pos="4800"/>
        <w:tab w:val="left" w:pos="6600"/>
        <w:tab w:val="left" w:pos="7800"/>
      </w:tabs>
      <w:adjustRightInd w:val="0"/>
      <w:snapToGrid w:val="0"/>
      <w:spacing w:line="288" w:lineRule="auto"/>
      <w:ind w:firstLine="599" w:firstLineChars="200"/>
      <w:jc w:val="left"/>
      <w:outlineLvl w:val="8"/>
    </w:pPr>
    <w:rPr>
      <w:rFonts w:ascii="宋体" w:hAnsi="宋体"/>
      <w:sz w:val="28"/>
      <w:szCs w:val="28"/>
    </w:rPr>
  </w:style>
  <w:style w:type="character" w:customStyle="1" w:styleId="130">
    <w:name w:val="纯文本 Char1"/>
    <w:qFormat/>
    <w:uiPriority w:val="0"/>
    <w:rPr>
      <w:rFonts w:ascii="宋体" w:hAnsi="Courier New" w:eastAsia="宋体"/>
      <w:kern w:val="2"/>
      <w:sz w:val="24"/>
      <w:szCs w:val="21"/>
      <w:lang w:val="en-US" w:eastAsia="zh-CN" w:bidi="ar-SA"/>
    </w:rPr>
  </w:style>
  <w:style w:type="character" w:customStyle="1" w:styleId="131">
    <w:name w:val="标题1 Char Char"/>
    <w:link w:val="132"/>
    <w:qFormat/>
    <w:uiPriority w:val="0"/>
    <w:rPr>
      <w:rFonts w:ascii="Arial" w:hAnsi="Arial"/>
      <w:b/>
      <w:bCs/>
      <w:spacing w:val="20"/>
      <w:kern w:val="20"/>
      <w:sz w:val="36"/>
      <w:szCs w:val="44"/>
    </w:rPr>
  </w:style>
  <w:style w:type="paragraph" w:customStyle="1" w:styleId="132">
    <w:name w:val="标题1"/>
    <w:basedOn w:val="3"/>
    <w:link w:val="131"/>
    <w:qFormat/>
    <w:uiPriority w:val="0"/>
    <w:pPr>
      <w:keepLines w:val="0"/>
      <w:widowControl/>
      <w:tabs>
        <w:tab w:val="left" w:pos="1247"/>
      </w:tabs>
      <w:spacing w:before="720" w:after="240" w:line="240" w:lineRule="auto"/>
      <w:ind w:left="1247" w:hanging="1247"/>
      <w:jc w:val="left"/>
    </w:pPr>
    <w:rPr>
      <w:rFonts w:ascii="Arial" w:hAnsi="Arial"/>
      <w:b/>
      <w:bCs/>
      <w:spacing w:val="20"/>
      <w:kern w:val="20"/>
      <w:sz w:val="36"/>
    </w:rPr>
  </w:style>
  <w:style w:type="character" w:customStyle="1" w:styleId="133">
    <w:name w:val="hps"/>
    <w:basedOn w:val="47"/>
    <w:qFormat/>
    <w:uiPriority w:val="0"/>
  </w:style>
  <w:style w:type="character" w:customStyle="1" w:styleId="134">
    <w:name w:val="正文文本缩进 2 Char1"/>
    <w:qFormat/>
    <w:uiPriority w:val="0"/>
    <w:rPr>
      <w:rFonts w:ascii="Tahoma" w:hAnsi="Tahoma" w:eastAsia="宋体" w:cs="Times New Roman"/>
      <w:sz w:val="24"/>
      <w:szCs w:val="24"/>
    </w:rPr>
  </w:style>
  <w:style w:type="character" w:customStyle="1" w:styleId="135">
    <w:name w:val="apple-converted-space"/>
    <w:basedOn w:val="47"/>
    <w:qFormat/>
    <w:uiPriority w:val="0"/>
  </w:style>
  <w:style w:type="character" w:customStyle="1" w:styleId="136">
    <w:name w:val="文档结构图 Char1"/>
    <w:qFormat/>
    <w:uiPriority w:val="0"/>
    <w:rPr>
      <w:rFonts w:ascii="宋体" w:hAnsi="Tahoma" w:eastAsia="宋体" w:cs="Times New Roman"/>
      <w:sz w:val="18"/>
      <w:szCs w:val="18"/>
    </w:rPr>
  </w:style>
  <w:style w:type="character" w:customStyle="1" w:styleId="137">
    <w:name w:val="样式3 Char Char"/>
    <w:basedOn w:val="79"/>
    <w:link w:val="138"/>
    <w:qFormat/>
    <w:uiPriority w:val="0"/>
    <w:rPr>
      <w:rFonts w:ascii="Tahoma" w:hAnsi="Tahoma" w:eastAsia="宋体"/>
      <w:kern w:val="2"/>
      <w:sz w:val="18"/>
      <w:szCs w:val="18"/>
      <w:lang w:val="en-US" w:eastAsia="zh-CN" w:bidi="ar-SA"/>
    </w:rPr>
  </w:style>
  <w:style w:type="paragraph" w:customStyle="1" w:styleId="138">
    <w:name w:val="样式3"/>
    <w:basedOn w:val="28"/>
    <w:link w:val="137"/>
    <w:qFormat/>
    <w:uiPriority w:val="0"/>
    <w:pPr>
      <w:pBdr>
        <w:bottom w:val="none" w:color="auto" w:sz="0" w:space="0"/>
      </w:pBdr>
    </w:pPr>
  </w:style>
  <w:style w:type="character" w:customStyle="1" w:styleId="139">
    <w:name w:val="Char Char13"/>
    <w:qFormat/>
    <w:uiPriority w:val="0"/>
    <w:rPr>
      <w:rFonts w:ascii="Tahoma" w:hAnsi="Tahoma" w:eastAsia="宋体" w:cs="Times New Roman"/>
      <w:sz w:val="18"/>
      <w:szCs w:val="18"/>
    </w:rPr>
  </w:style>
  <w:style w:type="character" w:customStyle="1" w:styleId="140">
    <w:name w:val="正文文本 2 Char1"/>
    <w:qFormat/>
    <w:uiPriority w:val="0"/>
    <w:rPr>
      <w:rFonts w:ascii="Tahoma" w:hAnsi="Tahoma" w:eastAsia="宋体" w:cs="Times New Roman"/>
      <w:sz w:val="24"/>
      <w:szCs w:val="24"/>
    </w:rPr>
  </w:style>
  <w:style w:type="character" w:customStyle="1" w:styleId="141">
    <w:name w:val="Plain Text Char1"/>
    <w:qFormat/>
    <w:uiPriority w:val="0"/>
    <w:rPr>
      <w:rFonts w:ascii="宋体" w:hAnsi="Courier New" w:eastAsia="宋体"/>
      <w:sz w:val="24"/>
    </w:rPr>
  </w:style>
  <w:style w:type="character" w:customStyle="1" w:styleId="142">
    <w:name w:val="正文缩进 Char1"/>
    <w:qFormat/>
    <w:uiPriority w:val="0"/>
    <w:rPr>
      <w:rFonts w:eastAsia="宋体"/>
      <w:kern w:val="2"/>
      <w:sz w:val="24"/>
      <w:lang w:val="en-US" w:eastAsia="zh-CN" w:bidi="ar-SA"/>
    </w:rPr>
  </w:style>
  <w:style w:type="character" w:customStyle="1" w:styleId="143">
    <w:name w:val="批注文字 Char1"/>
    <w:qFormat/>
    <w:uiPriority w:val="0"/>
    <w:rPr>
      <w:rFonts w:ascii="Tahoma" w:hAnsi="Tahoma" w:eastAsia="宋体" w:cs="Times New Roman"/>
      <w:sz w:val="24"/>
      <w:szCs w:val="24"/>
    </w:rPr>
  </w:style>
  <w:style w:type="character" w:customStyle="1" w:styleId="144">
    <w:name w:val="纯文本 Char Char"/>
    <w:link w:val="145"/>
    <w:qFormat/>
    <w:uiPriority w:val="0"/>
    <w:rPr>
      <w:rFonts w:ascii="宋体" w:hAnsi="Courier New"/>
      <w:kern w:val="2"/>
      <w:sz w:val="24"/>
      <w:szCs w:val="21"/>
    </w:rPr>
  </w:style>
  <w:style w:type="paragraph" w:customStyle="1" w:styleId="145">
    <w:name w:val="纯文本1"/>
    <w:basedOn w:val="1"/>
    <w:link w:val="144"/>
    <w:qFormat/>
    <w:uiPriority w:val="0"/>
    <w:pPr>
      <w:spacing w:line="360" w:lineRule="auto"/>
    </w:pPr>
    <w:rPr>
      <w:rFonts w:ascii="宋体" w:hAnsi="Courier New"/>
      <w:szCs w:val="21"/>
    </w:rPr>
  </w:style>
  <w:style w:type="character" w:customStyle="1" w:styleId="146">
    <w:name w:val="页码1"/>
    <w:basedOn w:val="47"/>
    <w:qFormat/>
    <w:uiPriority w:val="0"/>
  </w:style>
  <w:style w:type="character" w:customStyle="1" w:styleId="147">
    <w:name w:val="0正文 Char Char"/>
    <w:link w:val="148"/>
    <w:qFormat/>
    <w:uiPriority w:val="0"/>
    <w:rPr>
      <w:rFonts w:ascii="Verdana" w:hAnsi="Verdana"/>
      <w:color w:val="000080"/>
      <w:kern w:val="2"/>
      <w:sz w:val="21"/>
      <w:szCs w:val="21"/>
    </w:rPr>
  </w:style>
  <w:style w:type="paragraph" w:customStyle="1" w:styleId="148">
    <w:name w:val="0正文"/>
    <w:basedOn w:val="1"/>
    <w:link w:val="147"/>
    <w:qFormat/>
    <w:uiPriority w:val="0"/>
    <w:pPr>
      <w:adjustRightInd w:val="0"/>
      <w:spacing w:line="360" w:lineRule="auto"/>
      <w:ind w:left="50" w:leftChars="50" w:right="50" w:rightChars="50" w:firstLine="200" w:firstLineChars="200"/>
      <w:textAlignment w:val="baseline"/>
    </w:pPr>
    <w:rPr>
      <w:rFonts w:ascii="Verdana" w:hAnsi="Verdana"/>
      <w:color w:val="000080"/>
      <w:sz w:val="21"/>
      <w:szCs w:val="21"/>
    </w:rPr>
  </w:style>
  <w:style w:type="character" w:customStyle="1" w:styleId="149">
    <w:name w:val="表格样式居左 Char Char Char"/>
    <w:qFormat/>
    <w:uiPriority w:val="0"/>
    <w:rPr>
      <w:rFonts w:eastAsia="仿宋_GB2312"/>
      <w:bCs/>
      <w:sz w:val="21"/>
      <w:szCs w:val="44"/>
      <w:lang w:val="en-US" w:eastAsia="zh-CN" w:bidi="ar-SA"/>
    </w:rPr>
  </w:style>
  <w:style w:type="character" w:customStyle="1" w:styleId="150">
    <w:name w:val="正文1{858D7CFB-ED40-4347-BF05-701D383B685F}"/>
    <w:link w:val="151"/>
    <w:qFormat/>
    <w:uiPriority w:val="0"/>
    <w:rPr>
      <w:rFonts w:ascii="宋体"/>
      <w:kern w:val="2"/>
      <w:sz w:val="24"/>
    </w:rPr>
  </w:style>
  <w:style w:type="paragraph" w:customStyle="1" w:styleId="151">
    <w:name w:val="正文11"/>
    <w:basedOn w:val="1"/>
    <w:link w:val="150"/>
    <w:qFormat/>
    <w:uiPriority w:val="0"/>
    <w:pPr>
      <w:tabs>
        <w:tab w:val="center" w:pos="1440"/>
        <w:tab w:val="left" w:pos="5720"/>
      </w:tabs>
      <w:spacing w:line="360" w:lineRule="auto"/>
      <w:ind w:firstLine="480" w:firstLineChars="200"/>
      <w:jc w:val="left"/>
    </w:pPr>
    <w:rPr>
      <w:rFonts w:ascii="宋体" w:hAnsi="Times New Roman"/>
      <w:szCs w:val="20"/>
    </w:rPr>
  </w:style>
  <w:style w:type="character" w:customStyle="1" w:styleId="152">
    <w:name w:val="表格非标题文字 Char Char"/>
    <w:link w:val="153"/>
    <w:qFormat/>
    <w:uiPriority w:val="0"/>
    <w:rPr>
      <w:rFonts w:ascii="Futura Bk" w:hAnsi="Futura Bk"/>
      <w:kern w:val="2"/>
      <w:sz w:val="18"/>
      <w:szCs w:val="21"/>
      <w:lang w:val="en-US" w:eastAsia="zh-CN" w:bidi="ar-SA"/>
    </w:rPr>
  </w:style>
  <w:style w:type="paragraph" w:customStyle="1" w:styleId="153">
    <w:name w:val="表格非标题文字"/>
    <w:link w:val="15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54">
    <w:name w:val="norm10pt1"/>
    <w:qFormat/>
    <w:uiPriority w:val="0"/>
    <w:rPr>
      <w:sz w:val="20"/>
    </w:rPr>
  </w:style>
  <w:style w:type="character" w:customStyle="1" w:styleId="155">
    <w:name w:val="Bullet2 Char Char"/>
    <w:link w:val="156"/>
    <w:qFormat/>
    <w:uiPriority w:val="0"/>
    <w:rPr>
      <w:rFonts w:ascii="Arial" w:hAnsi="Arial"/>
      <w:kern w:val="2"/>
      <w:sz w:val="21"/>
      <w:szCs w:val="21"/>
    </w:rPr>
  </w:style>
  <w:style w:type="paragraph" w:customStyle="1" w:styleId="156">
    <w:name w:val="Bullet2"/>
    <w:basedOn w:val="1"/>
    <w:link w:val="155"/>
    <w:qFormat/>
    <w:uiPriority w:val="0"/>
    <w:pPr>
      <w:widowControl/>
      <w:tabs>
        <w:tab w:val="left" w:pos="1247"/>
      </w:tabs>
      <w:spacing w:before="120" w:line="288" w:lineRule="auto"/>
      <w:ind w:left="2013" w:hanging="346"/>
    </w:pPr>
    <w:rPr>
      <w:rFonts w:ascii="Arial" w:hAnsi="Arial"/>
      <w:sz w:val="21"/>
      <w:szCs w:val="21"/>
    </w:rPr>
  </w:style>
  <w:style w:type="character" w:customStyle="1" w:styleId="157">
    <w:name w:val="cjn1"/>
    <w:qFormat/>
    <w:uiPriority w:val="0"/>
    <w:rPr>
      <w:rFonts w:hint="eastAsia" w:ascii="宋体" w:hAnsi="宋体" w:eastAsia="宋体"/>
      <w:sz w:val="22"/>
      <w:szCs w:val="22"/>
      <w:u w:val="none"/>
    </w:rPr>
  </w:style>
  <w:style w:type="character" w:customStyle="1" w:styleId="158">
    <w:name w:val="￥正文 Char Char"/>
    <w:link w:val="159"/>
    <w:qFormat/>
    <w:uiPriority w:val="0"/>
    <w:rPr>
      <w:rFonts w:ascii="Calibri" w:hAnsi="Calibri"/>
      <w:kern w:val="2"/>
      <w:sz w:val="24"/>
      <w:szCs w:val="22"/>
    </w:rPr>
  </w:style>
  <w:style w:type="paragraph" w:customStyle="1" w:styleId="159">
    <w:name w:val="￥正文"/>
    <w:basedOn w:val="1"/>
    <w:link w:val="158"/>
    <w:qFormat/>
    <w:uiPriority w:val="0"/>
    <w:pPr>
      <w:spacing w:line="360" w:lineRule="auto"/>
      <w:ind w:firstLine="200" w:firstLineChars="200"/>
    </w:pPr>
    <w:rPr>
      <w:rFonts w:ascii="Calibri" w:hAnsi="Calibri"/>
      <w:szCs w:val="22"/>
    </w:rPr>
  </w:style>
  <w:style w:type="character" w:customStyle="1" w:styleId="160">
    <w:name w:val="Bullet Char Char"/>
    <w:link w:val="161"/>
    <w:qFormat/>
    <w:uiPriority w:val="0"/>
    <w:rPr>
      <w:rFonts w:ascii="Arial" w:hAnsi="Arial"/>
      <w:kern w:val="2"/>
      <w:sz w:val="21"/>
      <w:szCs w:val="22"/>
      <w:lang w:eastAsia="en-US"/>
    </w:rPr>
  </w:style>
  <w:style w:type="paragraph" w:customStyle="1" w:styleId="161">
    <w:name w:val="Bullet"/>
    <w:basedOn w:val="1"/>
    <w:link w:val="160"/>
    <w:qFormat/>
    <w:uiPriority w:val="0"/>
    <w:pPr>
      <w:widowControl/>
      <w:tabs>
        <w:tab w:val="left" w:pos="1667"/>
      </w:tabs>
      <w:adjustRightInd w:val="0"/>
      <w:spacing w:before="60" w:after="60" w:line="288" w:lineRule="auto"/>
      <w:ind w:left="1667" w:hanging="420"/>
    </w:pPr>
    <w:rPr>
      <w:rFonts w:ascii="Arial" w:hAnsi="Arial"/>
      <w:sz w:val="21"/>
      <w:szCs w:val="22"/>
      <w:lang w:eastAsia="en-US"/>
    </w:rPr>
  </w:style>
  <w:style w:type="paragraph" w:customStyle="1" w:styleId="162">
    <w:name w:val="标题3"/>
    <w:basedOn w:val="4"/>
    <w:qFormat/>
    <w:uiPriority w:val="0"/>
    <w:pPr>
      <w:keepLines w:val="0"/>
      <w:widowControl/>
      <w:tabs>
        <w:tab w:val="left" w:pos="1247"/>
      </w:tabs>
      <w:spacing w:before="240" w:after="120" w:line="240" w:lineRule="auto"/>
      <w:ind w:left="1247" w:hanging="1247"/>
      <w:jc w:val="left"/>
    </w:pPr>
    <w:rPr>
      <w:rFonts w:ascii="Arial" w:hAnsi="Arial"/>
      <w:spacing w:val="20"/>
      <w:kern w:val="0"/>
      <w:sz w:val="24"/>
      <w:szCs w:val="24"/>
      <w:lang w:val="pt-BR"/>
    </w:rPr>
  </w:style>
  <w:style w:type="paragraph" w:customStyle="1" w:styleId="163">
    <w:name w:val="Char1 Char Char Char Char Char Char1 Char Char Char"/>
    <w:basedOn w:val="1"/>
    <w:qFormat/>
    <w:uiPriority w:val="0"/>
    <w:pPr>
      <w:widowControl/>
      <w:spacing w:after="160" w:line="240" w:lineRule="exact"/>
      <w:jc w:val="left"/>
    </w:pPr>
    <w:rPr>
      <w:rFonts w:ascii="Verdana" w:hAnsi="Verdana"/>
      <w:kern w:val="0"/>
      <w:sz w:val="21"/>
      <w:szCs w:val="20"/>
      <w:lang w:eastAsia="en-US"/>
    </w:rPr>
  </w:style>
  <w:style w:type="paragraph" w:customStyle="1" w:styleId="164">
    <w:name w:val="Char Char Char Char Char Char Char Char Char Char"/>
    <w:basedOn w:val="1"/>
    <w:qFormat/>
    <w:uiPriority w:val="0"/>
  </w:style>
  <w:style w:type="paragraph" w:customStyle="1" w:styleId="16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kern w:val="0"/>
    </w:rPr>
  </w:style>
  <w:style w:type="paragraph" w:customStyle="1" w:styleId="166">
    <w:name w:val="标题 四 ＋ 宋体"/>
    <w:basedOn w:val="1"/>
    <w:qFormat/>
    <w:uiPriority w:val="0"/>
    <w:pPr>
      <w:tabs>
        <w:tab w:val="left" w:pos="360"/>
      </w:tabs>
      <w:spacing w:line="360" w:lineRule="auto"/>
    </w:pPr>
    <w:rPr>
      <w:rFonts w:ascii="Times New Roman" w:hAnsi="Times New Roman"/>
      <w:i/>
    </w:rPr>
  </w:style>
  <w:style w:type="paragraph" w:customStyle="1" w:styleId="167">
    <w:name w:val="日期1"/>
    <w:basedOn w:val="1"/>
    <w:next w:val="1"/>
    <w:qFormat/>
    <w:uiPriority w:val="0"/>
    <w:rPr>
      <w:rFonts w:ascii="Times New Roman" w:hAnsi="Times New Roman"/>
      <w:sz w:val="28"/>
      <w:szCs w:val="20"/>
    </w:rPr>
  </w:style>
  <w:style w:type="paragraph" w:customStyle="1" w:styleId="168">
    <w:name w:val="正文表标题"/>
    <w:next w:val="1"/>
    <w:qFormat/>
    <w:uiPriority w:val="0"/>
    <w:pPr>
      <w:ind w:left="3300"/>
      <w:jc w:val="center"/>
    </w:pPr>
    <w:rPr>
      <w:rFonts w:ascii="黑体" w:hAnsi="Times New Roman" w:eastAsia="黑体" w:cs="Times New Roman"/>
      <w:sz w:val="21"/>
      <w:lang w:val="en-US" w:eastAsia="zh-CN" w:bidi="ar-SA"/>
    </w:rPr>
  </w:style>
  <w:style w:type="paragraph" w:customStyle="1" w:styleId="169">
    <w:name w:val="4级标题"/>
    <w:basedOn w:val="1"/>
    <w:next w:val="170"/>
    <w:qFormat/>
    <w:uiPriority w:val="0"/>
    <w:pPr>
      <w:spacing w:line="360" w:lineRule="auto"/>
      <w:jc w:val="left"/>
      <w:outlineLvl w:val="3"/>
    </w:pPr>
    <w:rPr>
      <w:rFonts w:ascii="Calibri" w:hAnsi="Calibri"/>
      <w:b/>
      <w:sz w:val="28"/>
      <w:szCs w:val="22"/>
    </w:rPr>
  </w:style>
  <w:style w:type="paragraph" w:customStyle="1" w:styleId="170">
    <w:name w:val="文档正文"/>
    <w:basedOn w:val="1"/>
    <w:qFormat/>
    <w:uiPriority w:val="0"/>
    <w:pPr>
      <w:spacing w:line="360" w:lineRule="auto"/>
    </w:pPr>
    <w:rPr>
      <w:rFonts w:ascii="Arial" w:hAnsi="Arial" w:cs="Arial"/>
    </w:rPr>
  </w:style>
  <w:style w:type="paragraph" w:customStyle="1" w:styleId="17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17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Arial Unicode MS"/>
      <w:kern w:val="0"/>
      <w:sz w:val="20"/>
      <w:szCs w:val="20"/>
    </w:rPr>
  </w:style>
  <w:style w:type="paragraph" w:customStyle="1" w:styleId="174">
    <w:name w:val="D标2"/>
    <w:basedOn w:val="2"/>
    <w:qFormat/>
    <w:uiPriority w:val="0"/>
    <w:pPr>
      <w:keepLines w:val="0"/>
      <w:widowControl/>
      <w:tabs>
        <w:tab w:val="left" w:pos="720"/>
      </w:tabs>
      <w:autoSpaceDE w:val="0"/>
      <w:autoSpaceDN w:val="0"/>
      <w:adjustRightInd w:val="0"/>
      <w:spacing w:before="360" w:after="0" w:line="480" w:lineRule="exact"/>
      <w:ind w:left="720" w:hanging="720"/>
      <w:jc w:val="left"/>
    </w:pPr>
    <w:rPr>
      <w:rFonts w:ascii="黑体" w:hAnsi="宋体"/>
      <w:bCs/>
      <w:kern w:val="0"/>
      <w:sz w:val="24"/>
      <w:szCs w:val="20"/>
    </w:rPr>
  </w:style>
  <w:style w:type="paragraph" w:customStyle="1" w:styleId="175">
    <w:name w:val="正文文本 21"/>
    <w:basedOn w:val="1"/>
    <w:qFormat/>
    <w:uiPriority w:val="0"/>
    <w:pPr>
      <w:adjustRightInd w:val="0"/>
      <w:spacing w:line="400" w:lineRule="exact"/>
      <w:ind w:firstLine="425"/>
      <w:jc w:val="left"/>
    </w:pPr>
    <w:rPr>
      <w:rFonts w:ascii="Times New Roman" w:hAnsi="Times New Roman"/>
      <w:sz w:val="28"/>
      <w:szCs w:val="20"/>
    </w:rPr>
  </w:style>
  <w:style w:type="paragraph" w:customStyle="1" w:styleId="176">
    <w:name w:val="1级标题"/>
    <w:basedOn w:val="1"/>
    <w:next w:val="170"/>
    <w:qFormat/>
    <w:uiPriority w:val="0"/>
    <w:pPr>
      <w:spacing w:beforeLines="50" w:afterLines="50" w:line="480" w:lineRule="auto"/>
      <w:jc w:val="left"/>
      <w:outlineLvl w:val="0"/>
    </w:pPr>
    <w:rPr>
      <w:rFonts w:ascii="Calibri" w:hAnsi="Calibri"/>
      <w:b/>
      <w:sz w:val="44"/>
      <w:szCs w:val="22"/>
    </w:rPr>
  </w:style>
  <w:style w:type="paragraph" w:customStyle="1" w:styleId="177">
    <w:name w:val="font7"/>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78">
    <w:name w:val="Char1 Char Char Char Char Char Char"/>
    <w:basedOn w:val="1"/>
    <w:qFormat/>
    <w:uiPriority w:val="0"/>
    <w:rPr>
      <w:szCs w:val="20"/>
    </w:rPr>
  </w:style>
  <w:style w:type="paragraph" w:customStyle="1" w:styleId="179">
    <w:name w:val="Char Char Char1 Char Char Char Char Char Char Char Char Char Char"/>
    <w:basedOn w:val="1"/>
    <w:qFormat/>
    <w:uiPriority w:val="0"/>
    <w:rPr>
      <w:szCs w:val="20"/>
    </w:rPr>
  </w:style>
  <w:style w:type="paragraph" w:customStyle="1" w:styleId="180">
    <w:name w:val="样式 标题 1 + 右侧:  1 字符 段前: 0.5 行 段后: 0.5 行"/>
    <w:basedOn w:val="3"/>
    <w:qFormat/>
    <w:uiPriority w:val="0"/>
    <w:pPr>
      <w:spacing w:before="0" w:after="0" w:line="360" w:lineRule="auto"/>
      <w:ind w:right="210" w:rightChars="100"/>
      <w:jc w:val="left"/>
    </w:pPr>
    <w:rPr>
      <w:rFonts w:ascii="仿宋_GB2312" w:hAnsi="仿宋_GB2312" w:eastAsia="黑体" w:cs="宋体"/>
      <w:sz w:val="32"/>
      <w:szCs w:val="20"/>
    </w:rPr>
  </w:style>
  <w:style w:type="paragraph" w:customStyle="1" w:styleId="181">
    <w:name w:val="正文1"/>
    <w:qFormat/>
    <w:uiPriority w:val="0"/>
    <w:pPr>
      <w:jc w:val="both"/>
    </w:pPr>
    <w:rPr>
      <w:rFonts w:ascii="Times New Roman" w:hAnsi="Times New Roman" w:eastAsia="宋体" w:cs="宋体"/>
      <w:kern w:val="2"/>
      <w:sz w:val="21"/>
      <w:szCs w:val="21"/>
      <w:lang w:val="en-US" w:eastAsia="zh-CN" w:bidi="ar-SA"/>
    </w:rPr>
  </w:style>
  <w:style w:type="paragraph" w:customStyle="1" w:styleId="18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rPr>
  </w:style>
  <w:style w:type="paragraph" w:customStyle="1" w:styleId="184">
    <w:name w:val="Char3"/>
    <w:basedOn w:val="1"/>
    <w:qFormat/>
    <w:uiPriority w:val="0"/>
    <w:pPr>
      <w:widowControl/>
      <w:spacing w:after="160" w:line="240" w:lineRule="exact"/>
      <w:jc w:val="left"/>
    </w:pPr>
    <w:rPr>
      <w:rFonts w:ascii="Verdana" w:hAnsi="Verdana"/>
      <w:kern w:val="0"/>
      <w:sz w:val="21"/>
      <w:szCs w:val="20"/>
      <w:lang w:eastAsia="en-US"/>
    </w:rPr>
  </w:style>
  <w:style w:type="paragraph" w:customStyle="1" w:styleId="185">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18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7">
    <w:name w:val="样式 正文首行缩进 2 + 首行缩进:  2 字符"/>
    <w:basedOn w:val="45"/>
    <w:qFormat/>
    <w:uiPriority w:val="0"/>
    <w:pPr>
      <w:snapToGrid/>
      <w:spacing w:line="240" w:lineRule="auto"/>
      <w:ind w:left="0" w:leftChars="200" w:firstLine="357" w:firstLineChars="170"/>
    </w:pPr>
    <w:rPr>
      <w:rFonts w:ascii="Times New Roman" w:hAnsi="Times New Roman"/>
      <w:sz w:val="21"/>
      <w:szCs w:val="20"/>
    </w:rPr>
  </w:style>
  <w:style w:type="paragraph" w:customStyle="1" w:styleId="188">
    <w:name w:val="Char Char Char1 Char"/>
    <w:basedOn w:val="1"/>
    <w:qFormat/>
    <w:uiPriority w:val="0"/>
    <w:rPr>
      <w:szCs w:val="20"/>
    </w:rPr>
  </w:style>
  <w:style w:type="paragraph" w:customStyle="1" w:styleId="189">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0">
    <w:name w:val="标题四"/>
    <w:basedOn w:val="5"/>
    <w:qFormat/>
    <w:uiPriority w:val="0"/>
    <w:pPr>
      <w:keepLines/>
      <w:spacing w:before="280" w:after="290"/>
      <w:ind w:left="845"/>
      <w:jc w:val="both"/>
    </w:pPr>
    <w:rPr>
      <w:rFonts w:ascii="Arial" w:hAnsi="Arial" w:eastAsia="黑体"/>
      <w:sz w:val="24"/>
    </w:rPr>
  </w:style>
  <w:style w:type="paragraph" w:customStyle="1" w:styleId="1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2"/>
      <w:szCs w:val="22"/>
    </w:rPr>
  </w:style>
  <w:style w:type="paragraph" w:customStyle="1" w:styleId="19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rPr>
  </w:style>
  <w:style w:type="paragraph" w:customStyle="1" w:styleId="193">
    <w:name w:val="样式4"/>
    <w:basedOn w:val="1"/>
    <w:qFormat/>
    <w:uiPriority w:val="0"/>
    <w:pPr>
      <w:tabs>
        <w:tab w:val="left" w:pos="1984"/>
      </w:tabs>
      <w:ind w:left="1984" w:hanging="708"/>
    </w:pPr>
    <w:rPr>
      <w:rFonts w:ascii="Times New Roman" w:hAnsi="Times New Roman"/>
      <w:sz w:val="21"/>
    </w:rPr>
  </w:style>
  <w:style w:type="paragraph" w:customStyle="1" w:styleId="194">
    <w:name w:val="xl89"/>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cs="宋体"/>
      <w:b/>
      <w:bCs/>
      <w:kern w:val="0"/>
      <w:sz w:val="20"/>
      <w:szCs w:val="20"/>
    </w:rPr>
  </w:style>
  <w:style w:type="paragraph" w:customStyle="1" w:styleId="195">
    <w:name w:val="正文文本缩进 31"/>
    <w:basedOn w:val="1"/>
    <w:qFormat/>
    <w:uiPriority w:val="0"/>
    <w:pPr>
      <w:spacing w:after="120"/>
      <w:ind w:left="420" w:leftChars="200"/>
    </w:pPr>
    <w:rPr>
      <w:sz w:val="16"/>
      <w:szCs w:val="16"/>
    </w:rPr>
  </w:style>
  <w:style w:type="paragraph" w:customStyle="1" w:styleId="196">
    <w:name w:val="xl9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0"/>
      <w:szCs w:val="20"/>
    </w:rPr>
  </w:style>
  <w:style w:type="paragraph" w:customStyle="1" w:styleId="197">
    <w:name w:val="xl74"/>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98">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99">
    <w:name w:val="默认段落字体 Para Char"/>
    <w:basedOn w:val="1"/>
    <w:qFormat/>
    <w:uiPriority w:val="0"/>
    <w:rPr>
      <w:szCs w:val="20"/>
    </w:rPr>
  </w:style>
  <w:style w:type="paragraph" w:customStyle="1" w:styleId="200">
    <w:name w:val="xl4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styleId="201">
    <w:name w:val="List Paragraph"/>
    <w:basedOn w:val="1"/>
    <w:link w:val="202"/>
    <w:qFormat/>
    <w:uiPriority w:val="34"/>
    <w:pPr>
      <w:ind w:firstLine="420" w:firstLineChars="200"/>
    </w:pPr>
  </w:style>
  <w:style w:type="character" w:customStyle="1" w:styleId="202">
    <w:name w:val="列出段落 Char"/>
    <w:link w:val="201"/>
    <w:qFormat/>
    <w:uiPriority w:val="34"/>
    <w:rPr>
      <w:rFonts w:ascii="Tahoma" w:hAnsi="Tahoma"/>
      <w:kern w:val="2"/>
      <w:sz w:val="24"/>
      <w:szCs w:val="24"/>
    </w:rPr>
  </w:style>
  <w:style w:type="paragraph" w:customStyle="1" w:styleId="203">
    <w:name w:val="Table Description"/>
    <w:basedOn w:val="1"/>
    <w:qFormat/>
    <w:uiPriority w:val="0"/>
    <w:pPr>
      <w:ind w:left="1701"/>
    </w:pPr>
    <w:rPr>
      <w:rFonts w:ascii="Times New Roman" w:hAnsi="Times New Roman"/>
      <w:sz w:val="21"/>
      <w:szCs w:val="20"/>
    </w:rPr>
  </w:style>
  <w:style w:type="paragraph" w:customStyle="1" w:styleId="20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kern w:val="0"/>
      <w:sz w:val="20"/>
      <w:szCs w:val="20"/>
    </w:rPr>
  </w:style>
  <w:style w:type="paragraph" w:customStyle="1" w:styleId="205">
    <w:name w:val="kuan3"/>
    <w:basedOn w:val="1"/>
    <w:qFormat/>
    <w:uiPriority w:val="0"/>
    <w:pPr>
      <w:widowControl/>
      <w:pBdr>
        <w:top w:val="single" w:color="8B8A8A" w:sz="4" w:space="0"/>
        <w:left w:val="single" w:color="8B8A8A" w:sz="4" w:space="0"/>
        <w:bottom w:val="single" w:color="8B8A8A" w:sz="4" w:space="0"/>
        <w:right w:val="single" w:color="8B8A8A" w:sz="4" w:space="0"/>
      </w:pBdr>
      <w:spacing w:before="100" w:beforeAutospacing="1" w:after="100" w:afterAutospacing="1"/>
      <w:jc w:val="left"/>
    </w:pPr>
    <w:rPr>
      <w:rFonts w:ascii="宋体" w:hAnsi="宋体" w:cs="宋体"/>
      <w:kern w:val="0"/>
    </w:rPr>
  </w:style>
  <w:style w:type="paragraph" w:customStyle="1" w:styleId="206">
    <w:name w:val="xl92"/>
    <w:basedOn w:val="1"/>
    <w:qFormat/>
    <w:uiPriority w:val="0"/>
    <w:pPr>
      <w:widowControl/>
      <w:pBdr>
        <w:top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cs="宋体"/>
      <w:b/>
      <w:bCs/>
      <w:kern w:val="0"/>
      <w:sz w:val="20"/>
      <w:szCs w:val="20"/>
    </w:rPr>
  </w:style>
  <w:style w:type="paragraph" w:customStyle="1" w:styleId="20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rPr>
  </w:style>
  <w:style w:type="paragraph" w:customStyle="1" w:styleId="208">
    <w:name w:val="段"/>
    <w:link w:val="20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09">
    <w:name w:val="段 Char Char"/>
    <w:link w:val="208"/>
    <w:qFormat/>
    <w:uiPriority w:val="0"/>
    <w:rPr>
      <w:rFonts w:ascii="宋体"/>
      <w:sz w:val="21"/>
    </w:rPr>
  </w:style>
  <w:style w:type="paragraph" w:customStyle="1" w:styleId="210">
    <w:name w:val="索引 11"/>
    <w:basedOn w:val="1"/>
    <w:next w:val="1"/>
    <w:qFormat/>
    <w:uiPriority w:val="0"/>
    <w:rPr>
      <w:rFonts w:hint="eastAsia" w:ascii="宋体" w:hAnsi="宋体" w:cs="Arial"/>
    </w:rPr>
  </w:style>
  <w:style w:type="paragraph" w:customStyle="1" w:styleId="211">
    <w:name w:val="默认段落字体 Para Char Char Char Char Char Char Char Char Char1 Char"/>
    <w:basedOn w:val="1"/>
    <w:qFormat/>
    <w:uiPriority w:val="0"/>
    <w:rPr>
      <w:szCs w:val="20"/>
    </w:rPr>
  </w:style>
  <w:style w:type="paragraph" w:customStyle="1" w:styleId="212">
    <w:name w:val="修订1"/>
    <w:qFormat/>
    <w:uiPriority w:val="0"/>
    <w:rPr>
      <w:rFonts w:ascii="Tahoma" w:hAnsi="Tahoma" w:eastAsia="宋体" w:cs="Times New Roman"/>
      <w:kern w:val="2"/>
      <w:sz w:val="24"/>
      <w:szCs w:val="24"/>
      <w:lang w:val="en-US" w:eastAsia="zh-CN" w:bidi="ar-SA"/>
    </w:rPr>
  </w:style>
  <w:style w:type="paragraph" w:customStyle="1" w:styleId="213">
    <w:name w:val="xl2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14">
    <w:name w:val="编号1"/>
    <w:basedOn w:val="1"/>
    <w:qFormat/>
    <w:uiPriority w:val="0"/>
    <w:pPr>
      <w:tabs>
        <w:tab w:val="left" w:pos="1260"/>
      </w:tabs>
      <w:ind w:left="1260" w:hanging="420"/>
    </w:pPr>
    <w:rPr>
      <w:rFonts w:ascii="Times New Roman" w:hAnsi="Times New Roman"/>
      <w:sz w:val="21"/>
    </w:rPr>
  </w:style>
  <w:style w:type="paragraph" w:customStyle="1" w:styleId="215">
    <w:name w:val="xl65"/>
    <w:basedOn w:val="1"/>
    <w:qFormat/>
    <w:uiPriority w:val="0"/>
    <w:pPr>
      <w:widowControl/>
      <w:spacing w:before="100" w:beforeAutospacing="1" w:after="100" w:afterAutospacing="1"/>
      <w:jc w:val="center"/>
      <w:textAlignment w:val="center"/>
    </w:pPr>
    <w:rPr>
      <w:rFonts w:hint="eastAsia" w:ascii="Arial Unicode MS" w:hAnsi="Arial Unicode MS" w:eastAsia="Arial Unicode MS"/>
      <w:b/>
      <w:bCs/>
      <w:kern w:val="0"/>
      <w:sz w:val="32"/>
      <w:szCs w:val="32"/>
    </w:rPr>
  </w:style>
  <w:style w:type="paragraph" w:customStyle="1" w:styleId="216">
    <w:name w:val="Char Char Char Char"/>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17">
    <w:name w:val="默认段落字体 Para Char Char Char Char Char Char Char"/>
    <w:basedOn w:val="1"/>
    <w:qFormat/>
    <w:uiPriority w:val="0"/>
    <w:rPr>
      <w:szCs w:val="20"/>
    </w:rPr>
  </w:style>
  <w:style w:type="paragraph" w:customStyle="1" w:styleId="218">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1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0">
    <w:name w:val="正文缩进1"/>
    <w:basedOn w:val="1"/>
    <w:qFormat/>
    <w:uiPriority w:val="0"/>
    <w:pPr>
      <w:autoSpaceDE w:val="0"/>
      <w:autoSpaceDN w:val="0"/>
      <w:spacing w:line="360" w:lineRule="auto"/>
      <w:ind w:left="181" w:firstLine="420"/>
    </w:pPr>
  </w:style>
  <w:style w:type="paragraph" w:customStyle="1" w:styleId="221">
    <w:name w:val="表中文字"/>
    <w:basedOn w:val="1"/>
    <w:qFormat/>
    <w:uiPriority w:val="0"/>
    <w:pPr>
      <w:jc w:val="center"/>
    </w:pPr>
    <w:rPr>
      <w:rFonts w:ascii="仿宋_GB2312" w:hAnsi="Times New Roman"/>
      <w:sz w:val="21"/>
      <w:szCs w:val="20"/>
    </w:rPr>
  </w:style>
  <w:style w:type="paragraph" w:customStyle="1" w:styleId="22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kern w:val="0"/>
      <w:sz w:val="20"/>
      <w:szCs w:val="20"/>
    </w:rPr>
  </w:style>
  <w:style w:type="paragraph" w:customStyle="1" w:styleId="223">
    <w:name w:val="CSS1级正文 Char"/>
    <w:basedOn w:val="17"/>
    <w:qFormat/>
    <w:uiPriority w:val="0"/>
    <w:pPr>
      <w:widowControl w:val="0"/>
      <w:adjustRightInd w:val="0"/>
      <w:snapToGrid w:val="0"/>
      <w:spacing w:before="0" w:beforeAutospacing="0" w:after="0" w:afterAutospacing="0" w:line="360" w:lineRule="auto"/>
      <w:ind w:firstLine="480"/>
      <w:jc w:val="both"/>
    </w:pPr>
    <w:rPr>
      <w:rFonts w:ascii="Times New Roman" w:hAnsi="Times New Roman"/>
      <w:kern w:val="2"/>
    </w:rPr>
  </w:style>
  <w:style w:type="paragraph" w:customStyle="1" w:styleId="224">
    <w:name w:val="font0"/>
    <w:basedOn w:val="1"/>
    <w:qFormat/>
    <w:uiPriority w:val="0"/>
    <w:pPr>
      <w:widowControl/>
      <w:spacing w:before="100" w:beforeAutospacing="1" w:after="100" w:afterAutospacing="1"/>
      <w:jc w:val="left"/>
    </w:pPr>
    <w:rPr>
      <w:rFonts w:hint="eastAsia" w:ascii="宋体" w:hAnsi="宋体" w:cs="Arial Unicode MS"/>
      <w:kern w:val="0"/>
    </w:rPr>
  </w:style>
  <w:style w:type="paragraph" w:customStyle="1" w:styleId="22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26">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2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28">
    <w:name w:val="D标4"/>
    <w:basedOn w:val="1"/>
    <w:next w:val="229"/>
    <w:qFormat/>
    <w:uiPriority w:val="0"/>
    <w:pPr>
      <w:tabs>
        <w:tab w:val="left" w:pos="390"/>
      </w:tabs>
      <w:autoSpaceDE w:val="0"/>
      <w:autoSpaceDN w:val="0"/>
      <w:adjustRightInd w:val="0"/>
      <w:spacing w:before="120" w:line="480" w:lineRule="atLeast"/>
      <w:ind w:left="390" w:hanging="390"/>
    </w:pPr>
    <w:rPr>
      <w:rFonts w:ascii="宋体" w:hAnsi="Times New Roman"/>
      <w:kern w:val="0"/>
      <w:szCs w:val="20"/>
    </w:rPr>
  </w:style>
  <w:style w:type="paragraph" w:customStyle="1" w:styleId="229">
    <w:name w:val="D文1"/>
    <w:basedOn w:val="1"/>
    <w:qFormat/>
    <w:uiPriority w:val="0"/>
    <w:pPr>
      <w:tabs>
        <w:tab w:val="left" w:pos="720"/>
      </w:tabs>
      <w:autoSpaceDE w:val="0"/>
      <w:autoSpaceDN w:val="0"/>
      <w:adjustRightInd w:val="0"/>
      <w:spacing w:after="120" w:line="480" w:lineRule="atLeast"/>
      <w:ind w:left="680" w:firstLine="510"/>
    </w:pPr>
    <w:rPr>
      <w:rFonts w:ascii="宋体" w:hAnsi="Times New Roman"/>
      <w:kern w:val="0"/>
      <w:szCs w:val="20"/>
    </w:rPr>
  </w:style>
  <w:style w:type="paragraph" w:customStyle="1" w:styleId="230">
    <w:name w:val="标题4"/>
    <w:basedOn w:val="5"/>
    <w:qFormat/>
    <w:uiPriority w:val="0"/>
    <w:pPr>
      <w:keepNext w:val="0"/>
      <w:widowControl/>
      <w:tabs>
        <w:tab w:val="left" w:pos="1247"/>
      </w:tabs>
      <w:spacing w:before="120" w:line="240" w:lineRule="auto"/>
      <w:ind w:left="1247" w:hanging="1247"/>
      <w:jc w:val="left"/>
    </w:pPr>
    <w:rPr>
      <w:rFonts w:ascii="Arial" w:hAnsi="Arial"/>
      <w:b/>
      <w:bCs/>
      <w:iCs/>
      <w:kern w:val="0"/>
      <w:sz w:val="21"/>
      <w:lang w:val="pt-BR" w:eastAsia="en-US"/>
    </w:rPr>
  </w:style>
  <w:style w:type="paragraph" w:customStyle="1" w:styleId="23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b/>
      <w:bCs/>
      <w:kern w:val="0"/>
    </w:rPr>
  </w:style>
  <w:style w:type="paragraph" w:customStyle="1" w:styleId="23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0"/>
      <w:szCs w:val="20"/>
    </w:rPr>
  </w:style>
  <w:style w:type="paragraph" w:customStyle="1" w:styleId="233">
    <w:name w:val="font6"/>
    <w:basedOn w:val="1"/>
    <w:qFormat/>
    <w:uiPriority w:val="0"/>
    <w:pPr>
      <w:widowControl/>
      <w:spacing w:before="100" w:beforeAutospacing="1" w:after="100" w:afterAutospacing="1"/>
      <w:jc w:val="left"/>
    </w:pPr>
    <w:rPr>
      <w:rFonts w:ascii="Times New Roman" w:hAnsi="Times New Roman" w:eastAsia="Arial Unicode MS"/>
      <w:kern w:val="0"/>
      <w:sz w:val="20"/>
      <w:szCs w:val="20"/>
    </w:rPr>
  </w:style>
  <w:style w:type="paragraph" w:customStyle="1" w:styleId="234">
    <w:name w:val="xl42"/>
    <w:basedOn w:val="1"/>
    <w:qFormat/>
    <w:uiPriority w:val="0"/>
    <w:pPr>
      <w:widowControl/>
      <w:pBdr>
        <w:top w:val="single" w:color="auto" w:sz="4" w:space="0"/>
        <w:left w:val="single" w:color="auto" w:sz="4" w:space="0"/>
        <w:bottom w:val="single" w:color="auto" w:sz="4" w:space="0"/>
      </w:pBdr>
      <w:tabs>
        <w:tab w:val="left" w:pos="900"/>
      </w:tabs>
      <w:spacing w:before="100" w:beforeAutospacing="1" w:after="100" w:afterAutospacing="1"/>
      <w:jc w:val="left"/>
    </w:pPr>
    <w:rPr>
      <w:rFonts w:ascii="Arial Unicode MS" w:hAnsi="Arial Unicode MS" w:eastAsia="Arial Unicode MS"/>
      <w:kern w:val="0"/>
      <w:sz w:val="18"/>
      <w:szCs w:val="18"/>
    </w:rPr>
  </w:style>
  <w:style w:type="paragraph" w:customStyle="1" w:styleId="235">
    <w:name w:val="样式 宋体 五号 加粗 段前: 7.8 磅 段后: 7.8 磅 行距: 1.5 倍行距"/>
    <w:basedOn w:val="1"/>
    <w:qFormat/>
    <w:uiPriority w:val="0"/>
    <w:pPr>
      <w:spacing w:before="156" w:after="156" w:line="360" w:lineRule="auto"/>
      <w:outlineLvl w:val="0"/>
    </w:pPr>
    <w:rPr>
      <w:rFonts w:ascii="宋体" w:hAnsi="宋体" w:cs="宋体"/>
      <w:b/>
      <w:bCs/>
      <w:sz w:val="21"/>
      <w:szCs w:val="20"/>
    </w:rPr>
  </w:style>
  <w:style w:type="paragraph" w:customStyle="1" w:styleId="236">
    <w:name w:val="样式 标题 2H2h2Underrubrik1prop2标题 1.1Heading 2 HiddenHeading..."/>
    <w:basedOn w:val="2"/>
    <w:qFormat/>
    <w:uiPriority w:val="0"/>
    <w:pPr>
      <w:spacing w:line="300" w:lineRule="auto"/>
    </w:pPr>
    <w:rPr>
      <w:rFonts w:eastAsia="宋体"/>
      <w:szCs w:val="20"/>
    </w:rPr>
  </w:style>
  <w:style w:type="paragraph" w:customStyle="1" w:styleId="237">
    <w:name w:val="样式 2级标题 + 宋体 五号"/>
    <w:basedOn w:val="1"/>
    <w:qFormat/>
    <w:uiPriority w:val="0"/>
    <w:pPr>
      <w:spacing w:line="360" w:lineRule="auto"/>
      <w:jc w:val="left"/>
      <w:outlineLvl w:val="3"/>
    </w:pPr>
    <w:rPr>
      <w:rFonts w:ascii="宋体" w:hAnsi="宋体"/>
      <w:b/>
      <w:bCs/>
      <w:sz w:val="21"/>
      <w:szCs w:val="22"/>
    </w:rPr>
  </w:style>
  <w:style w:type="paragraph" w:customStyle="1" w:styleId="238">
    <w:name w:val="xl99"/>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39">
    <w:name w:val="05-F3-标题一"/>
    <w:basedOn w:val="3"/>
    <w:qFormat/>
    <w:uiPriority w:val="0"/>
    <w:pPr>
      <w:tabs>
        <w:tab w:val="left" w:pos="980"/>
      </w:tabs>
      <w:ind w:left="980" w:hanging="420"/>
      <w:jc w:val="center"/>
    </w:pPr>
    <w:rPr>
      <w:rFonts w:ascii="Times New Roman" w:hAnsi="Times New Roman" w:eastAsia="黑体"/>
      <w:b/>
      <w:sz w:val="30"/>
      <w:szCs w:val="20"/>
    </w:rPr>
  </w:style>
  <w:style w:type="paragraph" w:customStyle="1" w:styleId="240">
    <w:name w:val="Char Char Char1 Char Char Char2 Char Char Char Char Char Char"/>
    <w:basedOn w:val="14"/>
    <w:qFormat/>
    <w:uiPriority w:val="0"/>
    <w:rPr>
      <w:rFonts w:cs="Tahoma"/>
      <w:kern w:val="0"/>
      <w:sz w:val="18"/>
    </w:rPr>
  </w:style>
  <w:style w:type="paragraph" w:customStyle="1" w:styleId="24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2">
    <w:name w:val="正文文本 22"/>
    <w:basedOn w:val="1"/>
    <w:qFormat/>
    <w:uiPriority w:val="0"/>
    <w:rPr>
      <w:rFonts w:hint="eastAsia" w:ascii="宋体" w:hAnsi="宋体"/>
      <w:b/>
      <w:bCs/>
      <w:sz w:val="28"/>
    </w:rPr>
  </w:style>
  <w:style w:type="paragraph" w:customStyle="1" w:styleId="243">
    <w:name w:val="2级标题"/>
    <w:basedOn w:val="1"/>
    <w:next w:val="170"/>
    <w:qFormat/>
    <w:uiPriority w:val="0"/>
    <w:pPr>
      <w:spacing w:line="360" w:lineRule="auto"/>
      <w:jc w:val="left"/>
      <w:outlineLvl w:val="1"/>
    </w:pPr>
    <w:rPr>
      <w:rFonts w:ascii="Calibri" w:hAnsi="Calibri"/>
      <w:b/>
      <w:sz w:val="36"/>
      <w:szCs w:val="22"/>
    </w:rPr>
  </w:style>
  <w:style w:type="paragraph" w:customStyle="1" w:styleId="244">
    <w:name w:val="Char Char Char Char Char Char1 Char"/>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45">
    <w:name w:val="Default"/>
    <w:link w:val="246"/>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46">
    <w:name w:val="Default Char"/>
    <w:link w:val="245"/>
    <w:qFormat/>
    <w:uiPriority w:val="0"/>
    <w:rPr>
      <w:rFonts w:ascii="宋体" w:hAnsi="Calibri" w:cs="宋体"/>
      <w:color w:val="000000"/>
      <w:sz w:val="24"/>
      <w:szCs w:val="24"/>
    </w:rPr>
  </w:style>
  <w:style w:type="paragraph" w:customStyle="1" w:styleId="247">
    <w:name w:val="5"/>
    <w:basedOn w:val="1"/>
    <w:next w:val="22"/>
    <w:qFormat/>
    <w:uiPriority w:val="0"/>
    <w:pPr>
      <w:spacing w:line="360" w:lineRule="auto"/>
    </w:pPr>
    <w:rPr>
      <w:rFonts w:ascii="宋体" w:hAnsi="Courier New"/>
      <w:spacing w:val="-8"/>
      <w:szCs w:val="20"/>
    </w:rPr>
  </w:style>
  <w:style w:type="paragraph" w:customStyle="1" w:styleId="248">
    <w:name w:val="文本块1"/>
    <w:basedOn w:val="1"/>
    <w:qFormat/>
    <w:uiPriority w:val="0"/>
    <w:pPr>
      <w:ind w:left="718" w:leftChars="342" w:right="25" w:rightChars="12" w:firstLine="2" w:firstLineChars="1"/>
    </w:pPr>
    <w:rPr>
      <w:rFonts w:ascii="Times New Roman" w:hAnsi="Times New Roman"/>
      <w:sz w:val="21"/>
    </w:rPr>
  </w:style>
  <w:style w:type="paragraph" w:customStyle="1" w:styleId="24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50">
    <w:name w:val="xl10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1">
    <w:name w:val="普通(网站)1"/>
    <w:basedOn w:val="1"/>
    <w:qFormat/>
    <w:uiPriority w:val="0"/>
    <w:pPr>
      <w:widowControl/>
      <w:spacing w:before="100" w:beforeAutospacing="1" w:after="100" w:afterAutospacing="1"/>
      <w:jc w:val="left"/>
    </w:pPr>
    <w:rPr>
      <w:rFonts w:ascii="宋体" w:hAnsi="宋体"/>
      <w:color w:val="000000"/>
      <w:kern w:val="0"/>
    </w:rPr>
  </w:style>
  <w:style w:type="paragraph" w:customStyle="1" w:styleId="252">
    <w:name w:val="3级标题"/>
    <w:basedOn w:val="1"/>
    <w:next w:val="170"/>
    <w:qFormat/>
    <w:uiPriority w:val="0"/>
    <w:pPr>
      <w:spacing w:line="360" w:lineRule="auto"/>
      <w:jc w:val="left"/>
      <w:outlineLvl w:val="2"/>
    </w:pPr>
    <w:rPr>
      <w:rFonts w:ascii="Calibri" w:hAnsi="Calibri"/>
      <w:b/>
      <w:sz w:val="32"/>
      <w:szCs w:val="22"/>
    </w:rPr>
  </w:style>
  <w:style w:type="paragraph" w:customStyle="1" w:styleId="253">
    <w:name w:val="±íÏî"/>
    <w:basedOn w:val="1"/>
    <w:qFormat/>
    <w:uiPriority w:val="0"/>
    <w:pPr>
      <w:widowControl/>
      <w:overflowPunct w:val="0"/>
      <w:autoSpaceDE w:val="0"/>
      <w:autoSpaceDN w:val="0"/>
      <w:adjustRightInd w:val="0"/>
      <w:spacing w:line="300" w:lineRule="auto"/>
      <w:jc w:val="center"/>
      <w:textAlignment w:val="baseline"/>
    </w:pPr>
    <w:rPr>
      <w:rFonts w:ascii="Times New Roman" w:hAnsi="Times New Roman"/>
      <w:kern w:val="0"/>
      <w:sz w:val="18"/>
      <w:szCs w:val="20"/>
    </w:rPr>
  </w:style>
  <w:style w:type="paragraph" w:customStyle="1" w:styleId="254">
    <w:name w:val="Char Char Char"/>
    <w:basedOn w:val="1"/>
    <w:qFormat/>
    <w:uiPriority w:val="0"/>
    <w:rPr>
      <w:szCs w:val="20"/>
    </w:rPr>
  </w:style>
  <w:style w:type="paragraph" w:customStyle="1" w:styleId="255">
    <w:name w:val="Char"/>
    <w:basedOn w:val="1"/>
    <w:qFormat/>
    <w:uiPriority w:val="0"/>
    <w:pPr>
      <w:widowControl/>
      <w:spacing w:after="160" w:line="240" w:lineRule="exact"/>
      <w:jc w:val="left"/>
    </w:pPr>
    <w:rPr>
      <w:rFonts w:ascii="Verdana" w:hAnsi="Verdana" w:eastAsia="MS Mincho" w:cs="Verdana"/>
      <w:kern w:val="0"/>
      <w:sz w:val="20"/>
      <w:szCs w:val="20"/>
      <w:lang w:eastAsia="en-US" w:bidi="kn-IN"/>
    </w:rPr>
  </w:style>
  <w:style w:type="paragraph" w:customStyle="1" w:styleId="256">
    <w:name w:val="Char1"/>
    <w:basedOn w:val="1"/>
    <w:qFormat/>
    <w:uiPriority w:val="0"/>
    <w:pPr>
      <w:widowControl/>
      <w:tabs>
        <w:tab w:val="left" w:pos="509"/>
      </w:tabs>
      <w:spacing w:after="160" w:line="240" w:lineRule="exact"/>
      <w:ind w:left="252"/>
      <w:jc w:val="left"/>
    </w:pPr>
    <w:rPr>
      <w:rFonts w:ascii="Verdana" w:hAnsi="Verdana" w:eastAsia="仿宋_GB2312"/>
      <w:kern w:val="0"/>
      <w:szCs w:val="20"/>
      <w:lang w:eastAsia="en-US"/>
    </w:rPr>
  </w:style>
  <w:style w:type="paragraph" w:customStyle="1" w:styleId="257">
    <w:name w:val="正文首行缩进1"/>
    <w:basedOn w:val="17"/>
    <w:qFormat/>
    <w:uiPriority w:val="0"/>
    <w:pPr>
      <w:widowControl w:val="0"/>
      <w:spacing w:before="0" w:beforeAutospacing="0" w:after="120" w:afterAutospacing="0"/>
      <w:ind w:firstLine="420" w:firstLineChars="100"/>
      <w:jc w:val="both"/>
    </w:pPr>
    <w:rPr>
      <w:rFonts w:ascii="Tahoma" w:hAnsi="Tahoma"/>
      <w:kern w:val="2"/>
    </w:rPr>
  </w:style>
  <w:style w:type="paragraph" w:customStyle="1" w:styleId="258">
    <w:name w:val="D标3"/>
    <w:basedOn w:val="4"/>
    <w:qFormat/>
    <w:uiPriority w:val="0"/>
    <w:pPr>
      <w:keepNext w:val="0"/>
      <w:keepLines w:val="0"/>
      <w:tabs>
        <w:tab w:val="left" w:pos="720"/>
      </w:tabs>
      <w:autoSpaceDE w:val="0"/>
      <w:autoSpaceDN w:val="0"/>
      <w:adjustRightInd w:val="0"/>
      <w:spacing w:before="120" w:after="0" w:line="480" w:lineRule="atLeast"/>
      <w:ind w:left="720" w:hanging="720"/>
    </w:pPr>
    <w:rPr>
      <w:rFonts w:ascii="宋体"/>
      <w:b/>
      <w:bCs w:val="0"/>
      <w:kern w:val="0"/>
      <w:sz w:val="24"/>
      <w:szCs w:val="20"/>
    </w:rPr>
  </w:style>
  <w:style w:type="paragraph" w:customStyle="1" w:styleId="259">
    <w:name w:val="样式 小四 首行缩进:  0.74 厘米"/>
    <w:basedOn w:val="1"/>
    <w:qFormat/>
    <w:uiPriority w:val="0"/>
    <w:pPr>
      <w:spacing w:line="360" w:lineRule="auto"/>
      <w:ind w:firstLine="420"/>
    </w:pPr>
    <w:rPr>
      <w:rFonts w:ascii="Times New Roman" w:hAnsi="Times New Roman" w:cs="宋体"/>
      <w:szCs w:val="20"/>
    </w:rPr>
  </w:style>
  <w:style w:type="paragraph" w:customStyle="1" w:styleId="260">
    <w:name w:val="Char1 Char Char Char"/>
    <w:basedOn w:val="1"/>
    <w:qFormat/>
    <w:uiPriority w:val="0"/>
    <w:rPr>
      <w:szCs w:val="20"/>
    </w:rPr>
  </w:style>
  <w:style w:type="paragraph" w:customStyle="1" w:styleId="26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262">
    <w:name w:val="标准段落"/>
    <w:basedOn w:val="1"/>
    <w:qFormat/>
    <w:uiPriority w:val="0"/>
    <w:pPr>
      <w:topLinePunct/>
      <w:autoSpaceDE w:val="0"/>
      <w:autoSpaceDN w:val="0"/>
      <w:spacing w:line="0" w:lineRule="atLeast"/>
      <w:ind w:firstLine="562" w:firstLineChars="200"/>
    </w:pPr>
    <w:rPr>
      <w:rFonts w:ascii="Times New Roman" w:hAnsi="Times New Roman" w:eastAsia="仿宋_GB2312"/>
      <w:b/>
      <w:sz w:val="28"/>
      <w:lang w:bidi="th-TH"/>
    </w:rPr>
  </w:style>
  <w:style w:type="paragraph" w:customStyle="1" w:styleId="263">
    <w:name w:val="正文文本缩进 21"/>
    <w:basedOn w:val="1"/>
    <w:qFormat/>
    <w:uiPriority w:val="0"/>
    <w:pPr>
      <w:ind w:left="718" w:leftChars="342"/>
    </w:pPr>
    <w:rPr>
      <w:rFonts w:ascii="Times New Roman" w:hAnsi="Times New Roman"/>
      <w:sz w:val="28"/>
    </w:rPr>
  </w:style>
  <w:style w:type="paragraph" w:customStyle="1" w:styleId="264">
    <w:name w:val="Char Char2"/>
    <w:basedOn w:val="1"/>
    <w:qFormat/>
    <w:uiPriority w:val="0"/>
    <w:rPr>
      <w:rFonts w:ascii="宋体" w:hAnsi="宋体"/>
      <w:b/>
      <w:sz w:val="28"/>
      <w:szCs w:val="28"/>
    </w:rPr>
  </w:style>
  <w:style w:type="paragraph" w:customStyle="1" w:styleId="265">
    <w:name w:val="纯文本2"/>
    <w:basedOn w:val="1"/>
    <w:qFormat/>
    <w:uiPriority w:val="0"/>
    <w:pPr>
      <w:spacing w:line="360" w:lineRule="auto"/>
    </w:pPr>
    <w:rPr>
      <w:rFonts w:ascii="宋体" w:hAnsi="Courier New"/>
      <w:szCs w:val="21"/>
    </w:rPr>
  </w:style>
  <w:style w:type="paragraph" w:customStyle="1" w:styleId="266">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22"/>
      <w:szCs w:val="22"/>
    </w:rPr>
  </w:style>
  <w:style w:type="paragraph" w:customStyle="1" w:styleId="267">
    <w:name w:val="标书正文1"/>
    <w:basedOn w:val="1"/>
    <w:qFormat/>
    <w:uiPriority w:val="0"/>
    <w:pPr>
      <w:tabs>
        <w:tab w:val="left" w:pos="5730"/>
        <w:tab w:val="left" w:pos="8280"/>
      </w:tabs>
      <w:adjustRightInd w:val="0"/>
      <w:snapToGrid w:val="0"/>
      <w:spacing w:line="360" w:lineRule="auto"/>
      <w:ind w:firstLine="480" w:firstLineChars="200"/>
      <w:jc w:val="left"/>
    </w:pPr>
    <w:rPr>
      <w:rFonts w:ascii="仿宋" w:hAnsi="仿宋" w:eastAsia="仿宋"/>
    </w:rPr>
  </w:style>
  <w:style w:type="paragraph" w:customStyle="1" w:styleId="26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69">
    <w:name w:val="P标3"/>
    <w:basedOn w:val="4"/>
    <w:qFormat/>
    <w:uiPriority w:val="0"/>
    <w:pPr>
      <w:keepNext w:val="0"/>
      <w:keepLines w:val="0"/>
      <w:tabs>
        <w:tab w:val="left" w:pos="432"/>
      </w:tabs>
      <w:autoSpaceDE w:val="0"/>
      <w:autoSpaceDN w:val="0"/>
      <w:adjustRightInd w:val="0"/>
      <w:spacing w:before="120" w:after="120" w:line="480" w:lineRule="atLeast"/>
      <w:ind w:left="432" w:hanging="432"/>
    </w:pPr>
    <w:rPr>
      <w:rFonts w:ascii="宋体"/>
      <w:b/>
      <w:bCs w:val="0"/>
      <w:kern w:val="0"/>
      <w:sz w:val="24"/>
      <w:szCs w:val="20"/>
    </w:rPr>
  </w:style>
  <w:style w:type="paragraph" w:customStyle="1" w:styleId="270">
    <w:name w:val="修订2"/>
    <w:qFormat/>
    <w:uiPriority w:val="0"/>
    <w:rPr>
      <w:rFonts w:ascii="Tahoma" w:hAnsi="Tahoma" w:eastAsia="宋体" w:cs="Times New Roman"/>
      <w:kern w:val="2"/>
      <w:sz w:val="24"/>
      <w:szCs w:val="24"/>
      <w:lang w:val="en-US" w:eastAsia="zh-CN" w:bidi="ar-SA"/>
    </w:rPr>
  </w:style>
  <w:style w:type="paragraph" w:customStyle="1" w:styleId="271">
    <w:name w:val="正文文本缩进1"/>
    <w:basedOn w:val="1"/>
    <w:qFormat/>
    <w:uiPriority w:val="0"/>
    <w:pPr>
      <w:widowControl/>
      <w:spacing w:before="100" w:beforeAutospacing="1" w:after="100" w:afterAutospacing="1"/>
      <w:jc w:val="left"/>
    </w:pPr>
    <w:rPr>
      <w:rFonts w:hint="eastAsia" w:ascii="宋体" w:hAnsi="宋体"/>
      <w:kern w:val="0"/>
    </w:rPr>
  </w:style>
  <w:style w:type="paragraph" w:customStyle="1" w:styleId="272">
    <w:name w:val="表格文字"/>
    <w:basedOn w:val="1"/>
    <w:qFormat/>
    <w:uiPriority w:val="0"/>
    <w:pPr>
      <w:spacing w:before="25" w:after="25" w:line="300" w:lineRule="auto"/>
    </w:pPr>
    <w:rPr>
      <w:rFonts w:ascii="Times" w:hAnsi="Times"/>
      <w:spacing w:val="10"/>
      <w:kern w:val="0"/>
      <w:szCs w:val="20"/>
    </w:rPr>
  </w:style>
  <w:style w:type="paragraph" w:customStyle="1" w:styleId="273">
    <w:name w:val="xl91"/>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cs="宋体"/>
      <w:b/>
      <w:bCs/>
      <w:kern w:val="0"/>
      <w:sz w:val="20"/>
      <w:szCs w:val="20"/>
    </w:rPr>
  </w:style>
  <w:style w:type="paragraph" w:customStyle="1" w:styleId="274">
    <w:name w:val="Char Char Char Char Char Char1 Char Char Char Char Char Char Char Char Char Char 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275">
    <w:name w:val="Char Char Char Char Char Char Char Char Char Char Char Char"/>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7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7">
    <w:name w:val="正文文本 31"/>
    <w:basedOn w:val="1"/>
    <w:qFormat/>
    <w:uiPriority w:val="0"/>
    <w:pPr>
      <w:adjustRightInd w:val="0"/>
      <w:spacing w:line="320" w:lineRule="exact"/>
      <w:jc w:val="left"/>
    </w:pPr>
    <w:rPr>
      <w:rFonts w:ascii="Times New Roman" w:hAnsi="Times New Roman"/>
      <w:szCs w:val="20"/>
    </w:rPr>
  </w:style>
  <w:style w:type="paragraph" w:customStyle="1" w:styleId="27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rPr>
  </w:style>
  <w:style w:type="paragraph" w:customStyle="1" w:styleId="279">
    <w:name w:val="xl9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2"/>
      <w:szCs w:val="22"/>
    </w:rPr>
  </w:style>
  <w:style w:type="paragraph" w:customStyle="1" w:styleId="28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kern w:val="0"/>
    </w:rPr>
  </w:style>
  <w:style w:type="paragraph" w:customStyle="1" w:styleId="281">
    <w:name w:val="xl76"/>
    <w:basedOn w:val="1"/>
    <w:qFormat/>
    <w:uiPriority w:val="0"/>
    <w:pPr>
      <w:widowControl/>
      <w:spacing w:before="100" w:beforeAutospacing="1" w:after="100" w:afterAutospacing="1"/>
      <w:jc w:val="left"/>
      <w:textAlignment w:val="center"/>
    </w:pPr>
    <w:rPr>
      <w:rFonts w:ascii="宋体" w:hAnsi="宋体" w:cs="宋体"/>
      <w:kern w:val="0"/>
    </w:rPr>
  </w:style>
  <w:style w:type="paragraph" w:customStyle="1" w:styleId="28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0"/>
      <w:szCs w:val="20"/>
    </w:rPr>
  </w:style>
  <w:style w:type="paragraph" w:customStyle="1" w:styleId="28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4">
    <w:name w:val="批注主题1"/>
    <w:basedOn w:val="15"/>
    <w:next w:val="15"/>
    <w:qFormat/>
    <w:uiPriority w:val="0"/>
    <w:rPr>
      <w:b/>
      <w:bCs/>
      <w:sz w:val="24"/>
    </w:rPr>
  </w:style>
  <w:style w:type="paragraph" w:customStyle="1" w:styleId="285">
    <w:name w:val="dash6b63_65871"/>
    <w:basedOn w:val="1"/>
    <w:qFormat/>
    <w:uiPriority w:val="0"/>
    <w:pPr>
      <w:widowControl/>
      <w:jc w:val="left"/>
    </w:pPr>
    <w:rPr>
      <w:rFonts w:ascii="宋体" w:hAnsi="宋体" w:cs="宋体"/>
      <w:kern w:val="0"/>
    </w:rPr>
  </w:style>
  <w:style w:type="paragraph" w:customStyle="1" w:styleId="286">
    <w:name w:val="xl69"/>
    <w:basedOn w:val="1"/>
    <w:qFormat/>
    <w:uiPriority w:val="0"/>
    <w:pPr>
      <w:widowControl/>
      <w:spacing w:before="100" w:beforeAutospacing="1" w:after="100" w:afterAutospacing="1"/>
      <w:jc w:val="center"/>
      <w:textAlignment w:val="center"/>
    </w:pPr>
    <w:rPr>
      <w:rFonts w:ascii="宋体" w:hAnsi="宋体" w:cs="宋体"/>
      <w:kern w:val="0"/>
    </w:rPr>
  </w:style>
  <w:style w:type="paragraph" w:customStyle="1" w:styleId="287">
    <w:name w:val="msoacetate"/>
    <w:basedOn w:val="1"/>
    <w:qFormat/>
    <w:uiPriority w:val="0"/>
    <w:rPr>
      <w:sz w:val="18"/>
      <w:szCs w:val="18"/>
    </w:rPr>
  </w:style>
  <w:style w:type="paragraph" w:customStyle="1" w:styleId="288">
    <w:name w:val="xl9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2"/>
      <w:szCs w:val="22"/>
    </w:rPr>
  </w:style>
  <w:style w:type="paragraph" w:customStyle="1" w:styleId="289">
    <w:name w:val="正文首行缩进 21"/>
    <w:basedOn w:val="271"/>
    <w:qFormat/>
    <w:uiPriority w:val="0"/>
    <w:pPr>
      <w:widowControl w:val="0"/>
      <w:snapToGrid w:val="0"/>
      <w:spacing w:before="0" w:beforeAutospacing="0" w:after="120" w:afterAutospacing="0" w:line="360" w:lineRule="auto"/>
      <w:ind w:left="420" w:firstLine="420" w:firstLineChars="200"/>
      <w:jc w:val="both"/>
    </w:pPr>
    <w:rPr>
      <w:rFonts w:hint="default" w:ascii="Tahoma" w:hAnsi="Tahoma"/>
      <w:kern w:val="2"/>
      <w:sz w:val="28"/>
    </w:rPr>
  </w:style>
  <w:style w:type="paragraph" w:customStyle="1" w:styleId="290">
    <w:name w:val="Char Char1 Char"/>
    <w:basedOn w:val="1"/>
    <w:qFormat/>
    <w:uiPriority w:val="0"/>
    <w:rPr>
      <w:rFonts w:ascii="Times New Roman" w:hAnsi="Times New Roman"/>
      <w:sz w:val="21"/>
    </w:rPr>
  </w:style>
  <w:style w:type="paragraph" w:customStyle="1" w:styleId="291">
    <w:name w:val="表格内容"/>
    <w:basedOn w:val="17"/>
    <w:qFormat/>
    <w:uiPriority w:val="0"/>
    <w:pPr>
      <w:widowControl w:val="0"/>
      <w:suppressLineNumbers/>
      <w:suppressAutoHyphens/>
      <w:spacing w:before="0" w:beforeAutospacing="0" w:after="120" w:afterAutospacing="0"/>
    </w:pPr>
    <w:rPr>
      <w:rFonts w:ascii="Times New Roman" w:hAnsi="Times New Roman"/>
    </w:rPr>
  </w:style>
  <w:style w:type="paragraph" w:customStyle="1" w:styleId="292">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93">
    <w:name w:val="Figure Description"/>
    <w:basedOn w:val="1"/>
    <w:qFormat/>
    <w:uiPriority w:val="0"/>
    <w:pPr>
      <w:ind w:left="1701"/>
    </w:pPr>
    <w:rPr>
      <w:rFonts w:ascii="Times New Roman" w:hAnsi="Times New Roman"/>
      <w:sz w:val="21"/>
      <w:szCs w:val="20"/>
    </w:rPr>
  </w:style>
  <w:style w:type="paragraph" w:customStyle="1" w:styleId="294">
    <w:name w:val="Char Char1 Char Char Char Char Char Char Char Char Char Char Char Char Char Char"/>
    <w:basedOn w:val="1"/>
    <w:qFormat/>
    <w:uiPriority w:val="0"/>
    <w:pPr>
      <w:widowControl/>
      <w:spacing w:after="160" w:line="240" w:lineRule="exact"/>
      <w:jc w:val="left"/>
    </w:pPr>
    <w:rPr>
      <w:rFonts w:ascii="Times New Roman" w:hAnsi="Times New Roman"/>
      <w:sz w:val="21"/>
      <w:szCs w:val="20"/>
    </w:rPr>
  </w:style>
  <w:style w:type="paragraph" w:customStyle="1" w:styleId="295">
    <w:name w:val="文档结构图1"/>
    <w:basedOn w:val="1"/>
    <w:qFormat/>
    <w:uiPriority w:val="0"/>
    <w:pPr>
      <w:shd w:val="clear" w:color="auto" w:fill="000080"/>
    </w:pPr>
  </w:style>
  <w:style w:type="paragraph" w:customStyle="1" w:styleId="296">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Cs w:val="20"/>
    </w:rPr>
  </w:style>
  <w:style w:type="paragraph" w:customStyle="1" w:styleId="297">
    <w:name w:val="Char Char Char1"/>
    <w:basedOn w:val="1"/>
    <w:qFormat/>
    <w:uiPriority w:val="0"/>
    <w:rPr>
      <w:szCs w:val="20"/>
    </w:rPr>
  </w:style>
  <w:style w:type="paragraph" w:customStyle="1" w:styleId="298">
    <w:name w:val="a2"/>
    <w:basedOn w:val="1"/>
    <w:qFormat/>
    <w:uiPriority w:val="0"/>
    <w:pPr>
      <w:widowControl/>
      <w:spacing w:before="100" w:beforeAutospacing="1" w:after="100" w:afterAutospacing="1"/>
      <w:jc w:val="left"/>
    </w:pPr>
    <w:rPr>
      <w:rFonts w:ascii="宋体" w:hAnsi="宋体" w:cs="宋体"/>
      <w:kern w:val="0"/>
    </w:rPr>
  </w:style>
  <w:style w:type="paragraph" w:customStyle="1" w:styleId="299">
    <w:name w:val="D标1"/>
    <w:basedOn w:val="3"/>
    <w:next w:val="1"/>
    <w:qFormat/>
    <w:uiPriority w:val="0"/>
    <w:pPr>
      <w:keepLines w:val="0"/>
      <w:pageBreakBefore/>
      <w:widowControl/>
      <w:tabs>
        <w:tab w:val="left" w:pos="432"/>
      </w:tabs>
      <w:autoSpaceDE w:val="0"/>
      <w:autoSpaceDN w:val="0"/>
      <w:adjustRightInd w:val="0"/>
      <w:spacing w:before="360" w:after="240" w:line="315" w:lineRule="atLeast"/>
      <w:ind w:left="432"/>
      <w:jc w:val="center"/>
    </w:pPr>
    <w:rPr>
      <w:rFonts w:ascii="黑体" w:hAnsi="Times New Roman" w:eastAsia="黑体"/>
      <w:kern w:val="0"/>
      <w:sz w:val="36"/>
      <w:szCs w:val="20"/>
    </w:rPr>
  </w:style>
  <w:style w:type="paragraph" w:customStyle="1" w:styleId="300">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b/>
      <w:bCs/>
      <w:kern w:val="0"/>
      <w:sz w:val="20"/>
      <w:szCs w:val="20"/>
    </w:rPr>
  </w:style>
  <w:style w:type="paragraph" w:customStyle="1" w:styleId="30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2">
    <w:name w:val="列出段落1"/>
    <w:basedOn w:val="1"/>
    <w:qFormat/>
    <w:uiPriority w:val="34"/>
    <w:pPr>
      <w:ind w:firstLine="420" w:firstLineChars="200"/>
    </w:pPr>
    <w:rPr>
      <w:rFonts w:ascii="Calibri" w:hAnsi="Calibri"/>
      <w:sz w:val="21"/>
      <w:szCs w:val="22"/>
    </w:rPr>
  </w:style>
  <w:style w:type="paragraph" w:customStyle="1" w:styleId="303">
    <w:name w:val="xl39"/>
    <w:basedOn w:val="1"/>
    <w:qFormat/>
    <w:uiPriority w:val="0"/>
    <w:pPr>
      <w:widowControl/>
      <w:spacing w:before="100" w:beforeAutospacing="1" w:after="100" w:afterAutospacing="1"/>
      <w:jc w:val="center"/>
    </w:pPr>
    <w:rPr>
      <w:rFonts w:hint="eastAsia" w:ascii="宋体" w:hAnsi="宋体"/>
      <w:kern w:val="0"/>
    </w:rPr>
  </w:style>
  <w:style w:type="paragraph" w:customStyle="1" w:styleId="304">
    <w:name w:val="Paragraph"/>
    <w:basedOn w:val="1"/>
    <w:qFormat/>
    <w:uiPriority w:val="0"/>
    <w:pPr>
      <w:keepNext/>
      <w:keepLines/>
      <w:tabs>
        <w:tab w:val="left" w:pos="0"/>
      </w:tabs>
      <w:spacing w:after="200"/>
      <w:jc w:val="left"/>
    </w:pPr>
    <w:rPr>
      <w:rFonts w:ascii="Book Antiqua" w:hAnsi="Book Antiqua"/>
      <w:snapToGrid w:val="0"/>
      <w:kern w:val="0"/>
      <w:sz w:val="20"/>
      <w:szCs w:val="20"/>
      <w:lang w:eastAsia="en-US"/>
    </w:rPr>
  </w:style>
  <w:style w:type="paragraph" w:customStyle="1" w:styleId="305">
    <w:name w:val="保留正文"/>
    <w:basedOn w:val="17"/>
    <w:qFormat/>
    <w:uiPriority w:val="0"/>
    <w:pPr>
      <w:keepNext/>
      <w:widowControl w:val="0"/>
      <w:spacing w:after="160"/>
    </w:pPr>
  </w:style>
  <w:style w:type="character" w:customStyle="1" w:styleId="306">
    <w:name w:val="tab2"/>
    <w:basedOn w:val="47"/>
    <w:qFormat/>
    <w:uiPriority w:val="0"/>
    <w:rPr>
      <w:color w:val="333366"/>
    </w:rPr>
  </w:style>
  <w:style w:type="character" w:customStyle="1" w:styleId="307">
    <w:name w:val="active6"/>
    <w:basedOn w:val="47"/>
    <w:qFormat/>
    <w:uiPriority w:val="0"/>
    <w:rPr>
      <w:color w:val="FFFFFF"/>
    </w:rPr>
  </w:style>
  <w:style w:type="character" w:customStyle="1" w:styleId="308">
    <w:name w:val="fielderror"/>
    <w:basedOn w:val="47"/>
    <w:qFormat/>
    <w:uiPriority w:val="0"/>
    <w:rPr>
      <w:color w:val="800000"/>
    </w:rPr>
  </w:style>
  <w:style w:type="character" w:customStyle="1" w:styleId="309">
    <w:name w:val="required"/>
    <w:basedOn w:val="47"/>
    <w:qFormat/>
    <w:uiPriority w:val="0"/>
    <w:rPr>
      <w:color w:val="FF0000"/>
    </w:rPr>
  </w:style>
  <w:style w:type="character" w:customStyle="1" w:styleId="310">
    <w:name w:val="hilite4"/>
    <w:basedOn w:val="47"/>
    <w:qFormat/>
    <w:uiPriority w:val="0"/>
    <w:rPr>
      <w:color w:val="000000"/>
    </w:rPr>
  </w:style>
  <w:style w:type="character" w:customStyle="1" w:styleId="311">
    <w:name w:val="tab1"/>
    <w:basedOn w:val="47"/>
    <w:qFormat/>
    <w:uiPriority w:val="0"/>
  </w:style>
  <w:style w:type="character" w:customStyle="1" w:styleId="312">
    <w:name w:val="active"/>
    <w:basedOn w:val="47"/>
    <w:qFormat/>
    <w:uiPriority w:val="0"/>
    <w:rPr>
      <w:color w:val="FFFFFF"/>
    </w:rPr>
  </w:style>
  <w:style w:type="character" w:customStyle="1" w:styleId="313">
    <w:name w:val="hilite6"/>
    <w:basedOn w:val="47"/>
    <w:qFormat/>
    <w:uiPriority w:val="0"/>
    <w:rPr>
      <w:color w:val="000000"/>
    </w:rPr>
  </w:style>
  <w:style w:type="character" w:customStyle="1" w:styleId="314">
    <w:name w:val="font21"/>
    <w:basedOn w:val="47"/>
    <w:qFormat/>
    <w:uiPriority w:val="0"/>
    <w:rPr>
      <w:rFonts w:hint="eastAsia" w:ascii="宋体" w:hAnsi="宋体" w:eastAsia="宋体" w:cs="宋体"/>
      <w:color w:val="000000"/>
      <w:sz w:val="20"/>
      <w:szCs w:val="20"/>
      <w:u w:val="none"/>
    </w:rPr>
  </w:style>
  <w:style w:type="character" w:customStyle="1" w:styleId="315">
    <w:name w:val="font11"/>
    <w:basedOn w:val="47"/>
    <w:qFormat/>
    <w:uiPriority w:val="0"/>
    <w:rPr>
      <w:rFonts w:hint="eastAsia" w:ascii="宋体" w:hAnsi="宋体" w:eastAsia="宋体" w:cs="宋体"/>
      <w:color w:val="000000"/>
      <w:sz w:val="20"/>
      <w:szCs w:val="20"/>
      <w:u w:val="none"/>
    </w:rPr>
  </w:style>
  <w:style w:type="character" w:customStyle="1" w:styleId="316">
    <w:name w:val="font41"/>
    <w:basedOn w:val="47"/>
    <w:qFormat/>
    <w:uiPriority w:val="0"/>
    <w:rPr>
      <w:rFonts w:hint="eastAsia" w:ascii="宋体" w:hAnsi="宋体" w:eastAsia="宋体" w:cs="宋体"/>
      <w:b/>
      <w:color w:val="000000"/>
      <w:sz w:val="20"/>
      <w:szCs w:val="20"/>
      <w:u w:val="none"/>
    </w:rPr>
  </w:style>
  <w:style w:type="paragraph" w:customStyle="1" w:styleId="317">
    <w:name w:val="_Style 313"/>
    <w:unhideWhenUsed/>
    <w:qFormat/>
    <w:uiPriority w:val="99"/>
    <w:pPr>
      <w:widowControl w:val="0"/>
      <w:jc w:val="both"/>
    </w:pPr>
    <w:rPr>
      <w:rFonts w:ascii="Tahoma" w:hAnsi="Tahoma" w:eastAsia="宋体" w:cs="Times New Roman"/>
      <w:kern w:val="2"/>
      <w:sz w:val="24"/>
      <w:szCs w:val="24"/>
      <w:lang w:val="en-US" w:eastAsia="zh-CN" w:bidi="ar-SA"/>
    </w:rPr>
  </w:style>
  <w:style w:type="paragraph" w:customStyle="1" w:styleId="31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9">
    <w:name w:val="xl67"/>
    <w:basedOn w:val="1"/>
    <w:qFormat/>
    <w:uiPriority w:val="0"/>
    <w:pPr>
      <w:widowControl/>
      <w:spacing w:before="100" w:beforeAutospacing="1" w:after="100" w:afterAutospacing="1"/>
      <w:jc w:val="left"/>
    </w:pPr>
    <w:rPr>
      <w:rFonts w:ascii="宋体" w:hAnsi="宋体" w:cs="宋体"/>
      <w:color w:val="FF0000"/>
      <w:kern w:val="0"/>
    </w:rPr>
  </w:style>
  <w:style w:type="paragraph" w:customStyle="1" w:styleId="320">
    <w:name w:val="xl68"/>
    <w:basedOn w:val="1"/>
    <w:qFormat/>
    <w:uiPriority w:val="0"/>
    <w:pPr>
      <w:widowControl/>
      <w:spacing w:before="100" w:beforeAutospacing="1" w:after="100" w:afterAutospacing="1"/>
      <w:jc w:val="left"/>
    </w:pPr>
    <w:rPr>
      <w:rFonts w:ascii="宋体" w:hAnsi="宋体" w:cs="宋体"/>
      <w:kern w:val="0"/>
    </w:rPr>
  </w:style>
  <w:style w:type="paragraph" w:customStyle="1" w:styleId="321">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32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32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29">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30">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31">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rPr>
  </w:style>
  <w:style w:type="paragraph" w:customStyle="1" w:styleId="332">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33">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4">
    <w:name w:val="xl11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5">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6">
    <w:name w:val="xl11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7">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8">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39">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1">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rPr>
  </w:style>
  <w:style w:type="paragraph" w:customStyle="1" w:styleId="342">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343">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rPr>
  </w:style>
  <w:style w:type="paragraph" w:customStyle="1" w:styleId="344">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45">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46">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47">
    <w:name w:val="xl12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color w:val="000000"/>
      <w:kern w:val="0"/>
      <w:sz w:val="20"/>
      <w:szCs w:val="20"/>
    </w:rPr>
  </w:style>
  <w:style w:type="paragraph" w:customStyle="1" w:styleId="348">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349">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350">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color w:val="000000"/>
      <w:kern w:val="0"/>
      <w:sz w:val="20"/>
      <w:szCs w:val="20"/>
    </w:rPr>
  </w:style>
  <w:style w:type="paragraph" w:customStyle="1" w:styleId="351">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352">
    <w:name w:val="xl1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353">
    <w:name w:val="xl13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54">
    <w:name w:val="xl134"/>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rPr>
  </w:style>
  <w:style w:type="paragraph" w:customStyle="1" w:styleId="355">
    <w:name w:val="xl13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rPr>
  </w:style>
  <w:style w:type="paragraph" w:customStyle="1" w:styleId="356">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rPr>
  </w:style>
  <w:style w:type="paragraph" w:customStyle="1" w:styleId="357">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rPr>
  </w:style>
  <w:style w:type="paragraph" w:customStyle="1" w:styleId="358">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rPr>
  </w:style>
  <w:style w:type="paragraph" w:customStyle="1" w:styleId="359">
    <w:name w:val="Item List in Table"/>
    <w:basedOn w:val="1"/>
    <w:qFormat/>
    <w:uiPriority w:val="0"/>
    <w:pPr>
      <w:widowControl/>
      <w:numPr>
        <w:ilvl w:val="0"/>
        <w:numId w:val="2"/>
      </w:numPr>
      <w:topLinePunct/>
      <w:adjustRightInd w:val="0"/>
      <w:snapToGrid w:val="0"/>
      <w:spacing w:before="80" w:after="80" w:line="240" w:lineRule="atLeast"/>
      <w:jc w:val="left"/>
    </w:pPr>
    <w:rPr>
      <w:rFonts w:hint="eastAsia" w:ascii="Times New Roman" w:hAnsi="Times New Roman" w:cs="Arial"/>
      <w:snapToGrid w:val="0"/>
      <w:kern w:val="0"/>
      <w:sz w:val="21"/>
      <w:szCs w:val="21"/>
    </w:rPr>
  </w:style>
  <w:style w:type="paragraph" w:customStyle="1" w:styleId="36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table" w:customStyle="1" w:styleId="361">
    <w:name w:val="Table Normal"/>
    <w:qFormat/>
    <w:uiPriority w:val="2"/>
    <w:tblPr>
      <w:tblLayout w:type="fixed"/>
      <w:tblCellMar>
        <w:top w:w="0" w:type="dxa"/>
        <w:left w:w="0" w:type="dxa"/>
        <w:bottom w:w="0" w:type="dxa"/>
        <w:right w:w="0" w:type="dxa"/>
      </w:tblCellMar>
    </w:tblPr>
  </w:style>
  <w:style w:type="paragraph" w:customStyle="1" w:styleId="362">
    <w:name w:val="_Style 36"/>
    <w:basedOn w:val="1"/>
    <w:qFormat/>
    <w:uiPriority w:val="0"/>
    <w:rPr>
      <w:rFonts w:ascii="宋体" w:hAnsi="宋体"/>
      <w:b/>
      <w:sz w:val="28"/>
      <w:szCs w:val="28"/>
    </w:rPr>
  </w:style>
  <w:style w:type="character" w:customStyle="1" w:styleId="363">
    <w:name w:val="正文缩进2格 Char"/>
    <w:qFormat/>
    <w:uiPriority w:val="0"/>
    <w:rPr>
      <w:rFonts w:ascii="仿宋_GB2312" w:hAnsi="宋体" w:eastAsia="仿宋_GB2312"/>
      <w:kern w:val="2"/>
      <w:sz w:val="31"/>
      <w:lang w:val="en-US" w:eastAsia="zh-CN" w:bidi="ar-SA"/>
    </w:rPr>
  </w:style>
  <w:style w:type="character" w:customStyle="1" w:styleId="364">
    <w:name w:val="标题 3.1 Char"/>
    <w:qFormat/>
    <w:uiPriority w:val="0"/>
    <w:rPr>
      <w:rFonts w:ascii="宋体" w:hAnsi="宋体" w:eastAsia="宋体"/>
      <w:b/>
      <w:color w:val="FF0000"/>
      <w:kern w:val="2"/>
      <w:sz w:val="32"/>
      <w:lang w:val="en-US" w:eastAsia="zh-CN" w:bidi="ar-SA"/>
    </w:rPr>
  </w:style>
  <w:style w:type="character" w:customStyle="1" w:styleId="365">
    <w:name w:val="页眉或页脚"/>
    <w:basedOn w:val="47"/>
    <w:qFormat/>
    <w:uiPriority w:val="0"/>
    <w:rPr>
      <w:rFonts w:ascii="黑体" w:hAnsi="黑体" w:eastAsia="黑体" w:cs="黑体"/>
      <w:color w:val="000000"/>
      <w:spacing w:val="20"/>
      <w:w w:val="100"/>
      <w:position w:val="0"/>
      <w:sz w:val="28"/>
      <w:szCs w:val="28"/>
      <w:u w:val="none"/>
      <w:lang w:val="en-US" w:eastAsia="en-US" w:bidi="en-US"/>
    </w:rPr>
  </w:style>
  <w:style w:type="character" w:customStyle="1" w:styleId="366">
    <w:name w:val="正文文本 (2)_"/>
    <w:basedOn w:val="47"/>
    <w:link w:val="367"/>
    <w:qFormat/>
    <w:uiPriority w:val="0"/>
    <w:rPr>
      <w:rFonts w:ascii="黑体" w:hAnsi="黑体" w:eastAsia="黑体" w:cs="黑体"/>
      <w:spacing w:val="20"/>
      <w:sz w:val="26"/>
      <w:szCs w:val="26"/>
      <w:shd w:val="clear" w:color="auto" w:fill="FFFFFF"/>
    </w:rPr>
  </w:style>
  <w:style w:type="paragraph" w:customStyle="1" w:styleId="367">
    <w:name w:val="正文文本 (2)"/>
    <w:basedOn w:val="1"/>
    <w:link w:val="366"/>
    <w:qFormat/>
    <w:uiPriority w:val="0"/>
    <w:pPr>
      <w:shd w:val="clear" w:color="auto" w:fill="FFFFFF"/>
      <w:spacing w:line="0" w:lineRule="atLeast"/>
      <w:ind w:hanging="220"/>
    </w:pPr>
    <w:rPr>
      <w:rFonts w:ascii="黑体" w:hAnsi="黑体" w:eastAsia="黑体" w:cs="黑体"/>
      <w:spacing w:val="20"/>
      <w:kern w:val="0"/>
      <w:sz w:val="26"/>
      <w:szCs w:val="26"/>
    </w:rPr>
  </w:style>
  <w:style w:type="character" w:customStyle="1" w:styleId="368">
    <w:name w:val="正文文本 (2) + 间距 2 pt"/>
    <w:basedOn w:val="366"/>
    <w:qFormat/>
    <w:uiPriority w:val="0"/>
    <w:rPr>
      <w:rFonts w:ascii="黑体" w:hAnsi="黑体" w:eastAsia="黑体" w:cs="黑体"/>
      <w:color w:val="000000"/>
      <w:spacing w:val="50"/>
      <w:w w:val="100"/>
      <w:position w:val="0"/>
      <w:sz w:val="26"/>
      <w:szCs w:val="26"/>
      <w:shd w:val="clear" w:color="auto" w:fill="FFFFFF"/>
      <w:lang w:val="zh-CN" w:eastAsia="zh-CN" w:bidi="zh-CN"/>
    </w:rPr>
  </w:style>
  <w:style w:type="character" w:customStyle="1" w:styleId="369">
    <w:name w:val="正文文本 (2) + Times New Roman"/>
    <w:basedOn w:val="366"/>
    <w:qFormat/>
    <w:uiPriority w:val="0"/>
    <w:rPr>
      <w:rFonts w:ascii="Times New Roman" w:hAnsi="Times New Roman" w:eastAsia="Times New Roman" w:cs="Times New Roman"/>
      <w:color w:val="000000"/>
      <w:spacing w:val="0"/>
      <w:w w:val="100"/>
      <w:position w:val="0"/>
      <w:sz w:val="28"/>
      <w:szCs w:val="28"/>
      <w:shd w:val="clear" w:color="auto" w:fill="FFFFFF"/>
      <w:lang w:val="en-US" w:eastAsia="en-US" w:bidi="en-US"/>
    </w:rPr>
  </w:style>
  <w:style w:type="character" w:customStyle="1" w:styleId="370">
    <w:name w:val="题注 Char"/>
    <w:link w:val="13"/>
    <w:qFormat/>
    <w:uiPriority w:val="0"/>
    <w:rPr>
      <w:rFonts w:ascii="Arial Unicode MS" w:hAnsi="Arial Unicode MS"/>
      <w:kern w:val="2"/>
      <w:sz w:val="21"/>
    </w:rPr>
  </w:style>
  <w:style w:type="character" w:customStyle="1" w:styleId="371">
    <w:name w:val="内容文本 Char"/>
    <w:link w:val="372"/>
    <w:qFormat/>
    <w:uiPriority w:val="0"/>
    <w:rPr>
      <w:rFonts w:ascii="宋体" w:hAnsi="宋体"/>
      <w:sz w:val="24"/>
      <w:szCs w:val="24"/>
      <w:lang w:eastAsia="en-US" w:bidi="en-US"/>
    </w:rPr>
  </w:style>
  <w:style w:type="paragraph" w:customStyle="1" w:styleId="372">
    <w:name w:val="内容文本"/>
    <w:basedOn w:val="201"/>
    <w:link w:val="371"/>
    <w:qFormat/>
    <w:uiPriority w:val="0"/>
    <w:pPr>
      <w:spacing w:line="360" w:lineRule="auto"/>
      <w:ind w:firstLine="200"/>
      <w:contextualSpacing/>
      <w:jc w:val="left"/>
    </w:pPr>
    <w:rPr>
      <w:rFonts w:ascii="宋体" w:hAnsi="宋体"/>
      <w:kern w:val="0"/>
      <w:lang w:eastAsia="en-US" w:bidi="en-US"/>
    </w:rPr>
  </w:style>
  <w:style w:type="character" w:customStyle="1" w:styleId="373">
    <w:name w:val="无间隔 Char"/>
    <w:link w:val="374"/>
    <w:qFormat/>
    <w:uiPriority w:val="1"/>
    <w:rPr>
      <w:rFonts w:ascii="Calibri" w:hAnsi="Calibri"/>
    </w:rPr>
  </w:style>
  <w:style w:type="paragraph" w:styleId="374">
    <w:name w:val="No Spacing"/>
    <w:link w:val="373"/>
    <w:qFormat/>
    <w:uiPriority w:val="1"/>
    <w:rPr>
      <w:rFonts w:ascii="Calibri" w:hAnsi="Calibri" w:eastAsia="宋体" w:cs="Times New Roman"/>
      <w:lang w:val="en-US" w:eastAsia="zh-CN" w:bidi="ar-SA"/>
    </w:rPr>
  </w:style>
  <w:style w:type="character" w:customStyle="1" w:styleId="375">
    <w:name w:val="*正文 Char"/>
    <w:link w:val="376"/>
    <w:qFormat/>
    <w:uiPriority w:val="0"/>
    <w:rPr>
      <w:rFonts w:ascii="宋体" w:hAnsi="宋体"/>
      <w:kern w:val="2"/>
      <w:sz w:val="24"/>
      <w:szCs w:val="28"/>
      <w:lang w:val="en-US" w:eastAsia="zh-CN"/>
    </w:rPr>
  </w:style>
  <w:style w:type="paragraph" w:customStyle="1" w:styleId="376">
    <w:name w:val="*正文"/>
    <w:basedOn w:val="1"/>
    <w:link w:val="375"/>
    <w:qFormat/>
    <w:uiPriority w:val="0"/>
    <w:pPr>
      <w:spacing w:line="360" w:lineRule="auto"/>
      <w:ind w:firstLine="480" w:firstLineChars="200"/>
    </w:pPr>
    <w:rPr>
      <w:rFonts w:ascii="宋体" w:hAnsi="宋体"/>
      <w:szCs w:val="28"/>
    </w:rPr>
  </w:style>
  <w:style w:type="character" w:customStyle="1" w:styleId="377">
    <w:name w:val="编号，小四 Char"/>
    <w:link w:val="378"/>
    <w:qFormat/>
    <w:locked/>
    <w:uiPriority w:val="0"/>
    <w:rPr>
      <w:kern w:val="2"/>
      <w:sz w:val="24"/>
    </w:rPr>
  </w:style>
  <w:style w:type="paragraph" w:customStyle="1" w:styleId="378">
    <w:name w:val="编号，小四"/>
    <w:basedOn w:val="1"/>
    <w:link w:val="377"/>
    <w:qFormat/>
    <w:uiPriority w:val="0"/>
    <w:pPr>
      <w:numPr>
        <w:ilvl w:val="0"/>
        <w:numId w:val="3"/>
      </w:numPr>
      <w:spacing w:line="360" w:lineRule="auto"/>
    </w:pPr>
    <w:rPr>
      <w:rFonts w:ascii="Times New Roman" w:hAnsi="Times New Roman"/>
      <w:szCs w:val="20"/>
    </w:rPr>
  </w:style>
  <w:style w:type="character" w:customStyle="1" w:styleId="379">
    <w:name w:val="尖角符号样式 Char"/>
    <w:link w:val="380"/>
    <w:qFormat/>
    <w:uiPriority w:val="0"/>
    <w:rPr>
      <w:kern w:val="2"/>
      <w:sz w:val="24"/>
    </w:rPr>
  </w:style>
  <w:style w:type="paragraph" w:customStyle="1" w:styleId="380">
    <w:name w:val="尖角符号样式"/>
    <w:basedOn w:val="381"/>
    <w:link w:val="379"/>
    <w:qFormat/>
    <w:uiPriority w:val="0"/>
    <w:pPr>
      <w:tabs>
        <w:tab w:val="left" w:pos="900"/>
      </w:tabs>
      <w:ind w:left="420" w:hanging="420"/>
    </w:pPr>
  </w:style>
  <w:style w:type="paragraph" w:customStyle="1" w:styleId="381">
    <w:name w:val="符号样式"/>
    <w:basedOn w:val="378"/>
    <w:qFormat/>
    <w:uiPriority w:val="0"/>
    <w:pPr>
      <w:numPr>
        <w:ilvl w:val="0"/>
        <w:numId w:val="4"/>
      </w:numPr>
      <w:ind w:left="0" w:firstLine="200" w:firstLineChars="200"/>
      <w:jc w:val="left"/>
    </w:pPr>
  </w:style>
  <w:style w:type="character" w:customStyle="1" w:styleId="382">
    <w:name w:val="三级 Char"/>
    <w:link w:val="383"/>
    <w:qFormat/>
    <w:uiPriority w:val="0"/>
    <w:rPr>
      <w:rFonts w:ascii="仿宋" w:hAnsi="仿宋" w:eastAsia="仿宋"/>
      <w:b/>
      <w:bCs/>
      <w:color w:val="000000"/>
      <w:sz w:val="32"/>
      <w:szCs w:val="32"/>
    </w:rPr>
  </w:style>
  <w:style w:type="paragraph" w:customStyle="1" w:styleId="383">
    <w:name w:val="三级"/>
    <w:basedOn w:val="4"/>
    <w:link w:val="382"/>
    <w:qFormat/>
    <w:uiPriority w:val="0"/>
    <w:pPr>
      <w:numPr>
        <w:ilvl w:val="2"/>
        <w:numId w:val="5"/>
      </w:numPr>
      <w:tabs>
        <w:tab w:val="left" w:pos="851"/>
      </w:tabs>
      <w:spacing w:before="240" w:after="240" w:line="360" w:lineRule="auto"/>
    </w:pPr>
    <w:rPr>
      <w:rFonts w:ascii="仿宋" w:hAnsi="仿宋" w:eastAsia="仿宋"/>
      <w:b/>
      <w:color w:val="000000"/>
      <w:kern w:val="0"/>
      <w:sz w:val="32"/>
    </w:rPr>
  </w:style>
  <w:style w:type="character" w:customStyle="1" w:styleId="384">
    <w:name w:val="param-name"/>
    <w:qFormat/>
    <w:uiPriority w:val="0"/>
  </w:style>
  <w:style w:type="character" w:customStyle="1" w:styleId="385">
    <w:name w:val="_正文段落 Char"/>
    <w:link w:val="386"/>
    <w:qFormat/>
    <w:uiPriority w:val="0"/>
    <w:rPr>
      <w:rFonts w:ascii="宋体" w:hAnsi="宋体"/>
      <w:sz w:val="24"/>
      <w:szCs w:val="24"/>
    </w:rPr>
  </w:style>
  <w:style w:type="paragraph" w:customStyle="1" w:styleId="386">
    <w:name w:val="_正文段落"/>
    <w:basedOn w:val="1"/>
    <w:link w:val="385"/>
    <w:qFormat/>
    <w:uiPriority w:val="0"/>
    <w:pPr>
      <w:spacing w:beforeLines="15" w:afterLines="15" w:line="360" w:lineRule="auto"/>
      <w:ind w:firstLine="480" w:firstLineChars="200"/>
    </w:pPr>
    <w:rPr>
      <w:rFonts w:ascii="宋体" w:hAnsi="宋体"/>
      <w:kern w:val="0"/>
    </w:rPr>
  </w:style>
  <w:style w:type="character" w:customStyle="1" w:styleId="387">
    <w:name w:val="A标题 Char"/>
    <w:link w:val="388"/>
    <w:qFormat/>
    <w:uiPriority w:val="0"/>
    <w:rPr>
      <w:b/>
      <w:kern w:val="2"/>
      <w:sz w:val="24"/>
      <w:szCs w:val="24"/>
    </w:rPr>
  </w:style>
  <w:style w:type="paragraph" w:customStyle="1" w:styleId="388">
    <w:name w:val="A标题"/>
    <w:next w:val="17"/>
    <w:link w:val="387"/>
    <w:qFormat/>
    <w:uiPriority w:val="0"/>
    <w:pPr>
      <w:widowControl w:val="0"/>
      <w:tabs>
        <w:tab w:val="left" w:pos="567"/>
      </w:tabs>
      <w:adjustRightInd w:val="0"/>
      <w:snapToGrid w:val="0"/>
      <w:spacing w:before="120" w:after="120" w:line="360" w:lineRule="auto"/>
      <w:ind w:left="567" w:hanging="369"/>
    </w:pPr>
    <w:rPr>
      <w:rFonts w:ascii="Times New Roman" w:hAnsi="Times New Roman" w:eastAsia="宋体" w:cs="Times New Roman"/>
      <w:b/>
      <w:kern w:val="2"/>
      <w:sz w:val="24"/>
      <w:szCs w:val="24"/>
      <w:lang w:val="en-US" w:eastAsia="zh-CN" w:bidi="ar-SA"/>
    </w:rPr>
  </w:style>
  <w:style w:type="paragraph" w:customStyle="1" w:styleId="389">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390">
    <w:name w:val="标题6"/>
    <w:basedOn w:val="8"/>
    <w:next w:val="1"/>
    <w:qFormat/>
    <w:uiPriority w:val="0"/>
    <w:pPr>
      <w:numPr>
        <w:ilvl w:val="5"/>
        <w:numId w:val="6"/>
      </w:numPr>
      <w:spacing w:line="320" w:lineRule="auto"/>
    </w:pPr>
    <w:rPr>
      <w:rFonts w:ascii="Times New Roman" w:hAnsi="Times New Roman"/>
      <w:b w:val="0"/>
      <w:szCs w:val="20"/>
    </w:rPr>
  </w:style>
  <w:style w:type="paragraph" w:customStyle="1" w:styleId="391">
    <w:name w:val="xl19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2">
    <w:name w:val="xl220"/>
    <w:basedOn w:val="1"/>
    <w:qFormat/>
    <w:uiPriority w:val="0"/>
    <w:pPr>
      <w:widowControl/>
      <w:pBdr>
        <w:top w:val="single" w:color="auto" w:sz="4" w:space="0"/>
      </w:pBdr>
      <w:spacing w:before="100" w:beforeAutospacing="1" w:after="100" w:afterAutospacing="1"/>
      <w:jc w:val="left"/>
    </w:pPr>
    <w:rPr>
      <w:rFonts w:ascii="宋体" w:hAnsi="宋体" w:cs="宋体"/>
      <w:b/>
      <w:bCs/>
      <w:kern w:val="0"/>
      <w:sz w:val="20"/>
      <w:szCs w:val="20"/>
    </w:rPr>
  </w:style>
  <w:style w:type="paragraph" w:customStyle="1" w:styleId="393">
    <w:name w:val="样式 首行缩进:  0 字符"/>
    <w:basedOn w:val="1"/>
    <w:qFormat/>
    <w:uiPriority w:val="0"/>
    <w:pPr>
      <w:spacing w:line="360" w:lineRule="auto"/>
      <w:ind w:firstLine="200" w:firstLineChars="200"/>
    </w:pPr>
    <w:rPr>
      <w:rFonts w:ascii="Times New Roman" w:hAnsi="Times New Roman" w:cs="宋体"/>
      <w:szCs w:val="20"/>
    </w:rPr>
  </w:style>
  <w:style w:type="paragraph" w:customStyle="1" w:styleId="394">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5">
    <w:name w:val="表1"/>
    <w:basedOn w:val="1"/>
    <w:qFormat/>
    <w:uiPriority w:val="0"/>
    <w:pPr>
      <w:numPr>
        <w:ilvl w:val="0"/>
        <w:numId w:val="7"/>
      </w:numPr>
      <w:spacing w:line="360" w:lineRule="auto"/>
      <w:ind w:left="0" w:firstLine="0"/>
      <w:jc w:val="center"/>
    </w:pPr>
    <w:rPr>
      <w:rFonts w:ascii="Times New Roman" w:hAnsi="Times New Roman"/>
      <w:sz w:val="21"/>
      <w:szCs w:val="20"/>
    </w:rPr>
  </w:style>
  <w:style w:type="paragraph" w:customStyle="1" w:styleId="396">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397">
    <w:name w:val="TOC 标题1"/>
    <w:basedOn w:val="3"/>
    <w:next w:val="1"/>
    <w:qFormat/>
    <w:uiPriority w:val="39"/>
    <w:pPr>
      <w:widowControl/>
      <w:tabs>
        <w:tab w:val="center" w:pos="0"/>
        <w:tab w:val="left" w:pos="3402"/>
        <w:tab w:val="left" w:pos="3828"/>
      </w:tabs>
      <w:spacing w:before="480" w:after="0" w:line="276" w:lineRule="auto"/>
      <w:jc w:val="left"/>
      <w:outlineLvl w:val="9"/>
    </w:pPr>
    <w:rPr>
      <w:rFonts w:ascii="Cambria" w:hAnsi="Cambria"/>
      <w:bCs/>
      <w:color w:val="365F91"/>
      <w:kern w:val="0"/>
      <w:sz w:val="28"/>
      <w:szCs w:val="28"/>
    </w:rPr>
  </w:style>
  <w:style w:type="paragraph" w:customStyle="1" w:styleId="398">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399">
    <w:name w:val="xl21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0">
    <w:name w:val="xl157"/>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401">
    <w:name w:val="xl1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2">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03">
    <w:name w:val="xl172"/>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20"/>
      <w:szCs w:val="20"/>
    </w:rPr>
  </w:style>
  <w:style w:type="paragraph" w:customStyle="1" w:styleId="404">
    <w:name w:val="xl22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05">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6">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7">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408">
    <w:name w:val="xl1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09">
    <w:name w:val="xl18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10">
    <w:name w:val="xl222"/>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1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412">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413">
    <w:name w:val="xl13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14">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5">
    <w:name w:val="段落字体"/>
    <w:basedOn w:val="1"/>
    <w:qFormat/>
    <w:uiPriority w:val="0"/>
    <w:pPr>
      <w:spacing w:line="360" w:lineRule="auto"/>
      <w:ind w:firstLine="200" w:firstLineChars="200"/>
    </w:pPr>
    <w:rPr>
      <w:rFonts w:ascii="宋体" w:hAnsi="Calibri"/>
      <w:szCs w:val="21"/>
    </w:rPr>
  </w:style>
  <w:style w:type="paragraph" w:customStyle="1" w:styleId="416">
    <w:name w:val="xl1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7">
    <w:name w:val="标题7"/>
    <w:basedOn w:val="9"/>
    <w:next w:val="1"/>
    <w:qFormat/>
    <w:uiPriority w:val="0"/>
    <w:pPr>
      <w:numPr>
        <w:ilvl w:val="6"/>
        <w:numId w:val="6"/>
      </w:numPr>
      <w:spacing w:line="320" w:lineRule="auto"/>
    </w:pPr>
    <w:rPr>
      <w:rFonts w:eastAsia="黑体"/>
      <w:b w:val="0"/>
      <w:lang w:eastAsia="en-US"/>
    </w:rPr>
  </w:style>
  <w:style w:type="paragraph" w:customStyle="1" w:styleId="418">
    <w:name w:val="xl1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9">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0">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421">
    <w:name w:val="xl16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2">
    <w:name w:val="xl20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423">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424">
    <w:name w:val="xl2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25">
    <w:name w:val="5级标题"/>
    <w:basedOn w:val="5"/>
    <w:qFormat/>
    <w:uiPriority w:val="0"/>
    <w:pPr>
      <w:keepLines/>
      <w:spacing w:before="240" w:after="120" w:line="240" w:lineRule="auto"/>
      <w:ind w:left="2580" w:hanging="420"/>
      <w:jc w:val="left"/>
    </w:pPr>
    <w:rPr>
      <w:rFonts w:ascii="黑体" w:hAnsi="Cambria" w:eastAsia="黑体"/>
      <w:bCs/>
      <w:sz w:val="24"/>
      <w:szCs w:val="28"/>
    </w:rPr>
  </w:style>
  <w:style w:type="paragraph" w:customStyle="1" w:styleId="426">
    <w:name w:val="xl158"/>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7">
    <w:name w:val="xl224"/>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2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9">
    <w:name w:val="xl216"/>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30">
    <w:name w:val="Table Paragraph"/>
    <w:basedOn w:val="1"/>
    <w:qFormat/>
    <w:uiPriority w:val="1"/>
    <w:pPr>
      <w:jc w:val="left"/>
    </w:pPr>
    <w:rPr>
      <w:rFonts w:ascii="Calibri" w:hAnsi="Calibri"/>
      <w:kern w:val="0"/>
      <w:sz w:val="22"/>
      <w:szCs w:val="22"/>
      <w:lang w:eastAsia="en-US"/>
    </w:rPr>
  </w:style>
  <w:style w:type="paragraph" w:customStyle="1" w:styleId="431">
    <w:name w:val="样式 标题 5 + 段前: 0.5 行"/>
    <w:basedOn w:val="7"/>
    <w:qFormat/>
    <w:uiPriority w:val="0"/>
    <w:pPr>
      <w:numPr>
        <w:ilvl w:val="4"/>
        <w:numId w:val="6"/>
      </w:numPr>
      <w:snapToGrid w:val="0"/>
      <w:spacing w:beforeLines="50" w:after="0" w:line="360" w:lineRule="auto"/>
      <w:jc w:val="left"/>
    </w:pPr>
    <w:rPr>
      <w:rFonts w:eastAsia="黑体"/>
      <w:b w:val="0"/>
      <w:bCs w:val="0"/>
      <w:sz w:val="28"/>
      <w:szCs w:val="20"/>
    </w:rPr>
  </w:style>
  <w:style w:type="paragraph" w:customStyle="1" w:styleId="432">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3">
    <w:name w:val="xl1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4">
    <w:name w:val="正文黑体"/>
    <w:basedOn w:val="393"/>
    <w:qFormat/>
    <w:uiPriority w:val="0"/>
    <w:pPr>
      <w:ind w:firstLine="480"/>
    </w:pPr>
    <w:rPr>
      <w:rFonts w:ascii="黑体" w:hAnsi="黑体" w:eastAsia="黑体"/>
    </w:rPr>
  </w:style>
  <w:style w:type="paragraph" w:customStyle="1" w:styleId="435">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3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437">
    <w:name w:val="xl19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438">
    <w:name w:val="xl1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xl1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0">
    <w:name w:val="图样式"/>
    <w:basedOn w:val="441"/>
    <w:qFormat/>
    <w:uiPriority w:val="0"/>
    <w:pPr>
      <w:spacing w:after="240"/>
    </w:pPr>
  </w:style>
  <w:style w:type="paragraph" w:customStyle="1" w:styleId="441">
    <w:name w:val="表格样式"/>
    <w:basedOn w:val="13"/>
    <w:next w:val="415"/>
    <w:qFormat/>
    <w:uiPriority w:val="0"/>
    <w:pPr>
      <w:numPr>
        <w:numId w:val="0"/>
      </w:numPr>
      <w:spacing w:before="120" w:after="120" w:line="240" w:lineRule="auto"/>
    </w:pPr>
    <w:rPr>
      <w:rFonts w:ascii="宋体" w:hAnsi="宋体"/>
      <w:szCs w:val="21"/>
    </w:rPr>
  </w:style>
  <w:style w:type="paragraph" w:customStyle="1" w:styleId="442">
    <w:name w:val="xl2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3">
    <w:name w:val="xl18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44">
    <w:name w:val="xl15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7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446">
    <w:name w:val="xl18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7">
    <w:name w:val="xl198"/>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448">
    <w:name w:val="表格标题"/>
    <w:qFormat/>
    <w:uiPriority w:val="0"/>
    <w:pPr>
      <w:jc w:val="center"/>
    </w:pPr>
    <w:rPr>
      <w:rFonts w:ascii="宋体" w:hAnsi="宋体" w:eastAsia="宋体" w:cs="Times New Roman"/>
      <w:b/>
      <w:bCs/>
      <w:lang w:val="en-US" w:eastAsia="zh-CN" w:bidi="ar-SA"/>
    </w:rPr>
  </w:style>
  <w:style w:type="paragraph" w:customStyle="1" w:styleId="449">
    <w:name w:val="xl210"/>
    <w:basedOn w:val="1"/>
    <w:qFormat/>
    <w:uiPriority w:val="0"/>
    <w:pPr>
      <w:widowControl/>
      <w:shd w:val="clear" w:color="000000" w:fill="FFFFFF"/>
      <w:spacing w:before="100" w:beforeAutospacing="1" w:after="100" w:afterAutospacing="1"/>
      <w:jc w:val="left"/>
    </w:pPr>
    <w:rPr>
      <w:rFonts w:ascii="宋体" w:hAnsi="宋体" w:cs="宋体"/>
      <w:kern w:val="0"/>
    </w:rPr>
  </w:style>
  <w:style w:type="paragraph" w:customStyle="1" w:styleId="450">
    <w:name w:val="标题8"/>
    <w:basedOn w:val="10"/>
    <w:next w:val="1"/>
    <w:qFormat/>
    <w:uiPriority w:val="0"/>
    <w:pPr>
      <w:numPr>
        <w:ilvl w:val="7"/>
        <w:numId w:val="6"/>
      </w:numPr>
      <w:spacing w:line="320" w:lineRule="auto"/>
    </w:pPr>
    <w:rPr>
      <w:rFonts w:ascii="Cambria" w:hAnsi="Cambria"/>
      <w:lang w:eastAsia="en-US"/>
    </w:rPr>
  </w:style>
  <w:style w:type="paragraph" w:customStyle="1" w:styleId="451">
    <w:name w:val="xl217"/>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cs="宋体"/>
      <w:kern w:val="0"/>
      <w:sz w:val="20"/>
      <w:szCs w:val="20"/>
    </w:rPr>
  </w:style>
  <w:style w:type="paragraph" w:customStyle="1" w:styleId="452">
    <w:name w:val="xl18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53">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4">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55">
    <w:name w:val="表格正文"/>
    <w:basedOn w:val="1"/>
    <w:qFormat/>
    <w:uiPriority w:val="0"/>
    <w:pPr>
      <w:spacing w:line="360" w:lineRule="auto"/>
      <w:jc w:val="left"/>
    </w:pPr>
    <w:rPr>
      <w:rFonts w:ascii="Times New Roman" w:hAnsi="Times New Roman"/>
      <w:sz w:val="21"/>
      <w:szCs w:val="20"/>
    </w:rPr>
  </w:style>
  <w:style w:type="paragraph" w:customStyle="1" w:styleId="456">
    <w:name w:val="样式 标题9 +"/>
    <w:basedOn w:val="457"/>
    <w:qFormat/>
    <w:uiPriority w:val="0"/>
    <w:rPr>
      <w:rFonts w:eastAsia="黑体"/>
    </w:rPr>
  </w:style>
  <w:style w:type="paragraph" w:customStyle="1" w:styleId="457">
    <w:name w:val="标题9"/>
    <w:basedOn w:val="11"/>
    <w:next w:val="1"/>
    <w:qFormat/>
    <w:uiPriority w:val="0"/>
    <w:pPr>
      <w:numPr>
        <w:ilvl w:val="8"/>
        <w:numId w:val="6"/>
      </w:numPr>
      <w:spacing w:line="320" w:lineRule="auto"/>
    </w:pPr>
    <w:rPr>
      <w:rFonts w:ascii="Cambria" w:hAnsi="Cambria" w:eastAsia="宋体"/>
      <w:sz w:val="21"/>
      <w:lang w:eastAsia="en-US"/>
    </w:rPr>
  </w:style>
  <w:style w:type="paragraph" w:customStyle="1" w:styleId="458">
    <w:name w:val="xl14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59">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20"/>
      <w:szCs w:val="20"/>
    </w:rPr>
  </w:style>
  <w:style w:type="paragraph" w:customStyle="1" w:styleId="460">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61">
    <w:name w:val="xl21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462">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463">
    <w:name w:val="xl18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64">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b/>
      <w:bCs/>
      <w:kern w:val="0"/>
      <w:sz w:val="20"/>
      <w:szCs w:val="20"/>
    </w:rPr>
  </w:style>
  <w:style w:type="paragraph" w:customStyle="1" w:styleId="465">
    <w:name w:val="xl19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66">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67">
    <w:name w:val="xl17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46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469">
    <w:name w:val="样式 标题8 + 段前: 0.5 行 段后: 0.5 行"/>
    <w:basedOn w:val="450"/>
    <w:next w:val="1"/>
    <w:qFormat/>
    <w:uiPriority w:val="0"/>
    <w:pPr>
      <w:spacing w:beforeLines="50" w:afterLines="50" w:line="360" w:lineRule="auto"/>
      <w:jc w:val="left"/>
    </w:pPr>
    <w:rPr>
      <w:rFonts w:ascii="Arial" w:hAnsi="Arial" w:cs="宋体"/>
      <w:sz w:val="21"/>
      <w:szCs w:val="20"/>
      <w:lang w:eastAsia="zh-CN"/>
    </w:rPr>
  </w:style>
  <w:style w:type="paragraph" w:customStyle="1" w:styleId="470">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71">
    <w:name w:val="正文-段落"/>
    <w:qFormat/>
    <w:uiPriority w:val="0"/>
    <w:pPr>
      <w:spacing w:line="360" w:lineRule="auto"/>
      <w:ind w:firstLine="200" w:firstLineChars="200"/>
    </w:pPr>
    <w:rPr>
      <w:rFonts w:ascii="Times New Roman" w:hAnsi="Times New Roman" w:eastAsia="宋体" w:cs="Times New Roman"/>
      <w:sz w:val="24"/>
      <w:szCs w:val="24"/>
      <w:lang w:val="en-US" w:eastAsia="zh-CN" w:bidi="ar-SA"/>
    </w:rPr>
  </w:style>
  <w:style w:type="paragraph" w:customStyle="1" w:styleId="472">
    <w:name w:val="正文缩进2"/>
    <w:basedOn w:val="1"/>
    <w:qFormat/>
    <w:uiPriority w:val="0"/>
    <w:pPr>
      <w:spacing w:beforeLines="50" w:afterLines="50" w:line="300" w:lineRule="auto"/>
      <w:ind w:firstLine="480"/>
    </w:pPr>
    <w:rPr>
      <w:rFonts w:hint="eastAsia" w:ascii="Times New Roman" w:hAnsi="Times New Roman" w:eastAsia="仿宋_GB2312"/>
      <w:sz w:val="21"/>
      <w:szCs w:val="20"/>
    </w:rPr>
  </w:style>
  <w:style w:type="paragraph" w:customStyle="1" w:styleId="473">
    <w:name w:val="xl14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74">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xl22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76">
    <w:name w:val="xl215"/>
    <w:basedOn w:val="1"/>
    <w:qFormat/>
    <w:uiPriority w:val="0"/>
    <w:pPr>
      <w:widowControl/>
      <w:pBdr>
        <w:top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477">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78">
    <w:name w:val="xl22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79">
    <w:name w:val="列出段落3"/>
    <w:basedOn w:val="1"/>
    <w:qFormat/>
    <w:uiPriority w:val="0"/>
    <w:pPr>
      <w:ind w:firstLine="420" w:firstLineChars="200"/>
    </w:pPr>
    <w:rPr>
      <w:rFonts w:ascii="Calibri" w:hAnsi="Calibri" w:cs="黑体"/>
      <w:sz w:val="21"/>
      <w:szCs w:val="22"/>
    </w:rPr>
  </w:style>
  <w:style w:type="paragraph" w:customStyle="1" w:styleId="480">
    <w:name w:val="xl187"/>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81">
    <w:name w:val="xl17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482">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83">
    <w:name w:val="txt"/>
    <w:basedOn w:val="1"/>
    <w:qFormat/>
    <w:uiPriority w:val="0"/>
    <w:pPr>
      <w:widowControl/>
      <w:spacing w:before="100" w:beforeAutospacing="1" w:after="100" w:afterAutospacing="1"/>
      <w:jc w:val="left"/>
    </w:pPr>
    <w:rPr>
      <w:rFonts w:ascii="宋体" w:hAnsi="宋体"/>
      <w:kern w:val="0"/>
    </w:rPr>
  </w:style>
  <w:style w:type="paragraph" w:customStyle="1" w:styleId="484">
    <w:name w:val="xl21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20"/>
      <w:szCs w:val="20"/>
    </w:rPr>
  </w:style>
  <w:style w:type="paragraph" w:customStyle="1" w:styleId="485">
    <w:name w:val="表格表头"/>
    <w:basedOn w:val="1"/>
    <w:qFormat/>
    <w:uiPriority w:val="0"/>
    <w:pPr>
      <w:spacing w:line="360" w:lineRule="auto"/>
      <w:jc w:val="center"/>
      <w:outlineLvl w:val="0"/>
    </w:pPr>
    <w:rPr>
      <w:rFonts w:ascii="宋体" w:hAnsi="宋体" w:eastAsia="黑体"/>
      <w:szCs w:val="21"/>
    </w:rPr>
  </w:style>
  <w:style w:type="paragraph" w:customStyle="1" w:styleId="486">
    <w:name w:val="xl1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7">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8">
    <w:name w:val="xl1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89">
    <w:name w:val="xl20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90">
    <w:name w:val="font9"/>
    <w:basedOn w:val="1"/>
    <w:qFormat/>
    <w:uiPriority w:val="0"/>
    <w:pPr>
      <w:widowControl/>
      <w:spacing w:before="100" w:beforeAutospacing="1" w:after="100" w:afterAutospacing="1"/>
      <w:jc w:val="left"/>
    </w:pPr>
    <w:rPr>
      <w:rFonts w:ascii="宋体" w:hAnsi="宋体"/>
      <w:color w:val="000000"/>
      <w:kern w:val="0"/>
      <w:sz w:val="18"/>
      <w:szCs w:val="18"/>
    </w:rPr>
  </w:style>
  <w:style w:type="paragraph" w:customStyle="1" w:styleId="491">
    <w:name w:val="List Paragraph1"/>
    <w:basedOn w:val="1"/>
    <w:qFormat/>
    <w:uiPriority w:val="0"/>
    <w:pPr>
      <w:ind w:firstLine="420" w:firstLineChars="200"/>
    </w:pPr>
    <w:rPr>
      <w:rFonts w:ascii="Calibri" w:hAnsi="Calibri" w:cs="Calibri"/>
      <w:sz w:val="21"/>
      <w:szCs w:val="21"/>
    </w:rPr>
  </w:style>
  <w:style w:type="paragraph" w:customStyle="1" w:styleId="49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rPr>
  </w:style>
  <w:style w:type="paragraph" w:customStyle="1" w:styleId="493">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94">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95">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列出段落41"/>
    <w:basedOn w:val="1"/>
    <w:qFormat/>
    <w:uiPriority w:val="0"/>
    <w:pPr>
      <w:tabs>
        <w:tab w:val="left" w:pos="0"/>
      </w:tabs>
      <w:spacing w:before="120" w:after="120" w:line="360" w:lineRule="auto"/>
      <w:ind w:firstLine="420" w:firstLineChars="200"/>
    </w:pPr>
    <w:rPr>
      <w:rFonts w:ascii="Times New Roman" w:hAnsi="Times New Roman"/>
      <w:sz w:val="28"/>
      <w:szCs w:val="28"/>
    </w:rPr>
  </w:style>
  <w:style w:type="paragraph" w:customStyle="1" w:styleId="497">
    <w:name w:val="xl18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98">
    <w:name w:val="xl21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99">
    <w:name w:val="xl18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500">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01">
    <w:name w:val="xl196"/>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cs="宋体"/>
      <w:kern w:val="0"/>
      <w:sz w:val="20"/>
      <w:szCs w:val="20"/>
    </w:rPr>
  </w:style>
  <w:style w:type="paragraph" w:customStyle="1" w:styleId="502">
    <w:name w:val="CM51"/>
    <w:basedOn w:val="245"/>
    <w:next w:val="245"/>
    <w:qFormat/>
    <w:uiPriority w:val="0"/>
    <w:pPr>
      <w:spacing w:after="103"/>
    </w:pPr>
    <w:rPr>
      <w:rFonts w:ascii="黑体" w:eastAsia="黑体" w:cs="Times New Roman"/>
      <w:color w:val="auto"/>
      <w:kern w:val="2"/>
    </w:rPr>
  </w:style>
  <w:style w:type="paragraph" w:customStyle="1" w:styleId="503">
    <w:name w:val="xl170"/>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cs="宋体"/>
      <w:kern w:val="0"/>
      <w:sz w:val="20"/>
      <w:szCs w:val="20"/>
    </w:rPr>
  </w:style>
  <w:style w:type="paragraph" w:customStyle="1" w:styleId="504">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505">
    <w:name w:val="p0"/>
    <w:basedOn w:val="1"/>
    <w:qFormat/>
    <w:uiPriority w:val="0"/>
    <w:pPr>
      <w:widowControl/>
    </w:pPr>
    <w:rPr>
      <w:kern w:val="0"/>
      <w:szCs w:val="20"/>
    </w:rPr>
  </w:style>
  <w:style w:type="character" w:customStyle="1" w:styleId="506">
    <w:name w:val="普通(网站) Char"/>
    <w:link w:val="41"/>
    <w:uiPriority w:val="0"/>
    <w:rPr>
      <w:rFonts w:ascii="Arial Unicode MS" w:hAnsi="Arial Unicode MS" w:eastAsia="Arial Unicode MS" w:cs="Arial Unicode MS"/>
      <w:sz w:val="24"/>
      <w:szCs w:val="24"/>
    </w:rPr>
  </w:style>
  <w:style w:type="paragraph" w:customStyle="1" w:styleId="507">
    <w:name w:val="head 1.1"/>
    <w:basedOn w:val="201"/>
    <w:qFormat/>
    <w:uiPriority w:val="0"/>
    <w:pPr>
      <w:numPr>
        <w:ilvl w:val="1"/>
        <w:numId w:val="8"/>
      </w:numPr>
      <w:spacing w:before="260" w:after="260"/>
      <w:ind w:firstLine="0" w:firstLineChars="0"/>
    </w:pPr>
    <w:rPr>
      <w:rFonts w:ascii="宋体" w:hAnsi="宋体"/>
      <w:bCs/>
      <w:sz w:val="21"/>
    </w:rPr>
  </w:style>
  <w:style w:type="paragraph" w:customStyle="1" w:styleId="508">
    <w:name w:val="head 1.1.1"/>
    <w:basedOn w:val="201"/>
    <w:link w:val="509"/>
    <w:qFormat/>
    <w:uiPriority w:val="0"/>
    <w:pPr>
      <w:numPr>
        <w:ilvl w:val="2"/>
        <w:numId w:val="8"/>
      </w:numPr>
      <w:ind w:firstLine="0" w:firstLineChars="0"/>
    </w:pPr>
    <w:rPr>
      <w:rFonts w:ascii="Times New Roman" w:hAnsi="Times New Roman"/>
      <w:bCs/>
      <w:sz w:val="21"/>
    </w:rPr>
  </w:style>
  <w:style w:type="character" w:customStyle="1" w:styleId="509">
    <w:name w:val="head 1.1.1 Char"/>
    <w:link w:val="508"/>
    <w:uiPriority w:val="0"/>
    <w:rPr>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file:///C:\Users\liuha\Documents\Tencent%25252525252525252525252525252525252525252525252525252525252525252525252520Files\2397997079\Image\R%25252525252525252525252525252525252525252525252525252525252525252525252525ZODK%2525252525252525252525252525252525252525252525252525252525252525252525257bK8CLEP%25252525252525252525252525252525252525252525252525252525252525252525252525ULO%25252525252525252525252525252525252525252525252525252525252525252525252560(X104.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BA7EA5-8083-4D24-BDC2-47CBD96F8667}">
  <ds:schemaRefs/>
</ds:datastoreItem>
</file>

<file path=docProps/app.xml><?xml version="1.0" encoding="utf-8"?>
<Properties xmlns="http://schemas.openxmlformats.org/officeDocument/2006/extended-properties" xmlns:vt="http://schemas.openxmlformats.org/officeDocument/2006/docPropsVTypes">
  <Template>Normal</Template>
  <Pages>1</Pages>
  <Words>9002</Words>
  <Characters>51313</Characters>
  <Lines>427</Lines>
  <Paragraphs>120</Paragraphs>
  <TotalTime>3</TotalTime>
  <ScaleCrop>false</ScaleCrop>
  <LinksUpToDate>false</LinksUpToDate>
  <CharactersWithSpaces>60195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2019-07-02T02:31:00Z</dcterms:created>
  <dcterms:modified xsi:type="dcterms:W3CDTF">2019-07-05T01:01:55Z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