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b/>
          <w:sz w:val="52"/>
          <w:szCs w:val="52"/>
        </w:rPr>
      </w:pPr>
      <w:r>
        <w:rPr>
          <w:rFonts w:hint="eastAsia" w:ascii="宋体" w:hAnsi="宋体"/>
          <w:b/>
          <w:sz w:val="52"/>
          <w:szCs w:val="52"/>
        </w:rPr>
        <w:t>东莞市政府采购</w:t>
      </w:r>
    </w:p>
    <w:p>
      <w:pPr>
        <w:spacing w:line="1100" w:lineRule="exact"/>
        <w:jc w:val="center"/>
        <w:rPr>
          <w:rFonts w:ascii="宋体" w:hAnsi="宋体"/>
          <w:sz w:val="24"/>
          <w:szCs w:val="24"/>
        </w:rPr>
      </w:pPr>
      <w:r>
        <w:rPr>
          <w:rFonts w:hint="eastAsia" w:ascii="宋体" w:hAnsi="宋体"/>
          <w:sz w:val="24"/>
          <w:szCs w:val="24"/>
        </w:rPr>
        <w:t xml:space="preserve"> </w:t>
      </w:r>
    </w:p>
    <w:p>
      <w:pPr>
        <w:spacing w:line="1100" w:lineRule="exact"/>
        <w:jc w:val="center"/>
        <w:rPr>
          <w:rFonts w:ascii="宋体" w:hAnsi="宋体"/>
          <w:b/>
          <w:sz w:val="90"/>
          <w:szCs w:val="90"/>
        </w:rPr>
      </w:pPr>
      <w:r>
        <w:rPr>
          <w:rFonts w:hint="eastAsia" w:ascii="宋体" w:hAnsi="宋体"/>
          <w:b/>
          <w:sz w:val="90"/>
          <w:szCs w:val="90"/>
        </w:rPr>
        <w:t>招</w:t>
      </w:r>
    </w:p>
    <w:p>
      <w:pPr>
        <w:spacing w:line="1100" w:lineRule="exact"/>
        <w:jc w:val="center"/>
        <w:rPr>
          <w:rFonts w:ascii="宋体" w:hAnsi="宋体"/>
          <w:b/>
          <w:sz w:val="90"/>
          <w:szCs w:val="90"/>
        </w:rPr>
      </w:pPr>
      <w:r>
        <w:rPr>
          <w:rFonts w:hint="eastAsia" w:ascii="宋体" w:hAnsi="宋体"/>
          <w:b/>
          <w:sz w:val="90"/>
          <w:szCs w:val="90"/>
        </w:rPr>
        <w:t>标</w:t>
      </w:r>
    </w:p>
    <w:p>
      <w:pPr>
        <w:spacing w:line="1100" w:lineRule="exact"/>
        <w:jc w:val="center"/>
        <w:rPr>
          <w:rFonts w:ascii="宋体" w:hAnsi="宋体"/>
          <w:b/>
          <w:sz w:val="90"/>
          <w:szCs w:val="90"/>
        </w:rPr>
      </w:pPr>
      <w:r>
        <w:rPr>
          <w:rFonts w:hint="eastAsia" w:ascii="宋体" w:hAnsi="宋体"/>
          <w:b/>
          <w:sz w:val="90"/>
          <w:szCs w:val="90"/>
        </w:rPr>
        <w:t>文</w:t>
      </w:r>
    </w:p>
    <w:p>
      <w:pPr>
        <w:spacing w:line="1100" w:lineRule="exact"/>
        <w:jc w:val="center"/>
        <w:rPr>
          <w:rFonts w:ascii="宋体" w:hAnsi="宋体"/>
          <w:b/>
          <w:sz w:val="90"/>
          <w:szCs w:val="90"/>
        </w:rPr>
      </w:pPr>
      <w:r>
        <w:rPr>
          <w:rFonts w:hint="eastAsia" w:ascii="宋体" w:hAnsi="宋体"/>
          <w:b/>
          <w:sz w:val="90"/>
          <w:szCs w:val="90"/>
        </w:rPr>
        <w:t>件</w:t>
      </w:r>
    </w:p>
    <w:p>
      <w:pPr>
        <w:spacing w:line="600" w:lineRule="exact"/>
        <w:jc w:val="center"/>
        <w:rPr>
          <w:rFonts w:ascii="宋体" w:hAnsi="宋体"/>
          <w:b/>
          <w:sz w:val="24"/>
          <w:szCs w:val="24"/>
        </w:rPr>
      </w:pPr>
    </w:p>
    <w:p>
      <w:pPr>
        <w:spacing w:line="600" w:lineRule="exact"/>
        <w:jc w:val="center"/>
        <w:rPr>
          <w:rFonts w:ascii="宋体" w:hAnsi="宋体"/>
          <w:b/>
          <w:sz w:val="24"/>
          <w:szCs w:val="24"/>
        </w:rPr>
      </w:pPr>
    </w:p>
    <w:p>
      <w:pPr>
        <w:snapToGrid w:val="0"/>
        <w:spacing w:line="600" w:lineRule="exact"/>
        <w:ind w:left="2544" w:leftChars="423" w:hanging="1656" w:hangingChars="550"/>
        <w:rPr>
          <w:rFonts w:ascii="宋体" w:hAnsi="宋体"/>
          <w:b/>
          <w:sz w:val="30"/>
          <w:szCs w:val="30"/>
        </w:rPr>
      </w:pPr>
      <w:r>
        <w:rPr>
          <w:rFonts w:hint="eastAsia" w:ascii="宋体" w:hAnsi="宋体"/>
          <w:b/>
          <w:sz w:val="30"/>
          <w:szCs w:val="30"/>
        </w:rPr>
        <w:t>项目名称：流动注射仪微波消解仪等仪器设备采购</w:t>
      </w:r>
    </w:p>
    <w:p>
      <w:pPr>
        <w:snapToGrid w:val="0"/>
        <w:spacing w:line="600" w:lineRule="exact"/>
        <w:ind w:firstLine="904" w:firstLineChars="300"/>
        <w:rPr>
          <w:rFonts w:ascii="宋体" w:hAnsi="宋体"/>
          <w:b/>
          <w:sz w:val="30"/>
          <w:szCs w:val="30"/>
        </w:rPr>
      </w:pPr>
      <w:r>
        <w:rPr>
          <w:rFonts w:hint="eastAsia" w:ascii="宋体" w:hAnsi="宋体"/>
          <w:b/>
          <w:sz w:val="30"/>
          <w:szCs w:val="30"/>
        </w:rPr>
        <w:t>采购编号：</w:t>
      </w:r>
      <w:r>
        <w:rPr>
          <w:rFonts w:ascii="宋体" w:hAnsi="宋体"/>
          <w:b/>
          <w:sz w:val="30"/>
          <w:szCs w:val="30"/>
        </w:rPr>
        <w:t xml:space="preserve"> </w:t>
      </w:r>
      <w:r>
        <w:rPr>
          <w:rFonts w:hint="eastAsia" w:ascii="宋体" w:hAnsi="宋体"/>
          <w:b/>
          <w:sz w:val="30"/>
          <w:szCs w:val="30"/>
        </w:rPr>
        <w:t>441900-201905-0007004001-0002</w:t>
      </w:r>
    </w:p>
    <w:p>
      <w:pPr>
        <w:snapToGrid w:val="0"/>
        <w:spacing w:line="600" w:lineRule="exact"/>
        <w:jc w:val="center"/>
        <w:rPr>
          <w:rFonts w:ascii="宋体" w:hAnsi="宋体"/>
          <w:b/>
          <w:sz w:val="30"/>
          <w:szCs w:val="30"/>
        </w:rPr>
      </w:pPr>
    </w:p>
    <w:p>
      <w:pPr>
        <w:snapToGrid w:val="0"/>
        <w:spacing w:line="600" w:lineRule="exact"/>
        <w:jc w:val="center"/>
        <w:rPr>
          <w:rFonts w:ascii="宋体" w:hAnsi="宋体"/>
          <w:b/>
          <w:sz w:val="30"/>
          <w:szCs w:val="30"/>
        </w:rPr>
      </w:pPr>
      <w:r>
        <w:rPr>
          <w:rFonts w:hint="eastAsia" w:ascii="宋体" w:hAnsi="宋体"/>
          <w:b/>
          <w:sz w:val="30"/>
          <w:szCs w:val="30"/>
        </w:rPr>
        <w:t>东莞市环境监测中心站</w:t>
      </w:r>
    </w:p>
    <w:p>
      <w:pPr>
        <w:snapToGrid w:val="0"/>
        <w:spacing w:line="600" w:lineRule="exact"/>
        <w:rPr>
          <w:rFonts w:ascii="宋体" w:hAnsi="宋体"/>
          <w:b/>
          <w:sz w:val="30"/>
          <w:szCs w:val="30"/>
        </w:rPr>
      </w:pPr>
    </w:p>
    <w:p>
      <w:pPr>
        <w:snapToGrid w:val="0"/>
        <w:spacing w:line="600" w:lineRule="exact"/>
        <w:jc w:val="center"/>
        <w:rPr>
          <w:rFonts w:ascii="宋体" w:hAnsi="宋体"/>
          <w:b/>
          <w:sz w:val="30"/>
          <w:szCs w:val="30"/>
        </w:rPr>
      </w:pPr>
      <w:r>
        <w:rPr>
          <w:rFonts w:hint="eastAsia" w:ascii="宋体" w:hAnsi="宋体"/>
          <w:b/>
          <w:sz w:val="30"/>
          <w:szCs w:val="30"/>
        </w:rPr>
        <w:t>东莞市达盛招标代理有限公司</w:t>
      </w:r>
    </w:p>
    <w:p>
      <w:pPr>
        <w:snapToGrid w:val="0"/>
        <w:spacing w:line="600" w:lineRule="exact"/>
        <w:jc w:val="center"/>
        <w:rPr>
          <w:rFonts w:ascii="宋体" w:hAnsi="宋体"/>
          <w:b/>
          <w:sz w:val="30"/>
          <w:szCs w:val="30"/>
        </w:rPr>
      </w:pPr>
    </w:p>
    <w:p>
      <w:pPr>
        <w:spacing w:line="600" w:lineRule="exact"/>
        <w:jc w:val="center"/>
        <w:rPr>
          <w:rFonts w:ascii="宋体" w:hAnsi="宋体"/>
          <w:b/>
          <w:spacing w:val="30"/>
          <w:sz w:val="30"/>
          <w:szCs w:val="30"/>
        </w:rPr>
      </w:pPr>
      <w:r>
        <w:rPr>
          <w:rFonts w:hint="eastAsia" w:ascii="宋体" w:hAnsi="宋体"/>
          <w:b/>
          <w:spacing w:val="30"/>
          <w:sz w:val="30"/>
          <w:szCs w:val="30"/>
        </w:rPr>
        <w:t>版本号：20190516A</w:t>
      </w:r>
    </w:p>
    <w:p>
      <w:pPr>
        <w:spacing w:line="600" w:lineRule="exact"/>
        <w:jc w:val="center"/>
        <w:rPr>
          <w:rFonts w:ascii="宋体" w:hAnsi="宋体"/>
          <w:sz w:val="24"/>
          <w:szCs w:val="24"/>
        </w:rPr>
      </w:pPr>
      <w:r>
        <w:rPr>
          <w:rFonts w:ascii="宋体" w:hAnsi="宋体"/>
          <w:sz w:val="24"/>
          <w:szCs w:val="24"/>
        </w:rPr>
        <w:br w:type="page"/>
      </w:r>
      <w:r>
        <w:rPr>
          <w:rFonts w:hint="eastAsia" w:ascii="宋体" w:hAnsi="宋体"/>
          <w:sz w:val="24"/>
          <w:szCs w:val="24"/>
        </w:rPr>
        <w:t>目     录</w:t>
      </w:r>
    </w:p>
    <w:p>
      <w:pPr>
        <w:pStyle w:val="37"/>
        <w:rPr>
          <w:rFonts w:ascii="Calibri" w:hAnsi="Calibri"/>
          <w:sz w:val="21"/>
          <w:szCs w:val="22"/>
        </w:rPr>
      </w:pPr>
      <w:r>
        <w:rPr>
          <w:rFonts w:hint="eastAsia" w:ascii="宋体" w:hAnsi="宋体"/>
          <w:sz w:val="24"/>
          <w:szCs w:val="24"/>
        </w:rPr>
        <w:fldChar w:fldCharType="begin"/>
      </w:r>
      <w:r>
        <w:rPr>
          <w:rFonts w:hint="eastAsia" w:ascii="宋体" w:hAnsi="宋体"/>
          <w:sz w:val="24"/>
          <w:szCs w:val="24"/>
        </w:rPr>
        <w:instrText xml:space="preserve"> TOC \o "1-3" \h \z \u </w:instrText>
      </w:r>
      <w:r>
        <w:rPr>
          <w:rFonts w:hint="eastAsia" w:ascii="宋体" w:hAnsi="宋体"/>
          <w:sz w:val="24"/>
          <w:szCs w:val="24"/>
        </w:rPr>
        <w:fldChar w:fldCharType="separate"/>
      </w:r>
      <w:r>
        <w:fldChar w:fldCharType="begin"/>
      </w:r>
      <w:r>
        <w:instrText xml:space="preserve"> HYPERLINK \l "_Toc8904059" </w:instrText>
      </w:r>
      <w:r>
        <w:fldChar w:fldCharType="separate"/>
      </w:r>
      <w:r>
        <w:rPr>
          <w:rStyle w:val="49"/>
          <w:rFonts w:hint="eastAsia" w:ascii="宋体" w:hAnsi="宋体"/>
          <w:spacing w:val="20"/>
        </w:rPr>
        <w:t>第一部分</w:t>
      </w:r>
      <w:r>
        <w:rPr>
          <w:rStyle w:val="49"/>
          <w:rFonts w:ascii="宋体" w:hAnsi="宋体"/>
          <w:spacing w:val="20"/>
        </w:rPr>
        <w:t xml:space="preserve">  </w:t>
      </w:r>
      <w:r>
        <w:rPr>
          <w:rStyle w:val="49"/>
          <w:rFonts w:hint="eastAsia" w:ascii="宋体" w:hAnsi="宋体"/>
          <w:spacing w:val="20"/>
        </w:rPr>
        <w:t>投标邀请</w:t>
      </w:r>
      <w:r>
        <w:tab/>
      </w:r>
      <w:r>
        <w:fldChar w:fldCharType="begin"/>
      </w:r>
      <w:r>
        <w:instrText xml:space="preserve"> PAGEREF _Toc8904059 \h </w:instrText>
      </w:r>
      <w:r>
        <w:fldChar w:fldCharType="separate"/>
      </w:r>
      <w:r>
        <w:t>4</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"_Toc8904060" </w:instrText>
      </w:r>
      <w:r>
        <w:fldChar w:fldCharType="separate"/>
      </w:r>
      <w:r>
        <w:rPr>
          <w:rStyle w:val="49"/>
          <w:rFonts w:hint="eastAsia" w:ascii="宋体" w:hAnsi="宋体"/>
          <w:bCs/>
        </w:rPr>
        <w:t>投标邀请函</w:t>
      </w:r>
      <w:r>
        <w:tab/>
      </w:r>
      <w:r>
        <w:fldChar w:fldCharType="begin"/>
      </w:r>
      <w:r>
        <w:instrText xml:space="preserve"> PAGEREF _Toc8904060 \h </w:instrText>
      </w:r>
      <w:r>
        <w:fldChar w:fldCharType="separate"/>
      </w:r>
      <w:r>
        <w:t>5</w:t>
      </w:r>
      <w:r>
        <w:fldChar w:fldCharType="end"/>
      </w:r>
      <w:r>
        <w:fldChar w:fldCharType="end"/>
      </w:r>
    </w:p>
    <w:p>
      <w:pPr>
        <w:pStyle w:val="37"/>
        <w:rPr>
          <w:rFonts w:ascii="Calibri" w:hAnsi="Calibri"/>
          <w:sz w:val="21"/>
          <w:szCs w:val="22"/>
        </w:rPr>
      </w:pPr>
      <w:r>
        <w:fldChar w:fldCharType="begin"/>
      </w:r>
      <w:r>
        <w:instrText xml:space="preserve"> HYPERLINK \l "_Toc8904061" </w:instrText>
      </w:r>
      <w:r>
        <w:fldChar w:fldCharType="separate"/>
      </w:r>
      <w:r>
        <w:rPr>
          <w:rStyle w:val="49"/>
          <w:rFonts w:hint="eastAsia" w:ascii="宋体" w:hAnsi="宋体"/>
          <w:spacing w:val="20"/>
        </w:rPr>
        <w:t>第二部分</w:t>
      </w:r>
      <w:r>
        <w:rPr>
          <w:rStyle w:val="49"/>
          <w:rFonts w:ascii="宋体" w:hAnsi="宋体"/>
          <w:spacing w:val="20"/>
        </w:rPr>
        <w:t xml:space="preserve">  </w:t>
      </w:r>
      <w:r>
        <w:rPr>
          <w:rStyle w:val="49"/>
          <w:rFonts w:hint="eastAsia" w:ascii="宋体" w:hAnsi="宋体"/>
          <w:spacing w:val="20"/>
        </w:rPr>
        <w:t>供应商须知</w:t>
      </w:r>
      <w:r>
        <w:tab/>
      </w:r>
      <w:r>
        <w:fldChar w:fldCharType="begin"/>
      </w:r>
      <w:r>
        <w:instrText xml:space="preserve"> PAGEREF _Toc8904061 \h </w:instrText>
      </w:r>
      <w:r>
        <w:fldChar w:fldCharType="separate"/>
      </w:r>
      <w:r>
        <w:t>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"_Toc8904062" </w:instrText>
      </w:r>
      <w:r>
        <w:fldChar w:fldCharType="separate"/>
      </w:r>
      <w:r>
        <w:rPr>
          <w:rStyle w:val="49"/>
          <w:rFonts w:hint="eastAsia" w:ascii="宋体" w:hAnsi="宋体"/>
          <w:bCs/>
        </w:rPr>
        <w:t>一、说明</w:t>
      </w:r>
      <w:r>
        <w:tab/>
      </w:r>
      <w:r>
        <w:fldChar w:fldCharType="begin"/>
      </w:r>
      <w:r>
        <w:instrText xml:space="preserve"> PAGEREF _Toc8904062 \h </w:instrText>
      </w:r>
      <w:r>
        <w:fldChar w:fldCharType="separate"/>
      </w:r>
      <w:r>
        <w:t>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"_Toc8904063" </w:instrText>
      </w:r>
      <w:r>
        <w:fldChar w:fldCharType="separate"/>
      </w:r>
      <w:r>
        <w:rPr>
          <w:rStyle w:val="49"/>
        </w:rPr>
        <w:t>1</w:t>
      </w:r>
      <w:r>
        <w:rPr>
          <w:rStyle w:val="49"/>
          <w:rFonts w:hint="eastAsia"/>
        </w:rPr>
        <w:t>．适用范围及资金来源</w:t>
      </w:r>
      <w:r>
        <w:tab/>
      </w:r>
      <w:r>
        <w:fldChar w:fldCharType="begin"/>
      </w:r>
      <w:r>
        <w:instrText xml:space="preserve"> PAGEREF _Toc8904063 \h </w:instrText>
      </w:r>
      <w:r>
        <w:fldChar w:fldCharType="separate"/>
      </w:r>
      <w:r>
        <w:t>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"_Toc8904064" </w:instrText>
      </w:r>
      <w:r>
        <w:fldChar w:fldCharType="separate"/>
      </w:r>
      <w:r>
        <w:rPr>
          <w:rStyle w:val="49"/>
        </w:rPr>
        <w:t>2</w:t>
      </w:r>
      <w:r>
        <w:rPr>
          <w:rStyle w:val="49"/>
          <w:rFonts w:hint="eastAsia"/>
        </w:rPr>
        <w:t>．定义</w:t>
      </w:r>
      <w:r>
        <w:tab/>
      </w:r>
      <w:r>
        <w:fldChar w:fldCharType="begin"/>
      </w:r>
      <w:r>
        <w:instrText xml:space="preserve"> PAGEREF _Toc8904064 \h </w:instrText>
      </w:r>
      <w:r>
        <w:fldChar w:fldCharType="separate"/>
      </w:r>
      <w:r>
        <w:t>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"_Toc8904065" </w:instrText>
      </w:r>
      <w:r>
        <w:fldChar w:fldCharType="separate"/>
      </w:r>
      <w:r>
        <w:rPr>
          <w:rStyle w:val="49"/>
        </w:rPr>
        <w:t>3</w:t>
      </w:r>
      <w:r>
        <w:rPr>
          <w:rStyle w:val="49"/>
          <w:rFonts w:hint="eastAsia"/>
        </w:rPr>
        <w:t>．供应商资格要求</w:t>
      </w:r>
      <w:r>
        <w:tab/>
      </w:r>
      <w:r>
        <w:fldChar w:fldCharType="begin"/>
      </w:r>
      <w:r>
        <w:instrText xml:space="preserve"> PAGEREF _Toc8904065 \h </w:instrText>
      </w:r>
      <w:r>
        <w:fldChar w:fldCharType="separate"/>
      </w:r>
      <w:r>
        <w:t>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"_Toc8904066" </w:instrText>
      </w:r>
      <w:r>
        <w:fldChar w:fldCharType="separate"/>
      </w:r>
      <w:r>
        <w:rPr>
          <w:rStyle w:val="49"/>
        </w:rPr>
        <w:t>4</w:t>
      </w:r>
      <w:r>
        <w:rPr>
          <w:rStyle w:val="49"/>
          <w:rFonts w:hint="eastAsia"/>
        </w:rPr>
        <w:t>．合格的货物和服务</w:t>
      </w:r>
      <w:r>
        <w:tab/>
      </w:r>
      <w:r>
        <w:fldChar w:fldCharType="begin"/>
      </w:r>
      <w:r>
        <w:instrText xml:space="preserve"> PAGEREF _Toc8904066 \h </w:instrText>
      </w:r>
      <w:r>
        <w:fldChar w:fldCharType="separate"/>
      </w:r>
      <w:r>
        <w:t>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"_Toc8904067" </w:instrText>
      </w:r>
      <w:r>
        <w:fldChar w:fldCharType="separate"/>
      </w:r>
      <w:r>
        <w:rPr>
          <w:rStyle w:val="49"/>
        </w:rPr>
        <w:t xml:space="preserve">5. </w:t>
      </w:r>
      <w:r>
        <w:rPr>
          <w:rStyle w:val="49"/>
          <w:rFonts w:hint="eastAsia"/>
        </w:rPr>
        <w:t>现场考察或者召开开标前答疑会</w:t>
      </w:r>
      <w:r>
        <w:tab/>
      </w:r>
      <w:r>
        <w:fldChar w:fldCharType="begin"/>
      </w:r>
      <w:r>
        <w:instrText xml:space="preserve"> PAGEREF _Toc8904067 \h </w:instrText>
      </w:r>
      <w:r>
        <w:fldChar w:fldCharType="separate"/>
      </w:r>
      <w:r>
        <w:t>10</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"_Toc8904068" </w:instrText>
      </w:r>
      <w:r>
        <w:fldChar w:fldCharType="separate"/>
      </w:r>
      <w:r>
        <w:rPr>
          <w:rStyle w:val="49"/>
        </w:rPr>
        <w:t xml:space="preserve">6. </w:t>
      </w:r>
      <w:r>
        <w:rPr>
          <w:rStyle w:val="49"/>
          <w:rFonts w:hint="eastAsia"/>
        </w:rPr>
        <w:t>联合体投标</w:t>
      </w:r>
      <w:r>
        <w:tab/>
      </w:r>
      <w:r>
        <w:fldChar w:fldCharType="begin"/>
      </w:r>
      <w:r>
        <w:instrText xml:space="preserve"> PAGEREF _Toc8904068 \h </w:instrText>
      </w:r>
      <w:r>
        <w:fldChar w:fldCharType="separate"/>
      </w:r>
      <w:r>
        <w:t>10</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"_Toc8904069" </w:instrText>
      </w:r>
      <w:r>
        <w:fldChar w:fldCharType="separate"/>
      </w:r>
      <w:r>
        <w:rPr>
          <w:rStyle w:val="49"/>
        </w:rPr>
        <w:t>7</w:t>
      </w:r>
      <w:r>
        <w:rPr>
          <w:rStyle w:val="49"/>
          <w:rFonts w:hint="eastAsia"/>
        </w:rPr>
        <w:t>．投标费用</w:t>
      </w:r>
      <w:r>
        <w:tab/>
      </w:r>
      <w:r>
        <w:fldChar w:fldCharType="begin"/>
      </w:r>
      <w:r>
        <w:instrText xml:space="preserve"> PAGEREF _Toc8904069 \h </w:instrText>
      </w:r>
      <w:r>
        <w:fldChar w:fldCharType="separate"/>
      </w:r>
      <w:r>
        <w:t>11</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"_Toc8904070" </w:instrText>
      </w:r>
      <w:r>
        <w:fldChar w:fldCharType="separate"/>
      </w:r>
      <w:r>
        <w:rPr>
          <w:rStyle w:val="49"/>
          <w:rFonts w:hint="eastAsia" w:ascii="宋体" w:hAnsi="宋体"/>
          <w:bCs/>
        </w:rPr>
        <w:t>二、招标文件</w:t>
      </w:r>
      <w:r>
        <w:tab/>
      </w:r>
      <w:r>
        <w:fldChar w:fldCharType="begin"/>
      </w:r>
      <w:r>
        <w:instrText xml:space="preserve"> PAGEREF _Toc8904070 \h </w:instrText>
      </w:r>
      <w:r>
        <w:fldChar w:fldCharType="separate"/>
      </w:r>
      <w:r>
        <w:t>11</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"_Toc8904071" </w:instrText>
      </w:r>
      <w:r>
        <w:fldChar w:fldCharType="separate"/>
      </w:r>
      <w:r>
        <w:rPr>
          <w:rStyle w:val="49"/>
        </w:rPr>
        <w:t>8</w:t>
      </w:r>
      <w:r>
        <w:rPr>
          <w:rStyle w:val="49"/>
          <w:rFonts w:hint="eastAsia"/>
        </w:rPr>
        <w:t>．招标文件的组成</w:t>
      </w:r>
      <w:r>
        <w:tab/>
      </w:r>
      <w:r>
        <w:fldChar w:fldCharType="begin"/>
      </w:r>
      <w:r>
        <w:instrText xml:space="preserve"> PAGEREF _Toc8904071 \h </w:instrText>
      </w:r>
      <w:r>
        <w:fldChar w:fldCharType="separate"/>
      </w:r>
      <w:r>
        <w:t>11</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"_Toc8904072" </w:instrText>
      </w:r>
      <w:r>
        <w:fldChar w:fldCharType="separate"/>
      </w:r>
      <w:r>
        <w:rPr>
          <w:rStyle w:val="49"/>
        </w:rPr>
        <w:t>9</w:t>
      </w:r>
      <w:r>
        <w:rPr>
          <w:rStyle w:val="49"/>
          <w:rFonts w:hint="eastAsia"/>
        </w:rPr>
        <w:t>．招标文件的澄清或修改</w:t>
      </w:r>
      <w:r>
        <w:tab/>
      </w:r>
      <w:r>
        <w:fldChar w:fldCharType="begin"/>
      </w:r>
      <w:r>
        <w:instrText xml:space="preserve"> PAGEREF _Toc8904072 \h </w:instrText>
      </w:r>
      <w:r>
        <w:fldChar w:fldCharType="separate"/>
      </w:r>
      <w:r>
        <w:t>11</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"_Toc8904073" </w:instrText>
      </w:r>
      <w:r>
        <w:fldChar w:fldCharType="separate"/>
      </w:r>
      <w:r>
        <w:rPr>
          <w:rStyle w:val="49"/>
          <w:rFonts w:hint="eastAsia" w:ascii="宋体" w:hAnsi="宋体"/>
          <w:bCs/>
        </w:rPr>
        <w:t>三、投标文件的编制</w:t>
      </w:r>
      <w:r>
        <w:tab/>
      </w:r>
      <w:r>
        <w:fldChar w:fldCharType="begin"/>
      </w:r>
      <w:r>
        <w:instrText xml:space="preserve"> PAGEREF _Toc8904073 \h </w:instrText>
      </w:r>
      <w:r>
        <w:fldChar w:fldCharType="separate"/>
      </w:r>
      <w:r>
        <w:t>12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"_Toc8904074" </w:instrText>
      </w:r>
      <w:r>
        <w:fldChar w:fldCharType="separate"/>
      </w:r>
      <w:r>
        <w:rPr>
          <w:rStyle w:val="49"/>
        </w:rPr>
        <w:t>10</w:t>
      </w:r>
      <w:r>
        <w:rPr>
          <w:rStyle w:val="49"/>
          <w:rFonts w:hint="eastAsia"/>
        </w:rPr>
        <w:t>．投标文件的语言及度量衡单位</w:t>
      </w:r>
      <w:r>
        <w:tab/>
      </w:r>
      <w:r>
        <w:fldChar w:fldCharType="begin"/>
      </w:r>
      <w:r>
        <w:instrText xml:space="preserve"> PAGEREF _Toc8904074 \h </w:instrText>
      </w:r>
      <w:r>
        <w:fldChar w:fldCharType="separate"/>
      </w:r>
      <w:r>
        <w:t>12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"_Toc8904075" </w:instrText>
      </w:r>
      <w:r>
        <w:fldChar w:fldCharType="separate"/>
      </w:r>
      <w:r>
        <w:rPr>
          <w:rStyle w:val="49"/>
        </w:rPr>
        <w:t>11</w:t>
      </w:r>
      <w:r>
        <w:rPr>
          <w:rStyle w:val="49"/>
          <w:rFonts w:hint="eastAsia"/>
        </w:rPr>
        <w:t>．投标文件的组成</w:t>
      </w:r>
      <w:r>
        <w:tab/>
      </w:r>
      <w:r>
        <w:fldChar w:fldCharType="begin"/>
      </w:r>
      <w:r>
        <w:instrText xml:space="preserve"> PAGEREF _Toc8904075 \h </w:instrText>
      </w:r>
      <w:r>
        <w:fldChar w:fldCharType="separate"/>
      </w:r>
      <w:r>
        <w:t>12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"_Toc8904076" </w:instrText>
      </w:r>
      <w:r>
        <w:fldChar w:fldCharType="separate"/>
      </w:r>
      <w:r>
        <w:rPr>
          <w:rStyle w:val="49"/>
        </w:rPr>
        <w:t>12</w:t>
      </w:r>
      <w:r>
        <w:rPr>
          <w:rStyle w:val="49"/>
          <w:rFonts w:hint="eastAsia"/>
        </w:rPr>
        <w:t>．投标文件格式</w:t>
      </w:r>
      <w:r>
        <w:tab/>
      </w:r>
      <w:r>
        <w:fldChar w:fldCharType="begin"/>
      </w:r>
      <w:r>
        <w:instrText xml:space="preserve"> PAGEREF _Toc8904076 \h </w:instrText>
      </w:r>
      <w:r>
        <w:fldChar w:fldCharType="separate"/>
      </w:r>
      <w:r>
        <w:t>12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"_Toc8904077" </w:instrText>
      </w:r>
      <w:r>
        <w:fldChar w:fldCharType="separate"/>
      </w:r>
      <w:r>
        <w:rPr>
          <w:rStyle w:val="49"/>
        </w:rPr>
        <w:t>13</w:t>
      </w:r>
      <w:r>
        <w:rPr>
          <w:rStyle w:val="49"/>
          <w:rFonts w:hint="eastAsia"/>
        </w:rPr>
        <w:t>．投标文件的编制、数量和签署</w:t>
      </w:r>
      <w:r>
        <w:tab/>
      </w:r>
      <w:r>
        <w:fldChar w:fldCharType="begin"/>
      </w:r>
      <w:r>
        <w:instrText xml:space="preserve"> PAGEREF _Toc8904077 \h </w:instrText>
      </w:r>
      <w:r>
        <w:fldChar w:fldCharType="separate"/>
      </w:r>
      <w:r>
        <w:t>12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"_Toc8904078" </w:instrText>
      </w:r>
      <w:r>
        <w:fldChar w:fldCharType="separate"/>
      </w:r>
      <w:r>
        <w:rPr>
          <w:rStyle w:val="49"/>
        </w:rPr>
        <w:t>14</w:t>
      </w:r>
      <w:r>
        <w:rPr>
          <w:rStyle w:val="49"/>
          <w:rFonts w:hint="eastAsia"/>
        </w:rPr>
        <w:t>．投标文件电子文档</w:t>
      </w:r>
      <w:r>
        <w:tab/>
      </w:r>
      <w:r>
        <w:fldChar w:fldCharType="begin"/>
      </w:r>
      <w:r>
        <w:instrText xml:space="preserve"> PAGEREF _Toc8904078 \h </w:instrText>
      </w:r>
      <w:r>
        <w:fldChar w:fldCharType="separate"/>
      </w:r>
      <w:r>
        <w:t>13</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"_Toc8904079" </w:instrText>
      </w:r>
      <w:r>
        <w:fldChar w:fldCharType="separate"/>
      </w:r>
      <w:r>
        <w:rPr>
          <w:rStyle w:val="49"/>
        </w:rPr>
        <w:t>15</w:t>
      </w:r>
      <w:r>
        <w:rPr>
          <w:rStyle w:val="49"/>
          <w:rFonts w:hint="eastAsia"/>
        </w:rPr>
        <w:t>．投标报价说明</w:t>
      </w:r>
      <w:r>
        <w:tab/>
      </w:r>
      <w:r>
        <w:fldChar w:fldCharType="begin"/>
      </w:r>
      <w:r>
        <w:instrText xml:space="preserve"> PAGEREF _Toc8904079 \h </w:instrText>
      </w:r>
      <w:r>
        <w:fldChar w:fldCharType="separate"/>
      </w:r>
      <w:r>
        <w:t>13</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"_Toc8904080" </w:instrText>
      </w:r>
      <w:r>
        <w:fldChar w:fldCharType="separate"/>
      </w:r>
      <w:r>
        <w:rPr>
          <w:rStyle w:val="49"/>
        </w:rPr>
        <w:t>16</w:t>
      </w:r>
      <w:r>
        <w:rPr>
          <w:rStyle w:val="49"/>
          <w:rFonts w:hint="eastAsia"/>
        </w:rPr>
        <w:t>．投标货币</w:t>
      </w:r>
      <w:r>
        <w:tab/>
      </w:r>
      <w:r>
        <w:fldChar w:fldCharType="begin"/>
      </w:r>
      <w:r>
        <w:instrText xml:space="preserve"> PAGEREF _Toc8904080 \h </w:instrText>
      </w:r>
      <w:r>
        <w:fldChar w:fldCharType="separate"/>
      </w:r>
      <w:r>
        <w:t>13</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"_Toc8904081" </w:instrText>
      </w:r>
      <w:r>
        <w:fldChar w:fldCharType="separate"/>
      </w:r>
      <w:r>
        <w:rPr>
          <w:rStyle w:val="49"/>
        </w:rPr>
        <w:t>17</w:t>
      </w:r>
      <w:r>
        <w:rPr>
          <w:rStyle w:val="49"/>
          <w:rFonts w:hint="eastAsia"/>
        </w:rPr>
        <w:t>．投标有效期</w:t>
      </w:r>
      <w:r>
        <w:tab/>
      </w:r>
      <w:r>
        <w:fldChar w:fldCharType="begin"/>
      </w:r>
      <w:r>
        <w:instrText xml:space="preserve"> PAGEREF _Toc8904081 \h </w:instrText>
      </w:r>
      <w:r>
        <w:fldChar w:fldCharType="separate"/>
      </w:r>
      <w:r>
        <w:t>14</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"_Toc8904082" </w:instrText>
      </w:r>
      <w:r>
        <w:fldChar w:fldCharType="separate"/>
      </w:r>
      <w:r>
        <w:rPr>
          <w:rStyle w:val="49"/>
        </w:rPr>
        <w:t>18</w:t>
      </w:r>
      <w:r>
        <w:rPr>
          <w:rStyle w:val="49"/>
          <w:rFonts w:hint="eastAsia"/>
        </w:rPr>
        <w:t>．投标保证金</w:t>
      </w:r>
      <w:r>
        <w:tab/>
      </w:r>
      <w:r>
        <w:fldChar w:fldCharType="begin"/>
      </w:r>
      <w:r>
        <w:instrText xml:space="preserve"> PAGEREF _Toc8904082 \h </w:instrText>
      </w:r>
      <w:r>
        <w:fldChar w:fldCharType="separate"/>
      </w:r>
      <w:r>
        <w:t>14</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"_Toc8904083" </w:instrText>
      </w:r>
      <w:r>
        <w:fldChar w:fldCharType="separate"/>
      </w:r>
      <w:r>
        <w:rPr>
          <w:rStyle w:val="49"/>
          <w:rFonts w:hint="eastAsia" w:ascii="宋体" w:hAnsi="宋体"/>
          <w:bCs/>
        </w:rPr>
        <w:t>四、投标文件的提交</w:t>
      </w:r>
      <w:r>
        <w:tab/>
      </w:r>
      <w:r>
        <w:fldChar w:fldCharType="begin"/>
      </w:r>
      <w:r>
        <w:instrText xml:space="preserve"> PAGEREF _Toc8904083 \h </w:instrText>
      </w:r>
      <w:r>
        <w:fldChar w:fldCharType="separate"/>
      </w:r>
      <w:r>
        <w:t>15</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"_Toc8904084" </w:instrText>
      </w:r>
      <w:r>
        <w:fldChar w:fldCharType="separate"/>
      </w:r>
      <w:r>
        <w:rPr>
          <w:rStyle w:val="49"/>
        </w:rPr>
        <w:t>19</w:t>
      </w:r>
      <w:r>
        <w:rPr>
          <w:rStyle w:val="49"/>
          <w:rFonts w:hint="eastAsia"/>
        </w:rPr>
        <w:t>．投标文件的标记和密封</w:t>
      </w:r>
      <w:r>
        <w:tab/>
      </w:r>
      <w:r>
        <w:fldChar w:fldCharType="begin"/>
      </w:r>
      <w:r>
        <w:instrText xml:space="preserve"> PAGEREF _Toc8904084 \h </w:instrText>
      </w:r>
      <w:r>
        <w:fldChar w:fldCharType="separate"/>
      </w:r>
      <w:r>
        <w:t>15</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"_Toc8904085" </w:instrText>
      </w:r>
      <w:r>
        <w:fldChar w:fldCharType="separate"/>
      </w:r>
      <w:r>
        <w:rPr>
          <w:rStyle w:val="49"/>
        </w:rPr>
        <w:t>20</w:t>
      </w:r>
      <w:r>
        <w:rPr>
          <w:rStyle w:val="49"/>
          <w:rFonts w:hint="eastAsia"/>
        </w:rPr>
        <w:t>．投标截止时间</w:t>
      </w:r>
      <w:r>
        <w:tab/>
      </w:r>
      <w:r>
        <w:fldChar w:fldCharType="begin"/>
      </w:r>
      <w:r>
        <w:instrText xml:space="preserve"> PAGEREF _Toc8904085 \h </w:instrText>
      </w:r>
      <w:r>
        <w:fldChar w:fldCharType="separate"/>
      </w:r>
      <w:r>
        <w:t>16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"_Toc8904086" </w:instrText>
      </w:r>
      <w:r>
        <w:fldChar w:fldCharType="separate"/>
      </w:r>
      <w:r>
        <w:rPr>
          <w:rStyle w:val="49"/>
        </w:rPr>
        <w:t>21</w:t>
      </w:r>
      <w:r>
        <w:rPr>
          <w:rStyle w:val="49"/>
          <w:rFonts w:hint="eastAsia"/>
        </w:rPr>
        <w:t>．迟交的投标文件</w:t>
      </w:r>
      <w:r>
        <w:tab/>
      </w:r>
      <w:r>
        <w:fldChar w:fldCharType="begin"/>
      </w:r>
      <w:r>
        <w:instrText xml:space="preserve"> PAGEREF _Toc8904086 \h </w:instrText>
      </w:r>
      <w:r>
        <w:fldChar w:fldCharType="separate"/>
      </w:r>
      <w:r>
        <w:t>16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"_Toc8904087" </w:instrText>
      </w:r>
      <w:r>
        <w:fldChar w:fldCharType="separate"/>
      </w:r>
      <w:r>
        <w:rPr>
          <w:rStyle w:val="49"/>
        </w:rPr>
        <w:t>22</w:t>
      </w:r>
      <w:r>
        <w:rPr>
          <w:rStyle w:val="49"/>
          <w:rFonts w:hint="eastAsia"/>
        </w:rPr>
        <w:t>．投标文件的补充、修改与撤回</w:t>
      </w:r>
      <w:r>
        <w:tab/>
      </w:r>
      <w:r>
        <w:fldChar w:fldCharType="begin"/>
      </w:r>
      <w:r>
        <w:instrText xml:space="preserve"> PAGEREF _Toc8904087 \h </w:instrText>
      </w:r>
      <w:r>
        <w:fldChar w:fldCharType="separate"/>
      </w:r>
      <w:r>
        <w:t>16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"_Toc8904088" </w:instrText>
      </w:r>
      <w:r>
        <w:fldChar w:fldCharType="separate"/>
      </w:r>
      <w:r>
        <w:rPr>
          <w:rStyle w:val="49"/>
          <w:rFonts w:hint="eastAsia" w:ascii="宋体" w:hAnsi="宋体"/>
          <w:bCs/>
        </w:rPr>
        <w:t>五、开标与评标及定标</w:t>
      </w:r>
      <w:r>
        <w:tab/>
      </w:r>
      <w:r>
        <w:fldChar w:fldCharType="begin"/>
      </w:r>
      <w:r>
        <w:instrText xml:space="preserve"> PAGEREF _Toc8904088 \h </w:instrText>
      </w:r>
      <w:r>
        <w:fldChar w:fldCharType="separate"/>
      </w:r>
      <w:r>
        <w:t>16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"_Toc8904089" </w:instrText>
      </w:r>
      <w:r>
        <w:fldChar w:fldCharType="separate"/>
      </w:r>
      <w:r>
        <w:rPr>
          <w:rStyle w:val="49"/>
        </w:rPr>
        <w:t>23</w:t>
      </w:r>
      <w:r>
        <w:rPr>
          <w:rStyle w:val="49"/>
          <w:rFonts w:hint="eastAsia"/>
        </w:rPr>
        <w:t>．开标</w:t>
      </w:r>
      <w:r>
        <w:tab/>
      </w:r>
      <w:r>
        <w:fldChar w:fldCharType="begin"/>
      </w:r>
      <w:r>
        <w:instrText xml:space="preserve"> PAGEREF _Toc8904089 \h </w:instrText>
      </w:r>
      <w:r>
        <w:fldChar w:fldCharType="separate"/>
      </w:r>
      <w:r>
        <w:t>16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"_Toc8904090" </w:instrText>
      </w:r>
      <w:r>
        <w:fldChar w:fldCharType="separate"/>
      </w:r>
      <w:r>
        <w:rPr>
          <w:rStyle w:val="49"/>
        </w:rPr>
        <w:t>24</w:t>
      </w:r>
      <w:r>
        <w:rPr>
          <w:rStyle w:val="49"/>
          <w:rFonts w:hint="eastAsia"/>
        </w:rPr>
        <w:t>．评标委员会与评标方法</w:t>
      </w:r>
      <w:r>
        <w:tab/>
      </w:r>
      <w:r>
        <w:fldChar w:fldCharType="begin"/>
      </w:r>
      <w:r>
        <w:instrText xml:space="preserve"> PAGEREF _Toc8904090 \h </w:instrText>
      </w:r>
      <w:r>
        <w:fldChar w:fldCharType="separate"/>
      </w:r>
      <w:r>
        <w:t>17</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"_Toc8904091" </w:instrText>
      </w:r>
      <w:r>
        <w:fldChar w:fldCharType="separate"/>
      </w:r>
      <w:r>
        <w:rPr>
          <w:rStyle w:val="49"/>
        </w:rPr>
        <w:t>25</w:t>
      </w:r>
      <w:r>
        <w:rPr>
          <w:rStyle w:val="49"/>
          <w:rFonts w:hint="eastAsia"/>
        </w:rPr>
        <w:t>．投标文件的评审</w:t>
      </w:r>
      <w:r>
        <w:tab/>
      </w:r>
      <w:r>
        <w:fldChar w:fldCharType="begin"/>
      </w:r>
      <w:r>
        <w:instrText xml:space="preserve"> PAGEREF _Toc8904091 \h </w:instrText>
      </w:r>
      <w:r>
        <w:fldChar w:fldCharType="separate"/>
      </w:r>
      <w:r>
        <w:t>19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"_Toc8904092" </w:instrText>
      </w:r>
      <w:r>
        <w:fldChar w:fldCharType="separate"/>
      </w:r>
      <w:r>
        <w:rPr>
          <w:rStyle w:val="49"/>
          <w:rFonts w:hint="eastAsia" w:ascii="宋体" w:hAnsi="宋体"/>
          <w:bCs/>
        </w:rPr>
        <w:t>六、中标和合同</w:t>
      </w:r>
      <w:r>
        <w:tab/>
      </w:r>
      <w:r>
        <w:fldChar w:fldCharType="begin"/>
      </w:r>
      <w:r>
        <w:instrText xml:space="preserve"> PAGEREF _Toc8904092 \h </w:instrText>
      </w:r>
      <w:r>
        <w:fldChar w:fldCharType="separate"/>
      </w:r>
      <w:r>
        <w:t>26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"_Toc8904093" </w:instrText>
      </w:r>
      <w:r>
        <w:fldChar w:fldCharType="separate"/>
      </w:r>
      <w:r>
        <w:rPr>
          <w:rStyle w:val="49"/>
        </w:rPr>
        <w:t>26</w:t>
      </w:r>
      <w:r>
        <w:rPr>
          <w:rStyle w:val="49"/>
          <w:rFonts w:hint="eastAsia"/>
        </w:rPr>
        <w:t>．中标人的确定</w:t>
      </w:r>
      <w:r>
        <w:tab/>
      </w:r>
      <w:r>
        <w:fldChar w:fldCharType="begin"/>
      </w:r>
      <w:r>
        <w:instrText xml:space="preserve"> PAGEREF _Toc8904093 \h </w:instrText>
      </w:r>
      <w:r>
        <w:fldChar w:fldCharType="separate"/>
      </w:r>
      <w:r>
        <w:t>26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"_Toc8904094" </w:instrText>
      </w:r>
      <w:r>
        <w:fldChar w:fldCharType="separate"/>
      </w:r>
      <w:r>
        <w:rPr>
          <w:rStyle w:val="49"/>
        </w:rPr>
        <w:t>27</w:t>
      </w:r>
      <w:r>
        <w:rPr>
          <w:rStyle w:val="49"/>
          <w:rFonts w:hint="eastAsia"/>
        </w:rPr>
        <w:t>．有下列情形之一的，视为投标人串通投标，其投标无效：</w:t>
      </w:r>
      <w:r>
        <w:tab/>
      </w:r>
      <w:r>
        <w:fldChar w:fldCharType="begin"/>
      </w:r>
      <w:r>
        <w:instrText xml:space="preserve"> PAGEREF _Toc8904094 \h </w:instrText>
      </w:r>
      <w:r>
        <w:fldChar w:fldCharType="separate"/>
      </w:r>
      <w:r>
        <w:t>26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"_Toc8904095" </w:instrText>
      </w:r>
      <w:r>
        <w:fldChar w:fldCharType="separate"/>
      </w:r>
      <w:r>
        <w:rPr>
          <w:rStyle w:val="49"/>
        </w:rPr>
        <w:t>28</w:t>
      </w:r>
      <w:r>
        <w:rPr>
          <w:rStyle w:val="49"/>
          <w:rFonts w:hint="eastAsia"/>
        </w:rPr>
        <w:t>．发布中标结果</w:t>
      </w:r>
      <w:r>
        <w:tab/>
      </w:r>
      <w:r>
        <w:fldChar w:fldCharType="begin"/>
      </w:r>
      <w:r>
        <w:instrText xml:space="preserve"> PAGEREF _Toc8904095 \h </w:instrText>
      </w:r>
      <w:r>
        <w:fldChar w:fldCharType="separate"/>
      </w:r>
      <w:r>
        <w:t>26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"_Toc8904096" </w:instrText>
      </w:r>
      <w:r>
        <w:fldChar w:fldCharType="separate"/>
      </w:r>
      <w:r>
        <w:rPr>
          <w:rStyle w:val="49"/>
        </w:rPr>
        <w:t>29</w:t>
      </w:r>
      <w:r>
        <w:rPr>
          <w:rStyle w:val="49"/>
          <w:rFonts w:hint="eastAsia"/>
        </w:rPr>
        <w:t>．合同的签订</w:t>
      </w:r>
      <w:r>
        <w:tab/>
      </w:r>
      <w:r>
        <w:fldChar w:fldCharType="begin"/>
      </w:r>
      <w:r>
        <w:instrText xml:space="preserve"> PAGEREF _Toc8904096 \h </w:instrText>
      </w:r>
      <w:r>
        <w:fldChar w:fldCharType="separate"/>
      </w:r>
      <w:r>
        <w:t>26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"_Toc8904097" </w:instrText>
      </w:r>
      <w:r>
        <w:fldChar w:fldCharType="separate"/>
      </w:r>
      <w:r>
        <w:rPr>
          <w:rStyle w:val="49"/>
        </w:rPr>
        <w:t>30</w:t>
      </w:r>
      <w:r>
        <w:rPr>
          <w:rStyle w:val="49"/>
          <w:rFonts w:hint="eastAsia"/>
        </w:rPr>
        <w:t>．履约保证金</w:t>
      </w:r>
      <w:r>
        <w:tab/>
      </w:r>
      <w:r>
        <w:fldChar w:fldCharType="begin"/>
      </w:r>
      <w:r>
        <w:instrText xml:space="preserve"> PAGEREF _Toc8904097 \h </w:instrText>
      </w:r>
      <w:r>
        <w:fldChar w:fldCharType="separate"/>
      </w:r>
      <w:r>
        <w:t>27</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"_Toc8904098" </w:instrText>
      </w:r>
      <w:r>
        <w:fldChar w:fldCharType="separate"/>
      </w:r>
      <w:r>
        <w:rPr>
          <w:rStyle w:val="49"/>
        </w:rPr>
        <w:t>31</w:t>
      </w:r>
      <w:r>
        <w:rPr>
          <w:rStyle w:val="49"/>
          <w:rFonts w:hint="eastAsia"/>
        </w:rPr>
        <w:t>．融资</w:t>
      </w:r>
      <w:r>
        <w:tab/>
      </w:r>
      <w:r>
        <w:fldChar w:fldCharType="begin"/>
      </w:r>
      <w:r>
        <w:instrText xml:space="preserve"> PAGEREF _Toc8904098 \h </w:instrText>
      </w:r>
      <w:r>
        <w:fldChar w:fldCharType="separate"/>
      </w:r>
      <w:r>
        <w:t>27</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"_Toc8904099" </w:instrText>
      </w:r>
      <w:r>
        <w:fldChar w:fldCharType="separate"/>
      </w:r>
      <w:r>
        <w:rPr>
          <w:rStyle w:val="49"/>
          <w:rFonts w:hint="eastAsia" w:ascii="宋体" w:hAnsi="宋体"/>
          <w:bCs/>
        </w:rPr>
        <w:t>七、询问、质疑、投诉</w:t>
      </w:r>
      <w:r>
        <w:tab/>
      </w:r>
      <w:r>
        <w:fldChar w:fldCharType="begin"/>
      </w:r>
      <w:r>
        <w:instrText xml:space="preserve"> PAGEREF _Toc8904099 \h </w:instrText>
      </w:r>
      <w:r>
        <w:fldChar w:fldCharType="separate"/>
      </w:r>
      <w:r>
        <w:t>28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"_Toc8904100" </w:instrText>
      </w:r>
      <w:r>
        <w:fldChar w:fldCharType="separate"/>
      </w:r>
      <w:r>
        <w:rPr>
          <w:rStyle w:val="49"/>
        </w:rPr>
        <w:t>32</w:t>
      </w:r>
      <w:r>
        <w:rPr>
          <w:rStyle w:val="49"/>
          <w:rFonts w:hint="eastAsia"/>
        </w:rPr>
        <w:t>．询问</w:t>
      </w:r>
      <w:r>
        <w:tab/>
      </w:r>
      <w:r>
        <w:fldChar w:fldCharType="begin"/>
      </w:r>
      <w:r>
        <w:instrText xml:space="preserve"> PAGEREF _Toc8904100 \h </w:instrText>
      </w:r>
      <w:r>
        <w:fldChar w:fldCharType="separate"/>
      </w:r>
      <w:r>
        <w:t>28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"_Toc8904101" </w:instrText>
      </w:r>
      <w:r>
        <w:fldChar w:fldCharType="separate"/>
      </w:r>
      <w:r>
        <w:rPr>
          <w:rStyle w:val="49"/>
        </w:rPr>
        <w:t>33</w:t>
      </w:r>
      <w:r>
        <w:rPr>
          <w:rStyle w:val="49"/>
          <w:rFonts w:hint="eastAsia"/>
        </w:rPr>
        <w:t>．质疑</w:t>
      </w:r>
      <w:r>
        <w:tab/>
      </w:r>
      <w:r>
        <w:fldChar w:fldCharType="begin"/>
      </w:r>
      <w:r>
        <w:instrText xml:space="preserve"> PAGEREF _Toc8904101 \h </w:instrText>
      </w:r>
      <w:r>
        <w:fldChar w:fldCharType="separate"/>
      </w:r>
      <w:r>
        <w:t>28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"_Toc8904102" </w:instrText>
      </w:r>
      <w:r>
        <w:fldChar w:fldCharType="separate"/>
      </w:r>
      <w:r>
        <w:rPr>
          <w:rStyle w:val="49"/>
        </w:rPr>
        <w:t>34</w:t>
      </w:r>
      <w:r>
        <w:rPr>
          <w:rStyle w:val="49"/>
          <w:rFonts w:hint="eastAsia"/>
        </w:rPr>
        <w:t>．投诉</w:t>
      </w:r>
      <w:r>
        <w:tab/>
      </w:r>
      <w:r>
        <w:fldChar w:fldCharType="begin"/>
      </w:r>
      <w:r>
        <w:instrText xml:space="preserve"> PAGEREF _Toc8904102 \h </w:instrText>
      </w:r>
      <w:r>
        <w:fldChar w:fldCharType="separate"/>
      </w:r>
      <w:r>
        <w:t>29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"_Toc8904103" </w:instrText>
      </w:r>
      <w:r>
        <w:fldChar w:fldCharType="separate"/>
      </w:r>
      <w:r>
        <w:rPr>
          <w:rStyle w:val="49"/>
          <w:rFonts w:hint="eastAsia" w:ascii="宋体" w:hAnsi="宋体"/>
          <w:bCs/>
        </w:rPr>
        <w:t>八、其他</w:t>
      </w:r>
      <w:r>
        <w:tab/>
      </w:r>
      <w:r>
        <w:fldChar w:fldCharType="begin"/>
      </w:r>
      <w:r>
        <w:instrText xml:space="preserve"> PAGEREF _Toc8904103 \h </w:instrText>
      </w:r>
      <w:r>
        <w:fldChar w:fldCharType="separate"/>
      </w:r>
      <w:r>
        <w:t>29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"_Toc8904104" </w:instrText>
      </w:r>
      <w:r>
        <w:fldChar w:fldCharType="separate"/>
      </w:r>
      <w:r>
        <w:rPr>
          <w:rStyle w:val="49"/>
        </w:rPr>
        <w:t>35</w:t>
      </w:r>
      <w:r>
        <w:rPr>
          <w:rStyle w:val="49"/>
          <w:rFonts w:hint="eastAsia"/>
        </w:rPr>
        <w:t>．废标</w:t>
      </w:r>
      <w:r>
        <w:tab/>
      </w:r>
      <w:r>
        <w:fldChar w:fldCharType="begin"/>
      </w:r>
      <w:r>
        <w:instrText xml:space="preserve"> PAGEREF _Toc8904104 \h </w:instrText>
      </w:r>
      <w:r>
        <w:fldChar w:fldCharType="separate"/>
      </w:r>
      <w:r>
        <w:t>29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"_Toc8904105" </w:instrText>
      </w:r>
      <w:r>
        <w:fldChar w:fldCharType="separate"/>
      </w:r>
      <w:r>
        <w:rPr>
          <w:rStyle w:val="49"/>
        </w:rPr>
        <w:t>36</w:t>
      </w:r>
      <w:r>
        <w:rPr>
          <w:rStyle w:val="49"/>
          <w:rFonts w:hint="eastAsia"/>
        </w:rPr>
        <w:t>．采购代理机构代理费用</w:t>
      </w:r>
      <w:r>
        <w:tab/>
      </w:r>
      <w:r>
        <w:fldChar w:fldCharType="begin"/>
      </w:r>
      <w:r>
        <w:instrText xml:space="preserve"> PAGEREF _Toc8904105 \h </w:instrText>
      </w:r>
      <w:r>
        <w:fldChar w:fldCharType="separate"/>
      </w:r>
      <w:r>
        <w:t>30</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"_Toc8904106" </w:instrText>
      </w:r>
      <w:r>
        <w:fldChar w:fldCharType="separate"/>
      </w:r>
      <w:r>
        <w:rPr>
          <w:rStyle w:val="49"/>
        </w:rPr>
        <w:t>37</w:t>
      </w:r>
      <w:r>
        <w:rPr>
          <w:rStyle w:val="49"/>
          <w:rFonts w:hint="eastAsia"/>
        </w:rPr>
        <w:t>．适用法律</w:t>
      </w:r>
      <w:r>
        <w:tab/>
      </w:r>
      <w:r>
        <w:fldChar w:fldCharType="begin"/>
      </w:r>
      <w:r>
        <w:instrText xml:space="preserve"> PAGEREF _Toc8904106 \h </w:instrText>
      </w:r>
      <w:r>
        <w:fldChar w:fldCharType="separate"/>
      </w:r>
      <w:r>
        <w:t>30</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"_Toc8904107" </w:instrText>
      </w:r>
      <w:r>
        <w:fldChar w:fldCharType="separate"/>
      </w:r>
      <w:r>
        <w:rPr>
          <w:rStyle w:val="49"/>
        </w:rPr>
        <w:t>38</w:t>
      </w:r>
      <w:r>
        <w:rPr>
          <w:rStyle w:val="49"/>
          <w:rFonts w:hint="eastAsia"/>
        </w:rPr>
        <w:t>．招标文件解释权</w:t>
      </w:r>
      <w:r>
        <w:tab/>
      </w:r>
      <w:r>
        <w:fldChar w:fldCharType="begin"/>
      </w:r>
      <w:r>
        <w:instrText xml:space="preserve"> PAGEREF _Toc8904107 \h </w:instrText>
      </w:r>
      <w:r>
        <w:fldChar w:fldCharType="separate"/>
      </w:r>
      <w:r>
        <w:t>30</w:t>
      </w:r>
      <w:r>
        <w:fldChar w:fldCharType="end"/>
      </w:r>
      <w:r>
        <w:fldChar w:fldCharType="end"/>
      </w:r>
    </w:p>
    <w:p>
      <w:pPr>
        <w:pStyle w:val="37"/>
        <w:rPr>
          <w:rFonts w:ascii="Calibri" w:hAnsi="Calibri"/>
          <w:sz w:val="21"/>
          <w:szCs w:val="22"/>
        </w:rPr>
      </w:pPr>
      <w:r>
        <w:fldChar w:fldCharType="begin"/>
      </w:r>
      <w:r>
        <w:instrText xml:space="preserve"> HYPERLINK \l "_Toc8904108" </w:instrText>
      </w:r>
      <w:r>
        <w:fldChar w:fldCharType="separate"/>
      </w:r>
      <w:r>
        <w:rPr>
          <w:rStyle w:val="49"/>
          <w:rFonts w:hint="eastAsia" w:ascii="宋体" w:hAnsi="宋体"/>
          <w:spacing w:val="20"/>
        </w:rPr>
        <w:t>第三部分</w:t>
      </w:r>
      <w:r>
        <w:rPr>
          <w:rStyle w:val="49"/>
          <w:rFonts w:ascii="宋体" w:hAnsi="宋体"/>
          <w:spacing w:val="20"/>
        </w:rPr>
        <w:t xml:space="preserve">  </w:t>
      </w:r>
      <w:r>
        <w:rPr>
          <w:rStyle w:val="49"/>
          <w:rFonts w:hint="eastAsia" w:ascii="宋体" w:hAnsi="宋体"/>
          <w:spacing w:val="20"/>
        </w:rPr>
        <w:t>合同书格式</w:t>
      </w:r>
      <w:r>
        <w:tab/>
      </w:r>
      <w:r>
        <w:fldChar w:fldCharType="begin"/>
      </w:r>
      <w:r>
        <w:instrText xml:space="preserve"> PAGEREF _Toc8904108 \h </w:instrText>
      </w:r>
      <w:r>
        <w:fldChar w:fldCharType="separate"/>
      </w:r>
      <w:r>
        <w:t>31</w:t>
      </w:r>
      <w:r>
        <w:fldChar w:fldCharType="end"/>
      </w:r>
      <w:r>
        <w:fldChar w:fldCharType="end"/>
      </w:r>
    </w:p>
    <w:p>
      <w:pPr>
        <w:pStyle w:val="37"/>
        <w:rPr>
          <w:rFonts w:ascii="Calibri" w:hAnsi="Calibri"/>
          <w:sz w:val="21"/>
          <w:szCs w:val="22"/>
        </w:rPr>
      </w:pPr>
      <w:r>
        <w:fldChar w:fldCharType="begin"/>
      </w:r>
      <w:r>
        <w:instrText xml:space="preserve"> HYPERLINK \l "_Toc8904109" </w:instrText>
      </w:r>
      <w:r>
        <w:fldChar w:fldCharType="separate"/>
      </w:r>
      <w:r>
        <w:rPr>
          <w:rStyle w:val="49"/>
          <w:rFonts w:hint="eastAsia" w:ascii="宋体" w:hAnsi="宋体"/>
          <w:spacing w:val="20"/>
        </w:rPr>
        <w:t>第四部分</w:t>
      </w:r>
      <w:r>
        <w:rPr>
          <w:rStyle w:val="49"/>
          <w:rFonts w:ascii="宋体" w:hAnsi="宋体"/>
          <w:spacing w:val="20"/>
        </w:rPr>
        <w:t xml:space="preserve">  </w:t>
      </w:r>
      <w:r>
        <w:rPr>
          <w:rStyle w:val="49"/>
          <w:rFonts w:hint="eastAsia" w:ascii="宋体" w:hAnsi="宋体"/>
          <w:spacing w:val="20"/>
        </w:rPr>
        <w:t>用户需求书</w:t>
      </w:r>
      <w:r>
        <w:tab/>
      </w:r>
      <w:r>
        <w:fldChar w:fldCharType="begin"/>
      </w:r>
      <w:r>
        <w:instrText xml:space="preserve"> PAGEREF _Toc8904109 \h </w:instrText>
      </w:r>
      <w:r>
        <w:fldChar w:fldCharType="separate"/>
      </w:r>
      <w:r>
        <w:t>39</w:t>
      </w:r>
      <w:r>
        <w:fldChar w:fldCharType="end"/>
      </w:r>
      <w:r>
        <w:fldChar w:fldCharType="end"/>
      </w:r>
    </w:p>
    <w:p>
      <w:pPr>
        <w:pStyle w:val="37"/>
        <w:rPr>
          <w:rFonts w:ascii="Calibri" w:hAnsi="Calibri"/>
          <w:sz w:val="21"/>
          <w:szCs w:val="22"/>
        </w:rPr>
      </w:pPr>
      <w:r>
        <w:fldChar w:fldCharType="begin"/>
      </w:r>
      <w:r>
        <w:instrText xml:space="preserve"> HYPERLINK \l "_Toc8904110" </w:instrText>
      </w:r>
      <w:r>
        <w:fldChar w:fldCharType="separate"/>
      </w:r>
      <w:r>
        <w:rPr>
          <w:rStyle w:val="49"/>
          <w:rFonts w:hint="eastAsia" w:ascii="宋体" w:hAnsi="宋体"/>
          <w:spacing w:val="20"/>
        </w:rPr>
        <w:t>第五部分</w:t>
      </w:r>
      <w:r>
        <w:rPr>
          <w:rStyle w:val="49"/>
          <w:rFonts w:ascii="宋体" w:hAnsi="宋体"/>
          <w:spacing w:val="20"/>
        </w:rPr>
        <w:t xml:space="preserve">  </w:t>
      </w:r>
      <w:r>
        <w:rPr>
          <w:rStyle w:val="49"/>
          <w:rFonts w:hint="eastAsia" w:ascii="宋体" w:hAnsi="宋体"/>
          <w:spacing w:val="20"/>
        </w:rPr>
        <w:t>投标文件格式</w:t>
      </w:r>
      <w:r>
        <w:tab/>
      </w:r>
      <w:r>
        <w:fldChar w:fldCharType="begin"/>
      </w:r>
      <w:r>
        <w:instrText xml:space="preserve"> PAGEREF _Toc8904110 \h </w:instrText>
      </w:r>
      <w:r>
        <w:fldChar w:fldCharType="separate"/>
      </w:r>
      <w:r>
        <w:t>60</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"_Toc8904111" </w:instrText>
      </w:r>
      <w:r>
        <w:fldChar w:fldCharType="separate"/>
      </w:r>
      <w:r>
        <w:rPr>
          <w:rStyle w:val="49"/>
          <w:rFonts w:hint="eastAsia" w:ascii="宋体" w:hAnsi="宋体"/>
        </w:rPr>
        <w:t>一、价格文件</w:t>
      </w:r>
      <w:r>
        <w:tab/>
      </w:r>
      <w:r>
        <w:fldChar w:fldCharType="begin"/>
      </w:r>
      <w:r>
        <w:instrText xml:space="preserve"> PAGEREF _Toc8904111 \h </w:instrText>
      </w:r>
      <w:r>
        <w:fldChar w:fldCharType="separate"/>
      </w:r>
      <w:r>
        <w:t>62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"_Toc8904112" </w:instrText>
      </w:r>
      <w:r>
        <w:fldChar w:fldCharType="separate"/>
      </w:r>
      <w:r>
        <w:rPr>
          <w:rStyle w:val="49"/>
          <w:rFonts w:hint="eastAsia"/>
        </w:rPr>
        <w:t>（一）开标一览表（报价总表）</w:t>
      </w:r>
      <w:r>
        <w:tab/>
      </w:r>
      <w:r>
        <w:fldChar w:fldCharType="begin"/>
      </w:r>
      <w:r>
        <w:instrText xml:space="preserve"> PAGEREF _Toc8904112 \h </w:instrText>
      </w:r>
      <w:r>
        <w:fldChar w:fldCharType="separate"/>
      </w:r>
      <w:r>
        <w:t>62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"_Toc8904113" </w:instrText>
      </w:r>
      <w:r>
        <w:fldChar w:fldCharType="separate"/>
      </w:r>
      <w:r>
        <w:rPr>
          <w:rStyle w:val="49"/>
          <w:rFonts w:hint="eastAsia"/>
        </w:rPr>
        <w:t>（二）报价明细表</w:t>
      </w:r>
      <w:r>
        <w:tab/>
      </w:r>
      <w:r>
        <w:fldChar w:fldCharType="begin"/>
      </w:r>
      <w:r>
        <w:instrText xml:space="preserve"> PAGEREF _Toc8904113 \h </w:instrText>
      </w:r>
      <w:r>
        <w:fldChar w:fldCharType="separate"/>
      </w:r>
      <w:r>
        <w:t>63</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"_Toc8904114" </w:instrText>
      </w:r>
      <w:r>
        <w:fldChar w:fldCharType="separate"/>
      </w:r>
      <w:r>
        <w:rPr>
          <w:rStyle w:val="49"/>
          <w:rFonts w:hint="eastAsia" w:ascii="宋体" w:hAnsi="宋体"/>
        </w:rPr>
        <w:t>二、商务文件</w:t>
      </w:r>
      <w:r>
        <w:tab/>
      </w:r>
      <w:r>
        <w:fldChar w:fldCharType="begin"/>
      </w:r>
      <w:r>
        <w:instrText xml:space="preserve"> PAGEREF _Toc8904114 \h </w:instrText>
      </w:r>
      <w:r>
        <w:fldChar w:fldCharType="separate"/>
      </w:r>
      <w:r>
        <w:t>64</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"_Toc8904115" </w:instrText>
      </w:r>
      <w:r>
        <w:fldChar w:fldCharType="separate"/>
      </w:r>
      <w:r>
        <w:rPr>
          <w:rStyle w:val="49"/>
          <w:rFonts w:hint="eastAsia"/>
        </w:rPr>
        <w:t>（一）投标函</w:t>
      </w:r>
      <w:r>
        <w:tab/>
      </w:r>
      <w:r>
        <w:fldChar w:fldCharType="begin"/>
      </w:r>
      <w:r>
        <w:instrText xml:space="preserve"> PAGEREF _Toc8904115 \h </w:instrText>
      </w:r>
      <w:r>
        <w:fldChar w:fldCharType="separate"/>
      </w:r>
      <w:r>
        <w:t>64</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"_Toc8904116" </w:instrText>
      </w:r>
      <w:r>
        <w:fldChar w:fldCharType="separate"/>
      </w:r>
      <w:r>
        <w:rPr>
          <w:rStyle w:val="49"/>
          <w:rFonts w:hint="eastAsia"/>
        </w:rPr>
        <w:t>（二）资格证明文件</w:t>
      </w:r>
      <w:r>
        <w:tab/>
      </w:r>
      <w:r>
        <w:fldChar w:fldCharType="begin"/>
      </w:r>
      <w:r>
        <w:instrText xml:space="preserve"> PAGEREF _Toc8904116 \h </w:instrText>
      </w:r>
      <w:r>
        <w:fldChar w:fldCharType="separate"/>
      </w:r>
      <w:r>
        <w:t>66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"_Toc8904117" </w:instrText>
      </w:r>
      <w:r>
        <w:fldChar w:fldCharType="separate"/>
      </w:r>
      <w:r>
        <w:rPr>
          <w:rStyle w:val="49"/>
        </w:rPr>
        <w:t>1.</w:t>
      </w:r>
      <w:r>
        <w:rPr>
          <w:rStyle w:val="49"/>
          <w:rFonts w:hint="eastAsia"/>
        </w:rPr>
        <w:t>供应商资格声明函</w:t>
      </w:r>
      <w:r>
        <w:tab/>
      </w:r>
      <w:r>
        <w:fldChar w:fldCharType="begin"/>
      </w:r>
      <w:r>
        <w:instrText xml:space="preserve"> PAGEREF _Toc8904117 \h </w:instrText>
      </w:r>
      <w:r>
        <w:fldChar w:fldCharType="separate"/>
      </w:r>
      <w:r>
        <w:t>66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"_Toc8904118" </w:instrText>
      </w:r>
      <w:r>
        <w:fldChar w:fldCharType="separate"/>
      </w:r>
      <w:r>
        <w:rPr>
          <w:rStyle w:val="49"/>
        </w:rPr>
        <w:t>2.</w:t>
      </w:r>
      <w:r>
        <w:rPr>
          <w:rStyle w:val="49"/>
          <w:rFonts w:hint="eastAsia"/>
        </w:rPr>
        <w:t>在经营活动中没有重大违法记录的书面声明</w:t>
      </w:r>
      <w:r>
        <w:tab/>
      </w:r>
      <w:r>
        <w:fldChar w:fldCharType="begin"/>
      </w:r>
      <w:r>
        <w:instrText xml:space="preserve"> PAGEREF _Toc8904118 \h </w:instrText>
      </w:r>
      <w:r>
        <w:fldChar w:fldCharType="separate"/>
      </w:r>
      <w:r>
        <w:t>67</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"_Toc8904119" </w:instrText>
      </w:r>
      <w:r>
        <w:fldChar w:fldCharType="separate"/>
      </w:r>
      <w:r>
        <w:rPr>
          <w:rStyle w:val="49"/>
        </w:rPr>
        <w:t>3.</w:t>
      </w:r>
      <w:r>
        <w:rPr>
          <w:rStyle w:val="49"/>
          <w:rFonts w:hint="eastAsia"/>
        </w:rPr>
        <w:t>供应商法人或其他组织的营业执照等证明文件，或自然人的身份证</w:t>
      </w:r>
      <w:r>
        <w:tab/>
      </w:r>
      <w:r>
        <w:fldChar w:fldCharType="begin"/>
      </w:r>
      <w:r>
        <w:instrText xml:space="preserve"> PAGEREF _Toc8904119 \h </w:instrText>
      </w:r>
      <w:r>
        <w:fldChar w:fldCharType="separate"/>
      </w:r>
      <w:r>
        <w:t>68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"_Toc8904120" </w:instrText>
      </w:r>
      <w:r>
        <w:fldChar w:fldCharType="separate"/>
      </w:r>
      <w:r>
        <w:rPr>
          <w:rStyle w:val="49"/>
        </w:rPr>
        <w:t>4.</w:t>
      </w:r>
      <w:r>
        <w:rPr>
          <w:rStyle w:val="49"/>
          <w:rFonts w:hint="eastAsia"/>
        </w:rPr>
        <w:t>供应商资格要求的证明材料</w:t>
      </w:r>
      <w:r>
        <w:tab/>
      </w:r>
      <w:r>
        <w:fldChar w:fldCharType="begin"/>
      </w:r>
      <w:r>
        <w:instrText xml:space="preserve"> PAGEREF _Toc8904120 \h </w:instrText>
      </w:r>
      <w:r>
        <w:fldChar w:fldCharType="separate"/>
      </w:r>
      <w:r>
        <w:t>68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"_Toc8904121" </w:instrText>
      </w:r>
      <w:r>
        <w:fldChar w:fldCharType="separate"/>
      </w:r>
      <w:r>
        <w:rPr>
          <w:rStyle w:val="49"/>
        </w:rPr>
        <w:t>5.</w:t>
      </w:r>
      <w:r>
        <w:rPr>
          <w:rStyle w:val="49"/>
          <w:rFonts w:hint="eastAsia"/>
        </w:rPr>
        <w:t>法定代表人身份证明书</w:t>
      </w:r>
      <w:r>
        <w:tab/>
      </w:r>
      <w:r>
        <w:fldChar w:fldCharType="begin"/>
      </w:r>
      <w:r>
        <w:instrText xml:space="preserve"> PAGEREF _Toc8904121 \h </w:instrText>
      </w:r>
      <w:r>
        <w:fldChar w:fldCharType="separate"/>
      </w:r>
      <w:r>
        <w:t>69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"_Toc8904122" </w:instrText>
      </w:r>
      <w:r>
        <w:fldChar w:fldCharType="separate"/>
      </w:r>
      <w:r>
        <w:rPr>
          <w:rStyle w:val="49"/>
        </w:rPr>
        <w:t>6.</w:t>
      </w:r>
      <w:r>
        <w:rPr>
          <w:rStyle w:val="49"/>
          <w:rFonts w:hint="eastAsia"/>
        </w:rPr>
        <w:t>法定代表人授权委托书</w:t>
      </w:r>
      <w:r>
        <w:tab/>
      </w:r>
      <w:r>
        <w:fldChar w:fldCharType="begin"/>
      </w:r>
      <w:r>
        <w:instrText xml:space="preserve"> PAGEREF _Toc8904122 \h </w:instrText>
      </w:r>
      <w:r>
        <w:fldChar w:fldCharType="separate"/>
      </w:r>
      <w:r>
        <w:t>70</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"_Toc8904123" </w:instrText>
      </w:r>
      <w:r>
        <w:fldChar w:fldCharType="separate"/>
      </w:r>
      <w:r>
        <w:rPr>
          <w:rStyle w:val="49"/>
          <w:rFonts w:hint="eastAsia"/>
        </w:rPr>
        <w:t>（三）业绩表</w:t>
      </w:r>
      <w:r>
        <w:tab/>
      </w:r>
      <w:r>
        <w:fldChar w:fldCharType="begin"/>
      </w:r>
      <w:r>
        <w:instrText xml:space="preserve"> PAGEREF _Toc8904123 \h </w:instrText>
      </w:r>
      <w:r>
        <w:fldChar w:fldCharType="separate"/>
      </w:r>
      <w:r>
        <w:t>71</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"_Toc8904124" </w:instrText>
      </w:r>
      <w:r>
        <w:fldChar w:fldCharType="separate"/>
      </w:r>
      <w:r>
        <w:rPr>
          <w:rStyle w:val="49"/>
          <w:rFonts w:hint="eastAsia"/>
        </w:rPr>
        <w:t>（四）政府采购政策执行情况表（节能产品、环境标志产品价格扣除）</w:t>
      </w:r>
      <w:r>
        <w:tab/>
      </w:r>
      <w:r>
        <w:fldChar w:fldCharType="begin"/>
      </w:r>
      <w:r>
        <w:instrText xml:space="preserve"> PAGEREF _Toc8904124 \h </w:instrText>
      </w:r>
      <w:r>
        <w:fldChar w:fldCharType="separate"/>
      </w:r>
      <w:r>
        <w:t>72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"_Toc8904125" </w:instrText>
      </w:r>
      <w:r>
        <w:fldChar w:fldCharType="separate"/>
      </w:r>
      <w:r>
        <w:rPr>
          <w:rStyle w:val="49"/>
          <w:rFonts w:hint="eastAsia"/>
        </w:rPr>
        <w:t>（五）合同条款偏离表</w:t>
      </w:r>
      <w:r>
        <w:tab/>
      </w:r>
      <w:r>
        <w:fldChar w:fldCharType="begin"/>
      </w:r>
      <w:r>
        <w:instrText xml:space="preserve"> PAGEREF _Toc8904125 \h </w:instrText>
      </w:r>
      <w:r>
        <w:fldChar w:fldCharType="separate"/>
      </w:r>
      <w:r>
        <w:t>73</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"_Toc8904126" </w:instrText>
      </w:r>
      <w:r>
        <w:fldChar w:fldCharType="separate"/>
      </w:r>
      <w:r>
        <w:rPr>
          <w:rStyle w:val="49"/>
          <w:rFonts w:hint="eastAsia"/>
        </w:rPr>
        <w:t>（六）其他证明文件</w:t>
      </w:r>
      <w:r>
        <w:tab/>
      </w:r>
      <w:r>
        <w:fldChar w:fldCharType="begin"/>
      </w:r>
      <w:r>
        <w:instrText xml:space="preserve"> PAGEREF _Toc8904126 \h </w:instrText>
      </w:r>
      <w:r>
        <w:fldChar w:fldCharType="separate"/>
      </w:r>
      <w:r>
        <w:t>74</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"_Toc8904127" </w:instrText>
      </w:r>
      <w:r>
        <w:fldChar w:fldCharType="separate"/>
      </w:r>
      <w:r>
        <w:rPr>
          <w:rStyle w:val="49"/>
          <w:rFonts w:hint="eastAsia" w:ascii="宋体" w:hAnsi="宋体"/>
        </w:rPr>
        <w:t>三、技术文件</w:t>
      </w:r>
      <w:r>
        <w:tab/>
      </w:r>
      <w:r>
        <w:fldChar w:fldCharType="begin"/>
      </w:r>
      <w:r>
        <w:instrText xml:space="preserve"> PAGEREF _Toc8904127 \h </w:instrText>
      </w:r>
      <w:r>
        <w:fldChar w:fldCharType="separate"/>
      </w:r>
      <w:r>
        <w:t>75</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"_Toc8904128" </w:instrText>
      </w:r>
      <w:r>
        <w:fldChar w:fldCharType="separate"/>
      </w:r>
      <w:r>
        <w:rPr>
          <w:rStyle w:val="49"/>
          <w:rFonts w:hint="eastAsia"/>
        </w:rPr>
        <w:t>（一）小型或微型企业声明函</w:t>
      </w:r>
      <w:r>
        <w:tab/>
      </w:r>
      <w:r>
        <w:fldChar w:fldCharType="begin"/>
      </w:r>
      <w:r>
        <w:instrText xml:space="preserve"> PAGEREF _Toc8904128 \h </w:instrText>
      </w:r>
      <w:r>
        <w:fldChar w:fldCharType="separate"/>
      </w:r>
      <w:r>
        <w:t>75</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"_Toc8904129" </w:instrText>
      </w:r>
      <w:r>
        <w:fldChar w:fldCharType="separate"/>
      </w:r>
      <w:r>
        <w:rPr>
          <w:rStyle w:val="49"/>
          <w:rFonts w:hint="eastAsia"/>
        </w:rPr>
        <w:t>（二）残疾人福利性单位声明函</w:t>
      </w:r>
      <w:r>
        <w:tab/>
      </w:r>
      <w:r>
        <w:fldChar w:fldCharType="begin"/>
      </w:r>
      <w:r>
        <w:instrText xml:space="preserve"> PAGEREF _Toc8904129 \h </w:instrText>
      </w:r>
      <w:r>
        <w:fldChar w:fldCharType="separate"/>
      </w:r>
      <w:r>
        <w:t>76</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"_Toc8904130" </w:instrText>
      </w:r>
      <w:r>
        <w:fldChar w:fldCharType="separate"/>
      </w:r>
      <w:r>
        <w:rPr>
          <w:rStyle w:val="49"/>
          <w:rFonts w:hint="eastAsia"/>
        </w:rPr>
        <w:t>（三）投标响应与用户需求书差异一览表</w:t>
      </w:r>
      <w:r>
        <w:tab/>
      </w:r>
      <w:r>
        <w:fldChar w:fldCharType="begin"/>
      </w:r>
      <w:r>
        <w:instrText xml:space="preserve"> PAGEREF _Toc8904130 \h </w:instrText>
      </w:r>
      <w:r>
        <w:fldChar w:fldCharType="separate"/>
      </w:r>
      <w:r>
        <w:t>77</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"_Toc8904131" </w:instrText>
      </w:r>
      <w:r>
        <w:fldChar w:fldCharType="separate"/>
      </w:r>
      <w:r>
        <w:rPr>
          <w:rStyle w:val="49"/>
          <w:rFonts w:hint="eastAsia"/>
        </w:rPr>
        <w:t>（四）投标技术服务方案</w:t>
      </w:r>
      <w:r>
        <w:tab/>
      </w:r>
      <w:r>
        <w:fldChar w:fldCharType="begin"/>
      </w:r>
      <w:r>
        <w:instrText xml:space="preserve"> PAGEREF _Toc8904131 \h </w:instrText>
      </w:r>
      <w:r>
        <w:fldChar w:fldCharType="separate"/>
      </w:r>
      <w:r>
        <w:t>78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"_Toc8904132" </w:instrText>
      </w:r>
      <w:r>
        <w:fldChar w:fldCharType="separate"/>
      </w:r>
      <w:r>
        <w:rPr>
          <w:rStyle w:val="49"/>
        </w:rPr>
        <w:t>1.</w:t>
      </w:r>
      <w:r>
        <w:rPr>
          <w:rStyle w:val="49"/>
          <w:rFonts w:hint="eastAsia"/>
        </w:rPr>
        <w:t>投标技术服务方案</w:t>
      </w:r>
      <w:r>
        <w:tab/>
      </w:r>
      <w:r>
        <w:fldChar w:fldCharType="begin"/>
      </w:r>
      <w:r>
        <w:instrText xml:space="preserve"> PAGEREF _Toc8904132 \h </w:instrText>
      </w:r>
      <w:r>
        <w:fldChar w:fldCharType="separate"/>
      </w:r>
      <w:r>
        <w:t>78</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"_Toc8904133" </w:instrText>
      </w:r>
      <w:r>
        <w:fldChar w:fldCharType="separate"/>
      </w:r>
      <w:r>
        <w:rPr>
          <w:rStyle w:val="49"/>
        </w:rPr>
        <w:t>2.</w:t>
      </w:r>
      <w:r>
        <w:rPr>
          <w:rStyle w:val="49"/>
          <w:rFonts w:hint="eastAsia"/>
        </w:rPr>
        <w:t>货物配置一览表</w:t>
      </w:r>
      <w:r>
        <w:tab/>
      </w:r>
      <w:r>
        <w:fldChar w:fldCharType="begin"/>
      </w:r>
      <w:r>
        <w:instrText xml:space="preserve"> PAGEREF _Toc8904133 \h </w:instrText>
      </w:r>
      <w:r>
        <w:fldChar w:fldCharType="separate"/>
      </w:r>
      <w:r>
        <w:t>79</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"_Toc8904134" </w:instrText>
      </w:r>
      <w:r>
        <w:fldChar w:fldCharType="separate"/>
      </w:r>
      <w:r>
        <w:rPr>
          <w:rStyle w:val="49"/>
          <w:rFonts w:hint="eastAsia"/>
        </w:rPr>
        <w:t>（五）重要评分条款（标记▲）响应表</w:t>
      </w:r>
      <w:r>
        <w:tab/>
      </w:r>
      <w:r>
        <w:fldChar w:fldCharType="begin"/>
      </w:r>
      <w:r>
        <w:instrText xml:space="preserve"> PAGEREF _Toc8904134 \h </w:instrText>
      </w:r>
      <w:r>
        <w:fldChar w:fldCharType="separate"/>
      </w:r>
      <w:r>
        <w:t>80</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"_Toc8904135" </w:instrText>
      </w:r>
      <w:r>
        <w:fldChar w:fldCharType="separate"/>
      </w:r>
      <w:r>
        <w:rPr>
          <w:rStyle w:val="49"/>
          <w:rFonts w:hint="eastAsia"/>
        </w:rPr>
        <w:t>（六）实质性条款（标记★）响应承诺函</w:t>
      </w:r>
      <w:r>
        <w:tab/>
      </w:r>
      <w:r>
        <w:fldChar w:fldCharType="begin"/>
      </w:r>
      <w:r>
        <w:instrText xml:space="preserve"> PAGEREF _Toc8904135 \h </w:instrText>
      </w:r>
      <w:r>
        <w:fldChar w:fldCharType="separate"/>
      </w:r>
      <w:r>
        <w:t>81</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"_Toc8904136" </w:instrText>
      </w:r>
      <w:r>
        <w:fldChar w:fldCharType="separate"/>
      </w:r>
      <w:r>
        <w:rPr>
          <w:rStyle w:val="49"/>
          <w:rFonts w:hint="eastAsia"/>
        </w:rPr>
        <w:t>（七）拟安排本项目技术服务人员情况表</w:t>
      </w:r>
      <w:r>
        <w:tab/>
      </w:r>
      <w:r>
        <w:fldChar w:fldCharType="begin"/>
      </w:r>
      <w:r>
        <w:instrText xml:space="preserve"> PAGEREF _Toc8904136 \h </w:instrText>
      </w:r>
      <w:r>
        <w:fldChar w:fldCharType="separate"/>
      </w:r>
      <w:r>
        <w:t>82</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"_Toc8904137" </w:instrText>
      </w:r>
      <w:r>
        <w:fldChar w:fldCharType="separate"/>
      </w:r>
      <w:r>
        <w:rPr>
          <w:rStyle w:val="49"/>
          <w:rFonts w:hint="eastAsia" w:ascii="宋体" w:hAnsi="宋体"/>
        </w:rPr>
        <w:t>四、唱标信封</w:t>
      </w:r>
      <w:r>
        <w:tab/>
      </w:r>
      <w:r>
        <w:fldChar w:fldCharType="begin"/>
      </w:r>
      <w:r>
        <w:instrText xml:space="preserve"> PAGEREF _Toc8904137 \h </w:instrText>
      </w:r>
      <w:r>
        <w:fldChar w:fldCharType="separate"/>
      </w:r>
      <w:r>
        <w:t>83</w:t>
      </w:r>
      <w:r>
        <w:fldChar w:fldCharType="end"/>
      </w:r>
      <w:r>
        <w:fldChar w:fldCharType="end"/>
      </w:r>
    </w:p>
    <w:p>
      <w:pPr>
        <w:pStyle w:val="21"/>
        <w:tabs>
          <w:tab w:val="right" w:leader="dot" w:pos="8835"/>
        </w:tabs>
        <w:rPr>
          <w:rFonts w:ascii="Calibri" w:hAnsi="Calibri"/>
          <w:sz w:val="21"/>
          <w:szCs w:val="22"/>
        </w:rPr>
      </w:pPr>
      <w:r>
        <w:fldChar w:fldCharType="begin"/>
      </w:r>
      <w:r>
        <w:instrText xml:space="preserve"> HYPERLINK \l "_Toc8904138" </w:instrText>
      </w:r>
      <w:r>
        <w:fldChar w:fldCharType="separate"/>
      </w:r>
      <w:r>
        <w:rPr>
          <w:rStyle w:val="49"/>
          <w:rFonts w:hint="eastAsia" w:ascii="宋体" w:hAnsi="宋体"/>
        </w:rPr>
        <w:t>五、附件</w:t>
      </w:r>
      <w:r>
        <w:rPr>
          <w:rStyle w:val="49"/>
          <w:rFonts w:hint="eastAsia" w:ascii="宋体" w:hAnsi="宋体" w:cs="Tahoma"/>
        </w:rPr>
        <w:t>（以下格式由供应商根据需要选用）</w:t>
      </w:r>
      <w:r>
        <w:tab/>
      </w:r>
      <w:r>
        <w:fldChar w:fldCharType="begin"/>
      </w:r>
      <w:r>
        <w:instrText xml:space="preserve"> PAGEREF _Toc8904138 \h </w:instrText>
      </w:r>
      <w:r>
        <w:fldChar w:fldCharType="separate"/>
      </w:r>
      <w:r>
        <w:t>84</w:t>
      </w:r>
      <w:r>
        <w:fldChar w:fldCharType="end"/>
      </w:r>
      <w:r>
        <w:fldChar w:fldCharType="end"/>
      </w:r>
    </w:p>
    <w:p>
      <w:pPr>
        <w:snapToGrid w:val="0"/>
        <w:spacing w:line="320" w:lineRule="exact"/>
        <w:jc w:val="center"/>
        <w:rPr>
          <w:rFonts w:ascii="宋体" w:hAnsi="宋体"/>
          <w:b/>
          <w:spacing w:val="30"/>
          <w:sz w:val="24"/>
          <w:szCs w:val="24"/>
        </w:rPr>
      </w:pPr>
      <w:r>
        <w:rPr>
          <w:rFonts w:hint="eastAsia" w:ascii="宋体" w:hAnsi="宋体"/>
          <w:b/>
          <w:spacing w:val="30"/>
          <w:sz w:val="24"/>
          <w:szCs w:val="24"/>
        </w:rPr>
        <w:fldChar w:fldCharType="end"/>
      </w:r>
      <w:r>
        <w:rPr>
          <w:rFonts w:ascii="宋体" w:hAnsi="宋体"/>
          <w:sz w:val="24"/>
          <w:szCs w:val="24"/>
        </w:rPr>
        <w:br w:type="page"/>
      </w: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pStyle w:val="3"/>
        <w:spacing w:before="0" w:after="0" w:line="400" w:lineRule="exact"/>
        <w:ind w:left="241" w:leftChars="115"/>
        <w:rPr>
          <w:rFonts w:ascii="宋体" w:hAnsi="宋体"/>
          <w:spacing w:val="20"/>
          <w:sz w:val="32"/>
          <w:szCs w:val="32"/>
        </w:rPr>
      </w:pPr>
      <w:bookmarkStart w:id="0" w:name="_第一部分__投标邀请"/>
      <w:bookmarkEnd w:id="0"/>
      <w:bookmarkStart w:id="1" w:name="_Toc8904059"/>
      <w:r>
        <w:rPr>
          <w:rFonts w:hint="eastAsia" w:ascii="宋体" w:hAnsi="宋体"/>
          <w:spacing w:val="20"/>
          <w:sz w:val="32"/>
          <w:szCs w:val="32"/>
        </w:rPr>
        <w:t>第一部分  投标邀请</w:t>
      </w:r>
      <w:bookmarkEnd w:id="1"/>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pPr>
    </w:p>
    <w:p>
      <w:pPr>
        <w:snapToGrid w:val="0"/>
        <w:spacing w:line="600" w:lineRule="exact"/>
        <w:jc w:val="center"/>
        <w:rPr>
          <w:rFonts w:ascii="宋体" w:hAnsi="宋体"/>
          <w:b/>
          <w:spacing w:val="30"/>
          <w:sz w:val="24"/>
          <w:szCs w:val="24"/>
        </w:rPr>
        <w:sectPr>
          <w:footerReference r:id="rId3" w:type="default"/>
          <w:footerReference r:id="rId4" w:type="even"/>
          <w:type w:val="nextColumn"/>
          <w:pgSz w:w="11907" w:h="16840"/>
          <w:pgMar w:top="1729" w:right="1531" w:bottom="1712" w:left="1531" w:header="1134" w:footer="1247" w:gutter="0"/>
          <w:paperSrc w:first="15" w:other="15"/>
          <w:cols w:space="720" w:num="1"/>
          <w:titlePg/>
          <w:docGrid w:linePitch="523" w:charSpace="0"/>
        </w:sectPr>
      </w:pPr>
    </w:p>
    <w:p>
      <w:pPr>
        <w:pStyle w:val="4"/>
        <w:spacing w:before="0" w:after="0" w:line="720" w:lineRule="auto"/>
        <w:rPr>
          <w:rFonts w:ascii="宋体" w:hAnsi="宋体" w:eastAsia="宋体"/>
          <w:bCs/>
          <w:sz w:val="24"/>
          <w:szCs w:val="24"/>
        </w:rPr>
      </w:pPr>
      <w:bookmarkStart w:id="2" w:name="_Toc208661934"/>
      <w:bookmarkStart w:id="3" w:name="_Toc8904060"/>
      <w:r>
        <w:rPr>
          <w:rFonts w:hint="eastAsia" w:ascii="宋体" w:hAnsi="宋体" w:eastAsia="宋体"/>
          <w:bCs/>
          <w:sz w:val="24"/>
          <w:szCs w:val="24"/>
        </w:rPr>
        <w:t>投标邀请</w:t>
      </w:r>
      <w:bookmarkEnd w:id="2"/>
      <w:r>
        <w:rPr>
          <w:rFonts w:hint="eastAsia" w:ascii="宋体" w:hAnsi="宋体" w:eastAsia="宋体"/>
          <w:bCs/>
          <w:sz w:val="24"/>
          <w:szCs w:val="24"/>
        </w:rPr>
        <w:t>函</w:t>
      </w:r>
      <w:bookmarkEnd w:id="3"/>
    </w:p>
    <w:p>
      <w:pPr>
        <w:pStyle w:val="87"/>
        <w:spacing w:line="470" w:lineRule="exact"/>
        <w:ind w:firstLine="494"/>
        <w:rPr>
          <w:rFonts w:ascii="宋体" w:eastAsia="宋体"/>
          <w:sz w:val="24"/>
          <w:szCs w:val="24"/>
        </w:rPr>
      </w:pPr>
      <w:r>
        <w:rPr>
          <w:rFonts w:hint="eastAsia" w:ascii="宋体" w:eastAsia="宋体"/>
          <w:sz w:val="24"/>
          <w:szCs w:val="24"/>
        </w:rPr>
        <w:t>东莞市达盛招标代理有限公司（以下简称“采购代理机构”）受东莞市环境监测中心站（以下简称“采购人”）的委托，对流动注射仪微波消解仪等仪器设备采购进行公开招标采购，欢迎符合资格条件的供应商投标。</w:t>
      </w:r>
    </w:p>
    <w:p>
      <w:pPr>
        <w:pStyle w:val="87"/>
        <w:spacing w:line="470" w:lineRule="exact"/>
        <w:ind w:firstLine="578" w:firstLineChars="0"/>
        <w:rPr>
          <w:rFonts w:ascii="宋体" w:eastAsia="宋体"/>
          <w:sz w:val="24"/>
          <w:szCs w:val="24"/>
        </w:rPr>
      </w:pPr>
      <w:r>
        <w:rPr>
          <w:rFonts w:hint="eastAsia" w:ascii="宋体" w:eastAsia="宋体"/>
          <w:b/>
          <w:sz w:val="24"/>
          <w:szCs w:val="24"/>
        </w:rPr>
        <w:t>一、采购项目编号</w:t>
      </w:r>
      <w:r>
        <w:rPr>
          <w:rFonts w:hint="eastAsia" w:ascii="宋体" w:eastAsia="宋体"/>
          <w:sz w:val="24"/>
          <w:szCs w:val="24"/>
        </w:rPr>
        <w:t>：441900-201905-0007004001-0002</w:t>
      </w:r>
    </w:p>
    <w:p>
      <w:pPr>
        <w:pStyle w:val="87"/>
        <w:spacing w:line="470" w:lineRule="exact"/>
        <w:ind w:firstLine="578" w:firstLineChars="0"/>
        <w:rPr>
          <w:rFonts w:ascii="宋体" w:eastAsia="宋体"/>
          <w:sz w:val="24"/>
          <w:szCs w:val="24"/>
        </w:rPr>
      </w:pPr>
      <w:r>
        <w:rPr>
          <w:rFonts w:hint="eastAsia" w:ascii="宋体" w:eastAsia="宋体"/>
          <w:b/>
          <w:sz w:val="24"/>
          <w:szCs w:val="24"/>
        </w:rPr>
        <w:t>二、采购项目名称</w:t>
      </w:r>
      <w:r>
        <w:rPr>
          <w:rFonts w:hint="eastAsia" w:ascii="宋体" w:eastAsia="宋体"/>
          <w:sz w:val="24"/>
          <w:szCs w:val="24"/>
        </w:rPr>
        <w:t>：流动注射仪微波消解仪等仪器设备采购</w:t>
      </w:r>
    </w:p>
    <w:p>
      <w:pPr>
        <w:pStyle w:val="87"/>
        <w:spacing w:line="470" w:lineRule="exact"/>
        <w:ind w:firstLine="578" w:firstLineChars="0"/>
        <w:rPr>
          <w:rFonts w:ascii="宋体" w:eastAsia="宋体"/>
          <w:sz w:val="24"/>
          <w:szCs w:val="24"/>
        </w:rPr>
      </w:pPr>
      <w:r>
        <w:rPr>
          <w:rFonts w:hint="eastAsia" w:ascii="宋体" w:eastAsia="宋体"/>
          <w:b/>
          <w:sz w:val="24"/>
          <w:szCs w:val="24"/>
        </w:rPr>
        <w:t>三、采购项目预算金额（元）</w:t>
      </w:r>
      <w:r>
        <w:rPr>
          <w:rFonts w:hint="eastAsia" w:ascii="宋体" w:eastAsia="宋体"/>
          <w:sz w:val="24"/>
          <w:szCs w:val="24"/>
        </w:rPr>
        <w:t>：</w:t>
      </w:r>
      <w:r>
        <w:rPr>
          <w:rFonts w:ascii="宋体" w:eastAsia="宋体"/>
          <w:sz w:val="24"/>
          <w:szCs w:val="24"/>
        </w:rPr>
        <w:t>¥</w:t>
      </w:r>
      <w:r>
        <w:rPr>
          <w:rFonts w:hint="eastAsia" w:ascii="宋体" w:eastAsia="宋体"/>
          <w:sz w:val="24"/>
          <w:szCs w:val="24"/>
        </w:rPr>
        <w:t>1，920，000.00</w:t>
      </w:r>
    </w:p>
    <w:p>
      <w:pPr>
        <w:pStyle w:val="87"/>
        <w:spacing w:line="470" w:lineRule="exact"/>
        <w:ind w:firstLine="578" w:firstLineChars="0"/>
        <w:rPr>
          <w:rFonts w:ascii="宋体" w:eastAsia="宋体"/>
          <w:b/>
          <w:sz w:val="24"/>
          <w:szCs w:val="24"/>
        </w:rPr>
      </w:pPr>
      <w:r>
        <w:rPr>
          <w:rFonts w:hint="eastAsia" w:ascii="宋体" w:eastAsia="宋体"/>
          <w:b/>
          <w:sz w:val="24"/>
          <w:szCs w:val="24"/>
        </w:rPr>
        <w:t>四、采购项目内容及需求：</w:t>
      </w:r>
    </w:p>
    <w:tbl>
      <w:tblPr>
        <w:tblStyle w:val="43"/>
        <w:tblW w:w="7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872"/>
        <w:gridCol w:w="1454"/>
        <w:gridCol w:w="193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777" w:type="dxa"/>
            <w:vAlign w:val="center"/>
          </w:tcPr>
          <w:p>
            <w:pPr>
              <w:pStyle w:val="87"/>
              <w:autoSpaceDE w:val="0"/>
              <w:autoSpaceDN w:val="0"/>
              <w:adjustRightInd w:val="0"/>
              <w:spacing w:line="360" w:lineRule="exact"/>
              <w:ind w:firstLine="0" w:firstLineChars="0"/>
              <w:jc w:val="center"/>
              <w:rPr>
                <w:rFonts w:ascii="宋体" w:eastAsia="宋体"/>
                <w:sz w:val="24"/>
                <w:szCs w:val="21"/>
              </w:rPr>
            </w:pPr>
            <w:r>
              <w:rPr>
                <w:rFonts w:hint="eastAsia" w:ascii="宋体" w:eastAsia="宋体"/>
                <w:sz w:val="24"/>
                <w:szCs w:val="21"/>
              </w:rPr>
              <w:t>包号</w:t>
            </w:r>
          </w:p>
        </w:tc>
        <w:tc>
          <w:tcPr>
            <w:tcW w:w="1872" w:type="dxa"/>
            <w:vAlign w:val="center"/>
          </w:tcPr>
          <w:p>
            <w:pPr>
              <w:pStyle w:val="87"/>
              <w:autoSpaceDE w:val="0"/>
              <w:autoSpaceDN w:val="0"/>
              <w:adjustRightInd w:val="0"/>
              <w:spacing w:line="360" w:lineRule="exact"/>
              <w:ind w:firstLine="0" w:firstLineChars="0"/>
              <w:jc w:val="center"/>
              <w:rPr>
                <w:rFonts w:ascii="宋体" w:eastAsia="宋体"/>
                <w:sz w:val="24"/>
                <w:szCs w:val="21"/>
              </w:rPr>
            </w:pPr>
            <w:r>
              <w:rPr>
                <w:rFonts w:hint="eastAsia" w:ascii="宋体" w:eastAsia="宋体"/>
                <w:sz w:val="24"/>
                <w:szCs w:val="21"/>
              </w:rPr>
              <w:t>货物/服务名称</w:t>
            </w:r>
          </w:p>
        </w:tc>
        <w:tc>
          <w:tcPr>
            <w:tcW w:w="1454" w:type="dxa"/>
            <w:vAlign w:val="center"/>
          </w:tcPr>
          <w:p>
            <w:pPr>
              <w:pStyle w:val="87"/>
              <w:autoSpaceDE w:val="0"/>
              <w:autoSpaceDN w:val="0"/>
              <w:adjustRightInd w:val="0"/>
              <w:spacing w:line="360" w:lineRule="exact"/>
              <w:ind w:firstLine="0" w:firstLineChars="0"/>
              <w:jc w:val="center"/>
              <w:rPr>
                <w:rFonts w:ascii="宋体" w:eastAsia="宋体"/>
                <w:sz w:val="24"/>
                <w:szCs w:val="21"/>
              </w:rPr>
            </w:pPr>
            <w:r>
              <w:rPr>
                <w:rFonts w:hint="eastAsia" w:ascii="宋体" w:eastAsia="宋体"/>
                <w:sz w:val="24"/>
                <w:szCs w:val="21"/>
              </w:rPr>
              <w:t>供货期</w:t>
            </w:r>
          </w:p>
        </w:tc>
        <w:tc>
          <w:tcPr>
            <w:tcW w:w="1930" w:type="dxa"/>
            <w:vAlign w:val="center"/>
          </w:tcPr>
          <w:p>
            <w:pPr>
              <w:pStyle w:val="87"/>
              <w:autoSpaceDE w:val="0"/>
              <w:autoSpaceDN w:val="0"/>
              <w:adjustRightInd w:val="0"/>
              <w:spacing w:line="360" w:lineRule="exact"/>
              <w:ind w:firstLine="0" w:firstLineChars="0"/>
              <w:jc w:val="center"/>
              <w:rPr>
                <w:rFonts w:ascii="宋体" w:eastAsia="宋体"/>
                <w:sz w:val="24"/>
                <w:szCs w:val="21"/>
              </w:rPr>
            </w:pPr>
            <w:r>
              <w:rPr>
                <w:rFonts w:hint="eastAsia" w:ascii="宋体" w:eastAsia="宋体"/>
                <w:sz w:val="24"/>
                <w:szCs w:val="21"/>
              </w:rPr>
              <w:t>质保期</w:t>
            </w:r>
          </w:p>
        </w:tc>
        <w:tc>
          <w:tcPr>
            <w:tcW w:w="1678" w:type="dxa"/>
            <w:vAlign w:val="center"/>
          </w:tcPr>
          <w:p>
            <w:pPr>
              <w:pStyle w:val="87"/>
              <w:autoSpaceDE w:val="0"/>
              <w:autoSpaceDN w:val="0"/>
              <w:adjustRightInd w:val="0"/>
              <w:spacing w:line="360" w:lineRule="exact"/>
              <w:ind w:firstLine="0" w:firstLineChars="0"/>
              <w:jc w:val="center"/>
              <w:rPr>
                <w:rFonts w:ascii="宋体" w:eastAsia="宋体"/>
                <w:sz w:val="24"/>
                <w:szCs w:val="21"/>
              </w:rPr>
            </w:pPr>
            <w:r>
              <w:rPr>
                <w:rFonts w:hint="eastAsia" w:ascii="宋体" w:eastAsia="宋体"/>
                <w:sz w:val="24"/>
                <w:szCs w:val="21"/>
              </w:rPr>
              <w:t>技术规格、参数及要求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777" w:type="dxa"/>
            <w:vAlign w:val="center"/>
          </w:tcPr>
          <w:p>
            <w:pPr>
              <w:pStyle w:val="87"/>
              <w:autoSpaceDE w:val="0"/>
              <w:autoSpaceDN w:val="0"/>
              <w:adjustRightInd w:val="0"/>
              <w:spacing w:line="410" w:lineRule="exact"/>
              <w:ind w:firstLine="0" w:firstLineChars="0"/>
              <w:jc w:val="center"/>
              <w:rPr>
                <w:rFonts w:ascii="宋体" w:eastAsia="宋体"/>
                <w:sz w:val="24"/>
                <w:szCs w:val="21"/>
              </w:rPr>
            </w:pPr>
            <w:r>
              <w:rPr>
                <w:rFonts w:hint="eastAsia" w:ascii="宋体" w:eastAsia="宋体"/>
                <w:sz w:val="24"/>
                <w:szCs w:val="21"/>
              </w:rPr>
              <w:t>A</w:t>
            </w:r>
          </w:p>
        </w:tc>
        <w:tc>
          <w:tcPr>
            <w:tcW w:w="1872" w:type="dxa"/>
            <w:vAlign w:val="center"/>
          </w:tcPr>
          <w:p>
            <w:pPr>
              <w:pStyle w:val="87"/>
              <w:autoSpaceDE w:val="0"/>
              <w:autoSpaceDN w:val="0"/>
              <w:adjustRightInd w:val="0"/>
              <w:spacing w:line="410" w:lineRule="exact"/>
              <w:ind w:firstLine="0" w:firstLineChars="0"/>
              <w:jc w:val="center"/>
              <w:rPr>
                <w:rFonts w:ascii="宋体" w:eastAsia="宋体"/>
                <w:sz w:val="24"/>
                <w:szCs w:val="21"/>
              </w:rPr>
            </w:pPr>
            <w:r>
              <w:rPr>
                <w:rFonts w:hint="eastAsia" w:ascii="宋体" w:eastAsia="宋体"/>
                <w:sz w:val="24"/>
                <w:szCs w:val="21"/>
              </w:rPr>
              <w:t>流动注射仪微波消解仪等仪器设备采购</w:t>
            </w:r>
          </w:p>
        </w:tc>
        <w:tc>
          <w:tcPr>
            <w:tcW w:w="1454" w:type="dxa"/>
            <w:vAlign w:val="center"/>
          </w:tcPr>
          <w:p>
            <w:pPr>
              <w:pStyle w:val="87"/>
              <w:autoSpaceDE w:val="0"/>
              <w:autoSpaceDN w:val="0"/>
              <w:adjustRightInd w:val="0"/>
              <w:spacing w:line="410" w:lineRule="exact"/>
              <w:ind w:firstLine="0" w:firstLineChars="0"/>
              <w:jc w:val="center"/>
              <w:rPr>
                <w:rFonts w:ascii="宋体" w:eastAsia="宋体"/>
                <w:sz w:val="24"/>
                <w:szCs w:val="21"/>
              </w:rPr>
            </w:pPr>
            <w:r>
              <w:rPr>
                <w:rFonts w:hint="eastAsia" w:ascii="宋体" w:eastAsia="宋体"/>
                <w:sz w:val="24"/>
                <w:szCs w:val="21"/>
              </w:rPr>
              <w:t>合同签订后90天内完成供货。</w:t>
            </w:r>
          </w:p>
        </w:tc>
        <w:tc>
          <w:tcPr>
            <w:tcW w:w="1930" w:type="dxa"/>
            <w:vAlign w:val="center"/>
          </w:tcPr>
          <w:p>
            <w:pPr>
              <w:pStyle w:val="87"/>
              <w:autoSpaceDE w:val="0"/>
              <w:autoSpaceDN w:val="0"/>
              <w:adjustRightInd w:val="0"/>
              <w:spacing w:line="410" w:lineRule="exact"/>
              <w:ind w:firstLine="0" w:firstLineChars="0"/>
              <w:jc w:val="center"/>
              <w:rPr>
                <w:rFonts w:ascii="宋体" w:eastAsia="宋体"/>
                <w:sz w:val="24"/>
                <w:szCs w:val="21"/>
              </w:rPr>
            </w:pPr>
            <w:r>
              <w:rPr>
                <w:rFonts w:hint="eastAsia" w:ascii="宋体" w:eastAsia="宋体"/>
                <w:sz w:val="24"/>
                <w:szCs w:val="21"/>
              </w:rPr>
              <w:t>流动注射仪、分液漏斗振荡器质保期3年；微波消解仪、分光光度计质保期2年；其他设备质保期1年，自设备验收合格之日起算；</w:t>
            </w:r>
          </w:p>
        </w:tc>
        <w:tc>
          <w:tcPr>
            <w:tcW w:w="1678" w:type="dxa"/>
            <w:vAlign w:val="center"/>
          </w:tcPr>
          <w:p>
            <w:pPr>
              <w:pStyle w:val="87"/>
              <w:autoSpaceDE w:val="0"/>
              <w:autoSpaceDN w:val="0"/>
              <w:adjustRightInd w:val="0"/>
              <w:spacing w:line="410" w:lineRule="exact"/>
              <w:ind w:firstLine="0" w:firstLineChars="0"/>
              <w:jc w:val="center"/>
              <w:rPr>
                <w:rFonts w:ascii="宋体" w:eastAsia="宋体"/>
                <w:sz w:val="24"/>
                <w:szCs w:val="21"/>
              </w:rPr>
            </w:pPr>
            <w:r>
              <w:rPr>
                <w:rFonts w:hint="eastAsia" w:ascii="宋体" w:eastAsia="宋体"/>
                <w:sz w:val="24"/>
                <w:szCs w:val="21"/>
              </w:rPr>
              <w:t>详见招标文件</w:t>
            </w:r>
          </w:p>
        </w:tc>
      </w:tr>
    </w:tbl>
    <w:p>
      <w:pPr>
        <w:pStyle w:val="87"/>
        <w:spacing w:line="470" w:lineRule="exact"/>
        <w:ind w:firstLine="482" w:firstLineChars="200"/>
        <w:rPr>
          <w:rFonts w:ascii="宋体" w:eastAsia="宋体"/>
          <w:b/>
          <w:sz w:val="24"/>
          <w:szCs w:val="24"/>
        </w:rPr>
      </w:pPr>
      <w:r>
        <w:rPr>
          <w:rFonts w:hint="eastAsia" w:ascii="宋体" w:eastAsia="宋体"/>
          <w:b/>
          <w:sz w:val="24"/>
          <w:szCs w:val="24"/>
        </w:rPr>
        <w:t>五、供应商资格要求</w:t>
      </w:r>
    </w:p>
    <w:p>
      <w:pPr>
        <w:pStyle w:val="87"/>
        <w:spacing w:line="470" w:lineRule="exact"/>
        <w:ind w:firstLine="480" w:firstLineChars="200"/>
        <w:rPr>
          <w:rFonts w:ascii="宋体" w:eastAsia="宋体"/>
          <w:sz w:val="24"/>
          <w:szCs w:val="24"/>
        </w:rPr>
      </w:pPr>
      <w:r>
        <w:rPr>
          <w:rFonts w:hint="eastAsia" w:ascii="宋体" w:eastAsia="宋体"/>
          <w:sz w:val="24"/>
          <w:szCs w:val="24"/>
        </w:rPr>
        <w:t>1.供应商须符合《中华人民共和国政府采购法》第二十二条规定。</w:t>
      </w:r>
    </w:p>
    <w:p>
      <w:pPr>
        <w:pStyle w:val="87"/>
        <w:spacing w:line="470" w:lineRule="exact"/>
        <w:ind w:firstLine="480" w:firstLineChars="200"/>
        <w:rPr>
          <w:rFonts w:ascii="宋体" w:eastAsia="宋体"/>
          <w:sz w:val="24"/>
          <w:szCs w:val="24"/>
        </w:rPr>
      </w:pPr>
      <w:r>
        <w:rPr>
          <w:rFonts w:hint="eastAsia" w:ascii="宋体" w:eastAsia="宋体"/>
          <w:sz w:val="24"/>
          <w:szCs w:val="24"/>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本次采购活动。</w:t>
      </w:r>
    </w:p>
    <w:p>
      <w:pPr>
        <w:pStyle w:val="87"/>
        <w:spacing w:line="470" w:lineRule="exact"/>
        <w:ind w:firstLine="480" w:firstLineChars="200"/>
        <w:rPr>
          <w:rFonts w:ascii="宋体" w:eastAsia="宋体"/>
          <w:sz w:val="24"/>
          <w:szCs w:val="24"/>
        </w:rPr>
      </w:pPr>
      <w:r>
        <w:rPr>
          <w:rFonts w:hint="eastAsia" w:ascii="宋体" w:eastAsia="宋体"/>
          <w:sz w:val="24"/>
          <w:szCs w:val="24"/>
        </w:rPr>
        <w:t>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p>
      <w:pPr>
        <w:pStyle w:val="87"/>
        <w:spacing w:line="470" w:lineRule="exact"/>
        <w:ind w:firstLine="480" w:firstLineChars="200"/>
        <w:rPr>
          <w:rFonts w:ascii="宋体" w:eastAsia="宋体"/>
          <w:sz w:val="24"/>
          <w:szCs w:val="24"/>
        </w:rPr>
      </w:pPr>
      <w:r>
        <w:rPr>
          <w:rFonts w:hint="eastAsia" w:ascii="宋体" w:eastAsia="宋体"/>
          <w:sz w:val="24"/>
          <w:szCs w:val="24"/>
        </w:rPr>
        <w:t>4.本项目不接受联合体投标。</w:t>
      </w:r>
    </w:p>
    <w:p>
      <w:pPr>
        <w:pStyle w:val="87"/>
        <w:spacing w:line="470" w:lineRule="exact"/>
        <w:ind w:firstLine="496"/>
        <w:rPr>
          <w:rFonts w:ascii="宋体" w:eastAsia="宋体"/>
          <w:b/>
          <w:sz w:val="24"/>
          <w:szCs w:val="24"/>
        </w:rPr>
      </w:pPr>
      <w:r>
        <w:rPr>
          <w:rFonts w:hint="eastAsia" w:ascii="宋体" w:eastAsia="宋体"/>
          <w:b/>
          <w:sz w:val="24"/>
          <w:szCs w:val="24"/>
        </w:rPr>
        <w:t>六、获取招标文件的时间、地点、方式及招标文件售价</w:t>
      </w:r>
    </w:p>
    <w:p>
      <w:pPr>
        <w:pStyle w:val="87"/>
        <w:spacing w:line="470" w:lineRule="exact"/>
        <w:ind w:firstLine="494"/>
        <w:rPr>
          <w:rFonts w:ascii="宋体" w:eastAsia="宋体"/>
          <w:sz w:val="24"/>
          <w:szCs w:val="24"/>
        </w:rPr>
      </w:pPr>
      <w:r>
        <w:rPr>
          <w:rFonts w:hint="eastAsia" w:ascii="宋体" w:eastAsia="宋体"/>
          <w:sz w:val="24"/>
          <w:szCs w:val="24"/>
        </w:rPr>
        <w:t>1.获取招标文件时间：2019年</w:t>
      </w:r>
      <w:r>
        <w:rPr>
          <w:rFonts w:hint="eastAsia" w:ascii="宋体" w:eastAsia="宋体"/>
          <w:sz w:val="24"/>
          <w:szCs w:val="24"/>
          <w:lang w:val="en-US" w:eastAsia="zh-CN"/>
        </w:rPr>
        <w:t>05</w:t>
      </w:r>
      <w:r>
        <w:rPr>
          <w:rFonts w:hint="eastAsia" w:ascii="宋体" w:eastAsia="宋体"/>
          <w:sz w:val="24"/>
          <w:szCs w:val="24"/>
        </w:rPr>
        <w:t>月</w:t>
      </w:r>
      <w:r>
        <w:rPr>
          <w:rFonts w:hint="eastAsia" w:ascii="宋体" w:eastAsia="宋体"/>
          <w:sz w:val="24"/>
          <w:szCs w:val="24"/>
          <w:lang w:val="en-US" w:eastAsia="zh-CN"/>
        </w:rPr>
        <w:t>30</w:t>
      </w:r>
      <w:r>
        <w:rPr>
          <w:rFonts w:hint="eastAsia" w:ascii="宋体" w:eastAsia="宋体"/>
          <w:sz w:val="24"/>
          <w:szCs w:val="24"/>
        </w:rPr>
        <w:t>日起至2019年</w:t>
      </w:r>
      <w:r>
        <w:rPr>
          <w:rFonts w:hint="eastAsia" w:ascii="宋体" w:eastAsia="宋体"/>
          <w:sz w:val="24"/>
          <w:szCs w:val="24"/>
          <w:lang w:val="en-US" w:eastAsia="zh-CN"/>
        </w:rPr>
        <w:t>06</w:t>
      </w:r>
      <w:r>
        <w:rPr>
          <w:rFonts w:hint="eastAsia" w:ascii="宋体" w:eastAsia="宋体"/>
          <w:sz w:val="24"/>
          <w:szCs w:val="24"/>
        </w:rPr>
        <w:t>月</w:t>
      </w:r>
      <w:r>
        <w:rPr>
          <w:rFonts w:hint="eastAsia" w:ascii="宋体" w:eastAsia="宋体"/>
          <w:sz w:val="24"/>
          <w:szCs w:val="24"/>
          <w:lang w:val="en-US" w:eastAsia="zh-CN"/>
        </w:rPr>
        <w:t>06</w:t>
      </w:r>
      <w:r>
        <w:rPr>
          <w:rFonts w:hint="eastAsia" w:ascii="宋体" w:eastAsia="宋体"/>
          <w:sz w:val="24"/>
          <w:szCs w:val="24"/>
        </w:rPr>
        <w:t>日（节假日除外），上午09:00～12:00，下午14:00～17:00（北京时间）。</w:t>
      </w:r>
    </w:p>
    <w:p>
      <w:pPr>
        <w:pStyle w:val="87"/>
        <w:spacing w:line="470" w:lineRule="exact"/>
        <w:ind w:firstLine="494"/>
        <w:rPr>
          <w:rFonts w:ascii="宋体" w:eastAsia="宋体"/>
          <w:sz w:val="24"/>
          <w:szCs w:val="24"/>
        </w:rPr>
      </w:pPr>
      <w:r>
        <w:rPr>
          <w:rFonts w:hint="eastAsia" w:ascii="宋体" w:eastAsia="宋体"/>
          <w:sz w:val="24"/>
          <w:szCs w:val="24"/>
        </w:rPr>
        <w:t>2.获取招标文件地点：东莞市莞城街道罗沙社区达鑫创富中心8号八楼817、818号。</w:t>
      </w:r>
    </w:p>
    <w:p>
      <w:pPr>
        <w:pStyle w:val="87"/>
        <w:spacing w:line="470" w:lineRule="exact"/>
        <w:ind w:firstLine="494"/>
        <w:rPr>
          <w:rFonts w:ascii="宋体" w:eastAsia="宋体"/>
          <w:sz w:val="24"/>
          <w:szCs w:val="24"/>
        </w:rPr>
      </w:pPr>
      <w:r>
        <w:rPr>
          <w:rFonts w:hint="eastAsia" w:ascii="宋体" w:eastAsia="宋体"/>
          <w:sz w:val="24"/>
          <w:szCs w:val="24"/>
        </w:rPr>
        <w:t>3. 获取招标文件方式：现场购买。</w:t>
      </w:r>
    </w:p>
    <w:p>
      <w:pPr>
        <w:pStyle w:val="87"/>
        <w:spacing w:line="470" w:lineRule="exact"/>
        <w:ind w:firstLine="494"/>
        <w:rPr>
          <w:rFonts w:ascii="宋体" w:eastAsia="宋体"/>
          <w:sz w:val="24"/>
          <w:szCs w:val="24"/>
        </w:rPr>
      </w:pPr>
      <w:r>
        <w:rPr>
          <w:rFonts w:hint="eastAsia" w:ascii="宋体" w:eastAsia="宋体"/>
          <w:sz w:val="24"/>
          <w:szCs w:val="24"/>
        </w:rPr>
        <w:t>供应商凭营业执照、税务登记证、组织机构代码证复印件加盖公章购买招标文件。</w:t>
      </w:r>
    </w:p>
    <w:p>
      <w:pPr>
        <w:pStyle w:val="87"/>
        <w:spacing w:line="470" w:lineRule="exact"/>
        <w:ind w:firstLine="494"/>
        <w:rPr>
          <w:rFonts w:ascii="宋体" w:eastAsia="宋体"/>
          <w:sz w:val="24"/>
          <w:szCs w:val="24"/>
        </w:rPr>
      </w:pPr>
      <w:r>
        <w:rPr>
          <w:rFonts w:hint="eastAsia" w:ascii="宋体" w:eastAsia="宋体"/>
          <w:sz w:val="24"/>
          <w:szCs w:val="24"/>
        </w:rPr>
        <w:t>注：如三证合一的营业执照，则无需提供税务登记证和组织机构代码证。</w:t>
      </w:r>
    </w:p>
    <w:p>
      <w:pPr>
        <w:pStyle w:val="87"/>
        <w:spacing w:line="470" w:lineRule="exact"/>
        <w:ind w:firstLine="494"/>
        <w:rPr>
          <w:rFonts w:ascii="宋体" w:eastAsia="宋体"/>
          <w:sz w:val="24"/>
          <w:szCs w:val="24"/>
        </w:rPr>
      </w:pPr>
      <w:r>
        <w:rPr>
          <w:rFonts w:hint="eastAsia" w:ascii="宋体" w:eastAsia="宋体"/>
          <w:sz w:val="24"/>
          <w:szCs w:val="24"/>
        </w:rPr>
        <w:t>4.招标文件售价：人民币150元（接受现金或微信支付方式）。</w:t>
      </w:r>
    </w:p>
    <w:p>
      <w:pPr>
        <w:pStyle w:val="87"/>
        <w:spacing w:line="470" w:lineRule="exact"/>
        <w:ind w:firstLine="496"/>
        <w:rPr>
          <w:rFonts w:ascii="宋体" w:eastAsia="宋体"/>
          <w:b/>
          <w:sz w:val="24"/>
          <w:szCs w:val="24"/>
        </w:rPr>
      </w:pPr>
      <w:r>
        <w:rPr>
          <w:rFonts w:hint="eastAsia" w:ascii="宋体" w:eastAsia="宋体"/>
          <w:b/>
          <w:sz w:val="24"/>
          <w:szCs w:val="24"/>
        </w:rPr>
        <w:t>七、投标截止时间、开标时间、地点及开标事宜</w:t>
      </w:r>
    </w:p>
    <w:p>
      <w:pPr>
        <w:pStyle w:val="87"/>
        <w:spacing w:line="470" w:lineRule="exact"/>
        <w:ind w:firstLine="494"/>
        <w:rPr>
          <w:rFonts w:ascii="宋体" w:eastAsia="宋体"/>
          <w:sz w:val="24"/>
          <w:szCs w:val="24"/>
        </w:rPr>
      </w:pPr>
      <w:r>
        <w:rPr>
          <w:rFonts w:hint="eastAsia" w:ascii="宋体" w:eastAsia="宋体"/>
          <w:sz w:val="24"/>
          <w:szCs w:val="24"/>
        </w:rPr>
        <w:t>1.递交投标文件时间：2019年</w:t>
      </w:r>
      <w:r>
        <w:rPr>
          <w:rFonts w:hint="eastAsia" w:ascii="宋体" w:eastAsia="宋体"/>
          <w:sz w:val="24"/>
          <w:szCs w:val="24"/>
          <w:lang w:val="en-US" w:eastAsia="zh-CN"/>
        </w:rPr>
        <w:t>06</w:t>
      </w:r>
      <w:r>
        <w:rPr>
          <w:rFonts w:hint="eastAsia" w:ascii="宋体" w:eastAsia="宋体"/>
          <w:sz w:val="24"/>
          <w:szCs w:val="24"/>
        </w:rPr>
        <w:t>月</w:t>
      </w:r>
      <w:r>
        <w:rPr>
          <w:rFonts w:hint="eastAsia" w:ascii="宋体" w:eastAsia="宋体"/>
          <w:sz w:val="24"/>
          <w:szCs w:val="24"/>
          <w:lang w:val="en-US" w:eastAsia="zh-CN"/>
        </w:rPr>
        <w:t>20</w:t>
      </w:r>
      <w:r>
        <w:rPr>
          <w:rFonts w:hint="eastAsia" w:ascii="宋体" w:eastAsia="宋体"/>
          <w:sz w:val="24"/>
          <w:szCs w:val="24"/>
        </w:rPr>
        <w:t>日上午</w:t>
      </w:r>
      <w:r>
        <w:rPr>
          <w:rFonts w:hint="eastAsia" w:ascii="宋体" w:eastAsia="宋体"/>
          <w:sz w:val="24"/>
          <w:szCs w:val="24"/>
          <w:lang w:val="en-US" w:eastAsia="zh-CN"/>
        </w:rPr>
        <w:t>10</w:t>
      </w:r>
      <w:r>
        <w:rPr>
          <w:rFonts w:hint="eastAsia" w:ascii="宋体" w:eastAsia="宋体"/>
          <w:sz w:val="24"/>
          <w:szCs w:val="24"/>
        </w:rPr>
        <w:t>:00～</w:t>
      </w:r>
      <w:r>
        <w:rPr>
          <w:rFonts w:hint="eastAsia" w:ascii="宋体" w:eastAsia="宋体"/>
          <w:sz w:val="24"/>
          <w:szCs w:val="24"/>
          <w:lang w:val="en-US" w:eastAsia="zh-CN"/>
        </w:rPr>
        <w:t>10</w:t>
      </w:r>
      <w:r>
        <w:rPr>
          <w:rFonts w:hint="eastAsia" w:ascii="宋体" w:eastAsia="宋体"/>
          <w:sz w:val="24"/>
          <w:szCs w:val="24"/>
        </w:rPr>
        <w:t>:30。</w:t>
      </w:r>
    </w:p>
    <w:p>
      <w:pPr>
        <w:pStyle w:val="87"/>
        <w:spacing w:line="470" w:lineRule="exact"/>
        <w:ind w:firstLine="494"/>
        <w:rPr>
          <w:rFonts w:ascii="宋体" w:eastAsia="宋体"/>
          <w:sz w:val="24"/>
          <w:szCs w:val="24"/>
        </w:rPr>
      </w:pPr>
      <w:r>
        <w:rPr>
          <w:rFonts w:hint="eastAsia" w:ascii="宋体" w:eastAsia="宋体"/>
          <w:sz w:val="24"/>
          <w:szCs w:val="24"/>
        </w:rPr>
        <w:t>2.投标截止及开标时间：2019年</w:t>
      </w:r>
      <w:r>
        <w:rPr>
          <w:rFonts w:hint="eastAsia" w:ascii="宋体" w:eastAsia="宋体"/>
          <w:sz w:val="24"/>
          <w:szCs w:val="24"/>
          <w:lang w:val="en-US" w:eastAsia="zh-CN"/>
        </w:rPr>
        <w:t>06</w:t>
      </w:r>
      <w:r>
        <w:rPr>
          <w:rFonts w:hint="eastAsia" w:ascii="宋体" w:eastAsia="宋体"/>
          <w:sz w:val="24"/>
          <w:szCs w:val="24"/>
        </w:rPr>
        <w:t>月</w:t>
      </w:r>
      <w:r>
        <w:rPr>
          <w:rFonts w:hint="eastAsia" w:ascii="宋体" w:eastAsia="宋体"/>
          <w:sz w:val="24"/>
          <w:szCs w:val="24"/>
          <w:lang w:val="en-US" w:eastAsia="zh-CN"/>
        </w:rPr>
        <w:t>20</w:t>
      </w:r>
      <w:r>
        <w:rPr>
          <w:rFonts w:hint="eastAsia" w:ascii="宋体" w:eastAsia="宋体"/>
          <w:sz w:val="24"/>
          <w:szCs w:val="24"/>
        </w:rPr>
        <w:t>日上午</w:t>
      </w:r>
      <w:r>
        <w:rPr>
          <w:rFonts w:hint="eastAsia" w:ascii="宋体" w:eastAsia="宋体"/>
          <w:sz w:val="24"/>
          <w:szCs w:val="24"/>
          <w:lang w:val="en-US" w:eastAsia="zh-CN"/>
        </w:rPr>
        <w:t>10</w:t>
      </w:r>
      <w:bookmarkStart w:id="136" w:name="_GoBack"/>
      <w:bookmarkEnd w:id="136"/>
      <w:r>
        <w:rPr>
          <w:rFonts w:hint="eastAsia" w:ascii="宋体" w:eastAsia="宋体"/>
          <w:sz w:val="24"/>
          <w:szCs w:val="24"/>
        </w:rPr>
        <w:t>时30分。</w:t>
      </w:r>
    </w:p>
    <w:p>
      <w:pPr>
        <w:pStyle w:val="87"/>
        <w:spacing w:line="470" w:lineRule="exact"/>
        <w:ind w:firstLine="494"/>
        <w:rPr>
          <w:rFonts w:hint="eastAsia" w:ascii="宋体" w:eastAsia="宋体"/>
          <w:color w:val="000000"/>
          <w:sz w:val="24"/>
          <w:szCs w:val="24"/>
          <w:lang w:eastAsia="zh-CN"/>
        </w:rPr>
      </w:pPr>
      <w:r>
        <w:rPr>
          <w:rFonts w:hint="eastAsia" w:ascii="宋体" w:eastAsia="宋体"/>
          <w:sz w:val="24"/>
          <w:szCs w:val="24"/>
        </w:rPr>
        <w:t>3.开标地点：</w:t>
      </w:r>
      <w:r>
        <w:rPr>
          <w:rFonts w:ascii="宋体" w:eastAsia="宋体"/>
          <w:sz w:val="24"/>
          <w:szCs w:val="24"/>
        </w:rPr>
        <w:t xml:space="preserve"> </w:t>
      </w:r>
      <w:r>
        <w:rPr>
          <w:rFonts w:hint="eastAsia" w:ascii="宋体" w:eastAsia="宋体"/>
          <w:color w:val="000000"/>
          <w:sz w:val="24"/>
          <w:szCs w:val="24"/>
        </w:rPr>
        <w:t>广东省东莞市南城区西平社区宏伟三路45号东莞市公共资源交易中心开标室</w:t>
      </w:r>
      <w:r>
        <w:rPr>
          <w:rFonts w:hint="eastAsia" w:ascii="宋体" w:eastAsia="宋体"/>
          <w:color w:val="000000"/>
          <w:sz w:val="24"/>
          <w:szCs w:val="24"/>
          <w:lang w:eastAsia="zh-CN"/>
        </w:rPr>
        <w:t>（</w:t>
      </w:r>
      <w:r>
        <w:rPr>
          <w:rFonts w:hint="eastAsia" w:ascii="宋体" w:eastAsia="宋体"/>
          <w:color w:val="000000"/>
          <w:sz w:val="24"/>
          <w:szCs w:val="24"/>
          <w:lang w:val="en-US" w:eastAsia="zh-CN"/>
        </w:rPr>
        <w:t>2</w:t>
      </w:r>
      <w:r>
        <w:rPr>
          <w:rFonts w:hint="eastAsia" w:ascii="宋体" w:eastAsia="宋体"/>
          <w:color w:val="000000"/>
          <w:sz w:val="24"/>
          <w:szCs w:val="24"/>
          <w:lang w:eastAsia="zh-CN"/>
        </w:rPr>
        <w:t>）。</w:t>
      </w:r>
    </w:p>
    <w:p>
      <w:pPr>
        <w:pStyle w:val="87"/>
        <w:spacing w:line="470" w:lineRule="exact"/>
        <w:ind w:firstLine="494"/>
        <w:rPr>
          <w:rFonts w:ascii="宋体" w:eastAsia="宋体"/>
          <w:sz w:val="24"/>
          <w:szCs w:val="24"/>
        </w:rPr>
      </w:pPr>
      <w:r>
        <w:rPr>
          <w:rFonts w:hint="eastAsia" w:ascii="宋体" w:eastAsia="宋体"/>
          <w:sz w:val="24"/>
          <w:szCs w:val="24"/>
        </w:rPr>
        <w:t>4.采购代理机构只接受已办理报名及登记的供应商递交投标文件。届时请各供应商的法定代表人或其正式授权代表务必携带有效身份证明签名报到，以证明其出席；否则，其投标将被拒绝。</w:t>
      </w:r>
    </w:p>
    <w:p>
      <w:pPr>
        <w:pStyle w:val="87"/>
        <w:spacing w:line="470" w:lineRule="exact"/>
        <w:ind w:firstLine="494"/>
        <w:rPr>
          <w:rFonts w:ascii="宋体" w:eastAsia="宋体"/>
          <w:sz w:val="24"/>
          <w:szCs w:val="24"/>
        </w:rPr>
      </w:pPr>
      <w:r>
        <w:rPr>
          <w:rFonts w:hint="eastAsia" w:ascii="宋体" w:eastAsia="宋体"/>
          <w:sz w:val="24"/>
          <w:szCs w:val="24"/>
        </w:rPr>
        <w:t>八、本次采购项目的投标保证金金额：人民币</w:t>
      </w:r>
      <w:r>
        <w:rPr>
          <w:rFonts w:hint="eastAsia" w:ascii="宋体" w:eastAsia="宋体"/>
          <w:sz w:val="24"/>
          <w:szCs w:val="24"/>
          <w:u w:val="single"/>
        </w:rPr>
        <w:t xml:space="preserve"> ¥38，000.00 </w:t>
      </w:r>
      <w:r>
        <w:rPr>
          <w:rFonts w:hint="eastAsia" w:ascii="宋体" w:eastAsia="宋体"/>
          <w:sz w:val="24"/>
          <w:szCs w:val="24"/>
        </w:rPr>
        <w:t>元。投标保证金有关事宜请联系张小姐0769-22113226。</w:t>
      </w:r>
    </w:p>
    <w:p>
      <w:pPr>
        <w:pStyle w:val="87"/>
        <w:spacing w:line="470" w:lineRule="exact"/>
        <w:ind w:firstLine="494"/>
        <w:rPr>
          <w:rFonts w:ascii="宋体" w:eastAsia="宋体"/>
          <w:sz w:val="24"/>
          <w:szCs w:val="24"/>
        </w:rPr>
      </w:pPr>
      <w:r>
        <w:rPr>
          <w:rFonts w:hint="eastAsia" w:ascii="宋体" w:eastAsia="宋体"/>
          <w:sz w:val="24"/>
          <w:szCs w:val="24"/>
        </w:rPr>
        <w:t>九、本项目收取履约保证金。</w:t>
      </w:r>
    </w:p>
    <w:p>
      <w:pPr>
        <w:pStyle w:val="87"/>
        <w:spacing w:line="470" w:lineRule="exact"/>
        <w:ind w:firstLine="494"/>
        <w:rPr>
          <w:rFonts w:ascii="宋体" w:eastAsia="宋体"/>
          <w:sz w:val="24"/>
          <w:szCs w:val="24"/>
        </w:rPr>
      </w:pPr>
      <w:r>
        <w:rPr>
          <w:rFonts w:hint="eastAsia" w:ascii="宋体" w:eastAsia="宋体"/>
          <w:sz w:val="24"/>
          <w:szCs w:val="24"/>
        </w:rPr>
        <w:t>十、关于政府采购供应商在广东省注册登记以及在东莞市建档入库的说明（善意提醒：如中标单位未完成注册或建档，项目将无法对外发布中标公告，请投标人至少在投标截止时间3个工作日前成功办理注册或建档手续）</w:t>
      </w:r>
    </w:p>
    <w:p>
      <w:pPr>
        <w:pStyle w:val="87"/>
        <w:wordWrap w:val="0"/>
        <w:spacing w:line="470" w:lineRule="exact"/>
        <w:ind w:firstLine="494"/>
        <w:rPr>
          <w:rFonts w:ascii="宋体" w:eastAsia="宋体"/>
          <w:sz w:val="24"/>
          <w:szCs w:val="24"/>
        </w:rPr>
      </w:pPr>
      <w:r>
        <w:rPr>
          <w:rFonts w:hint="eastAsia" w:ascii="宋体" w:eastAsia="宋体"/>
          <w:sz w:val="24"/>
          <w:szCs w:val="24"/>
        </w:rPr>
        <w:t>（1）供应商应在开标前登录广东省政府采购网（办事指南链接： http://www.gdgpo.com/workEnchiridion.html）完成供应商注册登记。详见广东省政府采购网《关于做好供应商注册登记有关工作的通知》（http://www.gdgpo.gov.cn/show/id/40288ba950cda14e0150d65e5e9c21f8.html）</w:t>
      </w:r>
    </w:p>
    <w:p>
      <w:pPr>
        <w:pStyle w:val="87"/>
        <w:wordWrap w:val="0"/>
        <w:spacing w:line="470" w:lineRule="exact"/>
        <w:ind w:firstLine="494"/>
        <w:rPr>
          <w:rFonts w:ascii="宋体" w:eastAsia="宋体"/>
          <w:sz w:val="24"/>
          <w:szCs w:val="24"/>
        </w:rPr>
      </w:pPr>
      <w:r>
        <w:rPr>
          <w:rFonts w:hint="eastAsia" w:ascii="宋体" w:eastAsia="宋体"/>
          <w:sz w:val="24"/>
          <w:szCs w:val="24"/>
        </w:rPr>
        <w:t>（2）凡参与我市政府采购活动的供应商，应在开标前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详见东莞市政府采购网重要通告《关于做好政府采购供应商建档入库的通知》（http://czj.dg.gov.cn/dggp/portal/documentView.do?method=view&amp;id=2360453）</w:t>
      </w:r>
    </w:p>
    <w:p>
      <w:pPr>
        <w:pStyle w:val="87"/>
        <w:spacing w:line="450" w:lineRule="exact"/>
        <w:ind w:firstLine="494"/>
        <w:jc w:val="right"/>
        <w:rPr>
          <w:rFonts w:ascii="宋体" w:eastAsia="宋体"/>
          <w:sz w:val="24"/>
          <w:szCs w:val="24"/>
        </w:rPr>
      </w:pPr>
    </w:p>
    <w:p>
      <w:pPr>
        <w:pStyle w:val="87"/>
        <w:spacing w:line="450" w:lineRule="exact"/>
        <w:ind w:firstLine="494"/>
        <w:jc w:val="right"/>
        <w:rPr>
          <w:rFonts w:ascii="宋体" w:eastAsia="宋体"/>
          <w:sz w:val="24"/>
          <w:szCs w:val="24"/>
        </w:rPr>
      </w:pPr>
    </w:p>
    <w:p>
      <w:pPr>
        <w:pStyle w:val="87"/>
        <w:spacing w:line="450" w:lineRule="exact"/>
        <w:ind w:firstLine="494"/>
        <w:jc w:val="right"/>
        <w:rPr>
          <w:rFonts w:ascii="宋体" w:eastAsia="宋体"/>
          <w:sz w:val="24"/>
          <w:szCs w:val="24"/>
        </w:rPr>
      </w:pPr>
      <w:r>
        <w:rPr>
          <w:rFonts w:hint="eastAsia" w:ascii="宋体" w:eastAsia="宋体"/>
          <w:sz w:val="24"/>
          <w:szCs w:val="24"/>
        </w:rPr>
        <w:t>东莞市达盛招标代理有限公司</w:t>
      </w:r>
    </w:p>
    <w:p>
      <w:pPr>
        <w:pStyle w:val="87"/>
        <w:spacing w:line="450" w:lineRule="exact"/>
        <w:ind w:firstLine="494"/>
        <w:jc w:val="right"/>
        <w:rPr>
          <w:rFonts w:ascii="宋体" w:eastAsia="宋体"/>
          <w:sz w:val="24"/>
          <w:szCs w:val="24"/>
        </w:rPr>
      </w:pPr>
      <w:r>
        <w:rPr>
          <w:rFonts w:hint="eastAsia" w:ascii="宋体" w:eastAsia="宋体"/>
          <w:sz w:val="24"/>
          <w:szCs w:val="24"/>
        </w:rPr>
        <w:t>二〇一九年五月</w:t>
      </w: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pStyle w:val="3"/>
        <w:spacing w:before="0" w:after="0" w:line="400" w:lineRule="exact"/>
        <w:ind w:left="241" w:leftChars="115"/>
        <w:rPr>
          <w:rFonts w:ascii="宋体" w:hAnsi="宋体"/>
          <w:spacing w:val="20"/>
          <w:sz w:val="32"/>
          <w:szCs w:val="32"/>
        </w:rPr>
      </w:pPr>
      <w:bookmarkStart w:id="4" w:name="_Toc8904061"/>
      <w:r>
        <w:rPr>
          <w:rFonts w:hint="eastAsia" w:ascii="宋体" w:hAnsi="宋体"/>
          <w:spacing w:val="20"/>
          <w:sz w:val="32"/>
          <w:szCs w:val="32"/>
        </w:rPr>
        <w:t>第二部分  供应商须知</w:t>
      </w:r>
      <w:bookmarkEnd w:id="4"/>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pStyle w:val="4"/>
        <w:spacing w:before="0" w:after="0" w:line="500" w:lineRule="exact"/>
        <w:rPr>
          <w:rFonts w:ascii="宋体" w:hAnsi="宋体" w:eastAsia="宋体"/>
          <w:bCs/>
          <w:sz w:val="24"/>
          <w:szCs w:val="24"/>
        </w:rPr>
      </w:pPr>
      <w:r>
        <w:rPr>
          <w:rFonts w:ascii="宋体" w:hAnsi="宋体" w:eastAsia="宋体"/>
          <w:bCs/>
          <w:sz w:val="24"/>
          <w:szCs w:val="24"/>
        </w:rPr>
        <w:br w:type="page"/>
      </w:r>
      <w:bookmarkStart w:id="5" w:name="_Toc8904062"/>
      <w:r>
        <w:rPr>
          <w:rFonts w:hint="eastAsia" w:ascii="宋体" w:hAnsi="宋体" w:eastAsia="宋体"/>
          <w:bCs/>
          <w:sz w:val="24"/>
          <w:szCs w:val="24"/>
        </w:rPr>
        <w:t>一、说明</w:t>
      </w:r>
      <w:bookmarkEnd w:id="5"/>
    </w:p>
    <w:p>
      <w:pPr>
        <w:pStyle w:val="95"/>
        <w:tabs>
          <w:tab w:val="clear" w:pos="1440"/>
          <w:tab w:val="clear" w:pos="1620"/>
        </w:tabs>
        <w:spacing w:before="0" w:after="0" w:line="500" w:lineRule="exact"/>
        <w:ind w:firstLine="472" w:firstLineChars="196"/>
        <w:rPr>
          <w:color w:val="auto"/>
          <w:sz w:val="24"/>
          <w:szCs w:val="24"/>
        </w:rPr>
      </w:pPr>
      <w:bookmarkStart w:id="6" w:name="_Toc8904063"/>
      <w:r>
        <w:rPr>
          <w:rFonts w:hint="eastAsia"/>
          <w:color w:val="auto"/>
          <w:sz w:val="24"/>
          <w:szCs w:val="24"/>
        </w:rPr>
        <w:t>1．适用范围及资金来源</w:t>
      </w:r>
      <w:bookmarkEnd w:id="6"/>
    </w:p>
    <w:p>
      <w:pPr>
        <w:pStyle w:val="87"/>
        <w:spacing w:line="500" w:lineRule="exact"/>
        <w:ind w:firstLine="494"/>
        <w:rPr>
          <w:rFonts w:ascii="宋体" w:eastAsia="宋体"/>
          <w:sz w:val="24"/>
          <w:szCs w:val="24"/>
        </w:rPr>
      </w:pPr>
      <w:r>
        <w:rPr>
          <w:rFonts w:hint="eastAsia" w:ascii="宋体" w:eastAsia="宋体"/>
          <w:sz w:val="24"/>
          <w:szCs w:val="24"/>
        </w:rPr>
        <w:t>1.1本招标文件适用于本投标邀请中所述项目的政府采购。</w:t>
      </w:r>
    </w:p>
    <w:p>
      <w:pPr>
        <w:pStyle w:val="87"/>
        <w:spacing w:line="500" w:lineRule="exact"/>
        <w:ind w:firstLine="494"/>
        <w:rPr>
          <w:rFonts w:ascii="宋体" w:eastAsia="宋体"/>
          <w:sz w:val="24"/>
          <w:szCs w:val="24"/>
        </w:rPr>
      </w:pPr>
      <w:r>
        <w:rPr>
          <w:rFonts w:hint="eastAsia" w:ascii="宋体" w:eastAsia="宋体"/>
          <w:sz w:val="24"/>
          <w:szCs w:val="24"/>
        </w:rPr>
        <w:t>1.2资金来源：财政资金。</w:t>
      </w:r>
    </w:p>
    <w:p>
      <w:pPr>
        <w:pStyle w:val="95"/>
        <w:tabs>
          <w:tab w:val="clear" w:pos="1440"/>
          <w:tab w:val="clear" w:pos="1620"/>
        </w:tabs>
        <w:spacing w:before="0" w:after="0" w:line="500" w:lineRule="exact"/>
        <w:ind w:firstLine="472" w:firstLineChars="196"/>
        <w:rPr>
          <w:color w:val="auto"/>
          <w:sz w:val="24"/>
          <w:szCs w:val="24"/>
        </w:rPr>
      </w:pPr>
      <w:bookmarkStart w:id="7" w:name="_Toc8904064"/>
      <w:r>
        <w:rPr>
          <w:rFonts w:hint="eastAsia"/>
          <w:color w:val="auto"/>
          <w:sz w:val="24"/>
          <w:szCs w:val="24"/>
        </w:rPr>
        <w:t>2．定义</w:t>
      </w:r>
      <w:bookmarkEnd w:id="7"/>
    </w:p>
    <w:p>
      <w:pPr>
        <w:pStyle w:val="87"/>
        <w:spacing w:line="500" w:lineRule="exact"/>
        <w:ind w:firstLine="494"/>
        <w:rPr>
          <w:rFonts w:ascii="宋体" w:eastAsia="宋体"/>
          <w:sz w:val="24"/>
          <w:szCs w:val="24"/>
        </w:rPr>
      </w:pPr>
      <w:r>
        <w:rPr>
          <w:rFonts w:hint="eastAsia" w:ascii="宋体" w:eastAsia="宋体"/>
          <w:sz w:val="24"/>
          <w:szCs w:val="24"/>
        </w:rPr>
        <w:t>2.1采购人：东莞市环境监测中心站。</w:t>
      </w:r>
    </w:p>
    <w:p>
      <w:pPr>
        <w:pStyle w:val="87"/>
        <w:spacing w:line="500" w:lineRule="exact"/>
        <w:ind w:firstLine="494"/>
        <w:rPr>
          <w:rFonts w:ascii="宋体" w:eastAsia="宋体"/>
          <w:sz w:val="24"/>
          <w:szCs w:val="24"/>
        </w:rPr>
      </w:pPr>
      <w:r>
        <w:rPr>
          <w:rFonts w:hint="eastAsia" w:ascii="宋体" w:eastAsia="宋体"/>
          <w:sz w:val="24"/>
          <w:szCs w:val="24"/>
        </w:rPr>
        <w:t>2.2供应商：指向采购人提供货物或者服务的法人、其他组织或者自然人。</w:t>
      </w:r>
    </w:p>
    <w:p>
      <w:pPr>
        <w:pStyle w:val="87"/>
        <w:spacing w:line="500" w:lineRule="exact"/>
        <w:ind w:firstLine="494"/>
        <w:rPr>
          <w:rFonts w:ascii="宋体" w:eastAsia="宋体"/>
          <w:sz w:val="24"/>
          <w:szCs w:val="24"/>
        </w:rPr>
      </w:pPr>
      <w:r>
        <w:rPr>
          <w:rFonts w:hint="eastAsia" w:ascii="宋体" w:eastAsia="宋体"/>
          <w:sz w:val="24"/>
          <w:szCs w:val="24"/>
        </w:rPr>
        <w:t>2.3采购代理机构：东莞市达盛招标代理有限公司。</w:t>
      </w:r>
    </w:p>
    <w:p>
      <w:pPr>
        <w:pStyle w:val="87"/>
        <w:spacing w:line="500" w:lineRule="exact"/>
        <w:ind w:firstLine="494"/>
        <w:rPr>
          <w:rFonts w:ascii="宋体" w:eastAsia="宋体"/>
          <w:sz w:val="24"/>
          <w:szCs w:val="24"/>
        </w:rPr>
      </w:pPr>
      <w:r>
        <w:rPr>
          <w:rFonts w:hint="eastAsia" w:ascii="宋体" w:eastAsia="宋体"/>
          <w:sz w:val="24"/>
          <w:szCs w:val="24"/>
        </w:rPr>
        <w:t>2.4评标委员会：评标委员会是依据《中华人民共和国政府采购法》及其实施条例、《政府采购货物和服务招标投标管理办法》等组建的专门负责本次评审工作的临时性机构。</w:t>
      </w:r>
    </w:p>
    <w:p>
      <w:pPr>
        <w:pStyle w:val="87"/>
        <w:spacing w:line="500" w:lineRule="exact"/>
        <w:ind w:firstLine="494"/>
        <w:rPr>
          <w:rFonts w:ascii="宋体" w:eastAsia="宋体"/>
          <w:sz w:val="24"/>
          <w:szCs w:val="24"/>
        </w:rPr>
      </w:pPr>
      <w:r>
        <w:rPr>
          <w:rFonts w:hint="eastAsia" w:ascii="宋体" w:eastAsia="宋体"/>
          <w:sz w:val="24"/>
          <w:szCs w:val="24"/>
        </w:rPr>
        <w:t>2.5日期：指公历日。</w:t>
      </w:r>
    </w:p>
    <w:p>
      <w:pPr>
        <w:pStyle w:val="87"/>
        <w:spacing w:line="500" w:lineRule="exact"/>
        <w:ind w:firstLine="494"/>
        <w:rPr>
          <w:rFonts w:ascii="宋体" w:eastAsia="宋体"/>
          <w:sz w:val="24"/>
          <w:szCs w:val="24"/>
        </w:rPr>
      </w:pPr>
      <w:r>
        <w:rPr>
          <w:rFonts w:hint="eastAsia" w:ascii="宋体" w:eastAsia="宋体"/>
          <w:sz w:val="24"/>
          <w:szCs w:val="24"/>
        </w:rPr>
        <w:t>2.6时间: 指北京时间。</w:t>
      </w:r>
    </w:p>
    <w:p>
      <w:pPr>
        <w:pStyle w:val="87"/>
        <w:spacing w:line="500" w:lineRule="exact"/>
        <w:ind w:firstLine="494"/>
        <w:rPr>
          <w:rFonts w:ascii="宋体" w:eastAsia="宋体"/>
          <w:sz w:val="24"/>
          <w:szCs w:val="24"/>
        </w:rPr>
      </w:pPr>
      <w:r>
        <w:rPr>
          <w:rFonts w:hint="eastAsia" w:ascii="宋体" w:eastAsia="宋体"/>
          <w:sz w:val="24"/>
          <w:szCs w:val="24"/>
        </w:rPr>
        <w:t>2.7合同:指由本次招标所产生的合同或合约文件。</w:t>
      </w:r>
    </w:p>
    <w:p>
      <w:pPr>
        <w:pStyle w:val="95"/>
        <w:tabs>
          <w:tab w:val="clear" w:pos="1440"/>
          <w:tab w:val="clear" w:pos="1620"/>
        </w:tabs>
        <w:spacing w:before="0" w:after="0" w:line="500" w:lineRule="exact"/>
        <w:ind w:firstLine="472" w:firstLineChars="196"/>
        <w:rPr>
          <w:color w:val="auto"/>
          <w:sz w:val="24"/>
          <w:szCs w:val="24"/>
        </w:rPr>
      </w:pPr>
      <w:bookmarkStart w:id="8" w:name="_Toc8904065"/>
      <w:r>
        <w:rPr>
          <w:rFonts w:hint="eastAsia"/>
          <w:color w:val="auto"/>
          <w:sz w:val="24"/>
          <w:szCs w:val="24"/>
        </w:rPr>
        <w:t>3．供应商资格要求</w:t>
      </w:r>
      <w:bookmarkEnd w:id="8"/>
    </w:p>
    <w:p>
      <w:pPr>
        <w:pStyle w:val="87"/>
        <w:spacing w:line="500" w:lineRule="exact"/>
        <w:ind w:firstLine="494"/>
        <w:rPr>
          <w:rFonts w:ascii="宋体" w:eastAsia="宋体"/>
          <w:sz w:val="24"/>
          <w:szCs w:val="24"/>
        </w:rPr>
      </w:pPr>
      <w:bookmarkStart w:id="9" w:name="OLE_LINK2"/>
      <w:r>
        <w:rPr>
          <w:rFonts w:hint="eastAsia" w:ascii="宋体" w:eastAsia="宋体"/>
          <w:sz w:val="24"/>
          <w:szCs w:val="24"/>
        </w:rPr>
        <w:t>见&lt;投标邀请函&gt;。</w:t>
      </w:r>
    </w:p>
    <w:bookmarkEnd w:id="9"/>
    <w:p>
      <w:pPr>
        <w:pStyle w:val="95"/>
        <w:tabs>
          <w:tab w:val="clear" w:pos="1440"/>
          <w:tab w:val="clear" w:pos="1620"/>
        </w:tabs>
        <w:spacing w:before="0" w:after="0" w:line="500" w:lineRule="exact"/>
        <w:ind w:firstLine="472" w:firstLineChars="196"/>
        <w:rPr>
          <w:color w:val="auto"/>
          <w:sz w:val="24"/>
          <w:szCs w:val="24"/>
        </w:rPr>
      </w:pPr>
      <w:bookmarkStart w:id="10" w:name="_Toc8904066"/>
      <w:r>
        <w:rPr>
          <w:rFonts w:hint="eastAsia"/>
          <w:color w:val="auto"/>
          <w:sz w:val="24"/>
          <w:szCs w:val="24"/>
        </w:rPr>
        <w:t>4．合格的货物和服务</w:t>
      </w:r>
      <w:bookmarkEnd w:id="10"/>
    </w:p>
    <w:p>
      <w:pPr>
        <w:spacing w:line="500" w:lineRule="exact"/>
        <w:ind w:firstLine="540" w:firstLineChars="225"/>
        <w:rPr>
          <w:rFonts w:ascii="宋体" w:hAnsi="宋体"/>
          <w:sz w:val="24"/>
          <w:szCs w:val="24"/>
        </w:rPr>
      </w:pPr>
      <w:r>
        <w:rPr>
          <w:rFonts w:hint="eastAsia" w:ascii="宋体" w:hAnsi="宋体"/>
          <w:sz w:val="24"/>
          <w:szCs w:val="24"/>
        </w:rPr>
        <w:t>4.1货物是指各种形态和种类的物品，包括原材料、燃料、设备、产品等。投标的货物必须是合法生产的符合国家有关标准要求的货物，并满足招标文件规定的规格、参数、质量、价格、有效期、售后服务等要求。招标文件中没有提及招标货物来源地的，根据《中华人民共和国政府采购法》及其实施条例的相关规定应当是本国货物（招标文件允许进口产品投标的除外）。</w:t>
      </w:r>
    </w:p>
    <w:p>
      <w:pPr>
        <w:spacing w:line="500" w:lineRule="exact"/>
        <w:ind w:firstLine="540" w:firstLineChars="225"/>
        <w:rPr>
          <w:rFonts w:ascii="宋体" w:hAnsi="宋体"/>
          <w:sz w:val="24"/>
          <w:szCs w:val="24"/>
        </w:rPr>
      </w:pPr>
      <w:r>
        <w:rPr>
          <w:rFonts w:hint="eastAsia" w:ascii="宋体" w:hAnsi="宋体"/>
          <w:sz w:val="24"/>
          <w:szCs w:val="24"/>
        </w:rPr>
        <w:t>4.2服务是指除货物和工程以外的其他政府采购对象，其中包括供应商须承担的运输、安装、技术支持、培训及招标文件规定的其它服务。</w:t>
      </w:r>
    </w:p>
    <w:p>
      <w:pPr>
        <w:spacing w:line="500" w:lineRule="exact"/>
        <w:ind w:firstLine="540" w:firstLineChars="225"/>
        <w:rPr>
          <w:rFonts w:ascii="宋体" w:hAnsi="宋体"/>
          <w:sz w:val="24"/>
          <w:szCs w:val="24"/>
        </w:rPr>
      </w:pPr>
      <w:r>
        <w:rPr>
          <w:rFonts w:hint="eastAsia" w:ascii="宋体" w:hAnsi="宋体"/>
          <w:sz w:val="24"/>
          <w:szCs w:val="24"/>
        </w:rPr>
        <w:t>4.3供应商应保证,采购人在中华人民共和国使用货物或服务的任何一部分时,采购人免受第三方提出侵犯其专利权、商标权或其它知识产权的起诉。</w:t>
      </w:r>
    </w:p>
    <w:p>
      <w:pPr>
        <w:spacing w:line="500" w:lineRule="exact"/>
        <w:ind w:left="63" w:leftChars="30" w:firstLine="436" w:firstLineChars="182"/>
        <w:rPr>
          <w:rFonts w:ascii="宋体" w:hAnsi="宋体"/>
          <w:sz w:val="24"/>
          <w:szCs w:val="24"/>
        </w:rPr>
      </w:pPr>
      <w:r>
        <w:rPr>
          <w:rFonts w:hint="eastAsia" w:ascii="宋体" w:hAnsi="宋体"/>
          <w:sz w:val="24"/>
          <w:szCs w:val="24"/>
        </w:rPr>
        <w:t>4.4验收。</w:t>
      </w:r>
    </w:p>
    <w:p>
      <w:pPr>
        <w:spacing w:line="500" w:lineRule="exact"/>
        <w:ind w:left="63" w:leftChars="30" w:firstLine="436" w:firstLineChars="182"/>
        <w:rPr>
          <w:rFonts w:ascii="宋体" w:hAnsi="宋体"/>
          <w:sz w:val="24"/>
          <w:szCs w:val="24"/>
        </w:rPr>
      </w:pPr>
      <w:r>
        <w:rPr>
          <w:rFonts w:hint="eastAsia" w:ascii="宋体" w:hAnsi="宋体"/>
          <w:sz w:val="24"/>
          <w:szCs w:val="24"/>
        </w:rPr>
        <w:t>4.4.1验收工作由采购人（或采购人指定的单位）与供应商共同进行。</w:t>
      </w:r>
    </w:p>
    <w:p>
      <w:pPr>
        <w:spacing w:line="500" w:lineRule="exact"/>
        <w:ind w:firstLine="480" w:firstLineChars="200"/>
        <w:rPr>
          <w:rFonts w:ascii="宋体" w:hAnsi="宋体"/>
          <w:sz w:val="24"/>
          <w:szCs w:val="24"/>
        </w:rPr>
      </w:pPr>
      <w:r>
        <w:rPr>
          <w:rFonts w:hint="eastAsia" w:ascii="宋体" w:hAnsi="宋体"/>
          <w:sz w:val="24"/>
          <w:szCs w:val="24"/>
        </w:rPr>
        <w:t>4.4.2在验收时，供应商应向采购人提供货物或服务的相关资料，按采购人或招标文件提出的方式验收。</w:t>
      </w:r>
    </w:p>
    <w:p>
      <w:pPr>
        <w:spacing w:line="500" w:lineRule="exact"/>
        <w:ind w:left="29" w:leftChars="14" w:firstLine="480" w:firstLineChars="200"/>
        <w:rPr>
          <w:rFonts w:ascii="宋体" w:hAnsi="宋体"/>
          <w:sz w:val="24"/>
          <w:szCs w:val="24"/>
        </w:rPr>
      </w:pPr>
      <w:r>
        <w:rPr>
          <w:rFonts w:hint="eastAsia" w:ascii="宋体" w:hAnsi="宋体"/>
          <w:sz w:val="24"/>
          <w:szCs w:val="24"/>
        </w:rPr>
        <w:t>4.4.3由采购人根据中华人民共和国现行技术标准（含行业标准）或按招标文件以及合同规定的验收评定标准等组织验收。</w:t>
      </w:r>
    </w:p>
    <w:p>
      <w:pPr>
        <w:pStyle w:val="95"/>
        <w:tabs>
          <w:tab w:val="clear" w:pos="1440"/>
          <w:tab w:val="clear" w:pos="1620"/>
        </w:tabs>
        <w:spacing w:before="0" w:after="0" w:line="500" w:lineRule="exact"/>
        <w:ind w:firstLine="472" w:firstLineChars="196"/>
        <w:rPr>
          <w:color w:val="auto"/>
          <w:sz w:val="24"/>
          <w:szCs w:val="24"/>
        </w:rPr>
      </w:pPr>
      <w:bookmarkStart w:id="11" w:name="_Toc8904067"/>
      <w:r>
        <w:rPr>
          <w:rFonts w:hint="eastAsia"/>
          <w:color w:val="auto"/>
          <w:sz w:val="24"/>
          <w:szCs w:val="24"/>
        </w:rPr>
        <w:t>5. 现场考察或者召开开标前答疑会</w:t>
      </w:r>
      <w:bookmarkEnd w:id="11"/>
    </w:p>
    <w:p>
      <w:pPr>
        <w:pStyle w:val="87"/>
        <w:spacing w:line="500" w:lineRule="exact"/>
        <w:ind w:firstLine="480" w:firstLineChars="200"/>
        <w:rPr>
          <w:rFonts w:ascii="宋体" w:eastAsia="宋体"/>
          <w:sz w:val="24"/>
          <w:szCs w:val="24"/>
        </w:rPr>
      </w:pPr>
      <w:r>
        <w:rPr>
          <w:rFonts w:hint="eastAsia" w:ascii="宋体" w:eastAsia="宋体"/>
          <w:sz w:val="24"/>
          <w:szCs w:val="24"/>
        </w:rPr>
        <w:t>本项目不组织现场考察或者召开开标前答疑会。</w:t>
      </w:r>
    </w:p>
    <w:p>
      <w:pPr>
        <w:pStyle w:val="95"/>
        <w:tabs>
          <w:tab w:val="clear" w:pos="1440"/>
          <w:tab w:val="clear" w:pos="1620"/>
        </w:tabs>
        <w:spacing w:before="0" w:after="0" w:line="500" w:lineRule="exact"/>
        <w:ind w:firstLine="472" w:firstLineChars="196"/>
        <w:rPr>
          <w:color w:val="auto"/>
          <w:sz w:val="24"/>
          <w:szCs w:val="24"/>
        </w:rPr>
      </w:pPr>
      <w:bookmarkStart w:id="12" w:name="_Toc8904068"/>
      <w:r>
        <w:rPr>
          <w:rFonts w:hint="eastAsia"/>
          <w:color w:val="auto"/>
          <w:sz w:val="24"/>
          <w:szCs w:val="24"/>
        </w:rPr>
        <w:t>6. 联合体投标</w:t>
      </w:r>
      <w:bookmarkEnd w:id="12"/>
    </w:p>
    <w:p>
      <w:pPr>
        <w:pStyle w:val="87"/>
        <w:spacing w:line="500" w:lineRule="exact"/>
        <w:ind w:firstLine="494"/>
        <w:rPr>
          <w:rFonts w:ascii="宋体" w:eastAsia="宋体"/>
          <w:sz w:val="24"/>
          <w:szCs w:val="24"/>
        </w:rPr>
      </w:pPr>
      <w:r>
        <w:rPr>
          <w:rFonts w:hint="eastAsia" w:ascii="宋体" w:eastAsia="宋体"/>
          <w:sz w:val="24"/>
          <w:szCs w:val="24"/>
        </w:rPr>
        <w:t>除投标邀请函规定不允许联合体投标情形外，供应商以联合体形式参加政府采购活动的，应当同时满足下列条件：</w:t>
      </w:r>
    </w:p>
    <w:p>
      <w:pPr>
        <w:pStyle w:val="87"/>
        <w:spacing w:line="500" w:lineRule="exact"/>
        <w:ind w:firstLine="494"/>
        <w:rPr>
          <w:rFonts w:ascii="宋体" w:eastAsia="宋体"/>
          <w:sz w:val="24"/>
          <w:szCs w:val="24"/>
        </w:rPr>
      </w:pPr>
      <w:r>
        <w:rPr>
          <w:rFonts w:hint="eastAsia" w:ascii="宋体" w:eastAsia="宋体"/>
          <w:sz w:val="24"/>
          <w:szCs w:val="24"/>
        </w:rPr>
        <w:t>6</w:t>
      </w:r>
      <w:r>
        <w:rPr>
          <w:rFonts w:ascii="宋体" w:eastAsia="宋体"/>
          <w:sz w:val="24"/>
          <w:szCs w:val="24"/>
        </w:rPr>
        <w:t>.</w:t>
      </w:r>
      <w:r>
        <w:rPr>
          <w:rFonts w:hint="eastAsia" w:ascii="宋体" w:eastAsia="宋体"/>
          <w:sz w:val="24"/>
          <w:szCs w:val="24"/>
        </w:rPr>
        <w:t>1以联合体形式进行政府采购的，参加联合体的供应商均应当具备《中华人民共和国政府采购法》第二十二条规定的条件，联合体各方之间应当签订联合体协议，明确约定联合体各方承担的工作和义务，并将共同联合体协议连同投标文件一并提交。</w:t>
      </w:r>
    </w:p>
    <w:p>
      <w:pPr>
        <w:pStyle w:val="87"/>
        <w:spacing w:line="500" w:lineRule="exact"/>
        <w:ind w:firstLine="494"/>
        <w:rPr>
          <w:rFonts w:ascii="宋体" w:eastAsia="宋体"/>
          <w:sz w:val="24"/>
          <w:szCs w:val="24"/>
        </w:rPr>
      </w:pPr>
      <w:r>
        <w:rPr>
          <w:rFonts w:hint="eastAsia" w:ascii="宋体" w:eastAsia="宋体"/>
          <w:sz w:val="24"/>
          <w:szCs w:val="24"/>
        </w:rPr>
        <w:t>6.2以联合体形式参加政府采购活动的，联合体各方不得再单独参加或者与其他供应商另外组成联合体参加同一合同项下的政府采购活动。</w:t>
      </w:r>
    </w:p>
    <w:p>
      <w:pPr>
        <w:pStyle w:val="87"/>
        <w:spacing w:line="500" w:lineRule="exact"/>
        <w:ind w:firstLine="494"/>
        <w:rPr>
          <w:rFonts w:ascii="宋体" w:eastAsia="宋体"/>
          <w:sz w:val="24"/>
          <w:szCs w:val="24"/>
        </w:rPr>
      </w:pPr>
      <w:r>
        <w:rPr>
          <w:rFonts w:hint="eastAsia" w:ascii="宋体" w:eastAsia="宋体"/>
          <w:sz w:val="24"/>
          <w:szCs w:val="24"/>
        </w:rPr>
        <w:t>6</w:t>
      </w:r>
      <w:r>
        <w:rPr>
          <w:rFonts w:ascii="宋体" w:eastAsia="宋体"/>
          <w:sz w:val="24"/>
          <w:szCs w:val="24"/>
        </w:rPr>
        <w:t>.</w:t>
      </w:r>
      <w:r>
        <w:rPr>
          <w:rFonts w:hint="eastAsia" w:ascii="宋体" w:eastAsia="宋体"/>
          <w:sz w:val="24"/>
          <w:szCs w:val="24"/>
        </w:rPr>
        <w:t>3以联合体进行投标的，可以由联合体中的一方或者共同提交投标保证金，以一方名义提交的投标保证金的，对联合体各方均具有约束力。</w:t>
      </w:r>
    </w:p>
    <w:p>
      <w:pPr>
        <w:pStyle w:val="87"/>
        <w:spacing w:line="500" w:lineRule="exact"/>
        <w:ind w:firstLine="494"/>
        <w:rPr>
          <w:rFonts w:ascii="宋体" w:eastAsia="宋体"/>
          <w:sz w:val="24"/>
          <w:szCs w:val="24"/>
        </w:rPr>
      </w:pPr>
      <w:r>
        <w:rPr>
          <w:rFonts w:hint="eastAsia" w:ascii="宋体" w:eastAsia="宋体"/>
          <w:sz w:val="24"/>
          <w:szCs w:val="24"/>
        </w:rPr>
        <w:t>6</w:t>
      </w:r>
      <w:r>
        <w:rPr>
          <w:rFonts w:ascii="宋体" w:eastAsia="宋体"/>
          <w:sz w:val="24"/>
          <w:szCs w:val="24"/>
        </w:rPr>
        <w:t>.</w:t>
      </w:r>
      <w:r>
        <w:rPr>
          <w:rFonts w:hint="eastAsia" w:ascii="宋体" w:eastAsia="宋体"/>
          <w:sz w:val="24"/>
          <w:szCs w:val="24"/>
        </w:rPr>
        <w:t>4联合体中有同类资质的供应商按照联合体分工承担相同工作的，按照资质等级较低的供应商确定资质等级。</w:t>
      </w:r>
    </w:p>
    <w:p>
      <w:pPr>
        <w:pStyle w:val="87"/>
        <w:spacing w:line="500" w:lineRule="exact"/>
        <w:ind w:firstLine="494"/>
        <w:rPr>
          <w:rFonts w:ascii="宋体" w:eastAsia="宋体"/>
          <w:sz w:val="24"/>
          <w:szCs w:val="24"/>
        </w:rPr>
      </w:pPr>
      <w:r>
        <w:rPr>
          <w:rFonts w:hint="eastAsia" w:ascii="宋体" w:eastAsia="宋体"/>
          <w:sz w:val="24"/>
          <w:szCs w:val="24"/>
        </w:rPr>
        <w:t>6</w:t>
      </w:r>
      <w:r>
        <w:rPr>
          <w:rFonts w:ascii="宋体" w:eastAsia="宋体"/>
          <w:sz w:val="24"/>
          <w:szCs w:val="24"/>
        </w:rPr>
        <w:t>.</w:t>
      </w:r>
      <w:r>
        <w:rPr>
          <w:rFonts w:hint="eastAsia" w:ascii="宋体" w:eastAsia="宋体"/>
          <w:sz w:val="24"/>
          <w:szCs w:val="24"/>
        </w:rPr>
        <w:t>5联合体各方应当共同与采购人签订采购合同，就采购合同约定的事项对采购人承担连带责任。</w:t>
      </w:r>
    </w:p>
    <w:p>
      <w:pPr>
        <w:pStyle w:val="87"/>
        <w:spacing w:line="500" w:lineRule="exact"/>
        <w:ind w:firstLine="494"/>
        <w:rPr>
          <w:rFonts w:ascii="宋体" w:eastAsia="宋体"/>
          <w:sz w:val="24"/>
          <w:szCs w:val="24"/>
        </w:rPr>
      </w:pPr>
      <w:r>
        <w:rPr>
          <w:rFonts w:hint="eastAsia" w:ascii="宋体" w:eastAsia="宋体"/>
          <w:sz w:val="24"/>
          <w:szCs w:val="24"/>
        </w:rPr>
        <w:t>6</w:t>
      </w:r>
      <w:r>
        <w:rPr>
          <w:rFonts w:ascii="宋体" w:eastAsia="宋体"/>
          <w:sz w:val="24"/>
          <w:szCs w:val="24"/>
        </w:rPr>
        <w:t>.</w:t>
      </w:r>
      <w:r>
        <w:rPr>
          <w:rFonts w:hint="eastAsia" w:ascii="宋体" w:eastAsia="宋体"/>
          <w:sz w:val="24"/>
          <w:szCs w:val="24"/>
        </w:rPr>
        <w:t>6联合体供应商需提交参与各方共同盖章确认的联合体协议，明确牵头方和联合体方，由牵头方直接对采购人负责，其他各方承担连带责任。</w:t>
      </w:r>
    </w:p>
    <w:p>
      <w:pPr>
        <w:pStyle w:val="87"/>
        <w:spacing w:line="500" w:lineRule="exact"/>
        <w:ind w:firstLine="494"/>
        <w:rPr>
          <w:rFonts w:ascii="宋体" w:eastAsia="宋体"/>
          <w:sz w:val="24"/>
          <w:szCs w:val="24"/>
        </w:rPr>
      </w:pPr>
      <w:r>
        <w:rPr>
          <w:rFonts w:hint="eastAsia" w:ascii="宋体" w:eastAsia="宋体"/>
          <w:sz w:val="24"/>
          <w:szCs w:val="24"/>
        </w:rPr>
        <w:t>6</w:t>
      </w:r>
      <w:r>
        <w:rPr>
          <w:rFonts w:ascii="宋体" w:eastAsia="宋体"/>
          <w:sz w:val="24"/>
          <w:szCs w:val="24"/>
        </w:rPr>
        <w:t>.</w:t>
      </w:r>
      <w:r>
        <w:rPr>
          <w:rFonts w:hint="eastAsia" w:ascii="宋体" w:eastAsia="宋体"/>
          <w:sz w:val="24"/>
          <w:szCs w:val="24"/>
        </w:rPr>
        <w:t>7联合体提交的投标文件，应对应用户需求书所列各项具体任务，明确各方责任和义务。</w:t>
      </w:r>
    </w:p>
    <w:p>
      <w:pPr>
        <w:pStyle w:val="95"/>
        <w:tabs>
          <w:tab w:val="clear" w:pos="1440"/>
          <w:tab w:val="clear" w:pos="1620"/>
        </w:tabs>
        <w:spacing w:before="0" w:after="0" w:line="500" w:lineRule="exact"/>
        <w:ind w:firstLine="472" w:firstLineChars="196"/>
        <w:rPr>
          <w:color w:val="auto"/>
          <w:sz w:val="24"/>
          <w:szCs w:val="24"/>
        </w:rPr>
      </w:pPr>
      <w:bookmarkStart w:id="13" w:name="_Toc8904069"/>
      <w:r>
        <w:rPr>
          <w:rFonts w:hint="eastAsia"/>
          <w:color w:val="auto"/>
          <w:sz w:val="24"/>
          <w:szCs w:val="24"/>
        </w:rPr>
        <w:t>7．投标费用</w:t>
      </w:r>
      <w:bookmarkEnd w:id="13"/>
    </w:p>
    <w:p>
      <w:pPr>
        <w:pStyle w:val="87"/>
        <w:spacing w:line="500" w:lineRule="exact"/>
        <w:ind w:firstLine="494"/>
        <w:rPr>
          <w:rFonts w:ascii="宋体" w:eastAsia="宋体"/>
          <w:sz w:val="24"/>
          <w:szCs w:val="24"/>
        </w:rPr>
      </w:pPr>
      <w:r>
        <w:rPr>
          <w:rFonts w:hint="eastAsia" w:ascii="宋体" w:eastAsia="宋体"/>
          <w:sz w:val="24"/>
          <w:szCs w:val="24"/>
        </w:rPr>
        <w:t>采购代理机构、采购人不负责供应商准备投标文件和提交投标文件所发生的任何成本或费用。</w:t>
      </w:r>
    </w:p>
    <w:p>
      <w:pPr>
        <w:pStyle w:val="4"/>
        <w:spacing w:before="0" w:after="0" w:line="500" w:lineRule="exact"/>
        <w:rPr>
          <w:rFonts w:ascii="宋体" w:hAnsi="宋体" w:eastAsia="宋体"/>
          <w:bCs/>
          <w:sz w:val="24"/>
          <w:szCs w:val="24"/>
        </w:rPr>
      </w:pPr>
      <w:bookmarkStart w:id="14" w:name="_Toc8904070"/>
      <w:r>
        <w:rPr>
          <w:rFonts w:hint="eastAsia" w:ascii="宋体" w:hAnsi="宋体" w:eastAsia="宋体"/>
          <w:bCs/>
          <w:sz w:val="24"/>
          <w:szCs w:val="24"/>
        </w:rPr>
        <w:t>二、招标文件</w:t>
      </w:r>
      <w:bookmarkEnd w:id="14"/>
    </w:p>
    <w:p>
      <w:pPr>
        <w:pStyle w:val="95"/>
        <w:tabs>
          <w:tab w:val="clear" w:pos="1440"/>
          <w:tab w:val="clear" w:pos="1620"/>
        </w:tabs>
        <w:spacing w:before="0" w:after="0" w:line="500" w:lineRule="exact"/>
        <w:ind w:firstLine="472" w:firstLineChars="196"/>
        <w:rPr>
          <w:color w:val="auto"/>
          <w:sz w:val="24"/>
          <w:szCs w:val="24"/>
        </w:rPr>
      </w:pPr>
      <w:bookmarkStart w:id="15" w:name="_Toc8904071"/>
      <w:r>
        <w:rPr>
          <w:rFonts w:hint="eastAsia"/>
          <w:color w:val="auto"/>
          <w:sz w:val="24"/>
          <w:szCs w:val="24"/>
        </w:rPr>
        <w:t>8．招标文件的组成</w:t>
      </w:r>
      <w:bookmarkEnd w:id="15"/>
    </w:p>
    <w:p>
      <w:pPr>
        <w:pStyle w:val="87"/>
        <w:spacing w:line="500" w:lineRule="exact"/>
        <w:ind w:firstLine="494"/>
        <w:rPr>
          <w:rFonts w:ascii="宋体" w:eastAsia="宋体"/>
          <w:sz w:val="24"/>
          <w:szCs w:val="24"/>
        </w:rPr>
      </w:pPr>
      <w:r>
        <w:rPr>
          <w:rFonts w:hint="eastAsia" w:ascii="宋体" w:eastAsia="宋体"/>
          <w:sz w:val="24"/>
          <w:szCs w:val="24"/>
        </w:rPr>
        <w:t>8</w:t>
      </w:r>
      <w:r>
        <w:rPr>
          <w:rFonts w:ascii="宋体" w:eastAsia="宋体"/>
          <w:sz w:val="24"/>
          <w:szCs w:val="24"/>
        </w:rPr>
        <w:t>.1</w:t>
      </w:r>
      <w:r>
        <w:rPr>
          <w:rFonts w:hint="eastAsia" w:ascii="宋体" w:eastAsia="宋体"/>
          <w:sz w:val="24"/>
          <w:szCs w:val="24"/>
        </w:rPr>
        <w:t>招标文件包括：</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8.1.1 投标邀请函；</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8.1.2 供应商须知；</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8.1.3 合同书格式；</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8.1.4 用户需求书；</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8.1.5 投标文件格式。</w:t>
      </w:r>
    </w:p>
    <w:p>
      <w:pPr>
        <w:pStyle w:val="87"/>
        <w:spacing w:line="500" w:lineRule="exact"/>
        <w:ind w:firstLine="494"/>
        <w:rPr>
          <w:rFonts w:ascii="宋体" w:eastAsia="宋体"/>
          <w:sz w:val="24"/>
          <w:szCs w:val="24"/>
        </w:rPr>
      </w:pPr>
      <w:r>
        <w:rPr>
          <w:rFonts w:hint="eastAsia" w:ascii="宋体" w:eastAsia="宋体"/>
          <w:sz w:val="24"/>
          <w:szCs w:val="24"/>
        </w:rPr>
        <w:t>8.2对存在有效期的证明文件必须在有效期内,提供过期(以“开标当日”为计算时点)的证明文件视为无效资料。</w:t>
      </w:r>
    </w:p>
    <w:p>
      <w:pPr>
        <w:pStyle w:val="87"/>
        <w:spacing w:line="500" w:lineRule="exact"/>
        <w:ind w:firstLine="494"/>
        <w:rPr>
          <w:rFonts w:ascii="宋体" w:eastAsia="宋体"/>
          <w:sz w:val="24"/>
          <w:szCs w:val="24"/>
        </w:rPr>
      </w:pPr>
      <w:r>
        <w:rPr>
          <w:rFonts w:hint="eastAsia" w:ascii="宋体" w:eastAsia="宋体"/>
          <w:sz w:val="24"/>
          <w:szCs w:val="24"/>
        </w:rPr>
        <w:t>8</w:t>
      </w:r>
      <w:r>
        <w:rPr>
          <w:rFonts w:ascii="宋体" w:eastAsia="宋体"/>
          <w:sz w:val="24"/>
          <w:szCs w:val="24"/>
        </w:rPr>
        <w:t>.</w:t>
      </w:r>
      <w:r>
        <w:rPr>
          <w:rFonts w:hint="eastAsia" w:ascii="宋体" w:eastAsia="宋体"/>
          <w:sz w:val="24"/>
          <w:szCs w:val="24"/>
        </w:rPr>
        <w:t>3</w:t>
      </w:r>
      <w:r>
        <w:rPr>
          <w:rFonts w:ascii="宋体" w:eastAsia="宋体"/>
          <w:sz w:val="24"/>
          <w:szCs w:val="24"/>
        </w:rPr>
        <w:t xml:space="preserve"> </w:t>
      </w:r>
      <w:r>
        <w:rPr>
          <w:rFonts w:hint="eastAsia" w:ascii="宋体" w:eastAsia="宋体"/>
          <w:sz w:val="24"/>
          <w:szCs w:val="24"/>
        </w:rPr>
        <w:t>供应商应认真阅读招标文件中所有的事项、格式、条款和规范等要求。供应商没有按照招标文件要求提交全部资料或者投标文件没有对招标文件在各方面作出实质性响应是供应商的风险，有可能导致废标，或被认定为无效投标。</w:t>
      </w:r>
    </w:p>
    <w:p>
      <w:pPr>
        <w:pStyle w:val="95"/>
        <w:tabs>
          <w:tab w:val="clear" w:pos="1440"/>
          <w:tab w:val="clear" w:pos="1620"/>
        </w:tabs>
        <w:spacing w:before="0" w:after="0" w:line="500" w:lineRule="exact"/>
        <w:ind w:firstLine="472" w:firstLineChars="196"/>
        <w:rPr>
          <w:color w:val="auto"/>
          <w:sz w:val="24"/>
          <w:szCs w:val="24"/>
        </w:rPr>
      </w:pPr>
      <w:bookmarkStart w:id="16" w:name="_Toc39071044"/>
      <w:bookmarkStart w:id="17" w:name="_Toc36971219"/>
      <w:bookmarkStart w:id="18" w:name="_Toc8904072"/>
      <w:r>
        <w:rPr>
          <w:rFonts w:hint="eastAsia"/>
          <w:color w:val="auto"/>
          <w:sz w:val="24"/>
          <w:szCs w:val="24"/>
        </w:rPr>
        <w:t>9．招标文件的</w:t>
      </w:r>
      <w:bookmarkEnd w:id="16"/>
      <w:bookmarkEnd w:id="17"/>
      <w:r>
        <w:rPr>
          <w:rFonts w:hint="eastAsia"/>
          <w:color w:val="auto"/>
          <w:sz w:val="24"/>
          <w:szCs w:val="24"/>
        </w:rPr>
        <w:t>澄清或修改</w:t>
      </w:r>
      <w:bookmarkEnd w:id="18"/>
    </w:p>
    <w:p>
      <w:pPr>
        <w:pStyle w:val="87"/>
        <w:spacing w:line="500" w:lineRule="exact"/>
        <w:ind w:firstLine="494"/>
        <w:rPr>
          <w:rFonts w:ascii="宋体" w:eastAsia="宋体"/>
          <w:sz w:val="24"/>
          <w:szCs w:val="24"/>
        </w:rPr>
      </w:pPr>
      <w:r>
        <w:rPr>
          <w:rFonts w:hint="eastAsia" w:ascii="宋体" w:eastAsia="宋体"/>
          <w:sz w:val="24"/>
          <w:szCs w:val="24"/>
        </w:rPr>
        <w:t>9.1采购人或采购代理机构对已发出的招标文件进行必要的澄清或者修改的，澄清或者修改的内容可能影响投标文件编制的，采购人或者采购代理机构将在投标截止时间至少15日前，以书面形式通知所有获取招标文件的潜在投标人；不足</w:t>
      </w:r>
      <w:r>
        <w:rPr>
          <w:rFonts w:ascii="宋体" w:eastAsia="宋体"/>
          <w:sz w:val="24"/>
          <w:szCs w:val="24"/>
        </w:rPr>
        <w:t>15</w:t>
      </w:r>
      <w:r>
        <w:rPr>
          <w:rFonts w:hint="eastAsia" w:ascii="宋体" w:eastAsia="宋体"/>
          <w:sz w:val="24"/>
          <w:szCs w:val="24"/>
        </w:rPr>
        <w:t>日的，采购代理机构将顺延提交投标文件的截止时间。同时在财政部门指定的政府采购信息发布媒体上发布变更、更正公告，供应商应及时查看，并于收到该公告信息后的24小时内以书面形式给予确认。</w:t>
      </w:r>
    </w:p>
    <w:p>
      <w:pPr>
        <w:pStyle w:val="87"/>
        <w:spacing w:line="500" w:lineRule="exact"/>
        <w:ind w:firstLine="494"/>
        <w:rPr>
          <w:rFonts w:ascii="宋体" w:eastAsia="宋体"/>
          <w:sz w:val="24"/>
          <w:szCs w:val="24"/>
        </w:rPr>
      </w:pPr>
      <w:r>
        <w:rPr>
          <w:rFonts w:hint="eastAsia" w:ascii="宋体" w:eastAsia="宋体"/>
          <w:sz w:val="24"/>
          <w:szCs w:val="24"/>
        </w:rPr>
        <w:t>9.2</w:t>
      </w:r>
      <w:r>
        <w:rPr>
          <w:rFonts w:ascii="宋体" w:eastAsia="宋体"/>
          <w:sz w:val="24"/>
          <w:szCs w:val="24"/>
        </w:rPr>
        <w:t>招标文件的</w:t>
      </w:r>
      <w:r>
        <w:rPr>
          <w:rFonts w:hint="eastAsia" w:ascii="宋体" w:eastAsia="宋体"/>
          <w:sz w:val="24"/>
          <w:szCs w:val="24"/>
        </w:rPr>
        <w:t>澄清或者修改</w:t>
      </w:r>
      <w:r>
        <w:rPr>
          <w:rFonts w:ascii="宋体" w:eastAsia="宋体"/>
          <w:sz w:val="24"/>
          <w:szCs w:val="24"/>
        </w:rPr>
        <w:t>内容作为招标文件的组成部分</w:t>
      </w:r>
      <w:r>
        <w:rPr>
          <w:rFonts w:hint="eastAsia" w:ascii="宋体" w:eastAsia="宋体"/>
          <w:sz w:val="24"/>
          <w:szCs w:val="24"/>
        </w:rPr>
        <w:t>，并对供应商具有约束力。</w:t>
      </w:r>
      <w:r>
        <w:rPr>
          <w:rFonts w:ascii="宋体" w:eastAsia="宋体"/>
          <w:sz w:val="24"/>
          <w:szCs w:val="24"/>
        </w:rPr>
        <w:t>当招标文件、招标文件的澄清</w:t>
      </w:r>
      <w:r>
        <w:rPr>
          <w:rFonts w:hint="eastAsia" w:ascii="宋体" w:eastAsia="宋体"/>
          <w:sz w:val="24"/>
          <w:szCs w:val="24"/>
        </w:rPr>
        <w:t>或</w:t>
      </w:r>
      <w:r>
        <w:rPr>
          <w:rFonts w:ascii="宋体" w:eastAsia="宋体"/>
          <w:sz w:val="24"/>
          <w:szCs w:val="24"/>
        </w:rPr>
        <w:t>修改在同一内容的表述上不一致时，以最后发出的文件</w:t>
      </w:r>
      <w:r>
        <w:rPr>
          <w:rFonts w:hint="eastAsia" w:ascii="宋体" w:eastAsia="宋体"/>
          <w:sz w:val="24"/>
          <w:szCs w:val="24"/>
        </w:rPr>
        <w:t>内容</w:t>
      </w:r>
      <w:r>
        <w:rPr>
          <w:rFonts w:ascii="宋体" w:eastAsia="宋体"/>
          <w:sz w:val="24"/>
          <w:szCs w:val="24"/>
        </w:rPr>
        <w:t>为准。</w:t>
      </w:r>
    </w:p>
    <w:p>
      <w:pPr>
        <w:pStyle w:val="4"/>
        <w:spacing w:before="0" w:after="0" w:line="500" w:lineRule="exact"/>
        <w:rPr>
          <w:rFonts w:ascii="宋体" w:hAnsi="宋体" w:eastAsia="宋体"/>
          <w:bCs/>
          <w:sz w:val="24"/>
          <w:szCs w:val="24"/>
        </w:rPr>
      </w:pPr>
      <w:bookmarkStart w:id="19" w:name="_Toc39368836"/>
      <w:bookmarkStart w:id="20" w:name="_Toc8904073"/>
      <w:bookmarkStart w:id="21" w:name="_Toc39071045"/>
      <w:bookmarkStart w:id="22" w:name="_Toc36971221"/>
      <w:r>
        <w:rPr>
          <w:rFonts w:hint="eastAsia" w:ascii="宋体" w:hAnsi="宋体" w:eastAsia="宋体"/>
          <w:bCs/>
          <w:sz w:val="24"/>
          <w:szCs w:val="24"/>
        </w:rPr>
        <w:t>三、投标文件的编制</w:t>
      </w:r>
      <w:bookmarkEnd w:id="19"/>
      <w:bookmarkEnd w:id="20"/>
      <w:bookmarkEnd w:id="21"/>
      <w:bookmarkEnd w:id="22"/>
    </w:p>
    <w:p>
      <w:pPr>
        <w:pStyle w:val="95"/>
        <w:tabs>
          <w:tab w:val="clear" w:pos="1440"/>
          <w:tab w:val="clear" w:pos="1620"/>
        </w:tabs>
        <w:spacing w:before="0" w:after="0" w:line="500" w:lineRule="exact"/>
        <w:ind w:firstLine="472" w:firstLineChars="196"/>
        <w:rPr>
          <w:color w:val="auto"/>
          <w:sz w:val="24"/>
          <w:szCs w:val="24"/>
        </w:rPr>
      </w:pPr>
      <w:bookmarkStart w:id="23" w:name="_Toc8904074"/>
      <w:r>
        <w:rPr>
          <w:rFonts w:hint="eastAsia"/>
          <w:color w:val="auto"/>
          <w:sz w:val="24"/>
          <w:szCs w:val="24"/>
        </w:rPr>
        <w:t>10．投标文件的语言及度量衡单位</w:t>
      </w:r>
      <w:bookmarkEnd w:id="23"/>
    </w:p>
    <w:p>
      <w:pPr>
        <w:pStyle w:val="87"/>
        <w:spacing w:line="500" w:lineRule="exact"/>
        <w:ind w:firstLine="494"/>
        <w:rPr>
          <w:rFonts w:ascii="宋体" w:eastAsia="宋体"/>
          <w:sz w:val="24"/>
          <w:szCs w:val="24"/>
        </w:rPr>
      </w:pPr>
      <w:r>
        <w:rPr>
          <w:rFonts w:hint="eastAsia" w:ascii="宋体" w:eastAsia="宋体"/>
          <w:sz w:val="24"/>
          <w:szCs w:val="24"/>
        </w:rPr>
        <w:t>10.1 供应商提交的投标文件以及供应商与采购代理机构就有关投标的所有来往函件均应使用简体中文书写。供应商提交的支持资料和已印刷的文献可以用另一种语言，但相应内容应附有中文翻译本，在解释投标文件的修改内容时以中文翻译本为准。对中文翻译有异议的，以权威机构的译本为准。</w:t>
      </w:r>
    </w:p>
    <w:p>
      <w:pPr>
        <w:pStyle w:val="87"/>
        <w:spacing w:line="500" w:lineRule="exact"/>
        <w:ind w:firstLine="494"/>
        <w:rPr>
          <w:rFonts w:ascii="宋体" w:eastAsia="宋体"/>
          <w:sz w:val="24"/>
          <w:szCs w:val="24"/>
        </w:rPr>
      </w:pPr>
      <w:r>
        <w:rPr>
          <w:rFonts w:hint="eastAsia" w:ascii="宋体" w:eastAsia="宋体"/>
          <w:sz w:val="24"/>
          <w:szCs w:val="24"/>
        </w:rPr>
        <w:t>10.2 除非招标文件在技术规格中另有规定，供应商在投标文件中及其与采购代理机构和采购人所有往来文件中的所有</w:t>
      </w:r>
      <w:r>
        <w:rPr>
          <w:rFonts w:ascii="宋体" w:eastAsia="宋体"/>
          <w:sz w:val="24"/>
          <w:szCs w:val="24"/>
        </w:rPr>
        <w:t>计量单位</w:t>
      </w:r>
      <w:r>
        <w:rPr>
          <w:rFonts w:hint="eastAsia" w:ascii="宋体" w:eastAsia="宋体"/>
          <w:sz w:val="24"/>
          <w:szCs w:val="24"/>
        </w:rPr>
        <w:t>均应采用中华人民共和国法定计量单位</w:t>
      </w:r>
      <w:r>
        <w:rPr>
          <w:rFonts w:ascii="宋体" w:eastAsia="宋体"/>
          <w:sz w:val="24"/>
          <w:szCs w:val="24"/>
        </w:rPr>
        <w:t>。</w:t>
      </w:r>
    </w:p>
    <w:p>
      <w:pPr>
        <w:pStyle w:val="95"/>
        <w:tabs>
          <w:tab w:val="clear" w:pos="1440"/>
          <w:tab w:val="clear" w:pos="1620"/>
        </w:tabs>
        <w:spacing w:before="0" w:after="0" w:line="500" w:lineRule="exact"/>
        <w:ind w:firstLine="472" w:firstLineChars="196"/>
        <w:rPr>
          <w:color w:val="auto"/>
          <w:sz w:val="24"/>
          <w:szCs w:val="24"/>
        </w:rPr>
      </w:pPr>
      <w:bookmarkStart w:id="24" w:name="_Toc8904075"/>
      <w:r>
        <w:rPr>
          <w:rFonts w:hint="eastAsia"/>
          <w:color w:val="auto"/>
          <w:sz w:val="24"/>
          <w:szCs w:val="24"/>
        </w:rPr>
        <w:t>11．</w:t>
      </w:r>
      <w:r>
        <w:rPr>
          <w:color w:val="auto"/>
          <w:sz w:val="24"/>
          <w:szCs w:val="24"/>
        </w:rPr>
        <w:t>投标文件的组成</w:t>
      </w:r>
      <w:bookmarkEnd w:id="24"/>
    </w:p>
    <w:p>
      <w:pPr>
        <w:pStyle w:val="87"/>
        <w:spacing w:line="500" w:lineRule="exact"/>
        <w:ind w:firstLine="494"/>
        <w:rPr>
          <w:rFonts w:ascii="宋体" w:eastAsia="宋体"/>
          <w:sz w:val="24"/>
          <w:szCs w:val="24"/>
        </w:rPr>
      </w:pPr>
      <w:r>
        <w:rPr>
          <w:rFonts w:hint="eastAsia" w:ascii="宋体" w:eastAsia="宋体"/>
          <w:sz w:val="24"/>
          <w:szCs w:val="24"/>
        </w:rPr>
        <w:t>11.1 供应商编写的</w:t>
      </w:r>
      <w:r>
        <w:rPr>
          <w:rFonts w:ascii="宋体" w:eastAsia="宋体"/>
          <w:sz w:val="24"/>
          <w:szCs w:val="24"/>
        </w:rPr>
        <w:t>投标文件</w:t>
      </w:r>
      <w:r>
        <w:rPr>
          <w:rFonts w:hint="eastAsia" w:ascii="宋体" w:eastAsia="宋体"/>
          <w:sz w:val="24"/>
          <w:szCs w:val="24"/>
        </w:rPr>
        <w:t>应包括价格文件、商务文件、技术文件和唱标信封。</w:t>
      </w:r>
    </w:p>
    <w:p>
      <w:pPr>
        <w:pStyle w:val="87"/>
        <w:spacing w:line="500" w:lineRule="exact"/>
        <w:ind w:firstLine="494"/>
        <w:rPr>
          <w:rFonts w:ascii="宋体" w:eastAsia="宋体"/>
          <w:sz w:val="24"/>
          <w:szCs w:val="24"/>
        </w:rPr>
      </w:pPr>
      <w:r>
        <w:rPr>
          <w:rFonts w:hint="eastAsia" w:ascii="宋体" w:eastAsia="宋体"/>
          <w:sz w:val="24"/>
          <w:szCs w:val="24"/>
        </w:rPr>
        <w:t>11.2投标文件的构成应符合法律、法规及招标文件的要求。</w:t>
      </w:r>
    </w:p>
    <w:p>
      <w:pPr>
        <w:pStyle w:val="95"/>
        <w:tabs>
          <w:tab w:val="clear" w:pos="1440"/>
          <w:tab w:val="clear" w:pos="1620"/>
        </w:tabs>
        <w:spacing w:before="0" w:after="0" w:line="500" w:lineRule="exact"/>
        <w:ind w:firstLine="472" w:firstLineChars="196"/>
        <w:rPr>
          <w:color w:val="auto"/>
          <w:sz w:val="24"/>
          <w:szCs w:val="24"/>
        </w:rPr>
      </w:pPr>
      <w:bookmarkStart w:id="25" w:name="_Toc8904076"/>
      <w:r>
        <w:rPr>
          <w:rFonts w:hint="eastAsia"/>
          <w:color w:val="auto"/>
          <w:sz w:val="24"/>
          <w:szCs w:val="24"/>
        </w:rPr>
        <w:t>12．投标文件格式</w:t>
      </w:r>
      <w:bookmarkEnd w:id="25"/>
    </w:p>
    <w:p>
      <w:pPr>
        <w:pStyle w:val="87"/>
        <w:spacing w:line="500" w:lineRule="exact"/>
        <w:ind w:firstLine="494"/>
        <w:rPr>
          <w:rFonts w:ascii="宋体" w:eastAsia="宋体"/>
          <w:sz w:val="24"/>
          <w:szCs w:val="24"/>
        </w:rPr>
      </w:pPr>
      <w:r>
        <w:rPr>
          <w:rFonts w:ascii="宋体" w:eastAsia="宋体"/>
          <w:sz w:val="24"/>
          <w:szCs w:val="24"/>
        </w:rPr>
        <w:t>供应商提交的投标文件应当</w:t>
      </w:r>
      <w:r>
        <w:rPr>
          <w:rFonts w:hint="eastAsia" w:ascii="宋体" w:eastAsia="宋体"/>
          <w:sz w:val="24"/>
          <w:szCs w:val="24"/>
        </w:rPr>
        <w:t>按照</w:t>
      </w:r>
      <w:r>
        <w:rPr>
          <w:rFonts w:ascii="宋体" w:eastAsia="宋体"/>
          <w:sz w:val="24"/>
          <w:szCs w:val="24"/>
        </w:rPr>
        <w:t>招标文件的投标文件格式（表格可以按同样格式扩展）</w:t>
      </w:r>
      <w:r>
        <w:rPr>
          <w:rFonts w:hint="eastAsia" w:ascii="宋体" w:eastAsia="宋体"/>
          <w:sz w:val="24"/>
          <w:szCs w:val="24"/>
        </w:rPr>
        <w:t>进行编制</w:t>
      </w:r>
      <w:r>
        <w:rPr>
          <w:rFonts w:ascii="宋体" w:eastAsia="宋体"/>
          <w:sz w:val="24"/>
          <w:szCs w:val="24"/>
        </w:rPr>
        <w:t>。</w:t>
      </w:r>
    </w:p>
    <w:p>
      <w:pPr>
        <w:pStyle w:val="95"/>
        <w:tabs>
          <w:tab w:val="clear" w:pos="1440"/>
          <w:tab w:val="clear" w:pos="1620"/>
        </w:tabs>
        <w:spacing w:before="0" w:after="0" w:line="500" w:lineRule="exact"/>
        <w:ind w:firstLine="472" w:firstLineChars="196"/>
        <w:rPr>
          <w:color w:val="auto"/>
          <w:sz w:val="24"/>
          <w:szCs w:val="24"/>
        </w:rPr>
      </w:pPr>
      <w:bookmarkStart w:id="26" w:name="_Toc8904077"/>
      <w:r>
        <w:rPr>
          <w:color w:val="auto"/>
          <w:sz w:val="24"/>
          <w:szCs w:val="24"/>
        </w:rPr>
        <w:t>1</w:t>
      </w:r>
      <w:r>
        <w:rPr>
          <w:rFonts w:hint="eastAsia"/>
          <w:color w:val="auto"/>
          <w:sz w:val="24"/>
          <w:szCs w:val="24"/>
        </w:rPr>
        <w:t>3．</w:t>
      </w:r>
      <w:r>
        <w:rPr>
          <w:color w:val="auto"/>
          <w:sz w:val="24"/>
          <w:szCs w:val="24"/>
        </w:rPr>
        <w:t>投标文件的</w:t>
      </w:r>
      <w:r>
        <w:rPr>
          <w:rFonts w:hint="eastAsia"/>
          <w:color w:val="auto"/>
          <w:sz w:val="24"/>
          <w:szCs w:val="24"/>
        </w:rPr>
        <w:t>编制、数量和签署</w:t>
      </w:r>
      <w:bookmarkEnd w:id="26"/>
    </w:p>
    <w:p>
      <w:pPr>
        <w:pStyle w:val="87"/>
        <w:spacing w:line="500" w:lineRule="exact"/>
        <w:ind w:firstLine="496"/>
        <w:rPr>
          <w:rFonts w:ascii="宋体" w:eastAsia="宋体"/>
          <w:b/>
          <w:sz w:val="24"/>
          <w:szCs w:val="24"/>
        </w:rPr>
      </w:pPr>
      <w:r>
        <w:rPr>
          <w:rFonts w:hint="eastAsia" w:ascii="宋体" w:eastAsia="宋体"/>
          <w:b/>
          <w:sz w:val="24"/>
          <w:szCs w:val="24"/>
        </w:rPr>
        <w:t>13</w:t>
      </w:r>
      <w:r>
        <w:rPr>
          <w:rFonts w:ascii="宋体" w:eastAsia="宋体"/>
          <w:b/>
          <w:sz w:val="24"/>
          <w:szCs w:val="24"/>
        </w:rPr>
        <w:t>.</w:t>
      </w:r>
      <w:r>
        <w:rPr>
          <w:rFonts w:hint="eastAsia" w:ascii="宋体" w:eastAsia="宋体"/>
          <w:b/>
          <w:sz w:val="24"/>
          <w:szCs w:val="24"/>
        </w:rPr>
        <w:t>1供应商应提交：投标文件密封包封为1包（内含纸质投标文件正本1份、副本5份）；唱标信封密封包封为1包（内含唱标信封1份、投标文件电子文档1份）。</w:t>
      </w:r>
    </w:p>
    <w:p>
      <w:pPr>
        <w:pStyle w:val="87"/>
        <w:spacing w:line="500" w:lineRule="exact"/>
        <w:ind w:firstLine="494"/>
        <w:rPr>
          <w:rFonts w:ascii="宋体" w:eastAsia="宋体"/>
          <w:sz w:val="24"/>
          <w:szCs w:val="24"/>
        </w:rPr>
      </w:pPr>
      <w:r>
        <w:rPr>
          <w:rFonts w:hint="eastAsia" w:ascii="宋体" w:eastAsia="宋体"/>
          <w:sz w:val="24"/>
          <w:szCs w:val="24"/>
        </w:rPr>
        <w:t>13.2</w:t>
      </w:r>
      <w:r>
        <w:rPr>
          <w:rFonts w:ascii="宋体" w:eastAsia="宋体"/>
          <w:sz w:val="24"/>
          <w:szCs w:val="24"/>
        </w:rPr>
        <w:t>投标文件</w:t>
      </w:r>
      <w:r>
        <w:rPr>
          <w:rFonts w:hint="eastAsia" w:ascii="宋体" w:eastAsia="宋体"/>
          <w:sz w:val="24"/>
          <w:szCs w:val="24"/>
        </w:rPr>
        <w:t>正本需打印或用不褪色墨水书写，投标文件格式要求签字或盖公章的地方应由法定代表人或授权代表签字或盖公章。投标文件的副本可采用正本的投标文件复印件，每套投标文件应当标明“正本”、“副本”的字样。投标文件若正本与副本不符，以正本为准。投标文件的[正本]及所有[副本]的封面及骑缝均须盖投标人公章。</w:t>
      </w:r>
    </w:p>
    <w:p>
      <w:pPr>
        <w:tabs>
          <w:tab w:val="left" w:pos="1440"/>
        </w:tabs>
        <w:spacing w:line="500" w:lineRule="exact"/>
        <w:ind w:firstLine="480" w:firstLineChars="200"/>
        <w:rPr>
          <w:rFonts w:ascii="宋体" w:hAnsi="宋体"/>
          <w:sz w:val="24"/>
          <w:szCs w:val="24"/>
        </w:rPr>
      </w:pPr>
      <w:r>
        <w:rPr>
          <w:rFonts w:hint="eastAsia" w:ascii="宋体" w:hAnsi="宋体"/>
          <w:sz w:val="24"/>
          <w:szCs w:val="24"/>
        </w:rPr>
        <w:t>13.3供应商同时参加几个包投标时必须按招标文件要求按包号分别制作投标文件，分别密封递交。</w:t>
      </w:r>
    </w:p>
    <w:p>
      <w:pPr>
        <w:pStyle w:val="87"/>
        <w:spacing w:line="500" w:lineRule="exact"/>
        <w:ind w:firstLine="494"/>
        <w:rPr>
          <w:rFonts w:ascii="宋体" w:eastAsia="宋体"/>
          <w:sz w:val="24"/>
          <w:szCs w:val="24"/>
        </w:rPr>
      </w:pPr>
      <w:r>
        <w:rPr>
          <w:rFonts w:hint="eastAsia" w:ascii="宋体" w:eastAsia="宋体"/>
          <w:sz w:val="24"/>
          <w:szCs w:val="24"/>
        </w:rPr>
        <w:t>13</w:t>
      </w:r>
      <w:r>
        <w:rPr>
          <w:rFonts w:ascii="宋体" w:eastAsia="宋体"/>
          <w:sz w:val="24"/>
          <w:szCs w:val="24"/>
        </w:rPr>
        <w:t>.</w:t>
      </w:r>
      <w:r>
        <w:rPr>
          <w:rFonts w:hint="eastAsia" w:ascii="宋体" w:eastAsia="宋体"/>
          <w:sz w:val="24"/>
          <w:szCs w:val="24"/>
        </w:rPr>
        <w:t>4投标文件中任何行间插字、涂改和增删，必须由法定代表人或授权代表在旁边签字才有效。</w:t>
      </w:r>
    </w:p>
    <w:p>
      <w:pPr>
        <w:pStyle w:val="87"/>
        <w:spacing w:line="500" w:lineRule="exact"/>
        <w:ind w:firstLine="494"/>
        <w:rPr>
          <w:rFonts w:ascii="宋体" w:eastAsia="宋体"/>
          <w:sz w:val="24"/>
          <w:szCs w:val="24"/>
          <w:lang w:val="en-GB"/>
        </w:rPr>
      </w:pPr>
      <w:r>
        <w:rPr>
          <w:rFonts w:hint="eastAsia" w:ascii="宋体" w:eastAsia="宋体"/>
          <w:sz w:val="24"/>
          <w:szCs w:val="24"/>
        </w:rPr>
        <w:t>13.5供应商必须对投标文件所提供的全部资料的真实性承担法律责任，并接受采购代理机构、采购人及政府采购监督管理部门等对其中任何资料进行核实的要求。</w:t>
      </w:r>
    </w:p>
    <w:p>
      <w:pPr>
        <w:pStyle w:val="87"/>
        <w:spacing w:line="500" w:lineRule="exact"/>
        <w:ind w:firstLine="494"/>
        <w:rPr>
          <w:rFonts w:ascii="宋体" w:eastAsia="宋体"/>
          <w:sz w:val="24"/>
          <w:szCs w:val="24"/>
        </w:rPr>
      </w:pPr>
      <w:r>
        <w:rPr>
          <w:rFonts w:hint="eastAsia" w:ascii="宋体" w:eastAsia="宋体"/>
          <w:sz w:val="24"/>
          <w:szCs w:val="24"/>
        </w:rPr>
        <w:t>13.6传真或电传的投标文件将拒绝接收。</w:t>
      </w:r>
    </w:p>
    <w:p>
      <w:pPr>
        <w:pStyle w:val="87"/>
        <w:spacing w:line="500" w:lineRule="exact"/>
        <w:ind w:firstLine="494"/>
        <w:rPr>
          <w:rFonts w:ascii="宋体" w:eastAsia="宋体"/>
          <w:sz w:val="24"/>
          <w:szCs w:val="24"/>
        </w:rPr>
      </w:pPr>
      <w:r>
        <w:rPr>
          <w:rFonts w:hint="eastAsia" w:ascii="宋体" w:eastAsia="宋体"/>
          <w:sz w:val="24"/>
          <w:szCs w:val="24"/>
        </w:rPr>
        <w:t>13.7逾期送达或者未按照招标文件要求密封的投标文件，采购代理机构将拒绝接收。</w:t>
      </w:r>
    </w:p>
    <w:p>
      <w:pPr>
        <w:pStyle w:val="87"/>
        <w:spacing w:line="500" w:lineRule="exact"/>
        <w:ind w:firstLine="494"/>
        <w:rPr>
          <w:rFonts w:ascii="宋体" w:eastAsia="宋体"/>
          <w:sz w:val="24"/>
          <w:szCs w:val="24"/>
        </w:rPr>
      </w:pPr>
      <w:r>
        <w:rPr>
          <w:rFonts w:hint="eastAsia" w:ascii="宋体" w:eastAsia="宋体"/>
          <w:sz w:val="24"/>
          <w:szCs w:val="24"/>
        </w:rPr>
        <w:t>1</w:t>
      </w:r>
      <w:r>
        <w:rPr>
          <w:rFonts w:ascii="宋体" w:eastAsia="宋体"/>
          <w:sz w:val="24"/>
          <w:szCs w:val="24"/>
        </w:rPr>
        <w:t>3</w:t>
      </w:r>
      <w:r>
        <w:rPr>
          <w:rFonts w:hint="eastAsia" w:ascii="宋体" w:eastAsia="宋体"/>
          <w:sz w:val="24"/>
          <w:szCs w:val="24"/>
        </w:rPr>
        <w:t>.8法定代表人或授权代表的私章与签字具有同等的法律效力。</w:t>
      </w:r>
    </w:p>
    <w:p>
      <w:pPr>
        <w:pStyle w:val="95"/>
        <w:tabs>
          <w:tab w:val="clear" w:pos="1440"/>
          <w:tab w:val="clear" w:pos="1620"/>
        </w:tabs>
        <w:spacing w:before="0" w:after="0" w:line="500" w:lineRule="exact"/>
        <w:ind w:firstLine="472" w:firstLineChars="196"/>
        <w:rPr>
          <w:color w:val="auto"/>
          <w:sz w:val="24"/>
          <w:szCs w:val="24"/>
        </w:rPr>
      </w:pPr>
      <w:bookmarkStart w:id="27" w:name="_Toc8904078"/>
      <w:r>
        <w:rPr>
          <w:rFonts w:hint="eastAsia"/>
          <w:color w:val="auto"/>
          <w:sz w:val="24"/>
          <w:szCs w:val="24"/>
        </w:rPr>
        <w:t>14．投标文件电子文档</w:t>
      </w:r>
      <w:bookmarkEnd w:id="27"/>
    </w:p>
    <w:p>
      <w:pPr>
        <w:pStyle w:val="87"/>
        <w:spacing w:line="500" w:lineRule="exact"/>
        <w:ind w:firstLine="494"/>
        <w:rPr>
          <w:rFonts w:ascii="宋体" w:eastAsia="宋体"/>
          <w:sz w:val="24"/>
          <w:szCs w:val="24"/>
        </w:rPr>
      </w:pPr>
      <w:r>
        <w:rPr>
          <w:rFonts w:hint="eastAsia" w:ascii="宋体" w:eastAsia="宋体"/>
          <w:sz w:val="24"/>
          <w:szCs w:val="24"/>
        </w:rPr>
        <w:t>14.1供应商在提交纸质投标文件的同时，应提交该投标文件的电子文档（由光盘或U盘储存）。</w:t>
      </w:r>
    </w:p>
    <w:p>
      <w:pPr>
        <w:pStyle w:val="87"/>
        <w:spacing w:line="500" w:lineRule="exact"/>
        <w:ind w:firstLine="494"/>
        <w:rPr>
          <w:rFonts w:ascii="宋体" w:eastAsia="宋体"/>
          <w:sz w:val="24"/>
          <w:szCs w:val="24"/>
        </w:rPr>
      </w:pPr>
      <w:r>
        <w:rPr>
          <w:rFonts w:hint="eastAsia" w:ascii="宋体" w:eastAsia="宋体"/>
          <w:sz w:val="24"/>
          <w:szCs w:val="24"/>
        </w:rPr>
        <w:t>14.2供应商提交的纸质投标文件内容应与电子文档内容一致。当不一致时，评标委员会将按不利于供应商的原则处理，由此产生的一切责任均由供应商承担。</w:t>
      </w:r>
    </w:p>
    <w:p>
      <w:pPr>
        <w:pStyle w:val="95"/>
        <w:tabs>
          <w:tab w:val="clear" w:pos="1440"/>
          <w:tab w:val="clear" w:pos="1620"/>
        </w:tabs>
        <w:spacing w:before="0" w:after="0" w:line="500" w:lineRule="exact"/>
        <w:ind w:firstLine="472" w:firstLineChars="196"/>
        <w:rPr>
          <w:color w:val="auto"/>
          <w:sz w:val="24"/>
          <w:szCs w:val="24"/>
        </w:rPr>
      </w:pPr>
      <w:bookmarkStart w:id="28" w:name="_Toc8904079"/>
      <w:r>
        <w:rPr>
          <w:rFonts w:hint="eastAsia"/>
          <w:color w:val="auto"/>
          <w:sz w:val="24"/>
          <w:szCs w:val="24"/>
        </w:rPr>
        <w:t>15．投标报价说明</w:t>
      </w:r>
      <w:bookmarkEnd w:id="28"/>
    </w:p>
    <w:p>
      <w:pPr>
        <w:pStyle w:val="87"/>
        <w:spacing w:line="500" w:lineRule="exact"/>
        <w:ind w:firstLine="494"/>
        <w:rPr>
          <w:rFonts w:ascii="宋体" w:eastAsia="宋体"/>
          <w:bCs/>
          <w:sz w:val="24"/>
          <w:szCs w:val="24"/>
        </w:rPr>
      </w:pPr>
      <w:r>
        <w:rPr>
          <w:rFonts w:hint="eastAsia" w:ascii="宋体" w:eastAsia="宋体"/>
          <w:sz w:val="24"/>
          <w:szCs w:val="24"/>
        </w:rPr>
        <w:t>15.1本次招标，供应商必须就所有内容进行投标报价，如有缺项、漏项，视为已包含在投标报价中。</w:t>
      </w:r>
    </w:p>
    <w:p>
      <w:pPr>
        <w:pStyle w:val="87"/>
        <w:spacing w:line="500" w:lineRule="exact"/>
        <w:ind w:firstLine="494"/>
        <w:rPr>
          <w:rFonts w:ascii="宋体" w:eastAsia="宋体"/>
          <w:sz w:val="24"/>
          <w:szCs w:val="24"/>
        </w:rPr>
      </w:pPr>
      <w:r>
        <w:rPr>
          <w:rFonts w:hint="eastAsia" w:ascii="宋体" w:eastAsia="宋体"/>
          <w:sz w:val="24"/>
          <w:szCs w:val="24"/>
        </w:rPr>
        <w:t>15.2投标报价应包含完成本次招标所有采购内容的费用，包含各种税务费及合同实施过程中的不可预见费用等全部费用（</w:t>
      </w:r>
      <w:r>
        <w:rPr>
          <w:rFonts w:ascii="宋体" w:eastAsia="宋体"/>
          <w:sz w:val="24"/>
          <w:szCs w:val="24"/>
        </w:rPr>
        <w:t>含</w:t>
      </w:r>
      <w:r>
        <w:rPr>
          <w:rFonts w:hint="eastAsia" w:ascii="宋体" w:eastAsia="宋体"/>
          <w:sz w:val="24"/>
          <w:szCs w:val="24"/>
        </w:rPr>
        <w:t>招标文件所要求的</w:t>
      </w:r>
      <w:r>
        <w:rPr>
          <w:rFonts w:ascii="宋体" w:eastAsia="宋体"/>
          <w:sz w:val="24"/>
          <w:szCs w:val="24"/>
        </w:rPr>
        <w:t>必</w:t>
      </w:r>
      <w:r>
        <w:rPr>
          <w:rFonts w:hint="eastAsia" w:ascii="宋体" w:eastAsia="宋体"/>
          <w:sz w:val="24"/>
          <w:szCs w:val="24"/>
        </w:rPr>
        <w:t>要</w:t>
      </w:r>
      <w:r>
        <w:rPr>
          <w:rFonts w:ascii="宋体" w:eastAsia="宋体"/>
          <w:sz w:val="24"/>
          <w:szCs w:val="24"/>
        </w:rPr>
        <w:t>的辅助材料费用)</w:t>
      </w:r>
      <w:r>
        <w:rPr>
          <w:rFonts w:hint="eastAsia" w:ascii="宋体" w:eastAsia="宋体"/>
          <w:sz w:val="24"/>
          <w:szCs w:val="24"/>
        </w:rPr>
        <w:t>和售后服务费等。</w:t>
      </w:r>
    </w:p>
    <w:p>
      <w:pPr>
        <w:pStyle w:val="87"/>
        <w:spacing w:line="500" w:lineRule="exact"/>
        <w:ind w:firstLine="494"/>
        <w:rPr>
          <w:rFonts w:ascii="宋体" w:eastAsia="宋体"/>
          <w:sz w:val="24"/>
          <w:szCs w:val="24"/>
        </w:rPr>
      </w:pPr>
      <w:r>
        <w:rPr>
          <w:rFonts w:hint="eastAsia" w:ascii="宋体" w:eastAsia="宋体"/>
          <w:sz w:val="24"/>
          <w:szCs w:val="24"/>
        </w:rPr>
        <w:t>1</w:t>
      </w:r>
      <w:r>
        <w:rPr>
          <w:rFonts w:ascii="宋体" w:eastAsia="宋体"/>
          <w:sz w:val="24"/>
          <w:szCs w:val="24"/>
        </w:rPr>
        <w:t>5.3</w:t>
      </w:r>
      <w:r>
        <w:rPr>
          <w:rFonts w:hint="eastAsia" w:ascii="宋体" w:eastAsia="宋体"/>
          <w:sz w:val="24"/>
          <w:szCs w:val="24"/>
        </w:rPr>
        <w:t>本次招标不接受选择性报价或者有附加条件的报价。</w:t>
      </w:r>
    </w:p>
    <w:p>
      <w:pPr>
        <w:spacing w:line="500" w:lineRule="exact"/>
        <w:ind w:left="63" w:leftChars="30" w:firstLine="436" w:firstLineChars="182"/>
        <w:rPr>
          <w:rFonts w:ascii="宋体" w:hAnsi="宋体"/>
          <w:sz w:val="24"/>
          <w:szCs w:val="24"/>
        </w:rPr>
      </w:pPr>
      <w:r>
        <w:rPr>
          <w:rFonts w:hint="eastAsia" w:ascii="宋体" w:hAnsi="宋体"/>
          <w:sz w:val="24"/>
          <w:szCs w:val="24"/>
        </w:rPr>
        <w:t>15.</w:t>
      </w:r>
      <w:r>
        <w:rPr>
          <w:rFonts w:ascii="宋体" w:hAnsi="宋体"/>
          <w:sz w:val="24"/>
          <w:szCs w:val="24"/>
        </w:rPr>
        <w:t>4</w:t>
      </w:r>
      <w:r>
        <w:rPr>
          <w:rFonts w:hint="eastAsia" w:ascii="宋体" w:hAnsi="宋体"/>
          <w:sz w:val="24"/>
          <w:szCs w:val="24"/>
        </w:rPr>
        <w:t>投标报价应包括所提供货物或服务所需的专利权和版权、设计或其他知识产权而需要向其他方支付的版税。</w:t>
      </w:r>
    </w:p>
    <w:p>
      <w:pPr>
        <w:pStyle w:val="87"/>
        <w:spacing w:line="500" w:lineRule="exact"/>
        <w:ind w:firstLine="494"/>
        <w:rPr>
          <w:rFonts w:ascii="宋体" w:eastAsia="宋体"/>
          <w:sz w:val="24"/>
          <w:szCs w:val="24"/>
        </w:rPr>
      </w:pPr>
      <w:r>
        <w:rPr>
          <w:rFonts w:hint="eastAsia" w:ascii="宋体" w:eastAsia="宋体"/>
          <w:sz w:val="24"/>
          <w:szCs w:val="24"/>
        </w:rPr>
        <w:t>15.</w:t>
      </w:r>
      <w:r>
        <w:rPr>
          <w:rFonts w:ascii="宋体" w:eastAsia="宋体"/>
          <w:sz w:val="24"/>
          <w:szCs w:val="24"/>
        </w:rPr>
        <w:t>5</w:t>
      </w:r>
      <w:r>
        <w:rPr>
          <w:rFonts w:hint="eastAsia" w:ascii="宋体" w:eastAsia="宋体"/>
          <w:sz w:val="24"/>
          <w:szCs w:val="24"/>
        </w:rPr>
        <w:t>投标报价在合同执行过程中是固定不变的，不得以任何理由予以变更。以可调整的价格提交的投标文件按无效投标处理。</w:t>
      </w:r>
    </w:p>
    <w:p>
      <w:pPr>
        <w:pStyle w:val="87"/>
        <w:spacing w:line="500" w:lineRule="exact"/>
        <w:ind w:firstLine="494"/>
        <w:rPr>
          <w:rFonts w:ascii="宋体" w:eastAsia="宋体"/>
          <w:sz w:val="24"/>
          <w:szCs w:val="24"/>
        </w:rPr>
      </w:pPr>
      <w:r>
        <w:rPr>
          <w:rFonts w:hint="eastAsia" w:ascii="宋体" w:eastAsia="宋体"/>
          <w:sz w:val="24"/>
          <w:szCs w:val="24"/>
        </w:rPr>
        <w:t>15.</w:t>
      </w:r>
      <w:r>
        <w:rPr>
          <w:rFonts w:ascii="宋体" w:eastAsia="宋体"/>
          <w:sz w:val="24"/>
          <w:szCs w:val="24"/>
        </w:rPr>
        <w:t>6</w:t>
      </w:r>
      <w:r>
        <w:rPr>
          <w:rFonts w:hint="eastAsia" w:ascii="宋体" w:eastAsia="宋体"/>
          <w:sz w:val="24"/>
          <w:szCs w:val="24"/>
        </w:rPr>
        <w:t>中标后开出的所有发票必须与中标供应商的名称一致。</w:t>
      </w:r>
    </w:p>
    <w:p>
      <w:pPr>
        <w:pStyle w:val="95"/>
        <w:tabs>
          <w:tab w:val="clear" w:pos="1440"/>
          <w:tab w:val="clear" w:pos="1620"/>
        </w:tabs>
        <w:spacing w:before="0" w:after="0" w:line="500" w:lineRule="exact"/>
        <w:ind w:firstLine="472" w:firstLineChars="196"/>
        <w:rPr>
          <w:color w:val="auto"/>
          <w:sz w:val="24"/>
          <w:szCs w:val="24"/>
        </w:rPr>
      </w:pPr>
      <w:bookmarkStart w:id="29" w:name="_Toc8904080"/>
      <w:r>
        <w:rPr>
          <w:rFonts w:hint="eastAsia"/>
          <w:color w:val="auto"/>
          <w:sz w:val="24"/>
          <w:szCs w:val="24"/>
        </w:rPr>
        <w:t>16．投标货币</w:t>
      </w:r>
      <w:bookmarkEnd w:id="29"/>
    </w:p>
    <w:p>
      <w:pPr>
        <w:pStyle w:val="87"/>
        <w:spacing w:line="500" w:lineRule="exact"/>
        <w:ind w:firstLine="494"/>
        <w:rPr>
          <w:rFonts w:ascii="宋体" w:eastAsia="宋体"/>
          <w:sz w:val="24"/>
          <w:szCs w:val="24"/>
        </w:rPr>
      </w:pPr>
      <w:r>
        <w:rPr>
          <w:rFonts w:hint="eastAsia" w:ascii="宋体" w:eastAsia="宋体"/>
          <w:sz w:val="24"/>
          <w:szCs w:val="24"/>
        </w:rPr>
        <w:t>供应商提供的货物或服务用人民币报价。</w:t>
      </w:r>
    </w:p>
    <w:p>
      <w:pPr>
        <w:pStyle w:val="95"/>
        <w:tabs>
          <w:tab w:val="clear" w:pos="1440"/>
          <w:tab w:val="clear" w:pos="1620"/>
        </w:tabs>
        <w:spacing w:before="0" w:after="0" w:line="500" w:lineRule="exact"/>
        <w:ind w:firstLine="472" w:firstLineChars="196"/>
        <w:rPr>
          <w:color w:val="auto"/>
          <w:sz w:val="24"/>
          <w:szCs w:val="24"/>
        </w:rPr>
      </w:pPr>
      <w:bookmarkStart w:id="30" w:name="_Toc8904081"/>
      <w:r>
        <w:rPr>
          <w:rFonts w:hint="eastAsia"/>
          <w:color w:val="auto"/>
          <w:sz w:val="24"/>
          <w:szCs w:val="24"/>
        </w:rPr>
        <w:t>17．</w:t>
      </w:r>
      <w:r>
        <w:rPr>
          <w:color w:val="auto"/>
          <w:sz w:val="24"/>
          <w:szCs w:val="24"/>
        </w:rPr>
        <w:t>投标有效期</w:t>
      </w:r>
      <w:bookmarkEnd w:id="30"/>
    </w:p>
    <w:p>
      <w:pPr>
        <w:pStyle w:val="87"/>
        <w:spacing w:line="500" w:lineRule="exact"/>
        <w:ind w:firstLine="494"/>
        <w:rPr>
          <w:rFonts w:ascii="宋体" w:eastAsia="宋体"/>
          <w:sz w:val="24"/>
          <w:szCs w:val="24"/>
        </w:rPr>
      </w:pPr>
      <w:r>
        <w:rPr>
          <w:rFonts w:hint="eastAsia" w:ascii="宋体" w:eastAsia="宋体"/>
          <w:sz w:val="24"/>
          <w:szCs w:val="24"/>
        </w:rPr>
        <w:t>17.1 投标有效期：</w:t>
      </w:r>
      <w:r>
        <w:rPr>
          <w:rFonts w:hint="eastAsia" w:ascii="宋体" w:eastAsia="宋体"/>
          <w:sz w:val="24"/>
          <w:szCs w:val="24"/>
          <w:u w:val="single"/>
        </w:rPr>
        <w:t>90</w:t>
      </w:r>
      <w:r>
        <w:rPr>
          <w:rFonts w:hint="eastAsia" w:ascii="宋体" w:eastAsia="宋体"/>
          <w:sz w:val="24"/>
          <w:szCs w:val="24"/>
        </w:rPr>
        <w:t>天。投标有效期从提交投标文件的截止之日起算。投标文件中承诺的投标有效期应当不少于招标文件中载明的投标有效期。投标有效期内投标人撤销投标文件的，采购人或者采购代理机构可以不退还投标保证金。</w:t>
      </w:r>
    </w:p>
    <w:p>
      <w:pPr>
        <w:pStyle w:val="87"/>
        <w:spacing w:line="500" w:lineRule="exact"/>
        <w:ind w:firstLine="494"/>
        <w:rPr>
          <w:rFonts w:ascii="宋体" w:eastAsia="宋体"/>
          <w:sz w:val="24"/>
          <w:szCs w:val="24"/>
        </w:rPr>
      </w:pPr>
      <w:r>
        <w:rPr>
          <w:rFonts w:hint="eastAsia" w:ascii="宋体" w:eastAsia="宋体"/>
          <w:sz w:val="24"/>
          <w:szCs w:val="24"/>
        </w:rPr>
        <w:t>17.2 特殊情况下，在原有投标有效期截止之前，采购代理机构可要求供应商同意延长投标有效期。这种要求与答复均应以书面形式提交。供应商可拒绝采购代理机构的这种要求，其投标保证金将可退还。接受投标有效期延长的供应商将不会被要求和允许修正其投标文件，而只会被要求相应地延长其投标保证金的有效期。在这种情况下，本须知有关投标保证金的退还和不予退还的规定将在延长了的有效期内继续有效。</w:t>
      </w:r>
    </w:p>
    <w:p>
      <w:pPr>
        <w:pStyle w:val="95"/>
        <w:tabs>
          <w:tab w:val="clear" w:pos="1440"/>
          <w:tab w:val="clear" w:pos="1620"/>
        </w:tabs>
        <w:spacing w:before="0" w:after="0" w:line="500" w:lineRule="exact"/>
        <w:ind w:firstLine="472" w:firstLineChars="196"/>
        <w:rPr>
          <w:color w:val="auto"/>
          <w:sz w:val="24"/>
          <w:szCs w:val="24"/>
        </w:rPr>
      </w:pPr>
      <w:bookmarkStart w:id="31" w:name="_Toc8904082"/>
      <w:r>
        <w:rPr>
          <w:rFonts w:hint="eastAsia"/>
          <w:color w:val="auto"/>
          <w:sz w:val="24"/>
          <w:szCs w:val="24"/>
        </w:rPr>
        <w:t>18．投标保证金</w:t>
      </w:r>
      <w:bookmarkEnd w:id="31"/>
    </w:p>
    <w:p>
      <w:pPr>
        <w:pStyle w:val="87"/>
        <w:spacing w:line="500" w:lineRule="exact"/>
        <w:ind w:firstLine="494"/>
        <w:rPr>
          <w:rFonts w:ascii="宋体" w:eastAsia="宋体"/>
          <w:sz w:val="24"/>
          <w:szCs w:val="24"/>
        </w:rPr>
      </w:pPr>
      <w:r>
        <w:rPr>
          <w:rFonts w:hint="eastAsia" w:ascii="宋体" w:eastAsia="宋体"/>
          <w:sz w:val="24"/>
          <w:szCs w:val="24"/>
        </w:rPr>
        <w:t>18.1供应商应按照招标文件规定的金额和办法提交投标保证金，投标保证金作为投标的一部分。投标保证金金额</w:t>
      </w:r>
      <w:r>
        <w:rPr>
          <w:rFonts w:hint="eastAsia" w:ascii="宋体" w:eastAsia="宋体"/>
          <w:sz w:val="24"/>
          <w:szCs w:val="24"/>
          <w:u w:val="single"/>
        </w:rPr>
        <w:t>见&lt;投标邀请函</w:t>
      </w:r>
      <w:r>
        <w:rPr>
          <w:rFonts w:ascii="宋体" w:eastAsia="宋体"/>
          <w:sz w:val="24"/>
          <w:szCs w:val="24"/>
          <w:u w:val="single"/>
        </w:rPr>
        <w:t>&gt;</w:t>
      </w:r>
      <w:r>
        <w:rPr>
          <w:rFonts w:hint="eastAsia" w:ascii="宋体" w:eastAsia="宋体"/>
          <w:sz w:val="24"/>
          <w:szCs w:val="24"/>
        </w:rPr>
        <w:t>。</w:t>
      </w:r>
    </w:p>
    <w:p>
      <w:pPr>
        <w:pStyle w:val="87"/>
        <w:spacing w:line="500" w:lineRule="exact"/>
        <w:ind w:firstLine="494"/>
        <w:rPr>
          <w:rFonts w:ascii="宋体" w:eastAsia="宋体"/>
          <w:sz w:val="24"/>
          <w:szCs w:val="24"/>
        </w:rPr>
      </w:pPr>
      <w:r>
        <w:rPr>
          <w:rFonts w:hint="eastAsia" w:ascii="宋体" w:eastAsia="宋体"/>
          <w:sz w:val="24"/>
          <w:szCs w:val="24"/>
        </w:rPr>
        <w:t>18.2 投标保证金是为了保护采购代理机构和采购人免遭因供应商的行为而蒙受损失，采购代理机构、采购人在因为供应商的行为受到损害时可不予退还其投标保证金。</w:t>
      </w:r>
    </w:p>
    <w:p>
      <w:pPr>
        <w:pStyle w:val="87"/>
        <w:spacing w:line="500" w:lineRule="exact"/>
        <w:ind w:firstLine="494"/>
        <w:rPr>
          <w:rFonts w:ascii="宋体" w:eastAsia="宋体"/>
          <w:sz w:val="24"/>
          <w:szCs w:val="24"/>
        </w:rPr>
      </w:pPr>
      <w:r>
        <w:rPr>
          <w:rFonts w:hint="eastAsia" w:ascii="宋体" w:eastAsia="宋体"/>
          <w:sz w:val="24"/>
          <w:szCs w:val="24"/>
        </w:rPr>
        <w:t>18.3未中标供应商的投标保证金自中标通知书发出后5个工作日内退还（不计利息）。</w:t>
      </w:r>
    </w:p>
    <w:p>
      <w:pPr>
        <w:pStyle w:val="87"/>
        <w:spacing w:line="500" w:lineRule="exact"/>
        <w:ind w:firstLine="494"/>
        <w:rPr>
          <w:rFonts w:ascii="宋体" w:eastAsia="宋体"/>
          <w:sz w:val="24"/>
          <w:szCs w:val="24"/>
        </w:rPr>
      </w:pPr>
      <w:r>
        <w:rPr>
          <w:rFonts w:hint="eastAsia" w:ascii="宋体" w:eastAsia="宋体"/>
          <w:sz w:val="24"/>
          <w:szCs w:val="24"/>
        </w:rPr>
        <w:t>18.4中标供应商的投标保证金自政府采购合同签订之日起5个工作日内退还（不计利息）。</w:t>
      </w:r>
    </w:p>
    <w:p>
      <w:pPr>
        <w:pStyle w:val="87"/>
        <w:spacing w:line="500" w:lineRule="exact"/>
        <w:ind w:firstLine="494"/>
        <w:rPr>
          <w:rFonts w:ascii="宋体" w:eastAsia="宋体"/>
          <w:sz w:val="24"/>
          <w:szCs w:val="24"/>
        </w:rPr>
      </w:pPr>
      <w:r>
        <w:rPr>
          <w:rFonts w:hint="eastAsia" w:ascii="宋体" w:eastAsia="宋体"/>
          <w:sz w:val="24"/>
          <w:szCs w:val="24"/>
        </w:rPr>
        <w:t>18.5有下列情形之一的，投标保证金将不予退还：</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18.5.1供应商在招标文件规定的投标有效期内撤销投标文件的。</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18.5.2中标供应商无正当理由不与采购人签订政府采购合同的。</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18.5.3将中标项目转让给他人，或者在投标文件未说明，且未经采购人同意，将中标项目分包给他人的。</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18.6提交投标保证金截止时间：</w:t>
      </w:r>
      <w:r>
        <w:rPr>
          <w:rFonts w:hint="eastAsia" w:ascii="宋体" w:eastAsia="宋体"/>
          <w:color w:val="auto"/>
          <w:sz w:val="24"/>
          <w:szCs w:val="24"/>
          <w:u w:val="single"/>
        </w:rPr>
        <w:t>与投标截止时间一致。</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18.7供应商应采用银行转账、电汇或《政府采购投标担保函》形式提交，且提交人与投标供应商名称必须一致。供应商可以按下列任何一种方式提交投标保证金。</w:t>
      </w:r>
    </w:p>
    <w:p>
      <w:pPr>
        <w:pStyle w:val="87"/>
        <w:spacing w:line="480" w:lineRule="exact"/>
        <w:ind w:firstLine="496"/>
        <w:rPr>
          <w:rFonts w:ascii="宋体" w:eastAsia="宋体"/>
          <w:b/>
          <w:sz w:val="24"/>
          <w:szCs w:val="24"/>
        </w:rPr>
      </w:pPr>
      <w:r>
        <w:rPr>
          <w:rFonts w:hint="eastAsia" w:ascii="宋体" w:eastAsia="宋体"/>
          <w:b/>
          <w:sz w:val="24"/>
          <w:szCs w:val="24"/>
        </w:rPr>
        <w:t>1）采用银行转账、电汇方式汇入采购代理机构银行账户。</w:t>
      </w:r>
    </w:p>
    <w:p>
      <w:pPr>
        <w:pStyle w:val="87"/>
        <w:spacing w:line="480" w:lineRule="exact"/>
        <w:ind w:firstLine="494"/>
        <w:rPr>
          <w:rFonts w:ascii="宋体" w:eastAsia="宋体"/>
          <w:sz w:val="24"/>
          <w:szCs w:val="24"/>
        </w:rPr>
      </w:pPr>
      <w:r>
        <w:rPr>
          <w:rFonts w:hint="eastAsia" w:ascii="宋体" w:eastAsia="宋体"/>
          <w:sz w:val="24"/>
          <w:szCs w:val="24"/>
        </w:rPr>
        <w:t>账户名称：东莞市达盛招标代理有限公司</w:t>
      </w:r>
    </w:p>
    <w:p>
      <w:pPr>
        <w:pStyle w:val="87"/>
        <w:spacing w:line="480" w:lineRule="exact"/>
        <w:ind w:firstLine="494"/>
        <w:rPr>
          <w:rFonts w:ascii="宋体" w:eastAsia="宋体"/>
          <w:sz w:val="24"/>
          <w:szCs w:val="24"/>
        </w:rPr>
      </w:pPr>
      <w:r>
        <w:rPr>
          <w:rFonts w:hint="eastAsia" w:ascii="宋体" w:eastAsia="宋体"/>
          <w:sz w:val="24"/>
          <w:szCs w:val="24"/>
        </w:rPr>
        <w:t>银行账号：9550880206774700165</w:t>
      </w:r>
    </w:p>
    <w:p>
      <w:pPr>
        <w:pStyle w:val="87"/>
        <w:spacing w:line="480" w:lineRule="exact"/>
        <w:ind w:firstLine="494"/>
        <w:rPr>
          <w:rFonts w:ascii="宋体" w:eastAsia="宋体"/>
          <w:sz w:val="24"/>
          <w:szCs w:val="24"/>
        </w:rPr>
      </w:pPr>
      <w:r>
        <w:rPr>
          <w:rFonts w:hint="eastAsia" w:ascii="宋体" w:eastAsia="宋体"/>
          <w:sz w:val="24"/>
          <w:szCs w:val="24"/>
        </w:rPr>
        <w:t>开户银行名称：广发银行东莞东翔支行</w:t>
      </w:r>
    </w:p>
    <w:p>
      <w:pPr>
        <w:pStyle w:val="87"/>
        <w:spacing w:line="480" w:lineRule="exact"/>
        <w:ind w:firstLine="494"/>
        <w:rPr>
          <w:rFonts w:ascii="宋体" w:eastAsia="宋体"/>
          <w:sz w:val="24"/>
          <w:szCs w:val="24"/>
        </w:rPr>
      </w:pPr>
      <w:r>
        <w:rPr>
          <w:rFonts w:hint="eastAsia" w:ascii="宋体" w:eastAsia="宋体"/>
          <w:sz w:val="24"/>
          <w:szCs w:val="24"/>
        </w:rPr>
        <w:t>联系人:张小姐,电话:0769-22113226（供应商在转账或电汇时需写明采购编号，否则将影响投标保证金的退款进度）</w:t>
      </w:r>
    </w:p>
    <w:p>
      <w:pPr>
        <w:pStyle w:val="87"/>
        <w:spacing w:line="480" w:lineRule="exact"/>
        <w:ind w:firstLine="496"/>
        <w:rPr>
          <w:rFonts w:ascii="宋体" w:eastAsia="宋体"/>
          <w:b/>
          <w:sz w:val="24"/>
          <w:szCs w:val="24"/>
        </w:rPr>
      </w:pPr>
      <w:r>
        <w:rPr>
          <w:rFonts w:hint="eastAsia" w:ascii="宋体" w:eastAsia="宋体"/>
          <w:b/>
          <w:sz w:val="24"/>
          <w:szCs w:val="24"/>
        </w:rPr>
        <w:t>2）采用《政府采购投标担保函》方式将原件提交至采购代理机构处。</w:t>
      </w:r>
    </w:p>
    <w:p>
      <w:pPr>
        <w:pStyle w:val="87"/>
        <w:wordWrap w:val="0"/>
        <w:spacing w:line="480" w:lineRule="exact"/>
        <w:ind w:firstLine="494"/>
        <w:rPr>
          <w:rFonts w:ascii="宋体" w:eastAsia="宋体"/>
          <w:sz w:val="24"/>
          <w:szCs w:val="24"/>
        </w:rPr>
      </w:pPr>
      <w:r>
        <w:rPr>
          <w:rFonts w:hint="eastAsia" w:ascii="宋体" w:eastAsia="宋体"/>
          <w:sz w:val="24"/>
          <w:szCs w:val="24"/>
        </w:rPr>
        <w:t>①投标保证金可以以金融机构或专业担保机构[详见我市《关于进一步推进政府采购信用担保工作的通知》（东财〔2018〕189号）http://czj.dg.gov.cn/dggp/]出具的担保函的形式交纳；</w:t>
      </w:r>
    </w:p>
    <w:p>
      <w:pPr>
        <w:pStyle w:val="87"/>
        <w:spacing w:line="480" w:lineRule="exact"/>
        <w:ind w:firstLine="494"/>
        <w:rPr>
          <w:rFonts w:ascii="宋体" w:eastAsia="宋体"/>
          <w:sz w:val="24"/>
          <w:szCs w:val="24"/>
        </w:rPr>
      </w:pPr>
      <w:r>
        <w:rPr>
          <w:rFonts w:hint="eastAsia" w:ascii="宋体" w:eastAsia="宋体"/>
          <w:sz w:val="24"/>
          <w:szCs w:val="24"/>
        </w:rPr>
        <w:t>②投标担保函有效期应与投标有效期一致；</w:t>
      </w:r>
    </w:p>
    <w:p>
      <w:pPr>
        <w:pStyle w:val="87"/>
        <w:spacing w:line="480" w:lineRule="exact"/>
        <w:ind w:firstLine="494"/>
        <w:rPr>
          <w:rFonts w:ascii="宋体" w:eastAsia="宋体"/>
          <w:sz w:val="24"/>
          <w:szCs w:val="24"/>
        </w:rPr>
      </w:pPr>
      <w:r>
        <w:rPr>
          <w:rFonts w:hint="eastAsia" w:ascii="宋体" w:eastAsia="宋体"/>
          <w:sz w:val="24"/>
          <w:szCs w:val="24"/>
        </w:rPr>
        <w:t>③投标担保金额不得少于本项目的投标保证金。</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18.8未按照招标文件的规定提交投标保证金的，投标无效。</w:t>
      </w:r>
    </w:p>
    <w:p>
      <w:pPr>
        <w:pStyle w:val="4"/>
        <w:spacing w:before="0" w:after="0" w:line="500" w:lineRule="exact"/>
        <w:rPr>
          <w:rFonts w:ascii="宋体" w:hAnsi="宋体" w:eastAsia="宋体"/>
          <w:bCs/>
          <w:sz w:val="24"/>
          <w:szCs w:val="24"/>
        </w:rPr>
      </w:pPr>
      <w:bookmarkStart w:id="32" w:name="_Toc8904083"/>
      <w:r>
        <w:rPr>
          <w:rFonts w:hint="eastAsia" w:ascii="宋体" w:hAnsi="宋体" w:eastAsia="宋体"/>
          <w:bCs/>
          <w:sz w:val="24"/>
          <w:szCs w:val="24"/>
        </w:rPr>
        <w:t>四、投标文件的提交</w:t>
      </w:r>
      <w:bookmarkEnd w:id="32"/>
    </w:p>
    <w:p>
      <w:pPr>
        <w:pStyle w:val="95"/>
        <w:tabs>
          <w:tab w:val="clear" w:pos="1440"/>
          <w:tab w:val="clear" w:pos="1620"/>
        </w:tabs>
        <w:spacing w:before="0" w:after="0" w:line="500" w:lineRule="exact"/>
        <w:ind w:firstLine="472" w:firstLineChars="196"/>
        <w:rPr>
          <w:color w:val="auto"/>
          <w:sz w:val="24"/>
          <w:szCs w:val="24"/>
        </w:rPr>
      </w:pPr>
      <w:bookmarkStart w:id="33" w:name="_Toc8904084"/>
      <w:r>
        <w:rPr>
          <w:rFonts w:hint="eastAsia"/>
          <w:color w:val="auto"/>
          <w:sz w:val="24"/>
          <w:szCs w:val="24"/>
        </w:rPr>
        <w:t>19．</w:t>
      </w:r>
      <w:r>
        <w:rPr>
          <w:color w:val="auto"/>
          <w:sz w:val="24"/>
          <w:szCs w:val="24"/>
        </w:rPr>
        <w:t>投标文件的标记和密封</w:t>
      </w:r>
      <w:bookmarkEnd w:id="33"/>
    </w:p>
    <w:p>
      <w:pPr>
        <w:pStyle w:val="123"/>
        <w:spacing w:line="500" w:lineRule="exact"/>
        <w:ind w:firstLine="463"/>
        <w:rPr>
          <w:rFonts w:ascii="宋体" w:eastAsia="宋体"/>
          <w:b/>
          <w:color w:val="auto"/>
          <w:sz w:val="24"/>
          <w:szCs w:val="24"/>
        </w:rPr>
      </w:pPr>
      <w:bookmarkStart w:id="34" w:name="_Toc36971235"/>
      <w:bookmarkStart w:id="35" w:name="_Toc39071059"/>
      <w:r>
        <w:rPr>
          <w:rFonts w:hint="eastAsia" w:ascii="宋体" w:eastAsia="宋体"/>
          <w:b/>
          <w:color w:val="auto"/>
          <w:sz w:val="24"/>
          <w:szCs w:val="24"/>
        </w:rPr>
        <w:t>19.1供应商应将纸质投标文件正本和所有的副本置于一个包装内并密封，然后再将唱标信封和投标文件电子文档置于一个包装内并密封。同时在密封包装上盖供应商公章或授权代表签字。</w:t>
      </w:r>
    </w:p>
    <w:p>
      <w:pPr>
        <w:pStyle w:val="87"/>
        <w:spacing w:line="500" w:lineRule="exact"/>
        <w:ind w:left="420" w:leftChars="200" w:firstLine="120" w:firstLineChars="50"/>
        <w:rPr>
          <w:rFonts w:ascii="宋体" w:eastAsia="宋体"/>
          <w:sz w:val="24"/>
          <w:szCs w:val="24"/>
        </w:rPr>
      </w:pPr>
      <w:r>
        <w:rPr>
          <w:rFonts w:hint="eastAsia" w:ascii="宋体" w:eastAsia="宋体"/>
          <w:sz w:val="24"/>
          <w:szCs w:val="24"/>
        </w:rPr>
        <w:t>19.2在密封包装外层应标明以下内容：</w:t>
      </w:r>
    </w:p>
    <w:p>
      <w:pPr>
        <w:pStyle w:val="125"/>
        <w:spacing w:line="500" w:lineRule="exact"/>
        <w:ind w:left="0" w:leftChars="0" w:firstLine="1092" w:firstLineChars="455"/>
        <w:rPr>
          <w:rFonts w:ascii="宋体" w:eastAsia="宋体"/>
          <w:color w:val="auto"/>
          <w:sz w:val="24"/>
          <w:szCs w:val="24"/>
        </w:rPr>
      </w:pPr>
      <w:r>
        <w:rPr>
          <w:rFonts w:hint="eastAsia" w:ascii="宋体" w:eastAsia="宋体"/>
          <w:color w:val="auto"/>
          <w:sz w:val="24"/>
          <w:szCs w:val="24"/>
        </w:rPr>
        <w:t>(1)采购编号：</w:t>
      </w:r>
      <w:r>
        <w:rPr>
          <w:rFonts w:hint="eastAsia" w:ascii="宋体" w:eastAsia="宋体"/>
          <w:color w:val="auto"/>
          <w:sz w:val="24"/>
          <w:szCs w:val="24"/>
          <w:u w:val="single"/>
        </w:rPr>
        <w:t xml:space="preserve">               </w:t>
      </w:r>
    </w:p>
    <w:p>
      <w:pPr>
        <w:pStyle w:val="125"/>
        <w:spacing w:line="500" w:lineRule="exact"/>
        <w:ind w:left="0" w:leftChars="0" w:firstLine="1092" w:firstLineChars="455"/>
        <w:rPr>
          <w:rFonts w:ascii="宋体" w:eastAsia="宋体"/>
          <w:color w:val="auto"/>
          <w:sz w:val="24"/>
          <w:szCs w:val="24"/>
        </w:rPr>
      </w:pPr>
      <w:r>
        <w:rPr>
          <w:rFonts w:hint="eastAsia" w:ascii="宋体" w:eastAsia="宋体"/>
          <w:color w:val="auto"/>
          <w:sz w:val="24"/>
          <w:szCs w:val="24"/>
        </w:rPr>
        <w:t>(2)项目名称：</w:t>
      </w:r>
      <w:r>
        <w:rPr>
          <w:rFonts w:hint="eastAsia" w:ascii="宋体" w:eastAsia="宋体"/>
          <w:color w:val="auto"/>
          <w:sz w:val="24"/>
          <w:szCs w:val="24"/>
          <w:u w:val="single"/>
        </w:rPr>
        <w:t xml:space="preserve">               </w:t>
      </w:r>
    </w:p>
    <w:p>
      <w:pPr>
        <w:pStyle w:val="125"/>
        <w:spacing w:line="500" w:lineRule="exact"/>
        <w:ind w:left="0" w:leftChars="0" w:firstLine="1092" w:firstLineChars="455"/>
        <w:rPr>
          <w:rFonts w:ascii="宋体" w:eastAsia="宋体"/>
          <w:color w:val="auto"/>
          <w:sz w:val="24"/>
          <w:szCs w:val="24"/>
        </w:rPr>
      </w:pPr>
      <w:r>
        <w:rPr>
          <w:rFonts w:hint="eastAsia" w:ascii="宋体" w:eastAsia="宋体"/>
          <w:color w:val="auto"/>
          <w:sz w:val="24"/>
          <w:szCs w:val="24"/>
        </w:rPr>
        <w:t>(</w:t>
      </w:r>
      <w:r>
        <w:rPr>
          <w:rFonts w:ascii="宋体" w:eastAsia="宋体"/>
          <w:color w:val="auto"/>
          <w:sz w:val="24"/>
          <w:szCs w:val="24"/>
        </w:rPr>
        <w:t>3</w:t>
      </w:r>
      <w:r>
        <w:rPr>
          <w:rFonts w:hint="eastAsia" w:ascii="宋体" w:eastAsia="宋体"/>
          <w:color w:val="auto"/>
          <w:sz w:val="24"/>
          <w:szCs w:val="24"/>
        </w:rPr>
        <w:t>)供应商名称:</w:t>
      </w:r>
      <w:r>
        <w:rPr>
          <w:rFonts w:hint="eastAsia" w:ascii="宋体" w:eastAsia="宋体"/>
          <w:color w:val="auto"/>
          <w:sz w:val="24"/>
          <w:szCs w:val="24"/>
          <w:u w:val="single"/>
        </w:rPr>
        <w:t xml:space="preserve">              </w:t>
      </w:r>
    </w:p>
    <w:p>
      <w:pPr>
        <w:pStyle w:val="87"/>
        <w:spacing w:line="500" w:lineRule="exact"/>
        <w:ind w:right="31" w:firstLine="494"/>
        <w:rPr>
          <w:rFonts w:ascii="宋体" w:eastAsia="宋体"/>
          <w:sz w:val="24"/>
          <w:szCs w:val="24"/>
        </w:rPr>
      </w:pPr>
      <w:r>
        <w:rPr>
          <w:rFonts w:ascii="宋体" w:eastAsia="宋体"/>
          <w:sz w:val="24"/>
          <w:szCs w:val="24"/>
        </w:rPr>
        <w:t>1</w:t>
      </w:r>
      <w:r>
        <w:rPr>
          <w:rFonts w:hint="eastAsia" w:ascii="宋体" w:eastAsia="宋体"/>
          <w:sz w:val="24"/>
          <w:szCs w:val="24"/>
        </w:rPr>
        <w:t>9</w:t>
      </w:r>
      <w:r>
        <w:rPr>
          <w:rFonts w:ascii="宋体" w:eastAsia="宋体"/>
          <w:sz w:val="24"/>
          <w:szCs w:val="24"/>
        </w:rPr>
        <w:t>.</w:t>
      </w:r>
      <w:r>
        <w:rPr>
          <w:rFonts w:hint="eastAsia" w:ascii="宋体" w:eastAsia="宋体"/>
          <w:sz w:val="24"/>
          <w:szCs w:val="24"/>
        </w:rPr>
        <w:t>3未按照招标文件要求密封的投标文件，采购代理机构将拒绝接收。</w:t>
      </w:r>
    </w:p>
    <w:p>
      <w:pPr>
        <w:pStyle w:val="87"/>
        <w:spacing w:line="500" w:lineRule="exact"/>
        <w:ind w:right="31" w:firstLine="494"/>
        <w:rPr>
          <w:rFonts w:ascii="宋体" w:eastAsia="宋体"/>
          <w:sz w:val="24"/>
          <w:szCs w:val="24"/>
        </w:rPr>
      </w:pPr>
      <w:r>
        <w:rPr>
          <w:rFonts w:hint="eastAsia" w:ascii="宋体" w:eastAsia="宋体"/>
          <w:sz w:val="24"/>
          <w:szCs w:val="24"/>
        </w:rPr>
        <w:t>19.4不足以造成投标文件可从外包装内散出而导致投标文件泄密的，不认定为投标文件未密封。</w:t>
      </w:r>
    </w:p>
    <w:bookmarkEnd w:id="34"/>
    <w:bookmarkEnd w:id="35"/>
    <w:p>
      <w:pPr>
        <w:pStyle w:val="95"/>
        <w:tabs>
          <w:tab w:val="clear" w:pos="1440"/>
          <w:tab w:val="clear" w:pos="1620"/>
        </w:tabs>
        <w:spacing w:before="0" w:after="0" w:line="500" w:lineRule="exact"/>
        <w:ind w:firstLine="472" w:firstLineChars="196"/>
        <w:rPr>
          <w:color w:val="auto"/>
          <w:sz w:val="24"/>
          <w:szCs w:val="24"/>
        </w:rPr>
      </w:pPr>
      <w:bookmarkStart w:id="36" w:name="_Toc384750986"/>
      <w:bookmarkStart w:id="37" w:name="_Toc8904085"/>
      <w:r>
        <w:rPr>
          <w:rFonts w:hint="eastAsia"/>
          <w:color w:val="auto"/>
          <w:sz w:val="24"/>
          <w:szCs w:val="24"/>
        </w:rPr>
        <w:t>20．投标截止</w:t>
      </w:r>
      <w:bookmarkEnd w:id="36"/>
      <w:r>
        <w:rPr>
          <w:rFonts w:hint="eastAsia"/>
          <w:color w:val="auto"/>
          <w:sz w:val="24"/>
          <w:szCs w:val="24"/>
        </w:rPr>
        <w:t>时间</w:t>
      </w:r>
      <w:bookmarkEnd w:id="37"/>
    </w:p>
    <w:p>
      <w:pPr>
        <w:pStyle w:val="87"/>
        <w:spacing w:line="500" w:lineRule="exact"/>
        <w:ind w:firstLine="494"/>
        <w:rPr>
          <w:rFonts w:ascii="宋体" w:eastAsia="宋体"/>
          <w:sz w:val="24"/>
          <w:szCs w:val="24"/>
        </w:rPr>
      </w:pPr>
      <w:r>
        <w:rPr>
          <w:rFonts w:hint="eastAsia" w:ascii="宋体" w:eastAsia="宋体"/>
          <w:sz w:val="24"/>
          <w:szCs w:val="24"/>
        </w:rPr>
        <w:t>20.1供应商应在招标文件规定的截止日期和时间前，将投标文件送达到指定地点。</w:t>
      </w:r>
    </w:p>
    <w:p>
      <w:pPr>
        <w:pStyle w:val="87"/>
        <w:spacing w:line="500" w:lineRule="exact"/>
        <w:ind w:firstLine="494"/>
        <w:rPr>
          <w:rFonts w:ascii="宋体" w:eastAsia="宋体"/>
          <w:sz w:val="24"/>
          <w:szCs w:val="24"/>
        </w:rPr>
      </w:pPr>
      <w:r>
        <w:rPr>
          <w:rFonts w:hint="eastAsia" w:ascii="宋体" w:eastAsia="宋体"/>
          <w:sz w:val="24"/>
          <w:szCs w:val="24"/>
        </w:rPr>
        <w:t>20.2采购代理机构可按照招标文件规定以澄清或修改的方式，酌情延长提交投标文件的截止时间。在此情况下，供应商的所有权利和义务以及供应商受制约的截止时间，均以延长后新的提交投标文件截止时间为准。</w:t>
      </w:r>
    </w:p>
    <w:p>
      <w:pPr>
        <w:pStyle w:val="95"/>
        <w:tabs>
          <w:tab w:val="clear" w:pos="1440"/>
          <w:tab w:val="clear" w:pos="1620"/>
        </w:tabs>
        <w:spacing w:before="0" w:after="0" w:line="500" w:lineRule="exact"/>
        <w:ind w:firstLine="472" w:firstLineChars="196"/>
        <w:rPr>
          <w:color w:val="auto"/>
          <w:sz w:val="24"/>
          <w:szCs w:val="24"/>
        </w:rPr>
      </w:pPr>
      <w:bookmarkStart w:id="38" w:name="_Toc384750987"/>
      <w:bookmarkStart w:id="39" w:name="_Toc8904086"/>
      <w:r>
        <w:rPr>
          <w:rFonts w:hint="eastAsia"/>
          <w:color w:val="auto"/>
          <w:sz w:val="24"/>
          <w:szCs w:val="24"/>
        </w:rPr>
        <w:t>21．迟交的投标文件</w:t>
      </w:r>
      <w:bookmarkEnd w:id="38"/>
      <w:bookmarkEnd w:id="39"/>
    </w:p>
    <w:p>
      <w:pPr>
        <w:pStyle w:val="87"/>
        <w:spacing w:line="500" w:lineRule="exact"/>
        <w:ind w:firstLine="494"/>
        <w:rPr>
          <w:rFonts w:ascii="宋体" w:eastAsia="宋体"/>
          <w:sz w:val="24"/>
          <w:szCs w:val="24"/>
        </w:rPr>
      </w:pPr>
      <w:r>
        <w:rPr>
          <w:rFonts w:hint="eastAsia" w:ascii="宋体" w:eastAsia="宋体"/>
          <w:sz w:val="24"/>
          <w:szCs w:val="24"/>
        </w:rPr>
        <w:t>供应商在投标截止时间之后提交的投标文件，采购代理机构将拒绝接收。</w:t>
      </w:r>
    </w:p>
    <w:p>
      <w:pPr>
        <w:pStyle w:val="95"/>
        <w:tabs>
          <w:tab w:val="clear" w:pos="1440"/>
          <w:tab w:val="clear" w:pos="1620"/>
        </w:tabs>
        <w:spacing w:before="0" w:after="0" w:line="500" w:lineRule="exact"/>
        <w:ind w:firstLine="472" w:firstLineChars="196"/>
        <w:rPr>
          <w:color w:val="auto"/>
          <w:sz w:val="24"/>
          <w:szCs w:val="24"/>
        </w:rPr>
      </w:pPr>
      <w:bookmarkStart w:id="40" w:name="_Toc8904087"/>
      <w:bookmarkStart w:id="41" w:name="_Toc384750988"/>
      <w:r>
        <w:rPr>
          <w:rFonts w:hint="eastAsia"/>
          <w:color w:val="auto"/>
          <w:sz w:val="24"/>
          <w:szCs w:val="24"/>
        </w:rPr>
        <w:t>22．投标文件的补充、修改与撤回</w:t>
      </w:r>
      <w:bookmarkEnd w:id="40"/>
      <w:bookmarkEnd w:id="41"/>
    </w:p>
    <w:p>
      <w:pPr>
        <w:pStyle w:val="87"/>
        <w:spacing w:line="500" w:lineRule="exact"/>
        <w:ind w:firstLine="494"/>
        <w:rPr>
          <w:rFonts w:ascii="宋体" w:eastAsia="宋体"/>
          <w:sz w:val="24"/>
          <w:szCs w:val="24"/>
        </w:rPr>
      </w:pPr>
      <w:r>
        <w:rPr>
          <w:rFonts w:hint="eastAsia" w:ascii="宋体" w:eastAsia="宋体"/>
          <w:sz w:val="24"/>
          <w:szCs w:val="24"/>
        </w:rPr>
        <w:t>22.1 供应商在提交投标文件截止时间前，可以对所提交的投标文件进行补充、修改或撤回，并以书面形式通知采购代理机构。在提交投标文件截止时间之后，供应商不得对其投标文件做出任何的补充和修改。</w:t>
      </w:r>
    </w:p>
    <w:p>
      <w:pPr>
        <w:pStyle w:val="87"/>
        <w:spacing w:line="500" w:lineRule="exact"/>
        <w:ind w:firstLine="494"/>
        <w:rPr>
          <w:rFonts w:ascii="宋体" w:eastAsia="宋体"/>
          <w:sz w:val="24"/>
          <w:szCs w:val="24"/>
        </w:rPr>
      </w:pPr>
      <w:r>
        <w:rPr>
          <w:rFonts w:hint="eastAsia" w:ascii="宋体" w:eastAsia="宋体"/>
          <w:sz w:val="24"/>
          <w:szCs w:val="24"/>
        </w:rPr>
        <w:t>22.2 供应商对投标文件的补充、修改的内容应当按招标文件要求的签署、盖章，作为投标文件的组成部分。并按照招标文件规定密封和标记的要求提交，并在投标文件密封袋上标明“补充、修改”或“撤回”字样。</w:t>
      </w:r>
    </w:p>
    <w:p>
      <w:pPr>
        <w:pStyle w:val="87"/>
        <w:spacing w:line="500" w:lineRule="exact"/>
        <w:ind w:firstLine="494"/>
        <w:rPr>
          <w:rFonts w:ascii="宋体" w:eastAsia="宋体"/>
          <w:sz w:val="24"/>
          <w:szCs w:val="24"/>
        </w:rPr>
      </w:pPr>
      <w:r>
        <w:rPr>
          <w:rFonts w:hint="eastAsia" w:ascii="宋体" w:eastAsia="宋体"/>
          <w:sz w:val="24"/>
          <w:szCs w:val="24"/>
        </w:rPr>
        <w:t>22.3在提交投标文件截止时间至投标有效期满之前，供应商不得撤回其投标文件，否则其投标保证金将不予退还。</w:t>
      </w:r>
    </w:p>
    <w:p>
      <w:pPr>
        <w:pStyle w:val="4"/>
        <w:spacing w:before="0" w:after="0" w:line="500" w:lineRule="exact"/>
        <w:rPr>
          <w:rFonts w:ascii="宋体" w:hAnsi="宋体" w:eastAsia="宋体"/>
          <w:bCs/>
          <w:sz w:val="24"/>
          <w:szCs w:val="24"/>
        </w:rPr>
      </w:pPr>
      <w:bookmarkStart w:id="42" w:name="_Toc39071062"/>
      <w:bookmarkStart w:id="43" w:name="_Toc36971238"/>
      <w:bookmarkStart w:id="44" w:name="_Toc39368838"/>
      <w:bookmarkStart w:id="45" w:name="_Toc8904088"/>
      <w:r>
        <w:rPr>
          <w:rFonts w:hint="eastAsia" w:ascii="宋体" w:hAnsi="宋体" w:eastAsia="宋体"/>
          <w:bCs/>
          <w:sz w:val="24"/>
          <w:szCs w:val="24"/>
        </w:rPr>
        <w:t>五、开标与评标</w:t>
      </w:r>
      <w:bookmarkEnd w:id="42"/>
      <w:bookmarkEnd w:id="43"/>
      <w:bookmarkEnd w:id="44"/>
      <w:r>
        <w:rPr>
          <w:rFonts w:hint="eastAsia" w:ascii="宋体" w:hAnsi="宋体" w:eastAsia="宋体"/>
          <w:bCs/>
          <w:sz w:val="24"/>
          <w:szCs w:val="24"/>
        </w:rPr>
        <w:t>及定标</w:t>
      </w:r>
      <w:bookmarkEnd w:id="45"/>
    </w:p>
    <w:p>
      <w:pPr>
        <w:pStyle w:val="95"/>
        <w:tabs>
          <w:tab w:val="clear" w:pos="1440"/>
          <w:tab w:val="clear" w:pos="1620"/>
        </w:tabs>
        <w:spacing w:before="0" w:after="0" w:line="500" w:lineRule="exact"/>
        <w:ind w:firstLine="472" w:firstLineChars="196"/>
        <w:rPr>
          <w:color w:val="auto"/>
          <w:sz w:val="24"/>
          <w:szCs w:val="24"/>
        </w:rPr>
      </w:pPr>
      <w:bookmarkStart w:id="46" w:name="_Toc8904089"/>
      <w:r>
        <w:rPr>
          <w:rFonts w:hint="eastAsia"/>
          <w:color w:val="auto"/>
          <w:sz w:val="24"/>
          <w:szCs w:val="24"/>
        </w:rPr>
        <w:t>23．</w:t>
      </w:r>
      <w:r>
        <w:rPr>
          <w:color w:val="auto"/>
          <w:sz w:val="24"/>
          <w:szCs w:val="24"/>
        </w:rPr>
        <w:t>开标</w:t>
      </w:r>
      <w:bookmarkEnd w:id="46"/>
    </w:p>
    <w:p>
      <w:pPr>
        <w:pStyle w:val="87"/>
        <w:spacing w:line="500" w:lineRule="exact"/>
        <w:ind w:firstLine="494"/>
        <w:rPr>
          <w:rFonts w:ascii="宋体" w:eastAsia="宋体"/>
          <w:sz w:val="24"/>
          <w:szCs w:val="24"/>
        </w:rPr>
      </w:pPr>
      <w:r>
        <w:rPr>
          <w:rFonts w:ascii="宋体" w:eastAsia="宋体"/>
          <w:sz w:val="24"/>
          <w:szCs w:val="24"/>
        </w:rPr>
        <w:t>2</w:t>
      </w:r>
      <w:r>
        <w:rPr>
          <w:rFonts w:hint="eastAsia" w:ascii="宋体" w:eastAsia="宋体"/>
          <w:sz w:val="24"/>
          <w:szCs w:val="24"/>
        </w:rPr>
        <w:t>3</w:t>
      </w:r>
      <w:r>
        <w:rPr>
          <w:rFonts w:ascii="宋体" w:eastAsia="宋体"/>
          <w:sz w:val="24"/>
          <w:szCs w:val="24"/>
        </w:rPr>
        <w:t>.1采购代理机构按</w:t>
      </w:r>
      <w:r>
        <w:rPr>
          <w:rFonts w:hint="eastAsia" w:ascii="宋体" w:eastAsia="宋体"/>
          <w:sz w:val="24"/>
          <w:szCs w:val="24"/>
        </w:rPr>
        <w:t>照招标文件</w:t>
      </w:r>
      <w:r>
        <w:rPr>
          <w:rFonts w:ascii="宋体" w:eastAsia="宋体"/>
          <w:sz w:val="24"/>
          <w:szCs w:val="24"/>
        </w:rPr>
        <w:t>规定的时间和地点</w:t>
      </w:r>
      <w:r>
        <w:rPr>
          <w:rFonts w:hint="eastAsia" w:ascii="宋体" w:eastAsia="宋体"/>
          <w:sz w:val="24"/>
          <w:szCs w:val="24"/>
        </w:rPr>
        <w:t>组织</w:t>
      </w:r>
      <w:r>
        <w:rPr>
          <w:rFonts w:ascii="宋体" w:eastAsia="宋体"/>
          <w:sz w:val="24"/>
          <w:szCs w:val="24"/>
        </w:rPr>
        <w:t>公开开标，并邀请所有供应商</w:t>
      </w:r>
      <w:r>
        <w:rPr>
          <w:rFonts w:hint="eastAsia" w:ascii="宋体" w:eastAsia="宋体"/>
          <w:sz w:val="24"/>
          <w:szCs w:val="24"/>
        </w:rPr>
        <w:t>代表</w:t>
      </w:r>
      <w:r>
        <w:rPr>
          <w:rFonts w:ascii="宋体" w:eastAsia="宋体"/>
          <w:sz w:val="24"/>
          <w:szCs w:val="24"/>
        </w:rPr>
        <w:t>参加。</w:t>
      </w:r>
    </w:p>
    <w:p>
      <w:pPr>
        <w:pStyle w:val="87"/>
        <w:spacing w:line="500" w:lineRule="exact"/>
        <w:ind w:firstLine="494"/>
        <w:rPr>
          <w:rFonts w:ascii="宋体" w:eastAsia="宋体"/>
          <w:sz w:val="24"/>
          <w:szCs w:val="24"/>
        </w:rPr>
      </w:pPr>
      <w:r>
        <w:rPr>
          <w:rFonts w:ascii="宋体" w:eastAsia="宋体"/>
          <w:sz w:val="24"/>
          <w:szCs w:val="24"/>
        </w:rPr>
        <w:t>2</w:t>
      </w:r>
      <w:r>
        <w:rPr>
          <w:rFonts w:hint="eastAsia" w:ascii="宋体" w:eastAsia="宋体"/>
          <w:sz w:val="24"/>
          <w:szCs w:val="24"/>
        </w:rPr>
        <w:t>3</w:t>
      </w:r>
      <w:r>
        <w:rPr>
          <w:rFonts w:ascii="宋体" w:eastAsia="宋体"/>
          <w:sz w:val="24"/>
          <w:szCs w:val="24"/>
        </w:rPr>
        <w:t>.2按</w:t>
      </w:r>
      <w:r>
        <w:rPr>
          <w:rFonts w:hint="eastAsia" w:ascii="宋体" w:eastAsia="宋体"/>
          <w:sz w:val="24"/>
          <w:szCs w:val="24"/>
        </w:rPr>
        <w:t>招标文件</w:t>
      </w:r>
      <w:r>
        <w:rPr>
          <w:rFonts w:ascii="宋体" w:eastAsia="宋体"/>
          <w:sz w:val="24"/>
          <w:szCs w:val="24"/>
        </w:rPr>
        <w:t>规定提交撤回通知的投标文件不予开封，并退回给供应商。</w:t>
      </w:r>
    </w:p>
    <w:p>
      <w:pPr>
        <w:pStyle w:val="87"/>
        <w:spacing w:line="500" w:lineRule="exact"/>
        <w:ind w:firstLine="494"/>
        <w:rPr>
          <w:rFonts w:ascii="宋体" w:eastAsia="宋体"/>
          <w:sz w:val="24"/>
          <w:szCs w:val="24"/>
        </w:rPr>
      </w:pPr>
      <w:r>
        <w:rPr>
          <w:rFonts w:ascii="宋体" w:eastAsia="宋体"/>
          <w:sz w:val="24"/>
          <w:szCs w:val="24"/>
        </w:rPr>
        <w:t>2</w:t>
      </w:r>
      <w:r>
        <w:rPr>
          <w:rFonts w:hint="eastAsia" w:ascii="宋体" w:eastAsia="宋体"/>
          <w:sz w:val="24"/>
          <w:szCs w:val="24"/>
        </w:rPr>
        <w:t>3</w:t>
      </w:r>
      <w:r>
        <w:rPr>
          <w:rFonts w:ascii="宋体" w:eastAsia="宋体"/>
          <w:sz w:val="24"/>
          <w:szCs w:val="24"/>
        </w:rPr>
        <w:t>.3 开标程序</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23</w:t>
      </w:r>
      <w:r>
        <w:rPr>
          <w:rFonts w:ascii="宋体" w:eastAsia="宋体"/>
          <w:color w:val="auto"/>
          <w:sz w:val="24"/>
          <w:szCs w:val="24"/>
        </w:rPr>
        <w:t>.3.1 开标</w:t>
      </w:r>
      <w:r>
        <w:rPr>
          <w:rFonts w:hint="eastAsia" w:ascii="宋体" w:eastAsia="宋体"/>
          <w:color w:val="auto"/>
          <w:sz w:val="24"/>
          <w:szCs w:val="24"/>
        </w:rPr>
        <w:t>会</w:t>
      </w:r>
      <w:r>
        <w:rPr>
          <w:rFonts w:ascii="宋体" w:eastAsia="宋体"/>
          <w:color w:val="auto"/>
          <w:sz w:val="24"/>
          <w:szCs w:val="24"/>
        </w:rPr>
        <w:t>由采购代理机构主持</w:t>
      </w:r>
      <w:r>
        <w:rPr>
          <w:rFonts w:hint="eastAsia" w:ascii="宋体" w:eastAsia="宋体"/>
          <w:color w:val="auto"/>
          <w:sz w:val="24"/>
          <w:szCs w:val="24"/>
        </w:rPr>
        <w:t>。投标人的法定代表人或经其正式授权代表务必携带有效身份证明在投标截止时间前递交投标文件并签名报到。投标人未参加开标的，视同认可开标结果。</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23</w:t>
      </w:r>
      <w:r>
        <w:rPr>
          <w:rFonts w:ascii="宋体" w:eastAsia="宋体"/>
          <w:color w:val="auto"/>
          <w:sz w:val="24"/>
          <w:szCs w:val="24"/>
        </w:rPr>
        <w:t>.3.2</w:t>
      </w:r>
      <w:r>
        <w:rPr>
          <w:rFonts w:hint="eastAsia" w:ascii="宋体" w:eastAsia="宋体"/>
          <w:color w:val="auto"/>
          <w:sz w:val="24"/>
          <w:szCs w:val="24"/>
        </w:rPr>
        <w:t>开标时，应当由投标人或者其推选的代表检查投标文件的密封情况。</w:t>
      </w:r>
    </w:p>
    <w:p>
      <w:pPr>
        <w:pStyle w:val="123"/>
        <w:spacing w:line="500" w:lineRule="exact"/>
        <w:ind w:firstLine="461"/>
        <w:rPr>
          <w:rFonts w:ascii="宋体" w:eastAsia="宋体"/>
          <w:color w:val="auto"/>
          <w:sz w:val="24"/>
          <w:szCs w:val="24"/>
        </w:rPr>
      </w:pPr>
      <w:r>
        <w:rPr>
          <w:rFonts w:ascii="宋体" w:eastAsia="宋体"/>
          <w:color w:val="auto"/>
          <w:sz w:val="24"/>
          <w:szCs w:val="24"/>
        </w:rPr>
        <w:t>2</w:t>
      </w:r>
      <w:r>
        <w:rPr>
          <w:rFonts w:hint="eastAsia" w:ascii="宋体" w:eastAsia="宋体"/>
          <w:color w:val="auto"/>
          <w:sz w:val="24"/>
          <w:szCs w:val="24"/>
        </w:rPr>
        <w:t>3</w:t>
      </w:r>
      <w:r>
        <w:rPr>
          <w:rFonts w:ascii="宋体" w:eastAsia="宋体"/>
          <w:color w:val="auto"/>
          <w:sz w:val="24"/>
          <w:szCs w:val="24"/>
        </w:rPr>
        <w:t>.3.3 经确认无误后，由有关工作人员当众拆封，宣读供应商名称、投标价格</w:t>
      </w:r>
      <w:r>
        <w:rPr>
          <w:rFonts w:hint="eastAsia" w:ascii="宋体" w:eastAsia="宋体"/>
          <w:color w:val="auto"/>
          <w:sz w:val="24"/>
          <w:szCs w:val="24"/>
        </w:rPr>
        <w:t>和招标文件规定的需要宣布的其他内容。</w:t>
      </w:r>
    </w:p>
    <w:p>
      <w:pPr>
        <w:pStyle w:val="87"/>
        <w:spacing w:line="500" w:lineRule="exact"/>
        <w:ind w:firstLine="494"/>
        <w:rPr>
          <w:rFonts w:ascii="宋体" w:eastAsia="宋体"/>
          <w:sz w:val="24"/>
          <w:szCs w:val="24"/>
        </w:rPr>
      </w:pPr>
      <w:r>
        <w:rPr>
          <w:rFonts w:ascii="宋体" w:eastAsia="宋体"/>
          <w:sz w:val="24"/>
          <w:szCs w:val="24"/>
        </w:rPr>
        <w:t>2</w:t>
      </w:r>
      <w:r>
        <w:rPr>
          <w:rFonts w:hint="eastAsia" w:ascii="宋体" w:eastAsia="宋体"/>
          <w:sz w:val="24"/>
          <w:szCs w:val="24"/>
        </w:rPr>
        <w:t>3</w:t>
      </w:r>
      <w:r>
        <w:rPr>
          <w:rFonts w:ascii="宋体" w:eastAsia="宋体"/>
          <w:sz w:val="24"/>
          <w:szCs w:val="24"/>
        </w:rPr>
        <w:t>.</w:t>
      </w:r>
      <w:r>
        <w:rPr>
          <w:rFonts w:hint="eastAsia" w:ascii="宋体" w:eastAsia="宋体"/>
          <w:sz w:val="24"/>
          <w:szCs w:val="24"/>
        </w:rPr>
        <w:t>3.4开标过程应当由采购人或者采购代理机构负责记录，由参加开标的各投标人代表和相关工作人员签字确认后随采购文件一并存档。</w:t>
      </w:r>
    </w:p>
    <w:p>
      <w:pPr>
        <w:pStyle w:val="95"/>
        <w:tabs>
          <w:tab w:val="clear" w:pos="1440"/>
          <w:tab w:val="clear" w:pos="1620"/>
        </w:tabs>
        <w:spacing w:before="0" w:after="0" w:line="500" w:lineRule="exact"/>
        <w:ind w:firstLine="472" w:firstLineChars="196"/>
        <w:rPr>
          <w:color w:val="auto"/>
          <w:sz w:val="24"/>
          <w:szCs w:val="24"/>
        </w:rPr>
      </w:pPr>
      <w:bookmarkStart w:id="47" w:name="_Toc8904090"/>
      <w:r>
        <w:rPr>
          <w:rFonts w:hint="eastAsia"/>
          <w:color w:val="auto"/>
          <w:sz w:val="24"/>
          <w:szCs w:val="24"/>
        </w:rPr>
        <w:t>24．</w:t>
      </w:r>
      <w:r>
        <w:rPr>
          <w:color w:val="auto"/>
          <w:sz w:val="24"/>
          <w:szCs w:val="24"/>
        </w:rPr>
        <w:t>评标委员会与评标</w:t>
      </w:r>
      <w:r>
        <w:rPr>
          <w:rFonts w:hint="eastAsia"/>
          <w:color w:val="auto"/>
          <w:sz w:val="24"/>
          <w:szCs w:val="24"/>
        </w:rPr>
        <w:t>方法</w:t>
      </w:r>
      <w:bookmarkEnd w:id="47"/>
    </w:p>
    <w:p>
      <w:pPr>
        <w:pStyle w:val="87"/>
        <w:spacing w:line="500" w:lineRule="exact"/>
        <w:ind w:firstLine="494"/>
        <w:rPr>
          <w:rFonts w:ascii="宋体" w:eastAsia="宋体"/>
          <w:sz w:val="24"/>
          <w:szCs w:val="24"/>
        </w:rPr>
      </w:pPr>
      <w:r>
        <w:rPr>
          <w:rFonts w:ascii="宋体" w:eastAsia="宋体"/>
          <w:sz w:val="24"/>
          <w:szCs w:val="24"/>
        </w:rPr>
        <w:t>2</w:t>
      </w:r>
      <w:r>
        <w:rPr>
          <w:rFonts w:hint="eastAsia" w:ascii="宋体" w:eastAsia="宋体"/>
          <w:sz w:val="24"/>
          <w:szCs w:val="24"/>
        </w:rPr>
        <w:t>4</w:t>
      </w:r>
      <w:r>
        <w:rPr>
          <w:rFonts w:ascii="宋体" w:eastAsia="宋体"/>
          <w:sz w:val="24"/>
          <w:szCs w:val="24"/>
        </w:rPr>
        <w:t>.1评标委员会。</w:t>
      </w:r>
    </w:p>
    <w:p>
      <w:pPr>
        <w:pStyle w:val="87"/>
        <w:spacing w:line="500" w:lineRule="exact"/>
        <w:ind w:firstLine="494"/>
        <w:rPr>
          <w:rFonts w:ascii="宋体" w:eastAsia="宋体"/>
          <w:sz w:val="24"/>
          <w:szCs w:val="24"/>
        </w:rPr>
      </w:pPr>
      <w:r>
        <w:rPr>
          <w:rFonts w:hint="eastAsia" w:ascii="宋体" w:eastAsia="宋体"/>
          <w:sz w:val="24"/>
          <w:szCs w:val="24"/>
        </w:rPr>
        <w:t>24.1.1本次招标依法组建评标委员会。</w:t>
      </w:r>
    </w:p>
    <w:p>
      <w:pPr>
        <w:pStyle w:val="87"/>
        <w:spacing w:line="500" w:lineRule="exact"/>
        <w:ind w:firstLine="494"/>
        <w:rPr>
          <w:rFonts w:ascii="宋体" w:eastAsia="宋体"/>
          <w:sz w:val="24"/>
          <w:szCs w:val="24"/>
        </w:rPr>
      </w:pPr>
      <w:r>
        <w:rPr>
          <w:rFonts w:hint="eastAsia" w:ascii="宋体" w:eastAsia="宋体"/>
          <w:sz w:val="24"/>
          <w:szCs w:val="24"/>
        </w:rPr>
        <w:t>24.1.2评标委员会负责具体评标事务，并独立履行下列职责：</w:t>
      </w:r>
    </w:p>
    <w:p>
      <w:pPr>
        <w:pStyle w:val="87"/>
        <w:spacing w:line="500" w:lineRule="exact"/>
        <w:ind w:firstLine="494"/>
        <w:rPr>
          <w:rFonts w:ascii="宋体" w:eastAsia="宋体"/>
          <w:sz w:val="24"/>
          <w:szCs w:val="24"/>
        </w:rPr>
      </w:pPr>
      <w:r>
        <w:rPr>
          <w:rFonts w:hint="eastAsia" w:ascii="宋体" w:eastAsia="宋体"/>
          <w:sz w:val="24"/>
          <w:szCs w:val="24"/>
        </w:rPr>
        <w:t>(1)审查、评价投标文件是否符合招标文件的商务、技术等实质性要求；</w:t>
      </w:r>
    </w:p>
    <w:p>
      <w:pPr>
        <w:pStyle w:val="87"/>
        <w:spacing w:line="500" w:lineRule="exact"/>
        <w:ind w:firstLine="494"/>
        <w:rPr>
          <w:rFonts w:ascii="宋体" w:eastAsia="宋体"/>
          <w:sz w:val="24"/>
          <w:szCs w:val="24"/>
        </w:rPr>
      </w:pPr>
      <w:r>
        <w:rPr>
          <w:rFonts w:hint="eastAsia" w:ascii="宋体" w:eastAsia="宋体"/>
          <w:sz w:val="24"/>
          <w:szCs w:val="24"/>
        </w:rPr>
        <w:t>(2)要求投标人对投标文件有关事项作出澄清或者说明；</w:t>
      </w:r>
    </w:p>
    <w:p>
      <w:pPr>
        <w:pStyle w:val="87"/>
        <w:spacing w:line="500" w:lineRule="exact"/>
        <w:ind w:firstLine="494"/>
        <w:rPr>
          <w:rFonts w:ascii="宋体" w:eastAsia="宋体"/>
          <w:sz w:val="24"/>
          <w:szCs w:val="24"/>
        </w:rPr>
      </w:pPr>
      <w:r>
        <w:rPr>
          <w:rFonts w:hint="eastAsia" w:ascii="宋体" w:eastAsia="宋体"/>
          <w:sz w:val="24"/>
          <w:szCs w:val="24"/>
        </w:rPr>
        <w:t>(3)对投标文件进行比较和评价；</w:t>
      </w:r>
    </w:p>
    <w:p>
      <w:pPr>
        <w:pStyle w:val="87"/>
        <w:spacing w:line="500" w:lineRule="exact"/>
        <w:ind w:firstLine="494"/>
        <w:rPr>
          <w:rFonts w:ascii="宋体" w:eastAsia="宋体"/>
          <w:sz w:val="24"/>
          <w:szCs w:val="24"/>
        </w:rPr>
      </w:pPr>
      <w:r>
        <w:rPr>
          <w:rFonts w:hint="eastAsia" w:ascii="宋体" w:eastAsia="宋体"/>
          <w:sz w:val="24"/>
          <w:szCs w:val="24"/>
        </w:rPr>
        <w:t>(4)确定中标候选人名单，以及根据采购人委托直接确定中标人；</w:t>
      </w:r>
    </w:p>
    <w:p>
      <w:pPr>
        <w:pStyle w:val="87"/>
        <w:spacing w:line="500" w:lineRule="exact"/>
        <w:ind w:firstLine="494"/>
        <w:rPr>
          <w:rFonts w:ascii="宋体" w:eastAsia="宋体"/>
          <w:sz w:val="24"/>
          <w:szCs w:val="24"/>
        </w:rPr>
      </w:pPr>
      <w:r>
        <w:rPr>
          <w:rFonts w:hint="eastAsia" w:ascii="宋体" w:eastAsia="宋体"/>
          <w:sz w:val="24"/>
          <w:szCs w:val="24"/>
        </w:rPr>
        <w:t>(5)向采购人、采购代理机构或者有关部门报告评标中发现的违法行为。</w:t>
      </w:r>
    </w:p>
    <w:p>
      <w:pPr>
        <w:pStyle w:val="87"/>
        <w:spacing w:line="500" w:lineRule="exact"/>
        <w:ind w:firstLine="494"/>
        <w:rPr>
          <w:rFonts w:ascii="宋体" w:eastAsia="宋体"/>
          <w:sz w:val="24"/>
          <w:szCs w:val="24"/>
        </w:rPr>
      </w:pPr>
      <w:r>
        <w:rPr>
          <w:rFonts w:hint="eastAsia" w:ascii="宋体" w:eastAsia="宋体"/>
          <w:sz w:val="24"/>
          <w:szCs w:val="24"/>
        </w:rPr>
        <w:t>24.1.3评标中因评标委员会成员缺席、回避或者健康等特殊原因导致评标委员会组成不符合《政府采购货物和服务招标投标管理办法》规定的，采购人或者采购代理机构应当依法补足后继续评标。被更换的评标委员会成员所作出的评标意见无效。</w:t>
      </w:r>
    </w:p>
    <w:p>
      <w:pPr>
        <w:pStyle w:val="87"/>
        <w:spacing w:line="500" w:lineRule="exact"/>
        <w:ind w:firstLine="494"/>
        <w:rPr>
          <w:rFonts w:ascii="宋体" w:eastAsia="宋体"/>
          <w:sz w:val="24"/>
          <w:szCs w:val="24"/>
        </w:rPr>
      </w:pPr>
      <w:r>
        <w:rPr>
          <w:rFonts w:hint="eastAsia" w:ascii="宋体" w:eastAsia="宋体"/>
          <w:sz w:val="24"/>
          <w:szCs w:val="24"/>
        </w:rPr>
        <w:t>无法及时补足评标委员会成员的，采购人或者采购代理机构应当停止评标活动，封存所有投标文件和开标、评标资料，依法重新组建评标委员会进行评标。原评标委员会所作出的评标意见无效。</w:t>
      </w:r>
    </w:p>
    <w:p>
      <w:pPr>
        <w:pStyle w:val="87"/>
        <w:spacing w:line="500" w:lineRule="exact"/>
        <w:ind w:firstLine="494"/>
        <w:rPr>
          <w:rFonts w:ascii="宋体" w:eastAsia="宋体"/>
          <w:sz w:val="24"/>
          <w:szCs w:val="24"/>
        </w:rPr>
      </w:pPr>
      <w:r>
        <w:rPr>
          <w:rFonts w:hint="eastAsia" w:ascii="宋体" w:eastAsia="宋体"/>
          <w:sz w:val="24"/>
          <w:szCs w:val="24"/>
        </w:rPr>
        <w:t>采购人或者采购代理机构应当将变更、重新组建评标委员会的情况予以记录，并随采购文件一并存档。</w:t>
      </w:r>
    </w:p>
    <w:p>
      <w:pPr>
        <w:pStyle w:val="87"/>
        <w:spacing w:line="500" w:lineRule="exact"/>
        <w:ind w:firstLine="494"/>
        <w:rPr>
          <w:rFonts w:ascii="宋体" w:eastAsia="宋体"/>
          <w:sz w:val="24"/>
          <w:szCs w:val="24"/>
        </w:rPr>
      </w:pPr>
      <w:r>
        <w:rPr>
          <w:rFonts w:hint="eastAsia" w:ascii="宋体" w:eastAsia="宋体"/>
          <w:sz w:val="24"/>
          <w:szCs w:val="24"/>
        </w:rPr>
        <w:t>24.1.4评标委员会将按照招标文件确定的评标方法进行评审。对招标文件中描述有歧义或前后不一致的地方，评标委员会有权按法律、法规的规定进行评判，但对同一条款的评判应适用于各投标人。</w:t>
      </w:r>
    </w:p>
    <w:p>
      <w:pPr>
        <w:pStyle w:val="87"/>
        <w:spacing w:line="500" w:lineRule="exact"/>
        <w:ind w:firstLine="494"/>
        <w:rPr>
          <w:rFonts w:ascii="宋体" w:eastAsia="宋体"/>
          <w:sz w:val="24"/>
          <w:szCs w:val="24"/>
        </w:rPr>
      </w:pPr>
      <w:r>
        <w:rPr>
          <w:rFonts w:hint="eastAsia" w:ascii="宋体" w:eastAsia="宋体"/>
          <w:sz w:val="24"/>
          <w:szCs w:val="24"/>
        </w:rPr>
        <w:t>24.1.5评标委员会成员存在下列利害关系之一的，受到邀请应主动提出回避：</w:t>
      </w:r>
    </w:p>
    <w:p>
      <w:pPr>
        <w:pStyle w:val="87"/>
        <w:spacing w:line="500" w:lineRule="exact"/>
        <w:ind w:firstLine="494"/>
        <w:rPr>
          <w:rFonts w:ascii="宋体" w:eastAsia="宋体"/>
          <w:sz w:val="24"/>
          <w:szCs w:val="24"/>
        </w:rPr>
      </w:pPr>
      <w:r>
        <w:rPr>
          <w:rFonts w:hint="eastAsia" w:ascii="宋体" w:eastAsia="宋体"/>
          <w:sz w:val="24"/>
          <w:szCs w:val="24"/>
        </w:rPr>
        <w:t>(1)参加采购活动前三年内,与供应商存在劳动关系,或者担任过供应商的董事、监事,或者是供应商的控股股东或实际控制人；</w:t>
      </w:r>
    </w:p>
    <w:p>
      <w:pPr>
        <w:pStyle w:val="87"/>
        <w:spacing w:line="500" w:lineRule="exact"/>
        <w:ind w:firstLine="494"/>
        <w:rPr>
          <w:rFonts w:ascii="宋体" w:eastAsia="宋体"/>
          <w:sz w:val="24"/>
          <w:szCs w:val="24"/>
        </w:rPr>
      </w:pPr>
      <w:r>
        <w:rPr>
          <w:rFonts w:hint="eastAsia" w:ascii="宋体" w:eastAsia="宋体"/>
          <w:sz w:val="24"/>
          <w:szCs w:val="24"/>
        </w:rPr>
        <w:t>(2)与供应商的法定代表人或者负责人有夫妻、直系血亲、三代以内旁系血亲或者近姻亲关系；</w:t>
      </w:r>
    </w:p>
    <w:p>
      <w:pPr>
        <w:pStyle w:val="87"/>
        <w:spacing w:line="500" w:lineRule="exact"/>
        <w:ind w:firstLine="494"/>
        <w:rPr>
          <w:rFonts w:ascii="宋体" w:eastAsia="宋体"/>
          <w:sz w:val="24"/>
          <w:szCs w:val="24"/>
        </w:rPr>
      </w:pPr>
      <w:r>
        <w:rPr>
          <w:rFonts w:hint="eastAsia" w:ascii="宋体" w:eastAsia="宋体"/>
          <w:sz w:val="24"/>
          <w:szCs w:val="24"/>
        </w:rPr>
        <w:t>(3)与供应商有其他可能影响政府采购活动公平、公正进行的关系。</w:t>
      </w:r>
    </w:p>
    <w:p>
      <w:pPr>
        <w:pStyle w:val="87"/>
        <w:spacing w:line="500" w:lineRule="exact"/>
        <w:ind w:firstLine="494"/>
        <w:rPr>
          <w:rFonts w:ascii="宋体" w:eastAsia="宋体"/>
          <w:sz w:val="24"/>
          <w:szCs w:val="24"/>
        </w:rPr>
      </w:pPr>
      <w:r>
        <w:rPr>
          <w:rFonts w:hint="eastAsia" w:ascii="宋体" w:eastAsia="宋体"/>
          <w:sz w:val="24"/>
          <w:szCs w:val="24"/>
        </w:rPr>
        <w:t>24.1.6评审专家发现本人与参加采购活动的供应商有利害关系的,应当主动提出回避。采购人或者采购代理机构发现评审专家与参加采购活动的供应商有利害关系的,应当要求其回避。</w:t>
      </w:r>
    </w:p>
    <w:p>
      <w:pPr>
        <w:pStyle w:val="87"/>
        <w:spacing w:line="500" w:lineRule="exact"/>
        <w:ind w:firstLine="494"/>
        <w:rPr>
          <w:rFonts w:ascii="宋体" w:eastAsia="宋体"/>
          <w:sz w:val="24"/>
          <w:szCs w:val="24"/>
        </w:rPr>
      </w:pPr>
      <w:r>
        <w:rPr>
          <w:rFonts w:hint="eastAsia" w:ascii="宋体" w:eastAsia="宋体"/>
          <w:sz w:val="24"/>
          <w:szCs w:val="24"/>
        </w:rPr>
        <w:t>24.2评标原则和评标方法</w:t>
      </w:r>
    </w:p>
    <w:p>
      <w:pPr>
        <w:pStyle w:val="87"/>
        <w:spacing w:line="500" w:lineRule="exact"/>
        <w:ind w:firstLine="494"/>
        <w:rPr>
          <w:rFonts w:ascii="宋体" w:eastAsia="宋体"/>
          <w:sz w:val="24"/>
          <w:szCs w:val="24"/>
        </w:rPr>
      </w:pPr>
      <w:r>
        <w:rPr>
          <w:rFonts w:hint="eastAsia" w:ascii="宋体" w:eastAsia="宋体"/>
          <w:sz w:val="24"/>
          <w:szCs w:val="24"/>
        </w:rPr>
        <w:t>24.2.1评标原则:评标工作应依据《中华人民共和国政府采购法》及其实施条例、《政府采购货物和服务招标投标管理办法》等相关法律、法规的规定，按照客观、公正、审慎的原则进行。评标委员会应当对符合资格的投标人的投标文件进行符合性审查，以确定其是否满足招标文件的实质性要求。</w:t>
      </w:r>
    </w:p>
    <w:p>
      <w:pPr>
        <w:pStyle w:val="87"/>
        <w:spacing w:line="500" w:lineRule="exact"/>
        <w:ind w:firstLine="494"/>
        <w:rPr>
          <w:rFonts w:ascii="宋体" w:eastAsia="宋体"/>
          <w:sz w:val="24"/>
          <w:szCs w:val="24"/>
        </w:rPr>
      </w:pPr>
      <w:r>
        <w:rPr>
          <w:rFonts w:hint="eastAsia" w:ascii="宋体" w:eastAsia="宋体"/>
          <w:sz w:val="24"/>
          <w:szCs w:val="24"/>
        </w:rPr>
        <w:t>24.2.2评标方法：本次招标采用综合评分法。是指投标文件满足招标文件全部实质性要求，且按照评审因素的量化指标评审得分最高的投标人为中标候选人的评标方法。评标时，评标委员会各成员应当独立对每个投标人的投标文件进行评价，并汇总每个投标人的得分（按四舍五入原则精确到小数点后两位）。</w:t>
      </w:r>
    </w:p>
    <w:p>
      <w:pPr>
        <w:pStyle w:val="87"/>
        <w:spacing w:line="500" w:lineRule="exact"/>
        <w:ind w:firstLine="494"/>
        <w:rPr>
          <w:rFonts w:ascii="宋体" w:eastAsia="宋体"/>
          <w:sz w:val="24"/>
          <w:szCs w:val="24"/>
        </w:rPr>
      </w:pPr>
      <w:r>
        <w:rPr>
          <w:rFonts w:hint="eastAsia" w:ascii="宋体" w:eastAsia="宋体"/>
          <w:sz w:val="24"/>
          <w:szCs w:val="24"/>
        </w:rPr>
        <w:t>评标结果按评审后得分由高到低顺序排列。得分相同的，按投标报价由低到高顺序排列。得分且投标报价相同的，按技术部分得分由高到低顺序排列。投标文件满足招标文件全部实质性要求，且按照评审因素的量化指标评审得分最高的投标人为排名第一的中标候选人。</w:t>
      </w:r>
    </w:p>
    <w:p>
      <w:pPr>
        <w:pStyle w:val="87"/>
        <w:spacing w:line="500" w:lineRule="exact"/>
        <w:ind w:firstLine="494"/>
        <w:rPr>
          <w:rFonts w:ascii="宋体" w:eastAsia="宋体"/>
          <w:sz w:val="24"/>
          <w:szCs w:val="24"/>
        </w:rPr>
      </w:pPr>
      <w:r>
        <w:rPr>
          <w:rFonts w:hint="eastAsia" w:ascii="宋体" w:eastAsia="宋体"/>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按投标报价由低到高顺序确定一个投标人获得中标人推荐资格，其他同品牌投标人不作为中标候选人。</w:t>
      </w:r>
    </w:p>
    <w:p>
      <w:pPr>
        <w:pStyle w:val="87"/>
        <w:spacing w:line="500" w:lineRule="exact"/>
        <w:ind w:firstLine="494"/>
        <w:rPr>
          <w:rFonts w:ascii="宋体" w:eastAsia="宋体"/>
          <w:sz w:val="24"/>
          <w:szCs w:val="24"/>
        </w:rPr>
      </w:pPr>
      <w:r>
        <w:rPr>
          <w:rFonts w:hint="eastAsia" w:ascii="宋体" w:eastAsia="宋体"/>
          <w:sz w:val="24"/>
          <w:szCs w:val="24"/>
        </w:rPr>
        <w:t>非单一产品采购项目，采购人应当根据采购项目技术构成、产品价格比重等合理确定核心产品。多家投标人提供的核心产品品牌相同的，按前款规定处理。</w:t>
      </w:r>
    </w:p>
    <w:p>
      <w:pPr>
        <w:pStyle w:val="87"/>
        <w:spacing w:line="500" w:lineRule="exact"/>
        <w:ind w:firstLine="494"/>
        <w:rPr>
          <w:rFonts w:ascii="宋体" w:eastAsia="宋体"/>
          <w:sz w:val="24"/>
          <w:szCs w:val="24"/>
        </w:rPr>
      </w:pPr>
      <w:r>
        <w:rPr>
          <w:rFonts w:hint="eastAsia" w:ascii="宋体" w:eastAsia="宋体"/>
          <w:sz w:val="24"/>
          <w:szCs w:val="24"/>
        </w:rPr>
        <w:t>24.2.3评标步骤：先进行资格审查、符合性审查，再进行商务、技术及价格评审。</w:t>
      </w:r>
    </w:p>
    <w:p>
      <w:pPr>
        <w:pStyle w:val="87"/>
        <w:spacing w:line="500" w:lineRule="exact"/>
        <w:ind w:firstLine="494"/>
        <w:rPr>
          <w:rFonts w:ascii="宋体" w:eastAsia="宋体"/>
          <w:sz w:val="24"/>
          <w:szCs w:val="24"/>
        </w:rPr>
      </w:pPr>
      <w:r>
        <w:rPr>
          <w:rFonts w:hint="eastAsia" w:ascii="宋体" w:eastAsia="宋体"/>
          <w:sz w:val="24"/>
          <w:szCs w:val="24"/>
        </w:rPr>
        <w:t>24.2.4评标委员会成员对需要共同认定的事项存在争议的，应当按照少数服从多数的原则作出结论。持不同意见的评标委员会成员应当在评标报告上签署不同意见及理由，否则视为同意评标报告。</w:t>
      </w:r>
    </w:p>
    <w:p>
      <w:pPr>
        <w:pStyle w:val="95"/>
        <w:tabs>
          <w:tab w:val="clear" w:pos="1440"/>
          <w:tab w:val="clear" w:pos="1620"/>
        </w:tabs>
        <w:spacing w:before="0" w:after="0" w:line="500" w:lineRule="exact"/>
        <w:ind w:firstLine="472" w:firstLineChars="196"/>
        <w:rPr>
          <w:color w:val="auto"/>
          <w:sz w:val="24"/>
          <w:szCs w:val="24"/>
        </w:rPr>
      </w:pPr>
      <w:bookmarkStart w:id="48" w:name="_Toc8904091"/>
      <w:r>
        <w:rPr>
          <w:rFonts w:hint="eastAsia"/>
          <w:color w:val="auto"/>
          <w:sz w:val="24"/>
          <w:szCs w:val="24"/>
        </w:rPr>
        <w:t>25．</w:t>
      </w:r>
      <w:r>
        <w:rPr>
          <w:color w:val="auto"/>
          <w:sz w:val="24"/>
          <w:szCs w:val="24"/>
        </w:rPr>
        <w:t>投标文件的评审</w:t>
      </w:r>
      <w:bookmarkEnd w:id="48"/>
    </w:p>
    <w:p>
      <w:pPr>
        <w:pStyle w:val="87"/>
        <w:spacing w:line="500" w:lineRule="exact"/>
        <w:ind w:firstLine="494"/>
        <w:rPr>
          <w:rFonts w:ascii="宋体" w:eastAsia="宋体"/>
          <w:sz w:val="24"/>
          <w:szCs w:val="24"/>
        </w:rPr>
      </w:pPr>
      <w:r>
        <w:rPr>
          <w:rFonts w:hint="eastAsia" w:ascii="宋体" w:eastAsia="宋体"/>
          <w:sz w:val="24"/>
          <w:szCs w:val="24"/>
        </w:rPr>
        <w:t>25</w:t>
      </w:r>
      <w:r>
        <w:rPr>
          <w:rFonts w:ascii="宋体" w:eastAsia="宋体"/>
          <w:sz w:val="24"/>
          <w:szCs w:val="24"/>
        </w:rPr>
        <w:t xml:space="preserve">.1 </w:t>
      </w:r>
      <w:r>
        <w:rPr>
          <w:rFonts w:hint="eastAsia" w:ascii="宋体" w:eastAsia="宋体"/>
          <w:sz w:val="24"/>
          <w:szCs w:val="24"/>
        </w:rPr>
        <w:t>投标文件初步评审</w:t>
      </w:r>
      <w:r>
        <w:rPr>
          <w:rFonts w:ascii="宋体" w:eastAsia="宋体"/>
          <w:sz w:val="24"/>
          <w:szCs w:val="24"/>
        </w:rPr>
        <w:t>。</w:t>
      </w:r>
    </w:p>
    <w:p>
      <w:pPr>
        <w:pStyle w:val="87"/>
        <w:spacing w:line="500" w:lineRule="exact"/>
        <w:ind w:firstLine="480" w:firstLineChars="200"/>
        <w:rPr>
          <w:rFonts w:ascii="宋体" w:eastAsia="宋体"/>
          <w:sz w:val="24"/>
          <w:szCs w:val="24"/>
        </w:rPr>
      </w:pPr>
      <w:r>
        <w:rPr>
          <w:rFonts w:hint="eastAsia" w:ascii="宋体" w:eastAsia="宋体"/>
          <w:sz w:val="24"/>
          <w:szCs w:val="24"/>
        </w:rPr>
        <w:t>25.1.1资格性检查。开标结束后，采购人或者采购代理机构应当依法对投标人的资格进行审查；合格投标人不足3家的，不得评标。</w:t>
      </w:r>
    </w:p>
    <w:p>
      <w:pPr>
        <w:pStyle w:val="87"/>
        <w:spacing w:line="500" w:lineRule="exact"/>
        <w:ind w:firstLine="494"/>
        <w:rPr>
          <w:rFonts w:ascii="宋体" w:eastAsia="宋体"/>
          <w:sz w:val="24"/>
          <w:szCs w:val="24"/>
        </w:rPr>
      </w:pPr>
      <w:r>
        <w:rPr>
          <w:rFonts w:hint="eastAsia" w:ascii="宋体" w:eastAsia="宋体"/>
          <w:sz w:val="24"/>
          <w:szCs w:val="24"/>
        </w:rPr>
        <w:t>25.1.2符合性检查。评标委员会应当对符合资格的投标人的投标文件进行符合性审查，以确定其是否满足招标文件的实质性要求。</w:t>
      </w:r>
    </w:p>
    <w:p>
      <w:pPr>
        <w:pStyle w:val="87"/>
        <w:spacing w:line="500" w:lineRule="exact"/>
        <w:ind w:firstLine="494"/>
        <w:rPr>
          <w:rFonts w:ascii="宋体" w:eastAsia="宋体"/>
          <w:sz w:val="24"/>
          <w:szCs w:val="24"/>
        </w:rPr>
      </w:pPr>
      <w:r>
        <w:rPr>
          <w:rFonts w:hint="eastAsia" w:ascii="宋体" w:eastAsia="宋体"/>
          <w:sz w:val="24"/>
          <w:szCs w:val="24"/>
        </w:rPr>
        <w:t>25.1.3资格性检查和符合性检查过程中，投标人存在下列情况之一的，投标无效：</w:t>
      </w:r>
    </w:p>
    <w:p>
      <w:pPr>
        <w:pStyle w:val="87"/>
        <w:spacing w:line="500" w:lineRule="exact"/>
        <w:ind w:firstLine="494"/>
        <w:rPr>
          <w:rFonts w:ascii="宋体" w:eastAsia="宋体"/>
          <w:sz w:val="24"/>
          <w:szCs w:val="24"/>
        </w:rPr>
      </w:pPr>
      <w:r>
        <w:rPr>
          <w:rFonts w:ascii="宋体" w:eastAsia="宋体"/>
          <w:sz w:val="24"/>
          <w:szCs w:val="24"/>
        </w:rPr>
        <w:t>(1)不具备招标文件中规定的资格要求的；</w:t>
      </w:r>
    </w:p>
    <w:p>
      <w:pPr>
        <w:pStyle w:val="87"/>
        <w:spacing w:line="500" w:lineRule="exact"/>
        <w:ind w:firstLine="494"/>
        <w:rPr>
          <w:rFonts w:ascii="宋体" w:eastAsia="宋体"/>
          <w:sz w:val="24"/>
          <w:szCs w:val="24"/>
        </w:rPr>
      </w:pPr>
      <w:r>
        <w:rPr>
          <w:rFonts w:hint="eastAsia" w:ascii="宋体" w:eastAsia="宋体"/>
          <w:sz w:val="24"/>
          <w:szCs w:val="24"/>
        </w:rPr>
        <w:t>(2)未按照招标文件的规定提交投标保证金的；</w:t>
      </w:r>
    </w:p>
    <w:p>
      <w:pPr>
        <w:pStyle w:val="87"/>
        <w:spacing w:line="500" w:lineRule="exact"/>
        <w:ind w:firstLine="494"/>
        <w:rPr>
          <w:rFonts w:ascii="宋体" w:eastAsia="宋体"/>
          <w:sz w:val="24"/>
          <w:szCs w:val="24"/>
        </w:rPr>
      </w:pPr>
      <w:r>
        <w:rPr>
          <w:rFonts w:hint="eastAsia" w:ascii="宋体" w:eastAsia="宋体"/>
          <w:sz w:val="24"/>
          <w:szCs w:val="24"/>
        </w:rPr>
        <w:t>(3)投标文件未按招标文件要求签署、盖章的；</w:t>
      </w:r>
    </w:p>
    <w:p>
      <w:pPr>
        <w:pStyle w:val="87"/>
        <w:spacing w:line="500" w:lineRule="exact"/>
        <w:ind w:firstLine="494"/>
        <w:rPr>
          <w:rFonts w:ascii="宋体" w:eastAsia="宋体"/>
          <w:sz w:val="24"/>
          <w:szCs w:val="24"/>
        </w:rPr>
      </w:pPr>
      <w:r>
        <w:rPr>
          <w:rFonts w:hint="eastAsia" w:ascii="宋体" w:eastAsia="宋体"/>
          <w:sz w:val="24"/>
          <w:szCs w:val="24"/>
        </w:rPr>
        <w:t>(4)投标文件中承诺的投标有效期少于招标文件中载明的投标有效期的、投标文件中承诺的项目完成期限（包括但不限于工期、服务期、交货期等）不满足招标文件要求的；</w:t>
      </w:r>
    </w:p>
    <w:p>
      <w:pPr>
        <w:pStyle w:val="87"/>
        <w:spacing w:line="500" w:lineRule="exact"/>
        <w:ind w:firstLine="494"/>
        <w:rPr>
          <w:rFonts w:ascii="宋体" w:eastAsia="宋体"/>
          <w:sz w:val="24"/>
          <w:szCs w:val="24"/>
        </w:rPr>
      </w:pPr>
      <w:r>
        <w:rPr>
          <w:rFonts w:hint="eastAsia" w:ascii="宋体" w:eastAsia="宋体"/>
          <w:sz w:val="24"/>
          <w:szCs w:val="24"/>
        </w:rPr>
        <w:t>(5)投标人提交备选投标方案的；</w:t>
      </w:r>
    </w:p>
    <w:p>
      <w:pPr>
        <w:pStyle w:val="87"/>
        <w:spacing w:line="500" w:lineRule="exact"/>
        <w:ind w:firstLine="494"/>
        <w:rPr>
          <w:rFonts w:ascii="宋体" w:eastAsia="宋体"/>
          <w:sz w:val="24"/>
          <w:szCs w:val="24"/>
        </w:rPr>
      </w:pPr>
      <w:r>
        <w:rPr>
          <w:rFonts w:hint="eastAsia" w:ascii="宋体" w:eastAsia="宋体"/>
          <w:sz w:val="24"/>
          <w:szCs w:val="24"/>
        </w:rPr>
        <w:t>(6)提交投标文件数量不足的；</w:t>
      </w:r>
    </w:p>
    <w:p>
      <w:pPr>
        <w:pStyle w:val="87"/>
        <w:spacing w:line="500" w:lineRule="exact"/>
        <w:ind w:firstLine="494"/>
        <w:rPr>
          <w:rFonts w:ascii="宋体" w:eastAsia="宋体"/>
          <w:sz w:val="24"/>
          <w:szCs w:val="24"/>
        </w:rPr>
      </w:pPr>
      <w:r>
        <w:rPr>
          <w:rFonts w:hint="eastAsia" w:ascii="宋体" w:eastAsia="宋体"/>
          <w:sz w:val="24"/>
          <w:szCs w:val="24"/>
        </w:rPr>
        <w:t>(7)不满足招标文件用户需求中带“★”要求的；</w:t>
      </w:r>
    </w:p>
    <w:p>
      <w:pPr>
        <w:pStyle w:val="87"/>
        <w:spacing w:line="500" w:lineRule="exact"/>
        <w:ind w:firstLine="494"/>
        <w:rPr>
          <w:rFonts w:ascii="宋体" w:eastAsia="宋体"/>
          <w:sz w:val="24"/>
          <w:szCs w:val="24"/>
        </w:rPr>
      </w:pPr>
      <w:r>
        <w:rPr>
          <w:rFonts w:hint="eastAsia" w:ascii="宋体" w:eastAsia="宋体"/>
          <w:sz w:val="24"/>
          <w:szCs w:val="24"/>
        </w:rPr>
        <w:t>(8)报价超过预算金额或最高限价的；</w:t>
      </w:r>
    </w:p>
    <w:p>
      <w:pPr>
        <w:pStyle w:val="87"/>
        <w:spacing w:line="500" w:lineRule="exact"/>
        <w:ind w:firstLine="494"/>
        <w:rPr>
          <w:rFonts w:ascii="宋体" w:eastAsia="宋体"/>
          <w:sz w:val="24"/>
          <w:szCs w:val="24"/>
        </w:rPr>
      </w:pPr>
      <w:r>
        <w:rPr>
          <w:rFonts w:hint="eastAsia" w:ascii="宋体" w:eastAsia="宋体"/>
          <w:sz w:val="24"/>
          <w:szCs w:val="24"/>
        </w:rPr>
        <w:t>(9)投标文件含有采购人不能接受的附加条件的；</w:t>
      </w:r>
    </w:p>
    <w:p>
      <w:pPr>
        <w:pStyle w:val="87"/>
        <w:spacing w:line="500" w:lineRule="exact"/>
        <w:ind w:firstLine="494"/>
        <w:rPr>
          <w:rFonts w:ascii="宋体" w:eastAsia="宋体"/>
          <w:sz w:val="24"/>
          <w:szCs w:val="24"/>
        </w:rPr>
      </w:pPr>
      <w:r>
        <w:rPr>
          <w:rFonts w:hint="eastAsia" w:ascii="宋体" w:eastAsia="宋体"/>
          <w:sz w:val="24"/>
          <w:szCs w:val="24"/>
        </w:rPr>
        <w:t>(10)法律、法规和招标文件规定的其他无效情形。</w:t>
      </w:r>
    </w:p>
    <w:p>
      <w:pPr>
        <w:pStyle w:val="87"/>
        <w:spacing w:line="500" w:lineRule="exact"/>
        <w:ind w:firstLine="494"/>
        <w:rPr>
          <w:rFonts w:ascii="宋体" w:eastAsia="宋体"/>
          <w:sz w:val="24"/>
          <w:szCs w:val="24"/>
        </w:rPr>
      </w:pPr>
      <w:r>
        <w:rPr>
          <w:rFonts w:hint="eastAsia" w:ascii="宋体" w:eastAsia="宋体"/>
          <w:sz w:val="24"/>
          <w:szCs w:val="24"/>
        </w:rPr>
        <w:t>25</w:t>
      </w:r>
      <w:r>
        <w:rPr>
          <w:rFonts w:ascii="宋体" w:eastAsia="宋体"/>
          <w:sz w:val="24"/>
          <w:szCs w:val="24"/>
        </w:rPr>
        <w:t>.</w:t>
      </w:r>
      <w:r>
        <w:rPr>
          <w:rFonts w:hint="eastAsia" w:ascii="宋体" w:eastAsia="宋体"/>
          <w:sz w:val="24"/>
          <w:szCs w:val="24"/>
        </w:rPr>
        <w:t>2</w:t>
      </w:r>
      <w:r>
        <w:rPr>
          <w:rFonts w:ascii="宋体" w:eastAsia="宋体"/>
          <w:sz w:val="24"/>
          <w:szCs w:val="24"/>
        </w:rPr>
        <w:t xml:space="preserve"> </w:t>
      </w:r>
      <w:r>
        <w:rPr>
          <w:rFonts w:hint="eastAsia" w:ascii="宋体" w:eastAsia="宋体"/>
          <w:sz w:val="24"/>
          <w:szCs w:val="24"/>
        </w:rPr>
        <w:t>投标文件的澄清</w:t>
      </w:r>
      <w:r>
        <w:rPr>
          <w:rFonts w:ascii="宋体" w:eastAsia="宋体"/>
          <w:sz w:val="24"/>
          <w:szCs w:val="24"/>
        </w:rPr>
        <w:t>。</w:t>
      </w:r>
    </w:p>
    <w:p>
      <w:pPr>
        <w:pStyle w:val="87"/>
        <w:spacing w:line="500" w:lineRule="exact"/>
        <w:ind w:firstLine="494"/>
        <w:rPr>
          <w:rFonts w:ascii="宋体" w:eastAsia="宋体"/>
          <w:sz w:val="24"/>
          <w:szCs w:val="24"/>
        </w:rPr>
      </w:pPr>
      <w:r>
        <w:rPr>
          <w:rFonts w:hint="eastAsia" w:ascii="宋体" w:eastAsia="宋体"/>
          <w:sz w:val="24"/>
          <w:szCs w:val="24"/>
        </w:rPr>
        <w:t>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代表签字。并不得超出投标文件的范围或者改变投标文件的实质性内容。</w:t>
      </w:r>
    </w:p>
    <w:p>
      <w:pPr>
        <w:pStyle w:val="87"/>
        <w:spacing w:line="500" w:lineRule="exact"/>
        <w:ind w:firstLine="494"/>
        <w:rPr>
          <w:rFonts w:ascii="宋体" w:eastAsia="宋体"/>
          <w:sz w:val="24"/>
          <w:szCs w:val="24"/>
        </w:rPr>
      </w:pPr>
      <w:r>
        <w:rPr>
          <w:rFonts w:hint="eastAsia" w:ascii="宋体" w:eastAsia="宋体"/>
          <w:sz w:val="24"/>
          <w:szCs w:val="24"/>
        </w:rPr>
        <w:t>25.3投标文件报价出现前后不一致的，按照下列规定修正：</w:t>
      </w:r>
    </w:p>
    <w:p>
      <w:pPr>
        <w:pStyle w:val="87"/>
        <w:spacing w:line="500" w:lineRule="exact"/>
        <w:ind w:firstLine="494"/>
        <w:rPr>
          <w:rFonts w:ascii="宋体" w:eastAsia="宋体"/>
          <w:sz w:val="24"/>
          <w:szCs w:val="24"/>
        </w:rPr>
      </w:pPr>
      <w:r>
        <w:rPr>
          <w:rFonts w:hint="eastAsia" w:ascii="宋体" w:eastAsia="宋体"/>
          <w:sz w:val="24"/>
          <w:szCs w:val="24"/>
        </w:rPr>
        <w:t>（1）投标文件中开标一览表（报价表）内容与投标文件中相应内容不一致的，以开标一览表（报价表）为准；</w:t>
      </w:r>
    </w:p>
    <w:p>
      <w:pPr>
        <w:pStyle w:val="87"/>
        <w:spacing w:line="500" w:lineRule="exact"/>
        <w:ind w:firstLine="494"/>
        <w:rPr>
          <w:rFonts w:ascii="宋体" w:eastAsia="宋体"/>
          <w:sz w:val="24"/>
          <w:szCs w:val="24"/>
        </w:rPr>
      </w:pPr>
      <w:r>
        <w:rPr>
          <w:rFonts w:hint="eastAsia" w:ascii="宋体" w:eastAsia="宋体"/>
          <w:sz w:val="24"/>
          <w:szCs w:val="24"/>
        </w:rPr>
        <w:t>（2）大写金额和小写金额不一致的，以大写金额为准；</w:t>
      </w:r>
    </w:p>
    <w:p>
      <w:pPr>
        <w:pStyle w:val="87"/>
        <w:spacing w:line="500" w:lineRule="exact"/>
        <w:ind w:firstLine="494"/>
        <w:rPr>
          <w:rFonts w:ascii="宋体" w:eastAsia="宋体"/>
          <w:sz w:val="24"/>
          <w:szCs w:val="24"/>
        </w:rPr>
      </w:pPr>
      <w:r>
        <w:rPr>
          <w:rFonts w:hint="eastAsia" w:ascii="宋体" w:eastAsia="宋体"/>
          <w:sz w:val="24"/>
          <w:szCs w:val="24"/>
        </w:rPr>
        <w:t>（3）单价金额小数点或者百分比有明显错位的，以开标一览表的总价为准，并修改单价；</w:t>
      </w:r>
    </w:p>
    <w:p>
      <w:pPr>
        <w:pStyle w:val="87"/>
        <w:spacing w:line="500" w:lineRule="exact"/>
        <w:ind w:firstLine="494"/>
        <w:rPr>
          <w:rFonts w:ascii="宋体" w:eastAsia="宋体"/>
          <w:sz w:val="24"/>
          <w:szCs w:val="24"/>
        </w:rPr>
      </w:pPr>
      <w:r>
        <w:rPr>
          <w:rFonts w:hint="eastAsia" w:ascii="宋体" w:eastAsia="宋体"/>
          <w:sz w:val="24"/>
          <w:szCs w:val="24"/>
        </w:rPr>
        <w:t>（4）总价金额与按单价汇总金额不一致的，以单价金额计算结果为准。</w:t>
      </w:r>
    </w:p>
    <w:p>
      <w:pPr>
        <w:pStyle w:val="87"/>
        <w:spacing w:line="500" w:lineRule="exact"/>
        <w:ind w:firstLine="494"/>
        <w:rPr>
          <w:rFonts w:ascii="宋体" w:eastAsia="宋体"/>
          <w:sz w:val="24"/>
          <w:szCs w:val="24"/>
        </w:rPr>
      </w:pPr>
      <w:r>
        <w:rPr>
          <w:rFonts w:hint="eastAsia" w:ascii="宋体" w:eastAsia="宋体"/>
          <w:sz w:val="24"/>
          <w:szCs w:val="24"/>
        </w:rPr>
        <w:t>同时出现两种以上不一致的，按照前款规定的顺序修正。修正后的报价投标人应当采用书面形式，并加盖公章，或者由法定代表人或其授权的代表签字。经投标人确认后产生约束力，投标人不确认的，其投标无效。</w:t>
      </w:r>
    </w:p>
    <w:p>
      <w:pPr>
        <w:pStyle w:val="87"/>
        <w:spacing w:line="500" w:lineRule="exact"/>
        <w:ind w:firstLine="494"/>
        <w:rPr>
          <w:rFonts w:ascii="宋体" w:eastAsia="宋体"/>
          <w:sz w:val="24"/>
          <w:szCs w:val="24"/>
        </w:rPr>
      </w:pPr>
      <w:r>
        <w:rPr>
          <w:rFonts w:hint="eastAsia" w:ascii="宋体" w:eastAsia="宋体"/>
          <w:sz w:val="24"/>
          <w:szCs w:val="24"/>
        </w:rPr>
        <w:t>25.4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7"/>
        <w:spacing w:line="500" w:lineRule="exact"/>
        <w:ind w:firstLine="494"/>
        <w:rPr>
          <w:rFonts w:ascii="宋体" w:eastAsia="宋体"/>
          <w:sz w:val="24"/>
          <w:szCs w:val="24"/>
        </w:rPr>
      </w:pPr>
      <w:r>
        <w:rPr>
          <w:rFonts w:hint="eastAsia" w:ascii="宋体" w:eastAsia="宋体"/>
          <w:sz w:val="24"/>
          <w:szCs w:val="24"/>
        </w:rPr>
        <w:t>25.5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87"/>
        <w:spacing w:line="500" w:lineRule="exact"/>
        <w:ind w:firstLine="494"/>
        <w:rPr>
          <w:rFonts w:ascii="宋体" w:eastAsia="宋体"/>
          <w:sz w:val="24"/>
          <w:szCs w:val="24"/>
        </w:rPr>
      </w:pPr>
      <w:r>
        <w:rPr>
          <w:rFonts w:hint="eastAsia" w:ascii="宋体" w:eastAsia="宋体"/>
          <w:sz w:val="24"/>
          <w:szCs w:val="24"/>
        </w:rPr>
        <w:t>25.6投标文件的比较与评价。</w:t>
      </w:r>
    </w:p>
    <w:p>
      <w:pPr>
        <w:pStyle w:val="87"/>
        <w:spacing w:line="500" w:lineRule="exact"/>
        <w:ind w:firstLine="494"/>
        <w:rPr>
          <w:rFonts w:ascii="宋体" w:eastAsia="宋体"/>
          <w:sz w:val="24"/>
          <w:szCs w:val="24"/>
        </w:rPr>
      </w:pPr>
      <w:r>
        <w:rPr>
          <w:rFonts w:hint="eastAsia" w:ascii="宋体" w:eastAsia="宋体"/>
          <w:sz w:val="24"/>
          <w:szCs w:val="24"/>
        </w:rPr>
        <w:t>评标委员会按照招标文件规定的评标方法和标准，对符合性检查合格的投标文件进行商务、技术和价格评审，综合比较与评价。</w:t>
      </w:r>
    </w:p>
    <w:p>
      <w:pPr>
        <w:pStyle w:val="87"/>
        <w:spacing w:line="500" w:lineRule="exact"/>
        <w:ind w:firstLine="494"/>
        <w:rPr>
          <w:rFonts w:ascii="宋体" w:eastAsia="宋体"/>
          <w:sz w:val="24"/>
          <w:szCs w:val="24"/>
        </w:rPr>
      </w:pPr>
      <w:r>
        <w:rPr>
          <w:rFonts w:hint="eastAsia" w:ascii="宋体" w:eastAsia="宋体"/>
          <w:sz w:val="24"/>
          <w:szCs w:val="24"/>
        </w:rPr>
        <w:t>25.6.1商务评审:评标委员会根据采购文件确定的评分标准对供应商的投标文件进行商务评估并汇总商务分。</w:t>
      </w:r>
    </w:p>
    <w:p>
      <w:pPr>
        <w:pStyle w:val="87"/>
        <w:spacing w:line="500" w:lineRule="exact"/>
        <w:ind w:firstLine="494"/>
        <w:rPr>
          <w:rFonts w:ascii="宋体" w:eastAsia="宋体"/>
          <w:sz w:val="24"/>
          <w:szCs w:val="24"/>
        </w:rPr>
      </w:pPr>
      <w:r>
        <w:rPr>
          <w:rFonts w:hint="eastAsia" w:ascii="宋体" w:eastAsia="宋体"/>
          <w:sz w:val="24"/>
          <w:szCs w:val="24"/>
        </w:rPr>
        <w:t>25.6.2技术评审:评标委员会根据采购文件确定的评分标准对供应商的投标文件进行技术评估并汇总技术分。</w:t>
      </w:r>
    </w:p>
    <w:p>
      <w:pPr>
        <w:pStyle w:val="87"/>
        <w:spacing w:line="500" w:lineRule="exact"/>
        <w:ind w:firstLine="494"/>
        <w:rPr>
          <w:rFonts w:ascii="宋体" w:eastAsia="宋体"/>
          <w:sz w:val="24"/>
          <w:szCs w:val="24"/>
        </w:rPr>
      </w:pPr>
      <w:r>
        <w:rPr>
          <w:rFonts w:hint="eastAsia" w:ascii="宋体" w:eastAsia="宋体"/>
          <w:sz w:val="24"/>
          <w:szCs w:val="24"/>
        </w:rPr>
        <w:t>25.6.3价格评审:采用低价优先法计算，即满足招标文件要求且投标价格最低的投标报价为评标基准价，其价格分为满分。</w:t>
      </w:r>
    </w:p>
    <w:p>
      <w:pPr>
        <w:pStyle w:val="87"/>
        <w:spacing w:line="500" w:lineRule="exact"/>
        <w:ind w:firstLine="494"/>
        <w:rPr>
          <w:rFonts w:ascii="宋体" w:eastAsia="宋体"/>
          <w:sz w:val="24"/>
          <w:szCs w:val="24"/>
        </w:rPr>
      </w:pPr>
      <w:r>
        <w:rPr>
          <w:rFonts w:hint="eastAsia" w:ascii="宋体" w:eastAsia="宋体"/>
          <w:sz w:val="24"/>
          <w:szCs w:val="24"/>
        </w:rPr>
        <w:t>25.6.4评分标准</w:t>
      </w:r>
    </w:p>
    <w:p>
      <w:pPr>
        <w:pStyle w:val="87"/>
        <w:spacing w:line="500" w:lineRule="exact"/>
        <w:ind w:firstLine="480" w:firstLineChars="200"/>
        <w:rPr>
          <w:rFonts w:ascii="宋体" w:eastAsia="宋体"/>
          <w:sz w:val="24"/>
          <w:szCs w:val="24"/>
        </w:rPr>
      </w:pPr>
      <w:r>
        <w:rPr>
          <w:rFonts w:hint="eastAsia" w:ascii="宋体" w:eastAsia="宋体"/>
          <w:sz w:val="24"/>
          <w:szCs w:val="24"/>
        </w:rPr>
        <w:t>（1）价格分值（满分</w:t>
      </w:r>
      <w:r>
        <w:rPr>
          <w:rFonts w:hint="eastAsia" w:ascii="宋体" w:eastAsia="宋体"/>
          <w:sz w:val="24"/>
          <w:szCs w:val="24"/>
          <w:u w:val="single"/>
        </w:rPr>
        <w:t>30</w:t>
      </w:r>
      <w:r>
        <w:rPr>
          <w:rFonts w:hint="eastAsia" w:ascii="宋体" w:eastAsia="宋体"/>
          <w:sz w:val="24"/>
          <w:szCs w:val="24"/>
        </w:rPr>
        <w:t>分）</w:t>
      </w:r>
    </w:p>
    <w:p>
      <w:pPr>
        <w:pStyle w:val="87"/>
        <w:spacing w:line="500" w:lineRule="exact"/>
        <w:ind w:firstLine="480" w:firstLineChars="200"/>
        <w:rPr>
          <w:rFonts w:ascii="宋体" w:eastAsia="宋体"/>
          <w:sz w:val="24"/>
          <w:szCs w:val="24"/>
        </w:rPr>
      </w:pPr>
      <w:r>
        <w:rPr>
          <w:rFonts w:hint="eastAsia" w:ascii="宋体" w:eastAsia="宋体"/>
          <w:sz w:val="24"/>
          <w:szCs w:val="24"/>
        </w:rPr>
        <w:t>价格得分＝（评标基准价/评标价）×价格分值</w:t>
      </w:r>
    </w:p>
    <w:p>
      <w:pPr>
        <w:pStyle w:val="87"/>
        <w:spacing w:line="500" w:lineRule="exact"/>
        <w:ind w:firstLine="480" w:firstLineChars="200"/>
        <w:rPr>
          <w:rFonts w:ascii="宋体" w:eastAsia="宋体"/>
          <w:sz w:val="24"/>
          <w:szCs w:val="24"/>
        </w:rPr>
      </w:pPr>
      <w:r>
        <w:rPr>
          <w:rFonts w:hint="eastAsia" w:ascii="宋体" w:eastAsia="宋体"/>
          <w:sz w:val="24"/>
          <w:szCs w:val="24"/>
        </w:rPr>
        <w:t>评标基准价：满足招标文件要求且投标价格最低的投标报价。</w:t>
      </w:r>
    </w:p>
    <w:p>
      <w:pPr>
        <w:pStyle w:val="87"/>
        <w:spacing w:line="500" w:lineRule="exact"/>
        <w:ind w:firstLine="480" w:firstLineChars="200"/>
        <w:rPr>
          <w:rFonts w:ascii="宋体" w:eastAsia="宋体"/>
          <w:sz w:val="24"/>
          <w:szCs w:val="24"/>
        </w:rPr>
      </w:pPr>
      <w:r>
        <w:rPr>
          <w:rFonts w:hint="eastAsia" w:ascii="宋体" w:eastAsia="宋体"/>
          <w:sz w:val="24"/>
          <w:szCs w:val="24"/>
        </w:rPr>
        <w:t>评标价：按招标文件规定调整后的投标报价。</w:t>
      </w:r>
    </w:p>
    <w:p>
      <w:pPr>
        <w:pStyle w:val="87"/>
        <w:spacing w:line="500" w:lineRule="exact"/>
        <w:ind w:firstLine="480" w:firstLineChars="200"/>
        <w:rPr>
          <w:rFonts w:ascii="宋体" w:eastAsia="宋体"/>
          <w:sz w:val="24"/>
          <w:szCs w:val="24"/>
        </w:rPr>
      </w:pPr>
      <w:r>
        <w:rPr>
          <w:rFonts w:hint="eastAsia" w:ascii="宋体" w:eastAsia="宋体"/>
          <w:sz w:val="24"/>
          <w:szCs w:val="24"/>
        </w:rPr>
        <w:t>评标过程中，不得去掉报价中的最高报价和最低报价。</w:t>
      </w:r>
    </w:p>
    <w:p>
      <w:pPr>
        <w:pStyle w:val="87"/>
        <w:spacing w:line="500" w:lineRule="exact"/>
        <w:ind w:firstLine="480" w:firstLineChars="200"/>
        <w:rPr>
          <w:rFonts w:ascii="宋体" w:eastAsia="宋体"/>
          <w:sz w:val="24"/>
          <w:szCs w:val="24"/>
        </w:rPr>
      </w:pPr>
      <w:r>
        <w:rPr>
          <w:rFonts w:hint="eastAsia" w:ascii="宋体" w:eastAsia="宋体"/>
          <w:sz w:val="24"/>
          <w:szCs w:val="24"/>
        </w:rPr>
        <w:t>因落实政府采购政策进行价格调整的，以调整后的价格计算评标基准价和投标报价。</w:t>
      </w:r>
    </w:p>
    <w:p>
      <w:pPr>
        <w:pStyle w:val="87"/>
        <w:spacing w:line="500" w:lineRule="exact"/>
        <w:ind w:firstLine="638" w:firstLineChars="266"/>
        <w:rPr>
          <w:rFonts w:ascii="宋体" w:eastAsia="宋体"/>
          <w:sz w:val="24"/>
          <w:szCs w:val="24"/>
        </w:rPr>
      </w:pPr>
      <w:r>
        <w:rPr>
          <w:rFonts w:hint="eastAsia" w:ascii="宋体" w:eastAsia="宋体"/>
          <w:sz w:val="24"/>
          <w:szCs w:val="24"/>
        </w:rPr>
        <w:t>（2）商务技术分值（满分</w:t>
      </w:r>
      <w:r>
        <w:rPr>
          <w:rFonts w:hint="eastAsia" w:ascii="宋体" w:eastAsia="宋体"/>
          <w:sz w:val="24"/>
          <w:szCs w:val="24"/>
          <w:u w:val="single"/>
        </w:rPr>
        <w:t>70</w:t>
      </w:r>
      <w:r>
        <w:rPr>
          <w:rFonts w:hint="eastAsia" w:ascii="宋体" w:eastAsia="宋体"/>
          <w:sz w:val="24"/>
          <w:szCs w:val="24"/>
        </w:rPr>
        <w:t>分）</w:t>
      </w:r>
    </w:p>
    <w:tbl>
      <w:tblPr>
        <w:tblStyle w:val="43"/>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929"/>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序号</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评分内容</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819"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商务部分（满分15分）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公司实力</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（满分5分）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1.根据投标人2016年（含）至今的财务状况进行评价：三年或以上盈利得3分，两年盈利得1.5分，只有一年盈利的得0.5分。（须提供会计师事务所出具的审计报告复印件加盖公章）</w:t>
            </w:r>
          </w:p>
          <w:p>
            <w:pPr>
              <w:widowControl/>
              <w:spacing w:line="320" w:lineRule="exact"/>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投标人具有由国家认证认可监督管理部门批准设立的认证机构颁发并在有效期内的质量管理体系认证证书，得1分。（须提供相关证书复印件并加盖投标人公章）</w:t>
            </w:r>
          </w:p>
          <w:p>
            <w:pPr>
              <w:widowControl/>
              <w:spacing w:line="320" w:lineRule="exact"/>
              <w:rPr>
                <w:rFonts w:ascii="宋体" w:hAnsi="宋体" w:cs="宋体"/>
                <w:kern w:val="0"/>
                <w:sz w:val="24"/>
                <w:szCs w:val="24"/>
              </w:rPr>
            </w:pPr>
            <w:r>
              <w:rPr>
                <w:rFonts w:hint="eastAsia" w:ascii="宋体" w:hAnsi="宋体" w:cs="宋体"/>
                <w:kern w:val="0"/>
                <w:sz w:val="24"/>
                <w:szCs w:val="24"/>
              </w:rPr>
              <w:t>3.</w:t>
            </w:r>
            <w:r>
              <w:rPr>
                <w:rFonts w:hint="eastAsia"/>
              </w:rPr>
              <w:t xml:space="preserve"> </w:t>
            </w:r>
            <w:r>
              <w:rPr>
                <w:rFonts w:hint="eastAsia" w:ascii="宋体" w:hAnsi="宋体" w:cs="宋体"/>
                <w:kern w:val="0"/>
                <w:sz w:val="24"/>
                <w:szCs w:val="24"/>
              </w:rPr>
              <w:t>投标人获得市级或以上行政管理部门颁发（如投标人所在地行政管理部门不再颁发，则由所在地相关协会颁发的同等认可）的守合同重信用/重合同守信用企业证书的，得1分。（须提供有效期内的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业绩</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（满分3分）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2016年（含）以来签订的环保监测设备类业绩，每个得1分，最高得3分。（须提供合同复印件加盖公章，有效时间以合同签订时间为准）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3</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服务便利性</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（满分4分）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1.投标人承诺接到采购人通知后12小时内到达采购人指定地点的得2分；投标人承诺接到采购人通知后24小时内到达采购人指定地点的得1分；投标人承诺接到通知后48小时以上到达采购人指定地点的，不得分。</w:t>
            </w:r>
          </w:p>
          <w:p>
            <w:pPr>
              <w:widowControl/>
              <w:spacing w:line="320" w:lineRule="exact"/>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在用户需求质保期基础上，所有产品每增加半年递增0.5分，最高得分2分。</w:t>
            </w:r>
          </w:p>
          <w:p>
            <w:pPr>
              <w:widowControl/>
              <w:spacing w:line="320" w:lineRule="exact"/>
              <w:rPr>
                <w:rFonts w:ascii="宋体" w:hAnsi="宋体" w:cs="宋体"/>
                <w:kern w:val="0"/>
                <w:sz w:val="24"/>
                <w:szCs w:val="24"/>
              </w:rPr>
            </w:pPr>
            <w:r>
              <w:rPr>
                <w:rFonts w:hint="eastAsia" w:ascii="宋体" w:hAnsi="宋体" w:cs="宋体"/>
                <w:kern w:val="0"/>
                <w:sz w:val="24"/>
                <w:szCs w:val="24"/>
              </w:rPr>
              <w:t>注：须提供承诺函加盖投标人公章。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4</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投标人履约方案（满分3分）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kern w:val="0"/>
                <w:sz w:val="24"/>
                <w:szCs w:val="24"/>
              </w:rPr>
            </w:pPr>
            <w:r>
              <w:rPr>
                <w:rFonts w:hint="eastAsia" w:ascii="宋体" w:hAnsi="宋体" w:cs="宋体"/>
                <w:kern w:val="0"/>
                <w:sz w:val="24"/>
                <w:szCs w:val="24"/>
              </w:rPr>
              <w:t>根据投标人提供针对本项目提供的履约方案进行评比：</w:t>
            </w:r>
          </w:p>
          <w:p>
            <w:pPr>
              <w:widowControl/>
              <w:spacing w:line="320" w:lineRule="exact"/>
              <w:rPr>
                <w:rFonts w:ascii="宋体" w:hAnsi="宋体" w:cs="宋体"/>
                <w:kern w:val="0"/>
                <w:sz w:val="24"/>
                <w:szCs w:val="24"/>
              </w:rPr>
            </w:pPr>
            <w:r>
              <w:rPr>
                <w:rFonts w:hint="eastAsia" w:ascii="宋体" w:hAnsi="宋体" w:cs="宋体"/>
                <w:kern w:val="0"/>
                <w:sz w:val="24"/>
                <w:szCs w:val="24"/>
              </w:rPr>
              <w:t>优：履约方案非常详细，得3分；</w:t>
            </w:r>
          </w:p>
          <w:p>
            <w:pPr>
              <w:widowControl/>
              <w:spacing w:line="320" w:lineRule="exact"/>
              <w:rPr>
                <w:rFonts w:ascii="宋体" w:hAnsi="宋体" w:cs="宋体"/>
                <w:kern w:val="0"/>
                <w:sz w:val="24"/>
                <w:szCs w:val="24"/>
              </w:rPr>
            </w:pPr>
            <w:r>
              <w:rPr>
                <w:rFonts w:hint="eastAsia" w:ascii="宋体" w:hAnsi="宋体" w:cs="宋体"/>
                <w:kern w:val="0"/>
                <w:sz w:val="24"/>
                <w:szCs w:val="24"/>
              </w:rPr>
              <w:t>良：履约方案详细，得2分；</w:t>
            </w:r>
          </w:p>
          <w:p>
            <w:pPr>
              <w:widowControl/>
              <w:spacing w:line="320" w:lineRule="exact"/>
              <w:rPr>
                <w:rFonts w:ascii="宋体" w:hAnsi="宋体" w:cs="宋体"/>
                <w:kern w:val="0"/>
                <w:sz w:val="24"/>
                <w:szCs w:val="24"/>
              </w:rPr>
            </w:pPr>
            <w:r>
              <w:rPr>
                <w:rFonts w:hint="eastAsia" w:ascii="宋体" w:hAnsi="宋体" w:cs="宋体"/>
                <w:kern w:val="0"/>
                <w:sz w:val="24"/>
                <w:szCs w:val="24"/>
              </w:rPr>
              <w:t>中：履约方案较一般，得1分；</w:t>
            </w:r>
          </w:p>
          <w:p>
            <w:pPr>
              <w:widowControl/>
              <w:spacing w:line="320" w:lineRule="exact"/>
              <w:rPr>
                <w:rFonts w:ascii="宋体" w:hAnsi="宋体" w:cs="宋体"/>
                <w:kern w:val="0"/>
                <w:sz w:val="24"/>
                <w:szCs w:val="24"/>
              </w:rPr>
            </w:pPr>
            <w:r>
              <w:rPr>
                <w:rFonts w:hint="eastAsia" w:ascii="宋体" w:hAnsi="宋体" w:cs="宋体"/>
                <w:kern w:val="0"/>
                <w:sz w:val="24"/>
                <w:szCs w:val="24"/>
              </w:rPr>
              <w:t>差：履约方案较差，得0.5分；</w:t>
            </w:r>
          </w:p>
          <w:p>
            <w:pPr>
              <w:widowControl/>
              <w:spacing w:line="320" w:lineRule="exact"/>
              <w:rPr>
                <w:rFonts w:ascii="宋体" w:hAnsi="宋体" w:cs="宋体"/>
                <w:kern w:val="0"/>
                <w:sz w:val="24"/>
                <w:szCs w:val="24"/>
              </w:rPr>
            </w:pPr>
            <w:r>
              <w:rPr>
                <w:rFonts w:hint="eastAsia" w:ascii="宋体" w:hAnsi="宋体" w:cs="宋体"/>
                <w:kern w:val="0"/>
                <w:sz w:val="24"/>
                <w:szCs w:val="24"/>
              </w:rPr>
              <w:t>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819"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技术部分（满分55分）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1</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对用户需求书的响应程度</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（满分46分）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sz w:val="24"/>
                <w:szCs w:val="24"/>
              </w:rPr>
            </w:pPr>
            <w:r>
              <w:rPr>
                <w:rFonts w:hint="eastAsia" w:ascii="宋体" w:hAnsi="宋体" w:cs="宋体"/>
                <w:sz w:val="24"/>
                <w:szCs w:val="24"/>
              </w:rPr>
              <w:t>根据各投标人对用户需求技术参数响应情况进行评价，全部满足或优于得46分。其中带“▲”号技术参数每有一项负偏离或无响应的扣2分，扣完为止。</w:t>
            </w:r>
          </w:p>
          <w:p>
            <w:pPr>
              <w:widowControl/>
              <w:spacing w:line="320" w:lineRule="exact"/>
              <w:rPr>
                <w:rFonts w:ascii="宋体" w:hAnsi="宋体" w:cs="宋体"/>
                <w:sz w:val="24"/>
                <w:szCs w:val="24"/>
              </w:rPr>
            </w:pPr>
            <w:r>
              <w:rPr>
                <w:rFonts w:hint="eastAsia" w:ascii="宋体" w:hAnsi="宋体" w:cs="宋体"/>
                <w:sz w:val="24"/>
                <w:szCs w:val="24"/>
              </w:rPr>
              <w:t>（须提供以上所投主要产品或设备的原厂商官方的技术白皮书或彩页原件或原厂商针对本项目所作的技术参数说明等详细技术资料复印件并加盖投标人公章）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2</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技术先进性</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（满分3分）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sz w:val="24"/>
                <w:szCs w:val="24"/>
              </w:rPr>
            </w:pPr>
            <w:r>
              <w:rPr>
                <w:rFonts w:hint="eastAsia" w:ascii="宋体" w:hAnsi="宋体" w:cs="宋体"/>
                <w:sz w:val="24"/>
                <w:szCs w:val="24"/>
              </w:rPr>
              <w:t>根据投标方案提供的设备管理功能是否方便，运维是否成本低廉、技术功能的先进性等进行综合评价与比较：</w:t>
            </w:r>
          </w:p>
          <w:p>
            <w:pPr>
              <w:widowControl/>
              <w:spacing w:line="320" w:lineRule="exact"/>
              <w:rPr>
                <w:rFonts w:ascii="宋体" w:hAnsi="宋体" w:cs="宋体"/>
                <w:sz w:val="24"/>
                <w:szCs w:val="24"/>
              </w:rPr>
            </w:pPr>
            <w:r>
              <w:rPr>
                <w:rFonts w:hint="eastAsia" w:ascii="宋体" w:hAnsi="宋体" w:cs="宋体"/>
                <w:sz w:val="24"/>
                <w:szCs w:val="24"/>
              </w:rPr>
              <w:t>优：设备管理功能非常方便、运维成本非常低、技术非常先进，得3分；</w:t>
            </w:r>
          </w:p>
          <w:p>
            <w:pPr>
              <w:widowControl/>
              <w:spacing w:line="320" w:lineRule="exact"/>
              <w:rPr>
                <w:rFonts w:ascii="宋体" w:hAnsi="宋体" w:cs="宋体"/>
                <w:sz w:val="24"/>
                <w:szCs w:val="24"/>
              </w:rPr>
            </w:pPr>
            <w:r>
              <w:rPr>
                <w:rFonts w:hint="eastAsia" w:ascii="宋体" w:hAnsi="宋体" w:cs="宋体"/>
                <w:sz w:val="24"/>
                <w:szCs w:val="24"/>
              </w:rPr>
              <w:t>良：设备管理功能较方便、运维成本较低、技术较先进，得2分；</w:t>
            </w:r>
          </w:p>
          <w:p>
            <w:pPr>
              <w:widowControl/>
              <w:spacing w:line="320" w:lineRule="exact"/>
              <w:rPr>
                <w:rFonts w:ascii="宋体" w:hAnsi="宋体" w:cs="宋体"/>
                <w:sz w:val="24"/>
                <w:szCs w:val="24"/>
              </w:rPr>
            </w:pPr>
            <w:r>
              <w:rPr>
                <w:rFonts w:hint="eastAsia" w:ascii="宋体" w:hAnsi="宋体" w:cs="宋体"/>
                <w:sz w:val="24"/>
                <w:szCs w:val="24"/>
              </w:rPr>
              <w:t>中：设备管理功能一般方便、运维成本一般、技术一般，得1分；</w:t>
            </w:r>
          </w:p>
          <w:p>
            <w:pPr>
              <w:widowControl/>
              <w:spacing w:line="320" w:lineRule="exact"/>
              <w:rPr>
                <w:rFonts w:ascii="宋体" w:hAnsi="宋体" w:cs="宋体"/>
                <w:sz w:val="24"/>
                <w:szCs w:val="24"/>
              </w:rPr>
            </w:pPr>
            <w:r>
              <w:rPr>
                <w:rFonts w:hint="eastAsia" w:ascii="宋体" w:hAnsi="宋体" w:cs="宋体"/>
                <w:sz w:val="24"/>
                <w:szCs w:val="24"/>
              </w:rPr>
              <w:t>差：设备管理功能不方便、运维成本高、技术不先进，得0.5分。</w:t>
            </w:r>
          </w:p>
          <w:p>
            <w:pPr>
              <w:widowControl/>
              <w:spacing w:line="320" w:lineRule="exact"/>
              <w:rPr>
                <w:rFonts w:ascii="宋体" w:hAnsi="宋体" w:cs="宋体"/>
                <w:sz w:val="24"/>
                <w:szCs w:val="24"/>
              </w:rPr>
            </w:pPr>
            <w:r>
              <w:rPr>
                <w:rFonts w:hint="eastAsia" w:ascii="宋体" w:hAnsi="宋体" w:cs="宋体"/>
                <w:sz w:val="24"/>
                <w:szCs w:val="24"/>
              </w:rPr>
              <w:t>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3</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产品成熟可靠性</w:t>
            </w:r>
          </w:p>
          <w:p>
            <w:pPr>
              <w:widowControl/>
              <w:spacing w:line="320" w:lineRule="exact"/>
              <w:jc w:val="center"/>
              <w:rPr>
                <w:rFonts w:ascii="宋体" w:hAnsi="宋体" w:cs="宋体"/>
                <w:kern w:val="0"/>
                <w:sz w:val="24"/>
                <w:szCs w:val="24"/>
              </w:rPr>
            </w:pPr>
            <w:r>
              <w:rPr>
                <w:rFonts w:hint="eastAsia" w:ascii="宋体" w:hAnsi="宋体" w:cs="宋体"/>
                <w:kern w:val="0"/>
                <w:sz w:val="24"/>
                <w:szCs w:val="24"/>
              </w:rPr>
              <w:t>（满分2分）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sz w:val="24"/>
                <w:szCs w:val="24"/>
              </w:rPr>
            </w:pPr>
            <w:r>
              <w:rPr>
                <w:rFonts w:hint="eastAsia" w:ascii="宋体" w:hAnsi="宋体" w:cs="宋体"/>
                <w:sz w:val="24"/>
                <w:szCs w:val="24"/>
              </w:rPr>
              <w:t>对投标设备的配置（设备规格详细、产地明确）、技术性能证书完备情况等进行评审：</w:t>
            </w:r>
          </w:p>
          <w:p>
            <w:pPr>
              <w:widowControl/>
              <w:spacing w:line="320" w:lineRule="exact"/>
              <w:rPr>
                <w:rFonts w:ascii="宋体" w:hAnsi="宋体" w:cs="宋体"/>
                <w:sz w:val="24"/>
                <w:szCs w:val="24"/>
              </w:rPr>
            </w:pPr>
            <w:r>
              <w:rPr>
                <w:rFonts w:hint="eastAsia" w:ascii="宋体" w:hAnsi="宋体" w:cs="宋体"/>
                <w:sz w:val="24"/>
                <w:szCs w:val="24"/>
              </w:rPr>
              <w:t>相关设备规格、产地、检测证书完备且最优得2分；</w:t>
            </w:r>
          </w:p>
          <w:p>
            <w:pPr>
              <w:widowControl/>
              <w:spacing w:line="320" w:lineRule="exact"/>
              <w:rPr>
                <w:rFonts w:ascii="宋体" w:hAnsi="宋体" w:cs="宋体"/>
                <w:sz w:val="24"/>
                <w:szCs w:val="24"/>
              </w:rPr>
            </w:pPr>
            <w:r>
              <w:rPr>
                <w:rFonts w:hint="eastAsia" w:ascii="宋体" w:hAnsi="宋体" w:cs="宋体"/>
                <w:sz w:val="24"/>
                <w:szCs w:val="24"/>
              </w:rPr>
              <w:t>相关设备规格、产地、检测证书较完备且较优得1分；</w:t>
            </w:r>
          </w:p>
          <w:p>
            <w:pPr>
              <w:widowControl/>
              <w:spacing w:line="320" w:lineRule="exact"/>
              <w:rPr>
                <w:rFonts w:ascii="宋体" w:hAnsi="宋体" w:cs="宋体"/>
                <w:sz w:val="24"/>
                <w:szCs w:val="24"/>
              </w:rPr>
            </w:pPr>
            <w:r>
              <w:rPr>
                <w:rFonts w:hint="eastAsia" w:ascii="宋体" w:hAnsi="宋体" w:cs="宋体"/>
                <w:sz w:val="24"/>
                <w:szCs w:val="24"/>
              </w:rPr>
              <w:t>相关设备规格、产地、检测证书完整性一般得0.5分；</w:t>
            </w:r>
          </w:p>
          <w:p>
            <w:pPr>
              <w:widowControl/>
              <w:spacing w:line="320" w:lineRule="exact"/>
              <w:rPr>
                <w:rFonts w:ascii="宋体" w:hAnsi="宋体" w:cs="宋体"/>
                <w:sz w:val="24"/>
                <w:szCs w:val="24"/>
              </w:rPr>
            </w:pPr>
            <w:r>
              <w:rPr>
                <w:rFonts w:hint="eastAsia" w:ascii="宋体" w:hAnsi="宋体" w:cs="宋体"/>
                <w:sz w:val="24"/>
                <w:szCs w:val="24"/>
              </w:rPr>
              <w:t>无相关设备规格、产地、检测证书得0分。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sz w:val="24"/>
                <w:szCs w:val="24"/>
              </w:rPr>
            </w:pPr>
            <w:r>
              <w:rPr>
                <w:rFonts w:hint="eastAsia" w:ascii="宋体" w:hAnsi="宋体" w:cs="宋体"/>
                <w:sz w:val="24"/>
                <w:szCs w:val="24"/>
              </w:rPr>
              <w:t>4</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培训方案</w:t>
            </w:r>
          </w:p>
          <w:p>
            <w:pPr>
              <w:widowControl/>
              <w:spacing w:line="320" w:lineRule="exact"/>
              <w:jc w:val="center"/>
              <w:rPr>
                <w:rFonts w:ascii="宋体" w:hAnsi="宋体" w:cs="宋体"/>
                <w:sz w:val="24"/>
                <w:szCs w:val="24"/>
              </w:rPr>
            </w:pPr>
            <w:r>
              <w:rPr>
                <w:rFonts w:hint="eastAsia" w:ascii="宋体" w:hAnsi="宋体" w:cs="宋体"/>
                <w:kern w:val="0"/>
                <w:sz w:val="24"/>
                <w:szCs w:val="24"/>
              </w:rPr>
              <w:t>（满分2分）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sz w:val="24"/>
                <w:szCs w:val="24"/>
              </w:rPr>
            </w:pPr>
            <w:r>
              <w:rPr>
                <w:rFonts w:hint="eastAsia" w:ascii="宋体" w:hAnsi="宋体" w:cs="宋体"/>
                <w:sz w:val="24"/>
                <w:szCs w:val="24"/>
              </w:rPr>
              <w:t>根据投标人针对本项目提供的培训方案进行评比：</w:t>
            </w:r>
          </w:p>
          <w:p>
            <w:pPr>
              <w:widowControl/>
              <w:spacing w:line="320" w:lineRule="exact"/>
              <w:rPr>
                <w:rFonts w:ascii="宋体" w:hAnsi="宋体" w:cs="宋体"/>
                <w:sz w:val="24"/>
                <w:szCs w:val="24"/>
              </w:rPr>
            </w:pPr>
            <w:r>
              <w:rPr>
                <w:rFonts w:hint="eastAsia" w:ascii="宋体" w:hAnsi="宋体" w:cs="宋体"/>
                <w:sz w:val="24"/>
                <w:szCs w:val="24"/>
              </w:rPr>
              <w:t>优：培训方案非常详细，得2分；</w:t>
            </w:r>
          </w:p>
          <w:p>
            <w:pPr>
              <w:widowControl/>
              <w:spacing w:line="320" w:lineRule="exact"/>
              <w:rPr>
                <w:rFonts w:ascii="宋体" w:hAnsi="宋体" w:cs="宋体"/>
                <w:sz w:val="24"/>
                <w:szCs w:val="24"/>
              </w:rPr>
            </w:pPr>
            <w:r>
              <w:rPr>
                <w:rFonts w:hint="eastAsia" w:ascii="宋体" w:hAnsi="宋体" w:cs="宋体"/>
                <w:sz w:val="24"/>
                <w:szCs w:val="24"/>
              </w:rPr>
              <w:t>良：培训方案详细，得1.5分；</w:t>
            </w:r>
          </w:p>
          <w:p>
            <w:pPr>
              <w:widowControl/>
              <w:spacing w:line="320" w:lineRule="exact"/>
              <w:rPr>
                <w:rFonts w:ascii="宋体" w:hAnsi="宋体" w:cs="宋体"/>
                <w:sz w:val="24"/>
                <w:szCs w:val="24"/>
              </w:rPr>
            </w:pPr>
            <w:r>
              <w:rPr>
                <w:rFonts w:hint="eastAsia" w:ascii="宋体" w:hAnsi="宋体" w:cs="宋体"/>
                <w:sz w:val="24"/>
                <w:szCs w:val="24"/>
              </w:rPr>
              <w:t>中：培训方案较一般，得1分；</w:t>
            </w:r>
          </w:p>
          <w:p>
            <w:pPr>
              <w:widowControl/>
              <w:spacing w:line="320" w:lineRule="exact"/>
              <w:rPr>
                <w:rFonts w:ascii="宋体" w:hAnsi="宋体" w:cs="宋体"/>
                <w:sz w:val="24"/>
                <w:szCs w:val="24"/>
              </w:rPr>
            </w:pPr>
            <w:r>
              <w:rPr>
                <w:rFonts w:hint="eastAsia" w:ascii="宋体" w:hAnsi="宋体" w:cs="宋体"/>
                <w:sz w:val="24"/>
                <w:szCs w:val="24"/>
              </w:rPr>
              <w:t>差：培训方案较差，得0.5分；</w:t>
            </w:r>
          </w:p>
          <w:p>
            <w:pPr>
              <w:widowControl/>
              <w:spacing w:line="320" w:lineRule="exact"/>
              <w:rPr>
                <w:rFonts w:ascii="宋体" w:hAnsi="宋体" w:cs="宋体"/>
                <w:sz w:val="24"/>
                <w:szCs w:val="24"/>
              </w:rPr>
            </w:pPr>
            <w:r>
              <w:rPr>
                <w:rFonts w:hint="eastAsia" w:ascii="宋体" w:hAnsi="宋体" w:cs="宋体"/>
                <w:sz w:val="24"/>
                <w:szCs w:val="24"/>
              </w:rPr>
              <w:t>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sz w:val="24"/>
                <w:szCs w:val="24"/>
              </w:rPr>
            </w:pPr>
            <w:r>
              <w:rPr>
                <w:rFonts w:hint="eastAsia" w:ascii="宋体" w:hAnsi="宋体" w:cs="宋体"/>
                <w:sz w:val="24"/>
                <w:szCs w:val="24"/>
              </w:rPr>
              <w:t>5</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宋体" w:hAnsi="宋体" w:cs="宋体"/>
                <w:kern w:val="0"/>
                <w:sz w:val="24"/>
                <w:szCs w:val="24"/>
              </w:rPr>
              <w:t>质量保证措施（满分2分）</w:t>
            </w:r>
          </w:p>
        </w:tc>
        <w:tc>
          <w:tcPr>
            <w:tcW w:w="59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sz w:val="24"/>
                <w:szCs w:val="24"/>
              </w:rPr>
            </w:pPr>
            <w:r>
              <w:rPr>
                <w:rFonts w:hint="eastAsia" w:ascii="宋体" w:hAnsi="宋体" w:cs="宋体"/>
                <w:sz w:val="24"/>
                <w:szCs w:val="24"/>
              </w:rPr>
              <w:t>根据各投标人能否承诺保证有足够的人力、物力等资源保证按时按质按量完成本项目业务，提供优质服务，并制订质量保证措施进行综合评价与比较：</w:t>
            </w:r>
          </w:p>
          <w:p>
            <w:pPr>
              <w:widowControl/>
              <w:spacing w:line="320" w:lineRule="exact"/>
              <w:rPr>
                <w:rFonts w:ascii="宋体" w:hAnsi="宋体" w:cs="宋体"/>
                <w:sz w:val="24"/>
                <w:szCs w:val="24"/>
              </w:rPr>
            </w:pPr>
            <w:r>
              <w:rPr>
                <w:rFonts w:hint="eastAsia" w:ascii="宋体" w:hAnsi="宋体" w:cs="宋体"/>
                <w:sz w:val="24"/>
                <w:szCs w:val="24"/>
              </w:rPr>
              <w:t>优：拟投入本项目人力，物力非常充足，质量保证措施非常完善，得2分；</w:t>
            </w:r>
          </w:p>
          <w:p>
            <w:pPr>
              <w:widowControl/>
              <w:spacing w:line="320" w:lineRule="exact"/>
              <w:rPr>
                <w:rFonts w:ascii="宋体" w:hAnsi="宋体" w:cs="宋体"/>
                <w:sz w:val="24"/>
                <w:szCs w:val="24"/>
              </w:rPr>
            </w:pPr>
            <w:r>
              <w:rPr>
                <w:rFonts w:hint="eastAsia" w:ascii="宋体" w:hAnsi="宋体" w:cs="宋体"/>
                <w:sz w:val="24"/>
                <w:szCs w:val="24"/>
              </w:rPr>
              <w:t>良：拟投入本项目人力，物力充足，质量保证措施完善，得1分；</w:t>
            </w:r>
          </w:p>
          <w:p>
            <w:pPr>
              <w:widowControl/>
              <w:spacing w:line="320" w:lineRule="exact"/>
              <w:rPr>
                <w:rFonts w:ascii="宋体" w:hAnsi="宋体" w:cs="宋体"/>
                <w:sz w:val="24"/>
                <w:szCs w:val="24"/>
              </w:rPr>
            </w:pPr>
            <w:r>
              <w:rPr>
                <w:rFonts w:hint="eastAsia" w:ascii="宋体" w:hAnsi="宋体" w:cs="宋体"/>
                <w:sz w:val="24"/>
                <w:szCs w:val="24"/>
              </w:rPr>
              <w:t>中：拟投入本项目人力，物力较充足，质量保证措施较完善，得0.5分；</w:t>
            </w:r>
          </w:p>
          <w:p>
            <w:pPr>
              <w:widowControl/>
              <w:spacing w:line="320" w:lineRule="exact"/>
              <w:rPr>
                <w:rFonts w:ascii="宋体" w:hAnsi="宋体" w:cs="宋体"/>
                <w:sz w:val="24"/>
                <w:szCs w:val="24"/>
              </w:rPr>
            </w:pPr>
            <w:r>
              <w:rPr>
                <w:rFonts w:hint="eastAsia" w:ascii="宋体" w:hAnsi="宋体" w:cs="宋体"/>
                <w:sz w:val="24"/>
                <w:szCs w:val="24"/>
              </w:rPr>
              <w:t>差：拟投入本项目人力，物力不充足，质量保证措施不完善，得0分。</w:t>
            </w:r>
          </w:p>
        </w:tc>
      </w:tr>
    </w:tbl>
    <w:p>
      <w:pPr>
        <w:pStyle w:val="87"/>
        <w:spacing w:line="500" w:lineRule="exact"/>
        <w:ind w:firstLine="480" w:firstLineChars="200"/>
        <w:rPr>
          <w:rFonts w:ascii="宋体" w:eastAsia="宋体"/>
          <w:sz w:val="24"/>
          <w:szCs w:val="24"/>
        </w:rPr>
      </w:pPr>
      <w:r>
        <w:rPr>
          <w:rFonts w:hint="eastAsia" w:ascii="宋体" w:eastAsia="宋体"/>
          <w:sz w:val="24"/>
          <w:szCs w:val="24"/>
        </w:rPr>
        <w:t xml:space="preserve"> </w:t>
      </w:r>
    </w:p>
    <w:p>
      <w:pPr>
        <w:pStyle w:val="123"/>
        <w:spacing w:line="500" w:lineRule="exact"/>
        <w:ind w:firstLine="461"/>
        <w:rPr>
          <w:rFonts w:ascii="宋体" w:eastAsia="宋体"/>
          <w:color w:val="auto"/>
          <w:sz w:val="24"/>
          <w:szCs w:val="24"/>
        </w:rPr>
      </w:pPr>
      <w:r>
        <w:rPr>
          <w:rFonts w:hint="eastAsia" w:ascii="宋体" w:eastAsia="宋体"/>
          <w:color w:val="auto"/>
          <w:sz w:val="24"/>
          <w:szCs w:val="24"/>
        </w:rPr>
        <w:t>25.4推荐中标候选人</w:t>
      </w:r>
    </w:p>
    <w:p>
      <w:pPr>
        <w:widowControl/>
        <w:spacing w:line="500" w:lineRule="exact"/>
        <w:ind w:firstLine="480" w:firstLineChars="200"/>
        <w:jc w:val="left"/>
        <w:rPr>
          <w:rFonts w:ascii="宋体" w:hAnsi="宋体"/>
          <w:sz w:val="24"/>
          <w:szCs w:val="24"/>
        </w:rPr>
      </w:pPr>
      <w:r>
        <w:rPr>
          <w:rFonts w:hint="eastAsia" w:ascii="宋体" w:hAnsi="宋体"/>
          <w:sz w:val="24"/>
          <w:szCs w:val="24"/>
        </w:rPr>
        <w:t>评标委员会按评审后的综合得分由高到低顺序排列，并向采购人推荐3名中标候选人，并编写评审报告。综合得分相同的，按投标报价由低到高顺序排列。综合得分且投标报价相同的，按技术部分得分由高到低顺序排列。对评审报告有异议的，应当在评审报告上签署不同意见，并说明理由，否则视为同意评审报告。</w:t>
      </w:r>
    </w:p>
    <w:p>
      <w:pPr>
        <w:spacing w:line="500" w:lineRule="exact"/>
        <w:ind w:firstLine="655" w:firstLineChars="273"/>
        <w:jc w:val="center"/>
        <w:rPr>
          <w:rFonts w:ascii="宋体" w:hAnsi="宋体"/>
          <w:sz w:val="24"/>
          <w:szCs w:val="24"/>
        </w:rPr>
      </w:pPr>
      <w:r>
        <w:rPr>
          <w:rFonts w:ascii="宋体"/>
          <w:sz w:val="24"/>
          <w:szCs w:val="24"/>
        </w:rPr>
        <w:br w:type="page"/>
      </w:r>
      <w:bookmarkStart w:id="49" w:name="_Toc435514848"/>
      <w:r>
        <w:rPr>
          <w:rFonts w:hint="eastAsia" w:ascii="黑体" w:hAnsi="宋体" w:eastAsia="黑体" w:cs="宋体"/>
          <w:sz w:val="28"/>
          <w:szCs w:val="28"/>
        </w:rPr>
        <w:t>价格扣除</w:t>
      </w:r>
      <w:bookmarkEnd w:id="49"/>
    </w:p>
    <w:p>
      <w:pPr>
        <w:numPr>
          <w:ilvl w:val="0"/>
          <w:numId w:val="1"/>
        </w:numPr>
        <w:spacing w:line="360" w:lineRule="auto"/>
        <w:rPr>
          <w:rFonts w:ascii="宋体" w:hAnsi="宋体"/>
          <w:sz w:val="24"/>
        </w:rPr>
      </w:pPr>
      <w:r>
        <w:rPr>
          <w:rFonts w:hint="eastAsia" w:ascii="宋体" w:hAnsi="宋体"/>
          <w:sz w:val="24"/>
        </w:rPr>
        <w:t>小型和微型企业产品价格扣除</w:t>
      </w:r>
    </w:p>
    <w:p>
      <w:pPr>
        <w:numPr>
          <w:ilvl w:val="1"/>
          <w:numId w:val="1"/>
        </w:numPr>
        <w:spacing w:line="360" w:lineRule="auto"/>
        <w:rPr>
          <w:rFonts w:ascii="宋体" w:hAnsi="宋体"/>
          <w:bCs/>
          <w:sz w:val="24"/>
        </w:rPr>
      </w:pPr>
      <w:r>
        <w:rPr>
          <w:rFonts w:hint="eastAsia" w:ascii="宋体" w:hAnsi="宋体"/>
          <w:bCs/>
          <w:sz w:val="24"/>
        </w:rPr>
        <w:t>根据财政部、工业和信息化部制定了《政府采购促进中小企业发展暂行办法》的规定，对小型或微型企业产品的价格给予一定比例扣除，用扣除后的价格参与评审（</w:t>
      </w:r>
      <w:r>
        <w:rPr>
          <w:rFonts w:hint="eastAsia" w:ascii="宋体" w:hAnsi="宋体"/>
          <w:bCs/>
          <w:sz w:val="24"/>
          <w:u w:val="single"/>
        </w:rPr>
        <w:t>注：参加政府采购活动的小型或微型企业应按照投标文件格式提供《小型或微型企业声明函》，并且必须在《报价明细表》中单独列明属于小型或微型企业产品（提供的货物、承担的工程或者服务）的报价，若供应商只提供《小型或微型企业声明函》但未在《报价明细表》中列明小型或微型企业产品的，在计算价格分时不予以相应的扣除。</w:t>
      </w:r>
    </w:p>
    <w:p>
      <w:pPr>
        <w:numPr>
          <w:ilvl w:val="1"/>
          <w:numId w:val="1"/>
        </w:numPr>
        <w:spacing w:line="360" w:lineRule="auto"/>
        <w:rPr>
          <w:rFonts w:ascii="宋体" w:hAnsi="宋体"/>
          <w:bCs/>
          <w:sz w:val="24"/>
        </w:rPr>
      </w:pPr>
      <w:r>
        <w:rPr>
          <w:rFonts w:hint="eastAsia" w:ascii="宋体" w:hAnsi="宋体"/>
          <w:bCs/>
          <w:sz w:val="24"/>
        </w:rPr>
        <w:t>价格扣除比例</w:t>
      </w:r>
    </w:p>
    <w:p>
      <w:pPr>
        <w:numPr>
          <w:ilvl w:val="2"/>
          <w:numId w:val="1"/>
        </w:numPr>
        <w:spacing w:line="360" w:lineRule="auto"/>
        <w:rPr>
          <w:rFonts w:ascii="宋体" w:hAnsi="宋体"/>
          <w:bCs/>
          <w:sz w:val="24"/>
        </w:rPr>
      </w:pPr>
      <w:r>
        <w:rPr>
          <w:rFonts w:hint="eastAsia" w:ascii="宋体" w:hAnsi="宋体"/>
          <w:bCs/>
          <w:sz w:val="24"/>
        </w:rPr>
        <w:t>供应商为小型、微型或监狱企业且投标产品含小型、微型或监狱企业产品时，其小型、微型或监狱企业产品的价格给予6%的扣除，即评标价=投标报价-小型、微型或监狱企业产品投标报价×6%。</w:t>
      </w:r>
    </w:p>
    <w:p>
      <w:pPr>
        <w:numPr>
          <w:ilvl w:val="2"/>
          <w:numId w:val="1"/>
        </w:numPr>
        <w:spacing w:line="360" w:lineRule="auto"/>
        <w:rPr>
          <w:rFonts w:ascii="宋体" w:hAnsi="宋体"/>
          <w:bCs/>
          <w:sz w:val="24"/>
        </w:rPr>
      </w:pPr>
      <w:r>
        <w:rPr>
          <w:rFonts w:hint="eastAsia" w:ascii="宋体" w:hAnsi="宋体"/>
          <w:bCs/>
          <w:sz w:val="24"/>
        </w:rPr>
        <w:t>小型、微型或监狱企业与大中型企业组成联合体共同参加非专门面向中小企业的政府采购活动时，小型、微型或监狱企业的协议合同金额须占到联合体协议合同总额30%或以上，且须在联合体协议和小型或微型企业声明函中书面约定，其价格将给予2%的扣除，即：评标价=投标报价-小型、微型或监狱企业产品投标报价×2%。联合体各方均为小型、微型或监狱企业的按上述1.2.1规定给予价格扣除。</w:t>
      </w:r>
    </w:p>
    <w:p>
      <w:pPr>
        <w:numPr>
          <w:ilvl w:val="1"/>
          <w:numId w:val="1"/>
        </w:numPr>
        <w:spacing w:line="360" w:lineRule="auto"/>
        <w:rPr>
          <w:rFonts w:ascii="宋体" w:hAnsi="宋体"/>
          <w:sz w:val="24"/>
        </w:rPr>
      </w:pPr>
      <w:r>
        <w:rPr>
          <w:rFonts w:hint="eastAsia" w:ascii="宋体" w:hAnsi="宋体"/>
          <w:sz w:val="24"/>
        </w:rPr>
        <w:t>监狱企业产品价格扣除</w:t>
      </w:r>
    </w:p>
    <w:p>
      <w:pPr>
        <w:numPr>
          <w:ilvl w:val="2"/>
          <w:numId w:val="1"/>
        </w:numPr>
        <w:spacing w:line="360" w:lineRule="auto"/>
        <w:rPr>
          <w:rFonts w:ascii="宋体" w:hAnsi="宋体"/>
          <w:sz w:val="24"/>
        </w:rPr>
      </w:pPr>
      <w:r>
        <w:rPr>
          <w:rFonts w:hint="eastAsia" w:ascii="宋体" w:hAnsi="宋体"/>
          <w:sz w:val="24"/>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pPr>
        <w:numPr>
          <w:ilvl w:val="1"/>
          <w:numId w:val="1"/>
        </w:numPr>
        <w:spacing w:line="360" w:lineRule="auto"/>
        <w:rPr>
          <w:rFonts w:ascii="宋体" w:hAnsi="宋体"/>
          <w:sz w:val="24"/>
        </w:rPr>
      </w:pPr>
      <w:r>
        <w:rPr>
          <w:rFonts w:hint="eastAsia" w:ascii="宋体" w:hAnsi="宋体"/>
          <w:sz w:val="24"/>
        </w:rPr>
        <w:t>残疾人福利性单位产品价格扣除</w:t>
      </w:r>
    </w:p>
    <w:p>
      <w:pPr>
        <w:numPr>
          <w:ilvl w:val="2"/>
          <w:numId w:val="1"/>
        </w:numPr>
        <w:spacing w:line="360" w:lineRule="auto"/>
        <w:rPr>
          <w:rFonts w:ascii="宋体" w:hAnsi="宋体"/>
          <w:sz w:val="24"/>
        </w:rPr>
      </w:pPr>
      <w:r>
        <w:rPr>
          <w:rFonts w:hint="eastAsia" w:ascii="宋体" w:hAnsi="宋体"/>
          <w:sz w:val="24"/>
        </w:rPr>
        <w:t>根据《关于促进残疾人就业政府采购政策的通知》（财库[2017]141号），满足条件的残疾人福利性单位享受政府采购支持政策，参加政府采购活动时，视同为小型、微型企业，可享受小型、微型企业相等的政府扶持政策及待遇（注：参加政府采购活动的残疾人福利性单位应按照招标文件中投标格式提供《残疾人福利性单位声明函》）。</w:t>
      </w:r>
    </w:p>
    <w:p>
      <w:pPr>
        <w:numPr>
          <w:ilvl w:val="1"/>
          <w:numId w:val="1"/>
        </w:numPr>
        <w:spacing w:line="360" w:lineRule="auto"/>
        <w:rPr>
          <w:rFonts w:ascii="宋体" w:hAnsi="宋体"/>
          <w:sz w:val="24"/>
        </w:rPr>
      </w:pPr>
      <w:r>
        <w:rPr>
          <w:rFonts w:hint="eastAsia" w:ascii="宋体" w:hAnsi="宋体"/>
          <w:sz w:val="24"/>
        </w:rPr>
        <w:t>投标人同时为小型、微型企业、监狱企业、残疾人福利性单位任意两种或以上情况的，评审中只享受一次价格扣除，不重复进行价格扣除。</w:t>
      </w:r>
    </w:p>
    <w:p>
      <w:pPr>
        <w:numPr>
          <w:ilvl w:val="0"/>
          <w:numId w:val="1"/>
        </w:numPr>
        <w:spacing w:line="360" w:lineRule="auto"/>
        <w:rPr>
          <w:rFonts w:ascii="宋体" w:hAnsi="宋体"/>
          <w:sz w:val="24"/>
        </w:rPr>
      </w:pPr>
      <w:r>
        <w:rPr>
          <w:rFonts w:hint="eastAsia" w:ascii="宋体" w:hAnsi="宋体"/>
          <w:sz w:val="24"/>
        </w:rPr>
        <w:t>节能产品、环境标志产品价格扣除</w:t>
      </w:r>
    </w:p>
    <w:p>
      <w:pPr>
        <w:numPr>
          <w:ilvl w:val="1"/>
          <w:numId w:val="1"/>
        </w:numPr>
        <w:spacing w:line="360" w:lineRule="auto"/>
        <w:rPr>
          <w:rFonts w:ascii="宋体" w:hAnsi="宋体"/>
          <w:sz w:val="24"/>
        </w:rPr>
      </w:pPr>
      <w:r>
        <w:rPr>
          <w:rFonts w:hint="eastAsia" w:ascii="宋体" w:hAnsi="宋体"/>
          <w:sz w:val="24"/>
        </w:rPr>
        <w:t>根据《财政部 发展改革委 生态环境部 市场监管总局 关于调整优化节能产品、环境标志产品政府采购执行机制的通知》（财库〔2019〕9号），对政府采购节能产品、环境标志产品实施品目清单管理。对投标产品属于品目清单范围的，依据国家确定的认证机构出具的、处于有效期之内的节能产品、环境标志产品认证证书，对获得证书的产品实施政府优先采购或强制采购。</w:t>
      </w:r>
    </w:p>
    <w:p>
      <w:pPr>
        <w:numPr>
          <w:ilvl w:val="1"/>
          <w:numId w:val="1"/>
        </w:numPr>
        <w:spacing w:line="360" w:lineRule="auto"/>
        <w:rPr>
          <w:rFonts w:ascii="宋体" w:hAnsi="宋体"/>
          <w:sz w:val="24"/>
          <w:szCs w:val="21"/>
        </w:rPr>
      </w:pPr>
      <w:r>
        <w:rPr>
          <w:rFonts w:hint="eastAsia" w:ascii="宋体" w:hAnsi="宋体"/>
          <w:sz w:val="24"/>
          <w:szCs w:val="21"/>
        </w:rPr>
        <w:t>投标产品</w:t>
      </w:r>
      <w:r>
        <w:rPr>
          <w:rFonts w:ascii="宋体" w:hAnsi="宋体"/>
          <w:sz w:val="24"/>
          <w:szCs w:val="21"/>
        </w:rPr>
        <w:t>(</w:t>
      </w:r>
      <w:r>
        <w:rPr>
          <w:rFonts w:hint="eastAsia" w:ascii="宋体" w:hAnsi="宋体"/>
          <w:sz w:val="24"/>
          <w:szCs w:val="21"/>
        </w:rPr>
        <w:t>针对非政府强制采购</w:t>
      </w:r>
      <w:r>
        <w:rPr>
          <w:rFonts w:ascii="宋体" w:hAnsi="宋体"/>
          <w:sz w:val="24"/>
          <w:szCs w:val="21"/>
        </w:rPr>
        <w:t>)</w:t>
      </w:r>
      <w:r>
        <w:rPr>
          <w:rFonts w:hint="eastAsia" w:ascii="宋体" w:hAnsi="宋体"/>
          <w:sz w:val="24"/>
          <w:szCs w:val="21"/>
        </w:rPr>
        <w:t>纳入财政部</w:t>
      </w:r>
      <w:r>
        <w:rPr>
          <w:rFonts w:ascii="宋体" w:hAnsi="宋体"/>
          <w:sz w:val="24"/>
          <w:szCs w:val="21"/>
        </w:rPr>
        <w:t xml:space="preserve"> </w:t>
      </w:r>
      <w:r>
        <w:rPr>
          <w:rFonts w:hint="eastAsia" w:ascii="宋体" w:hAnsi="宋体"/>
          <w:sz w:val="24"/>
          <w:szCs w:val="21"/>
        </w:rPr>
        <w:t>发展改革委颁布最新一期《节能产品政府采购品目清单》的，节能产品投标报价占总投标报价比例在30</w:t>
      </w:r>
      <w:r>
        <w:rPr>
          <w:rFonts w:ascii="宋体" w:hAnsi="宋体"/>
          <w:sz w:val="24"/>
          <w:szCs w:val="21"/>
        </w:rPr>
        <w:t>%</w:t>
      </w:r>
      <w:r>
        <w:rPr>
          <w:rFonts w:hint="eastAsia" w:ascii="宋体" w:hAnsi="宋体"/>
          <w:sz w:val="24"/>
          <w:szCs w:val="21"/>
        </w:rPr>
        <w:t>或以上的，</w:t>
      </w:r>
      <w:r>
        <w:rPr>
          <w:rFonts w:hint="eastAsia" w:ascii="宋体" w:hAnsi="宋体"/>
          <w:bCs/>
          <w:sz w:val="24"/>
        </w:rPr>
        <w:t>对</w:t>
      </w:r>
      <w:r>
        <w:rPr>
          <w:rFonts w:hint="eastAsia" w:ascii="宋体" w:hAnsi="宋体"/>
          <w:sz w:val="24"/>
          <w:szCs w:val="21"/>
        </w:rPr>
        <w:t>节能</w:t>
      </w:r>
      <w:r>
        <w:rPr>
          <w:rFonts w:hint="eastAsia" w:ascii="宋体" w:hAnsi="宋体"/>
          <w:bCs/>
          <w:sz w:val="24"/>
        </w:rPr>
        <w:t>产品的价格给予</w:t>
      </w:r>
      <w:r>
        <w:rPr>
          <w:rFonts w:ascii="宋体" w:hAnsi="宋体"/>
          <w:bCs/>
          <w:sz w:val="24"/>
        </w:rPr>
        <w:t>2%</w:t>
      </w:r>
      <w:r>
        <w:rPr>
          <w:rFonts w:hint="eastAsia" w:ascii="宋体" w:hAnsi="宋体"/>
          <w:bCs/>
          <w:sz w:val="24"/>
        </w:rPr>
        <w:t>的扣除，用扣除后的价格参与评审。（同时</w:t>
      </w:r>
      <w:r>
        <w:rPr>
          <w:rFonts w:hint="eastAsia" w:ascii="宋体" w:hAnsi="宋体"/>
          <w:sz w:val="24"/>
          <w:szCs w:val="21"/>
        </w:rPr>
        <w:t>提供投标产品所在清单页并对相关品目作圈记、处于有效期之内的节能产品认证证书复印件加盖投标人公章）。</w:t>
      </w:r>
    </w:p>
    <w:p>
      <w:pPr>
        <w:numPr>
          <w:ilvl w:val="1"/>
          <w:numId w:val="1"/>
        </w:numPr>
        <w:spacing w:line="360" w:lineRule="auto"/>
        <w:rPr>
          <w:rFonts w:ascii="宋体" w:hAnsi="宋体"/>
          <w:sz w:val="24"/>
          <w:szCs w:val="21"/>
        </w:rPr>
      </w:pPr>
      <w:r>
        <w:rPr>
          <w:rFonts w:ascii="宋体" w:hAnsi="宋体"/>
          <w:sz w:val="24"/>
          <w:szCs w:val="21"/>
        </w:rPr>
        <w:t>投</w:t>
      </w:r>
      <w:r>
        <w:rPr>
          <w:rFonts w:hint="eastAsia" w:ascii="宋体" w:hAnsi="宋体"/>
          <w:sz w:val="24"/>
          <w:szCs w:val="21"/>
        </w:rPr>
        <w:t>标产品纳入财政部 生态环境部颁布最新一期《环境标志产品政府采购品目清单》的，环境标志产品投标报价占总投标报价比例在30%或以上的，对环境标志产品的价格给予2%的扣除,用扣除后的价格参与评审。（</w:t>
      </w:r>
      <w:r>
        <w:rPr>
          <w:rFonts w:hint="eastAsia" w:ascii="宋体" w:hAnsi="宋体"/>
          <w:bCs/>
          <w:sz w:val="24"/>
        </w:rPr>
        <w:t>同时</w:t>
      </w:r>
      <w:r>
        <w:rPr>
          <w:rFonts w:hint="eastAsia" w:ascii="宋体" w:hAnsi="宋体"/>
          <w:sz w:val="24"/>
          <w:szCs w:val="21"/>
        </w:rPr>
        <w:t>提供投标产品所在清单页并对相关品目作圈记、处于有效期之内的环境标志产品认证证书复印件加盖投标人公章）。</w:t>
      </w:r>
    </w:p>
    <w:p>
      <w:pPr>
        <w:pStyle w:val="4"/>
        <w:spacing w:before="0" w:after="0" w:line="500" w:lineRule="exact"/>
        <w:rPr>
          <w:rFonts w:ascii="宋体" w:hAnsi="宋体" w:eastAsia="宋体"/>
          <w:bCs/>
          <w:sz w:val="24"/>
          <w:szCs w:val="24"/>
        </w:rPr>
      </w:pPr>
      <w:r>
        <w:rPr>
          <w:rFonts w:ascii="宋体" w:hAnsi="宋体"/>
          <w:szCs w:val="21"/>
        </w:rPr>
        <w:br w:type="page"/>
      </w:r>
      <w:bookmarkStart w:id="50" w:name="_Toc8904092"/>
      <w:r>
        <w:rPr>
          <w:rFonts w:hint="eastAsia" w:ascii="宋体" w:hAnsi="宋体" w:eastAsia="宋体"/>
          <w:bCs/>
          <w:sz w:val="24"/>
          <w:szCs w:val="24"/>
        </w:rPr>
        <w:t>六、中标和合同</w:t>
      </w:r>
      <w:bookmarkEnd w:id="50"/>
    </w:p>
    <w:p>
      <w:pPr>
        <w:pStyle w:val="95"/>
        <w:tabs>
          <w:tab w:val="clear" w:pos="1440"/>
          <w:tab w:val="clear" w:pos="1620"/>
        </w:tabs>
        <w:spacing w:before="0" w:after="0" w:line="500" w:lineRule="exact"/>
        <w:ind w:firstLine="472" w:firstLineChars="196"/>
        <w:rPr>
          <w:color w:val="auto"/>
          <w:sz w:val="24"/>
          <w:szCs w:val="24"/>
        </w:rPr>
      </w:pPr>
      <w:bookmarkStart w:id="51" w:name="_Toc8904093"/>
      <w:r>
        <w:rPr>
          <w:rFonts w:hint="eastAsia"/>
          <w:color w:val="auto"/>
          <w:sz w:val="24"/>
          <w:szCs w:val="24"/>
        </w:rPr>
        <w:t>26．</w:t>
      </w:r>
      <w:r>
        <w:rPr>
          <w:color w:val="auto"/>
          <w:sz w:val="24"/>
          <w:szCs w:val="24"/>
        </w:rPr>
        <w:t>中标人</w:t>
      </w:r>
      <w:r>
        <w:rPr>
          <w:rFonts w:hint="eastAsia"/>
          <w:color w:val="auto"/>
          <w:sz w:val="24"/>
          <w:szCs w:val="24"/>
        </w:rPr>
        <w:t>的确定</w:t>
      </w:r>
      <w:bookmarkEnd w:id="51"/>
    </w:p>
    <w:p>
      <w:pPr>
        <w:pStyle w:val="87"/>
        <w:spacing w:line="500" w:lineRule="exact"/>
        <w:ind w:firstLine="494"/>
        <w:rPr>
          <w:rFonts w:ascii="宋体" w:eastAsia="宋体"/>
          <w:sz w:val="24"/>
          <w:szCs w:val="24"/>
        </w:rPr>
      </w:pPr>
      <w:r>
        <w:rPr>
          <w:rFonts w:hint="eastAsia" w:ascii="宋体" w:eastAsia="宋体"/>
          <w:sz w:val="24"/>
          <w:szCs w:val="24"/>
        </w:rPr>
        <w:t>采购代理机构在评标结束后2个工作日内将评标报告送采购人。采购人自收到评标报告之日起５个工作日内，在评标报告确定的中标候选人名单中按顺序确定中标人。</w:t>
      </w:r>
    </w:p>
    <w:p>
      <w:pPr>
        <w:pStyle w:val="95"/>
        <w:tabs>
          <w:tab w:val="clear" w:pos="1440"/>
          <w:tab w:val="clear" w:pos="1620"/>
        </w:tabs>
        <w:spacing w:before="0" w:after="0" w:line="500" w:lineRule="exact"/>
        <w:ind w:firstLine="472" w:firstLineChars="196"/>
        <w:rPr>
          <w:color w:val="auto"/>
          <w:sz w:val="24"/>
          <w:szCs w:val="24"/>
        </w:rPr>
      </w:pPr>
      <w:bookmarkStart w:id="52" w:name="_Toc8904094"/>
      <w:r>
        <w:rPr>
          <w:rFonts w:hint="eastAsia"/>
          <w:color w:val="auto"/>
          <w:sz w:val="24"/>
          <w:szCs w:val="24"/>
        </w:rPr>
        <w:t>27．有下列情形之一的，视为投标人串通投标，其投标无效：</w:t>
      </w:r>
      <w:bookmarkEnd w:id="52"/>
    </w:p>
    <w:p>
      <w:pPr>
        <w:pStyle w:val="87"/>
        <w:spacing w:line="500" w:lineRule="exact"/>
        <w:ind w:firstLine="494"/>
        <w:rPr>
          <w:rFonts w:ascii="宋体" w:eastAsia="宋体"/>
          <w:sz w:val="24"/>
          <w:szCs w:val="24"/>
        </w:rPr>
      </w:pPr>
      <w:r>
        <w:rPr>
          <w:rFonts w:hint="eastAsia" w:ascii="宋体" w:eastAsia="宋体"/>
          <w:sz w:val="24"/>
          <w:szCs w:val="24"/>
        </w:rPr>
        <w:t>（一）不同投标人的投标文件由同一单位或者个人编制；</w:t>
      </w:r>
    </w:p>
    <w:p>
      <w:pPr>
        <w:pStyle w:val="87"/>
        <w:spacing w:line="500" w:lineRule="exact"/>
        <w:ind w:firstLine="494"/>
        <w:rPr>
          <w:rFonts w:ascii="宋体" w:eastAsia="宋体"/>
          <w:sz w:val="24"/>
          <w:szCs w:val="24"/>
        </w:rPr>
      </w:pPr>
      <w:r>
        <w:rPr>
          <w:rFonts w:hint="eastAsia" w:ascii="宋体" w:eastAsia="宋体"/>
          <w:sz w:val="24"/>
          <w:szCs w:val="24"/>
        </w:rPr>
        <w:t>（二）不同投标人委托同一单位或者个人办理投标事宜；</w:t>
      </w:r>
    </w:p>
    <w:p>
      <w:pPr>
        <w:pStyle w:val="87"/>
        <w:spacing w:line="500" w:lineRule="exact"/>
        <w:ind w:firstLine="494"/>
        <w:rPr>
          <w:rFonts w:ascii="宋体" w:eastAsia="宋体"/>
          <w:sz w:val="24"/>
          <w:szCs w:val="24"/>
        </w:rPr>
      </w:pPr>
      <w:r>
        <w:rPr>
          <w:rFonts w:hint="eastAsia" w:ascii="宋体" w:eastAsia="宋体"/>
          <w:sz w:val="24"/>
          <w:szCs w:val="24"/>
        </w:rPr>
        <w:t>（三）不同投标人的投标文件载明的项目管理成员或者联系人员为同一人；</w:t>
      </w:r>
    </w:p>
    <w:p>
      <w:pPr>
        <w:pStyle w:val="87"/>
        <w:spacing w:line="500" w:lineRule="exact"/>
        <w:ind w:firstLine="494"/>
        <w:rPr>
          <w:rFonts w:ascii="宋体" w:eastAsia="宋体"/>
          <w:sz w:val="24"/>
          <w:szCs w:val="24"/>
        </w:rPr>
      </w:pPr>
      <w:r>
        <w:rPr>
          <w:rFonts w:hint="eastAsia" w:ascii="宋体" w:eastAsia="宋体"/>
          <w:sz w:val="24"/>
          <w:szCs w:val="24"/>
        </w:rPr>
        <w:t>（四）不同投标人的投标文件异常一致或者投标报价呈规律性差异；</w:t>
      </w:r>
    </w:p>
    <w:p>
      <w:pPr>
        <w:pStyle w:val="87"/>
        <w:spacing w:line="500" w:lineRule="exact"/>
        <w:ind w:firstLine="494"/>
        <w:rPr>
          <w:rFonts w:ascii="宋体" w:eastAsia="宋体"/>
          <w:sz w:val="24"/>
          <w:szCs w:val="24"/>
        </w:rPr>
      </w:pPr>
      <w:r>
        <w:rPr>
          <w:rFonts w:hint="eastAsia" w:ascii="宋体" w:eastAsia="宋体"/>
          <w:sz w:val="24"/>
          <w:szCs w:val="24"/>
        </w:rPr>
        <w:t>（五）不同投标人的投标文件相互混装；</w:t>
      </w:r>
    </w:p>
    <w:p>
      <w:pPr>
        <w:pStyle w:val="87"/>
        <w:spacing w:line="500" w:lineRule="exact"/>
        <w:ind w:firstLine="494"/>
        <w:rPr>
          <w:rFonts w:ascii="宋体" w:eastAsia="宋体"/>
          <w:sz w:val="24"/>
          <w:szCs w:val="24"/>
        </w:rPr>
      </w:pPr>
      <w:r>
        <w:rPr>
          <w:rFonts w:hint="eastAsia" w:ascii="宋体" w:eastAsia="宋体"/>
          <w:sz w:val="24"/>
          <w:szCs w:val="24"/>
        </w:rPr>
        <w:t>（六）不同投标人的投标保证金从同一单位或者个人的账户转出。</w:t>
      </w:r>
    </w:p>
    <w:p>
      <w:pPr>
        <w:pStyle w:val="95"/>
        <w:tabs>
          <w:tab w:val="clear" w:pos="1440"/>
          <w:tab w:val="clear" w:pos="1620"/>
        </w:tabs>
        <w:spacing w:before="0" w:after="0" w:line="500" w:lineRule="exact"/>
        <w:ind w:firstLine="472" w:firstLineChars="196"/>
        <w:rPr>
          <w:color w:val="auto"/>
          <w:sz w:val="24"/>
          <w:szCs w:val="24"/>
        </w:rPr>
      </w:pPr>
      <w:bookmarkStart w:id="53" w:name="_Toc8904095"/>
      <w:r>
        <w:rPr>
          <w:rFonts w:hint="eastAsia"/>
          <w:color w:val="auto"/>
          <w:sz w:val="24"/>
          <w:szCs w:val="24"/>
        </w:rPr>
        <w:t>28．发布中标结果</w:t>
      </w:r>
      <w:bookmarkEnd w:id="53"/>
    </w:p>
    <w:p>
      <w:pPr>
        <w:pStyle w:val="87"/>
        <w:spacing w:line="500" w:lineRule="exact"/>
        <w:ind w:firstLine="494"/>
        <w:rPr>
          <w:rFonts w:ascii="宋体" w:eastAsia="宋体"/>
          <w:sz w:val="24"/>
          <w:szCs w:val="24"/>
        </w:rPr>
      </w:pPr>
      <w:r>
        <w:rPr>
          <w:rFonts w:hint="eastAsia" w:ascii="宋体" w:eastAsia="宋体"/>
          <w:sz w:val="24"/>
          <w:szCs w:val="24"/>
        </w:rPr>
        <w:t>28.1采购代理机构自中标供应商确定之日起2个工作日内，发出中标通知书，并在财政部门指定的政府采购信息媒体上公告中标结果及招标文件。</w:t>
      </w:r>
    </w:p>
    <w:p>
      <w:pPr>
        <w:pStyle w:val="87"/>
        <w:spacing w:line="500" w:lineRule="exact"/>
        <w:ind w:firstLine="494"/>
        <w:rPr>
          <w:rFonts w:ascii="宋体" w:eastAsia="宋体"/>
          <w:sz w:val="24"/>
          <w:szCs w:val="24"/>
        </w:rPr>
      </w:pPr>
      <w:r>
        <w:rPr>
          <w:rFonts w:hint="eastAsia" w:ascii="宋体" w:eastAsia="宋体"/>
          <w:sz w:val="24"/>
          <w:szCs w:val="24"/>
        </w:rPr>
        <w:t>28.2中标公告期限为1个工作日。</w:t>
      </w:r>
    </w:p>
    <w:p>
      <w:pPr>
        <w:pStyle w:val="87"/>
        <w:spacing w:line="500" w:lineRule="exact"/>
        <w:ind w:firstLine="494"/>
        <w:rPr>
          <w:rFonts w:ascii="宋体" w:eastAsia="宋体"/>
          <w:sz w:val="24"/>
          <w:szCs w:val="24"/>
        </w:rPr>
      </w:pPr>
      <w:r>
        <w:rPr>
          <w:rFonts w:hint="eastAsia" w:ascii="宋体" w:eastAsia="宋体"/>
          <w:sz w:val="24"/>
          <w:szCs w:val="24"/>
        </w:rPr>
        <w:t>28.3《中标通知书》是合同的一个组成部分，《中标通知书》对采购人和中标供应商均具有同等法律效力；《中标通知书》发出后，采购人改变中标结果，或者中标供应商放弃中标，应当承担相应的法律责任。</w:t>
      </w:r>
    </w:p>
    <w:p>
      <w:pPr>
        <w:pStyle w:val="87"/>
        <w:spacing w:line="500" w:lineRule="exact"/>
        <w:ind w:firstLine="494"/>
        <w:rPr>
          <w:rFonts w:ascii="宋体" w:eastAsia="宋体"/>
          <w:sz w:val="24"/>
          <w:szCs w:val="24"/>
        </w:rPr>
      </w:pPr>
      <w:r>
        <w:rPr>
          <w:rFonts w:hint="eastAsia" w:ascii="宋体" w:eastAsia="宋体"/>
          <w:sz w:val="24"/>
          <w:szCs w:val="24"/>
        </w:rPr>
        <w:t>28.4中标人为残疾人福利性单位的，采购人或者其委托的采购代理机构应当随中标、成交结果同时公告其《残疾人福利性单位声明函》，接受社会监督。</w:t>
      </w:r>
    </w:p>
    <w:p>
      <w:pPr>
        <w:pStyle w:val="95"/>
        <w:tabs>
          <w:tab w:val="clear" w:pos="1440"/>
          <w:tab w:val="clear" w:pos="1620"/>
        </w:tabs>
        <w:spacing w:before="0" w:after="0" w:line="500" w:lineRule="exact"/>
        <w:ind w:firstLine="472" w:firstLineChars="196"/>
        <w:rPr>
          <w:color w:val="auto"/>
          <w:sz w:val="24"/>
          <w:szCs w:val="24"/>
        </w:rPr>
      </w:pPr>
      <w:bookmarkStart w:id="54" w:name="_Toc8904096"/>
      <w:r>
        <w:rPr>
          <w:rFonts w:hint="eastAsia"/>
          <w:color w:val="auto"/>
          <w:sz w:val="24"/>
          <w:szCs w:val="24"/>
        </w:rPr>
        <w:t>29．</w:t>
      </w:r>
      <w:r>
        <w:rPr>
          <w:color w:val="auto"/>
          <w:sz w:val="24"/>
          <w:szCs w:val="24"/>
        </w:rPr>
        <w:t>合同的签订</w:t>
      </w:r>
      <w:bookmarkEnd w:id="54"/>
    </w:p>
    <w:p>
      <w:pPr>
        <w:pStyle w:val="87"/>
        <w:spacing w:line="500" w:lineRule="exact"/>
        <w:ind w:firstLine="494"/>
        <w:rPr>
          <w:rFonts w:ascii="宋体" w:eastAsia="宋体"/>
          <w:sz w:val="24"/>
          <w:szCs w:val="24"/>
        </w:rPr>
      </w:pPr>
      <w:r>
        <w:rPr>
          <w:rFonts w:hint="eastAsia" w:ascii="宋体" w:eastAsia="宋体"/>
          <w:sz w:val="24"/>
          <w:szCs w:val="24"/>
        </w:rPr>
        <w:t>29.1 采购人应当自中标通知书发出之日起30日内，按照招标文件和中标人投标文件的规定，与中标人签订书面合同。所签订的合同不得对招标文件确定的事项和中标人投标文件作实质性修改。</w:t>
      </w:r>
    </w:p>
    <w:p>
      <w:pPr>
        <w:pStyle w:val="87"/>
        <w:spacing w:line="500" w:lineRule="exact"/>
        <w:ind w:firstLine="494"/>
        <w:rPr>
          <w:rFonts w:ascii="宋体" w:eastAsia="宋体"/>
          <w:sz w:val="24"/>
          <w:szCs w:val="24"/>
        </w:rPr>
      </w:pPr>
      <w:r>
        <w:rPr>
          <w:rFonts w:hint="eastAsia" w:ascii="宋体" w:eastAsia="宋体"/>
          <w:sz w:val="24"/>
          <w:szCs w:val="24"/>
        </w:rPr>
        <w:t>采购人不得向中标人提出任何不合理的要求作为签订合同的条件。</w:t>
      </w:r>
    </w:p>
    <w:p>
      <w:pPr>
        <w:pStyle w:val="87"/>
        <w:spacing w:line="500" w:lineRule="exact"/>
        <w:ind w:firstLine="494"/>
        <w:rPr>
          <w:rFonts w:ascii="宋体" w:eastAsia="宋体"/>
          <w:sz w:val="24"/>
          <w:szCs w:val="24"/>
        </w:rPr>
      </w:pPr>
      <w:r>
        <w:rPr>
          <w:rFonts w:hint="eastAsia" w:ascii="宋体" w:eastAsia="宋体"/>
          <w:sz w:val="24"/>
          <w:szCs w:val="24"/>
        </w:rPr>
        <w:t>29.2采购人与中标人应当根据合同的约定依法履行合同义务。</w:t>
      </w:r>
    </w:p>
    <w:p>
      <w:pPr>
        <w:pStyle w:val="87"/>
        <w:spacing w:line="500" w:lineRule="exact"/>
        <w:ind w:firstLine="494"/>
        <w:rPr>
          <w:rFonts w:ascii="宋体" w:eastAsia="宋体"/>
          <w:sz w:val="24"/>
          <w:szCs w:val="24"/>
        </w:rPr>
      </w:pPr>
      <w:r>
        <w:rPr>
          <w:rFonts w:hint="eastAsia" w:ascii="宋体" w:eastAsia="宋体"/>
          <w:sz w:val="24"/>
          <w:szCs w:val="24"/>
        </w:rPr>
        <w:t>政府采购合同的履行、违约责任和解决争议的方法等适用《中华人民共和国合同法》。</w:t>
      </w:r>
    </w:p>
    <w:p>
      <w:pPr>
        <w:pStyle w:val="87"/>
        <w:spacing w:line="500" w:lineRule="exact"/>
        <w:ind w:firstLine="494"/>
        <w:rPr>
          <w:rFonts w:ascii="宋体" w:eastAsia="宋体"/>
          <w:sz w:val="24"/>
          <w:szCs w:val="24"/>
        </w:rPr>
      </w:pPr>
      <w:r>
        <w:rPr>
          <w:rFonts w:hint="eastAsia" w:ascii="宋体" w:eastAsia="宋体"/>
          <w:sz w:val="24"/>
          <w:szCs w:val="24"/>
        </w:rPr>
        <w:t>29.3采购人应当自政府采购合同签订之日起7个工作日内将合同副本报同级政府采购监督管理部门备案。</w:t>
      </w:r>
    </w:p>
    <w:p>
      <w:pPr>
        <w:pStyle w:val="87"/>
        <w:spacing w:line="500" w:lineRule="exact"/>
        <w:ind w:firstLine="494"/>
        <w:rPr>
          <w:rFonts w:ascii="宋体" w:eastAsia="宋体"/>
          <w:sz w:val="24"/>
          <w:szCs w:val="24"/>
        </w:rPr>
      </w:pPr>
      <w:r>
        <w:rPr>
          <w:rFonts w:hint="eastAsia" w:ascii="宋体" w:eastAsia="宋体"/>
          <w:sz w:val="24"/>
          <w:szCs w:val="24"/>
        </w:rPr>
        <w:t>29.4投标人根据招标文件的规定和采购项目的实际情况，拟在中标后将中标项目的非主体、非关键性工作分包的，应当在投标文件中载明分包承担主体，分包承担主体应当具备相应资质条件且不得再次分包。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95"/>
        <w:tabs>
          <w:tab w:val="clear" w:pos="1440"/>
          <w:tab w:val="clear" w:pos="1620"/>
        </w:tabs>
        <w:spacing w:before="0" w:after="0" w:line="500" w:lineRule="exact"/>
        <w:ind w:firstLine="472" w:firstLineChars="196"/>
        <w:rPr>
          <w:color w:val="auto"/>
          <w:sz w:val="24"/>
          <w:szCs w:val="24"/>
        </w:rPr>
      </w:pPr>
      <w:bookmarkStart w:id="55" w:name="_Toc429645581"/>
      <w:bookmarkStart w:id="56" w:name="_Toc8904097"/>
      <w:r>
        <w:rPr>
          <w:rFonts w:hint="eastAsia"/>
          <w:color w:val="auto"/>
          <w:sz w:val="24"/>
          <w:szCs w:val="24"/>
        </w:rPr>
        <w:t>30．</w:t>
      </w:r>
      <w:r>
        <w:rPr>
          <w:color w:val="auto"/>
          <w:sz w:val="24"/>
          <w:szCs w:val="24"/>
        </w:rPr>
        <w:t>履约</w:t>
      </w:r>
      <w:r>
        <w:rPr>
          <w:rFonts w:hint="eastAsia"/>
          <w:color w:val="auto"/>
          <w:sz w:val="24"/>
          <w:szCs w:val="24"/>
        </w:rPr>
        <w:t>保证金</w:t>
      </w:r>
      <w:bookmarkEnd w:id="55"/>
      <w:bookmarkEnd w:id="56"/>
    </w:p>
    <w:p>
      <w:pPr>
        <w:pStyle w:val="87"/>
        <w:spacing w:line="500" w:lineRule="exact"/>
        <w:ind w:firstLine="494"/>
        <w:rPr>
          <w:rFonts w:ascii="宋体" w:eastAsia="宋体"/>
          <w:sz w:val="24"/>
          <w:szCs w:val="24"/>
        </w:rPr>
      </w:pPr>
      <w:r>
        <w:rPr>
          <w:rFonts w:hint="eastAsia" w:ascii="宋体" w:eastAsia="宋体"/>
          <w:sz w:val="24"/>
          <w:szCs w:val="24"/>
        </w:rPr>
        <w:t>除投标邀请函规定不收取履约保证金情形外，供应商向采购人提交履约保证金的，应当满足下列条件：</w:t>
      </w:r>
    </w:p>
    <w:p>
      <w:pPr>
        <w:pStyle w:val="87"/>
        <w:spacing w:line="500" w:lineRule="exact"/>
        <w:ind w:firstLine="494"/>
        <w:rPr>
          <w:rFonts w:ascii="宋体" w:eastAsia="宋体"/>
          <w:sz w:val="24"/>
          <w:szCs w:val="24"/>
        </w:rPr>
      </w:pPr>
      <w:r>
        <w:rPr>
          <w:rFonts w:hint="eastAsia" w:ascii="宋体" w:eastAsia="宋体"/>
          <w:sz w:val="24"/>
          <w:szCs w:val="24"/>
        </w:rPr>
        <w:t>30.1中标供应商应在采购合同签订前向采购人提交履约保证金，金额为政府采购合同金额的10%，履约保证金可以采用银行转账或者以专业担保机构、金融机构出具的担保函的形式提交。</w:t>
      </w:r>
    </w:p>
    <w:p>
      <w:pPr>
        <w:pStyle w:val="87"/>
        <w:spacing w:line="500" w:lineRule="exact"/>
        <w:ind w:firstLine="494"/>
        <w:rPr>
          <w:rFonts w:ascii="宋体" w:eastAsia="宋体"/>
          <w:sz w:val="24"/>
          <w:szCs w:val="24"/>
        </w:rPr>
      </w:pPr>
      <w:r>
        <w:rPr>
          <w:rFonts w:hint="eastAsia" w:ascii="宋体" w:eastAsia="宋体"/>
          <w:sz w:val="24"/>
          <w:szCs w:val="24"/>
        </w:rPr>
        <w:t>30.1.1采用银行转账形式汇入采购人账户后，到期后无息退还。</w:t>
      </w:r>
    </w:p>
    <w:p>
      <w:pPr>
        <w:pStyle w:val="87"/>
        <w:spacing w:line="500" w:lineRule="exact"/>
        <w:ind w:firstLine="494"/>
        <w:rPr>
          <w:rFonts w:ascii="宋体" w:eastAsia="宋体"/>
          <w:sz w:val="24"/>
          <w:szCs w:val="24"/>
        </w:rPr>
      </w:pPr>
      <w:r>
        <w:rPr>
          <w:rFonts w:hint="eastAsia" w:ascii="宋体" w:eastAsia="宋体"/>
          <w:sz w:val="24"/>
          <w:szCs w:val="24"/>
        </w:rPr>
        <w:t>30.1.2采用履约担保函形式：履约保函应是合法经营的金融机构或担保机构出具的保函，非东莞市范围内担保机构出具的履约保函必须附上当地公证部门出具的公证文件。履约保函的内容，应符合招标文件、投标响应文件和采购合同的要求。履约保函应在合同期满后28天内继续有效。</w:t>
      </w:r>
    </w:p>
    <w:p>
      <w:pPr>
        <w:pStyle w:val="87"/>
        <w:spacing w:line="500" w:lineRule="exact"/>
        <w:ind w:firstLine="494"/>
        <w:rPr>
          <w:rFonts w:ascii="宋体" w:eastAsia="宋体"/>
          <w:sz w:val="24"/>
          <w:szCs w:val="24"/>
        </w:rPr>
      </w:pPr>
      <w:r>
        <w:rPr>
          <w:rFonts w:hint="eastAsia" w:ascii="宋体" w:eastAsia="宋体"/>
          <w:sz w:val="24"/>
          <w:szCs w:val="24"/>
        </w:rPr>
        <w:t>30.2若中标供应商不按规定提交履约保证金，采购人可拒绝签订政府采购合同，其投标保证金不予退还，给采购人造成的损失超过投标保证金数额的，还应当对超过部分予以赔偿。</w:t>
      </w:r>
    </w:p>
    <w:p>
      <w:pPr>
        <w:pStyle w:val="95"/>
        <w:tabs>
          <w:tab w:val="clear" w:pos="1440"/>
          <w:tab w:val="clear" w:pos="1620"/>
        </w:tabs>
        <w:spacing w:before="0" w:after="0" w:line="500" w:lineRule="exact"/>
        <w:ind w:firstLine="472" w:firstLineChars="196"/>
        <w:rPr>
          <w:color w:val="auto"/>
          <w:sz w:val="24"/>
          <w:szCs w:val="24"/>
        </w:rPr>
      </w:pPr>
      <w:bookmarkStart w:id="57" w:name="_Toc429645582"/>
      <w:bookmarkStart w:id="58" w:name="_Toc8904098"/>
      <w:r>
        <w:rPr>
          <w:rFonts w:hint="eastAsia"/>
          <w:color w:val="auto"/>
          <w:sz w:val="24"/>
          <w:szCs w:val="24"/>
        </w:rPr>
        <w:t>31．融资</w:t>
      </w:r>
      <w:bookmarkEnd w:id="57"/>
      <w:bookmarkEnd w:id="58"/>
    </w:p>
    <w:p>
      <w:pPr>
        <w:pStyle w:val="87"/>
        <w:spacing w:line="500" w:lineRule="exact"/>
        <w:ind w:firstLine="494"/>
        <w:rPr>
          <w:rFonts w:ascii="宋体" w:eastAsia="宋体"/>
          <w:sz w:val="24"/>
          <w:szCs w:val="24"/>
        </w:rPr>
      </w:pPr>
      <w:r>
        <w:rPr>
          <w:rFonts w:hint="eastAsia" w:ascii="宋体" w:eastAsia="宋体"/>
          <w:sz w:val="24"/>
          <w:szCs w:val="24"/>
        </w:rPr>
        <w:t>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p>
      <w:pPr>
        <w:pStyle w:val="4"/>
        <w:spacing w:before="0" w:after="0" w:line="500" w:lineRule="exact"/>
        <w:rPr>
          <w:rFonts w:ascii="宋体" w:hAnsi="宋体" w:eastAsia="宋体"/>
          <w:bCs/>
          <w:sz w:val="24"/>
          <w:szCs w:val="24"/>
        </w:rPr>
      </w:pPr>
      <w:bookmarkStart w:id="59" w:name="_Toc8904099"/>
      <w:r>
        <w:rPr>
          <w:rFonts w:hint="eastAsia" w:ascii="宋体" w:hAnsi="宋体" w:eastAsia="宋体"/>
          <w:bCs/>
          <w:sz w:val="24"/>
          <w:szCs w:val="24"/>
        </w:rPr>
        <w:t>七、询问、质疑、投诉</w:t>
      </w:r>
      <w:bookmarkEnd w:id="59"/>
    </w:p>
    <w:p>
      <w:pPr>
        <w:pStyle w:val="95"/>
        <w:tabs>
          <w:tab w:val="clear" w:pos="1440"/>
          <w:tab w:val="clear" w:pos="1620"/>
        </w:tabs>
        <w:spacing w:before="0" w:after="0" w:line="500" w:lineRule="exact"/>
        <w:ind w:firstLine="472" w:firstLineChars="196"/>
        <w:rPr>
          <w:color w:val="auto"/>
          <w:sz w:val="24"/>
          <w:szCs w:val="24"/>
        </w:rPr>
      </w:pPr>
      <w:bookmarkStart w:id="60" w:name="_Toc8904100"/>
      <w:r>
        <w:rPr>
          <w:rFonts w:hint="eastAsia"/>
          <w:color w:val="auto"/>
          <w:sz w:val="24"/>
          <w:szCs w:val="24"/>
        </w:rPr>
        <w:t>32．询问</w:t>
      </w:r>
      <w:bookmarkEnd w:id="60"/>
    </w:p>
    <w:p>
      <w:pPr>
        <w:pStyle w:val="87"/>
        <w:spacing w:line="500" w:lineRule="exact"/>
        <w:ind w:firstLine="494"/>
        <w:rPr>
          <w:rFonts w:ascii="宋体" w:eastAsia="宋体"/>
          <w:sz w:val="24"/>
          <w:szCs w:val="24"/>
        </w:rPr>
      </w:pPr>
      <w:r>
        <w:rPr>
          <w:rFonts w:hint="eastAsia" w:ascii="宋体" w:eastAsia="宋体"/>
          <w:sz w:val="24"/>
          <w:szCs w:val="24"/>
        </w:rPr>
        <w:t>供应商对政府采购活动事项（招标文件、采购过程和中标结果）有疑问的，可以向采购代理机构或采购人提出询问，采购代理机构或采购人在3个工作日内对供应商依法提出的询问作出答复。</w:t>
      </w:r>
    </w:p>
    <w:p>
      <w:pPr>
        <w:pStyle w:val="95"/>
        <w:tabs>
          <w:tab w:val="clear" w:pos="1440"/>
          <w:tab w:val="clear" w:pos="1620"/>
        </w:tabs>
        <w:spacing w:before="0" w:after="0" w:line="500" w:lineRule="exact"/>
        <w:ind w:firstLine="472" w:firstLineChars="196"/>
        <w:rPr>
          <w:color w:val="auto"/>
          <w:sz w:val="24"/>
          <w:szCs w:val="24"/>
        </w:rPr>
      </w:pPr>
      <w:bookmarkStart w:id="61" w:name="_Toc8904101"/>
      <w:r>
        <w:rPr>
          <w:rFonts w:hint="eastAsia"/>
          <w:color w:val="auto"/>
          <w:sz w:val="24"/>
          <w:szCs w:val="24"/>
        </w:rPr>
        <w:t>33．质疑</w:t>
      </w:r>
      <w:bookmarkEnd w:id="61"/>
    </w:p>
    <w:p>
      <w:pPr>
        <w:pStyle w:val="87"/>
        <w:wordWrap w:val="0"/>
        <w:spacing w:line="500" w:lineRule="exact"/>
        <w:ind w:firstLine="494"/>
        <w:rPr>
          <w:rFonts w:ascii="宋体" w:eastAsia="宋体"/>
          <w:sz w:val="24"/>
          <w:szCs w:val="24"/>
        </w:rPr>
      </w:pPr>
      <w:r>
        <w:rPr>
          <w:rFonts w:hint="eastAsia" w:ascii="宋体" w:eastAsia="宋体"/>
          <w:sz w:val="24"/>
          <w:szCs w:val="24"/>
        </w:rPr>
        <w:t>33.1供应商认为采购文件、采购过程和中标、成交结果使自己的权益受到损害的，可以在知道或者应知其权益受到损害之日起七个工作日内，以书面形式（政府采购供应商质疑函范本</w:t>
      </w:r>
      <w:r>
        <w:rPr>
          <w:rFonts w:ascii="宋体" w:eastAsia="宋体"/>
          <w:sz w:val="24"/>
          <w:szCs w:val="24"/>
        </w:rPr>
        <w:t>http://www.mof.gov.cn/mofhome/guokusi/redianzhuanti/zhengfucaigouguanli/201802/t20180201_2804589.html</w:t>
      </w:r>
      <w:r>
        <w:rPr>
          <w:rFonts w:hint="eastAsia" w:ascii="宋体" w:eastAsia="宋体"/>
          <w:sz w:val="24"/>
          <w:szCs w:val="24"/>
        </w:rPr>
        <w:t>）向采购人提出质疑。供应商以电话、传真或电邮形式提交的质疑属于无效质疑。提出质疑的供应商应当是参与所质疑项目采购活动的供应商。</w:t>
      </w:r>
    </w:p>
    <w:p>
      <w:pPr>
        <w:pStyle w:val="87"/>
        <w:spacing w:line="500" w:lineRule="exact"/>
        <w:ind w:firstLine="494"/>
        <w:rPr>
          <w:rFonts w:ascii="宋体" w:eastAsia="宋体"/>
          <w:sz w:val="24"/>
          <w:szCs w:val="24"/>
        </w:rPr>
      </w:pPr>
      <w:r>
        <w:rPr>
          <w:rFonts w:hint="eastAsia" w:ascii="宋体" w:eastAsia="宋体"/>
          <w:sz w:val="24"/>
          <w:szCs w:val="24"/>
        </w:rPr>
        <w:t>1）接收质疑函的方式：以书面形式向采购人或采购代理机构现场递交原件</w:t>
      </w:r>
    </w:p>
    <w:p>
      <w:pPr>
        <w:pStyle w:val="87"/>
        <w:spacing w:line="500" w:lineRule="exact"/>
        <w:ind w:firstLine="494"/>
        <w:rPr>
          <w:rFonts w:ascii="宋体" w:eastAsia="宋体"/>
          <w:sz w:val="24"/>
          <w:szCs w:val="24"/>
        </w:rPr>
      </w:pPr>
      <w:r>
        <w:rPr>
          <w:rFonts w:hint="eastAsia" w:ascii="宋体" w:eastAsia="宋体"/>
          <w:sz w:val="24"/>
          <w:szCs w:val="24"/>
        </w:rPr>
        <w:t>2）联系部门：东莞市达盛招标代理有限公司</w:t>
      </w:r>
    </w:p>
    <w:p>
      <w:pPr>
        <w:pStyle w:val="87"/>
        <w:spacing w:line="500" w:lineRule="exact"/>
        <w:ind w:firstLine="494"/>
        <w:rPr>
          <w:rFonts w:ascii="宋体" w:eastAsia="宋体"/>
          <w:sz w:val="24"/>
          <w:szCs w:val="24"/>
        </w:rPr>
      </w:pPr>
      <w:r>
        <w:rPr>
          <w:rFonts w:hint="eastAsia" w:ascii="宋体" w:eastAsia="宋体"/>
          <w:sz w:val="24"/>
          <w:szCs w:val="24"/>
        </w:rPr>
        <w:t>3）联系电话：0769-22113229</w:t>
      </w:r>
    </w:p>
    <w:p>
      <w:pPr>
        <w:pStyle w:val="87"/>
        <w:spacing w:line="500" w:lineRule="exact"/>
        <w:ind w:firstLine="494"/>
        <w:rPr>
          <w:rFonts w:ascii="宋体" w:eastAsia="宋体"/>
          <w:sz w:val="24"/>
          <w:szCs w:val="24"/>
        </w:rPr>
      </w:pPr>
      <w:r>
        <w:rPr>
          <w:rFonts w:hint="eastAsia" w:ascii="宋体" w:eastAsia="宋体"/>
          <w:sz w:val="24"/>
          <w:szCs w:val="24"/>
        </w:rPr>
        <w:t>4）通讯地址：东莞市莞城街道罗沙社区达鑫创富中心8号八楼817、818号</w:t>
      </w:r>
    </w:p>
    <w:p>
      <w:pPr>
        <w:pStyle w:val="87"/>
        <w:spacing w:line="500" w:lineRule="exact"/>
        <w:ind w:firstLine="494"/>
        <w:rPr>
          <w:rFonts w:ascii="宋体" w:eastAsia="宋体"/>
          <w:sz w:val="24"/>
          <w:szCs w:val="24"/>
        </w:rPr>
      </w:pPr>
      <w:r>
        <w:rPr>
          <w:rFonts w:hint="eastAsia" w:ascii="宋体" w:eastAsia="宋体"/>
          <w:sz w:val="24"/>
          <w:szCs w:val="24"/>
        </w:rPr>
        <w:t>33.1.1供应商认为采购文件使自己的权益受到损害的，可以在收到采购文件之日或者采购文件公告期限届满之日起7个工作日内提出书面质疑。</w:t>
      </w:r>
    </w:p>
    <w:p>
      <w:pPr>
        <w:pStyle w:val="87"/>
        <w:spacing w:line="500" w:lineRule="exact"/>
        <w:ind w:firstLine="494"/>
        <w:rPr>
          <w:rFonts w:ascii="宋体" w:eastAsia="宋体"/>
          <w:sz w:val="24"/>
          <w:szCs w:val="24"/>
        </w:rPr>
      </w:pPr>
      <w:r>
        <w:rPr>
          <w:rFonts w:hint="eastAsia" w:ascii="宋体" w:eastAsia="宋体"/>
          <w:sz w:val="24"/>
          <w:szCs w:val="24"/>
        </w:rPr>
        <w:t>33.1.2供应商认为采购过程使自己的权益受到损害的，可以在各采购程序环节结束之日起7个工作日内提出书面质疑。</w:t>
      </w:r>
    </w:p>
    <w:p>
      <w:pPr>
        <w:pStyle w:val="87"/>
        <w:spacing w:line="500" w:lineRule="exact"/>
        <w:ind w:firstLine="494"/>
        <w:rPr>
          <w:rFonts w:ascii="宋体" w:eastAsia="宋体"/>
          <w:sz w:val="24"/>
          <w:szCs w:val="24"/>
        </w:rPr>
      </w:pPr>
      <w:r>
        <w:rPr>
          <w:rFonts w:hint="eastAsia" w:ascii="宋体" w:eastAsia="宋体"/>
          <w:sz w:val="24"/>
          <w:szCs w:val="24"/>
        </w:rPr>
        <w:t>33.1.3供应商认为中标或者成交结果使自己的权益受到损害的，可以在中标或者成交结果公告期限届满之日起7个工作日内提出书面质疑。</w:t>
      </w:r>
    </w:p>
    <w:p>
      <w:pPr>
        <w:pStyle w:val="87"/>
        <w:spacing w:line="500" w:lineRule="exact"/>
        <w:ind w:firstLine="494"/>
        <w:rPr>
          <w:rFonts w:ascii="宋体" w:eastAsia="宋体"/>
          <w:sz w:val="24"/>
          <w:szCs w:val="24"/>
        </w:rPr>
      </w:pPr>
      <w:r>
        <w:rPr>
          <w:rFonts w:hint="eastAsia" w:ascii="宋体" w:eastAsia="宋体"/>
          <w:sz w:val="24"/>
          <w:szCs w:val="24"/>
        </w:rPr>
        <w:t>33.2供应商提出的书面质疑应满足下列规定：</w:t>
      </w:r>
    </w:p>
    <w:p>
      <w:pPr>
        <w:pStyle w:val="87"/>
        <w:spacing w:line="500" w:lineRule="exact"/>
        <w:ind w:firstLine="494"/>
        <w:rPr>
          <w:rFonts w:ascii="宋体" w:eastAsia="宋体"/>
          <w:sz w:val="24"/>
          <w:szCs w:val="24"/>
        </w:rPr>
      </w:pPr>
      <w:r>
        <w:rPr>
          <w:rFonts w:hint="eastAsia" w:ascii="宋体" w:eastAsia="宋体"/>
          <w:sz w:val="24"/>
          <w:szCs w:val="24"/>
        </w:rPr>
        <w:t>33.2.1已登记报名并获取本项目采购文件。</w:t>
      </w:r>
    </w:p>
    <w:p>
      <w:pPr>
        <w:pStyle w:val="87"/>
        <w:spacing w:line="500" w:lineRule="exact"/>
        <w:ind w:firstLine="494"/>
        <w:rPr>
          <w:rFonts w:ascii="宋体" w:eastAsia="宋体"/>
          <w:sz w:val="24"/>
          <w:szCs w:val="24"/>
        </w:rPr>
      </w:pPr>
      <w:r>
        <w:rPr>
          <w:rFonts w:hint="eastAsia" w:ascii="宋体" w:eastAsia="宋体"/>
          <w:sz w:val="24"/>
          <w:szCs w:val="24"/>
        </w:rPr>
        <w:t>33.2.2质疑函所述内容不得含有虚假、恶意成分。依据“谁主张谁举证”的原则，提交的质疑函应当包括：</w:t>
      </w:r>
    </w:p>
    <w:p>
      <w:pPr>
        <w:pStyle w:val="87"/>
        <w:spacing w:line="500" w:lineRule="exact"/>
        <w:ind w:firstLine="494"/>
        <w:rPr>
          <w:rFonts w:ascii="宋体" w:eastAsia="宋体"/>
          <w:sz w:val="24"/>
          <w:szCs w:val="24"/>
        </w:rPr>
      </w:pPr>
      <w:r>
        <w:rPr>
          <w:rFonts w:hint="eastAsia" w:ascii="宋体" w:eastAsia="宋体"/>
          <w:sz w:val="24"/>
          <w:szCs w:val="24"/>
        </w:rPr>
        <w:t>1）供应商的姓名或者名称、地址、邮编、联系人及联系电话；</w:t>
      </w:r>
    </w:p>
    <w:p>
      <w:pPr>
        <w:pStyle w:val="87"/>
        <w:spacing w:line="500" w:lineRule="exact"/>
        <w:ind w:firstLine="494"/>
        <w:rPr>
          <w:rFonts w:ascii="宋体" w:eastAsia="宋体"/>
          <w:sz w:val="24"/>
          <w:szCs w:val="24"/>
        </w:rPr>
      </w:pPr>
      <w:r>
        <w:rPr>
          <w:rFonts w:hint="eastAsia" w:ascii="宋体" w:eastAsia="宋体"/>
          <w:sz w:val="24"/>
          <w:szCs w:val="24"/>
        </w:rPr>
        <w:t>2）质疑项目的名称、编号；</w:t>
      </w:r>
    </w:p>
    <w:p>
      <w:pPr>
        <w:pStyle w:val="87"/>
        <w:spacing w:line="500" w:lineRule="exact"/>
        <w:ind w:firstLine="494"/>
        <w:rPr>
          <w:rFonts w:ascii="宋体" w:eastAsia="宋体"/>
          <w:sz w:val="24"/>
          <w:szCs w:val="24"/>
        </w:rPr>
      </w:pPr>
      <w:r>
        <w:rPr>
          <w:rFonts w:hint="eastAsia" w:ascii="宋体" w:eastAsia="宋体"/>
          <w:sz w:val="24"/>
          <w:szCs w:val="24"/>
        </w:rPr>
        <w:t>3）具体、明确的质疑事项和与质疑事项相关的请求；</w:t>
      </w:r>
    </w:p>
    <w:p>
      <w:pPr>
        <w:pStyle w:val="87"/>
        <w:spacing w:line="500" w:lineRule="exact"/>
        <w:ind w:firstLine="494"/>
        <w:rPr>
          <w:rFonts w:ascii="宋体" w:eastAsia="宋体"/>
          <w:sz w:val="24"/>
          <w:szCs w:val="24"/>
        </w:rPr>
      </w:pPr>
      <w:r>
        <w:rPr>
          <w:rFonts w:hint="eastAsia" w:ascii="宋体" w:eastAsia="宋体"/>
          <w:sz w:val="24"/>
          <w:szCs w:val="24"/>
        </w:rPr>
        <w:t>4）事实依据（提供信息来源或有效证据）；</w:t>
      </w:r>
    </w:p>
    <w:p>
      <w:pPr>
        <w:pStyle w:val="87"/>
        <w:spacing w:line="500" w:lineRule="exact"/>
        <w:ind w:firstLine="494"/>
        <w:rPr>
          <w:rFonts w:ascii="宋体" w:eastAsia="宋体"/>
          <w:sz w:val="24"/>
          <w:szCs w:val="24"/>
        </w:rPr>
      </w:pPr>
      <w:r>
        <w:rPr>
          <w:rFonts w:hint="eastAsia" w:ascii="宋体" w:eastAsia="宋体"/>
          <w:sz w:val="24"/>
          <w:szCs w:val="24"/>
        </w:rPr>
        <w:t>5）必要的法律依据；</w:t>
      </w:r>
    </w:p>
    <w:p>
      <w:pPr>
        <w:pStyle w:val="87"/>
        <w:spacing w:line="500" w:lineRule="exact"/>
        <w:ind w:firstLine="494"/>
        <w:rPr>
          <w:rFonts w:ascii="宋体" w:eastAsia="宋体"/>
          <w:sz w:val="24"/>
          <w:szCs w:val="24"/>
        </w:rPr>
      </w:pPr>
      <w:r>
        <w:rPr>
          <w:rFonts w:hint="eastAsia" w:ascii="宋体" w:eastAsia="宋体"/>
          <w:sz w:val="24"/>
          <w:szCs w:val="24"/>
        </w:rPr>
        <w:t>6）提出质疑的日期。</w:t>
      </w:r>
    </w:p>
    <w:p>
      <w:pPr>
        <w:pStyle w:val="87"/>
        <w:spacing w:line="500" w:lineRule="exact"/>
        <w:ind w:firstLine="494"/>
        <w:rPr>
          <w:rFonts w:ascii="宋体" w:eastAsia="宋体"/>
          <w:sz w:val="24"/>
          <w:szCs w:val="24"/>
        </w:rPr>
      </w:pPr>
      <w:r>
        <w:rPr>
          <w:rFonts w:hint="eastAsia" w:ascii="宋体" w:eastAsia="宋体"/>
          <w:sz w:val="24"/>
          <w:szCs w:val="24"/>
        </w:rPr>
        <w:t>7）其他供应商认为提供的证明材料</w:t>
      </w:r>
    </w:p>
    <w:p>
      <w:pPr>
        <w:pStyle w:val="87"/>
        <w:spacing w:line="500" w:lineRule="exact"/>
        <w:ind w:firstLine="494"/>
        <w:rPr>
          <w:rFonts w:ascii="宋体" w:eastAsia="宋体"/>
          <w:sz w:val="24"/>
          <w:szCs w:val="24"/>
        </w:rPr>
      </w:pPr>
      <w:r>
        <w:rPr>
          <w:rFonts w:hint="eastAsia" w:ascii="宋体" w:eastAsia="宋体"/>
          <w:sz w:val="24"/>
          <w:szCs w:val="24"/>
        </w:rPr>
        <w:t>33.2.3供应商可以委托代理人进行质疑（代理人提出质疑的，应当提交供应商签署的授权委托书）。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87"/>
        <w:spacing w:line="500" w:lineRule="exact"/>
        <w:ind w:firstLine="494"/>
        <w:rPr>
          <w:rFonts w:ascii="宋体" w:eastAsia="宋体"/>
          <w:sz w:val="24"/>
          <w:szCs w:val="24"/>
        </w:rPr>
      </w:pPr>
      <w:r>
        <w:rPr>
          <w:rFonts w:hint="eastAsia" w:ascii="宋体" w:eastAsia="宋体"/>
          <w:sz w:val="24"/>
          <w:szCs w:val="24"/>
        </w:rPr>
        <w:t>33.2.4供应商提交质疑函的同时应当提供营业执照（事业单位法人证书）、授权委托书及其身份证复印件（法定代表人亲自办理的，只需提交身份证复印件，无需提交授权委托书）并加盖单位公章。</w:t>
      </w:r>
    </w:p>
    <w:p>
      <w:pPr>
        <w:pStyle w:val="87"/>
        <w:spacing w:line="500" w:lineRule="exact"/>
        <w:ind w:firstLine="494"/>
        <w:rPr>
          <w:rFonts w:ascii="宋体" w:eastAsia="宋体"/>
          <w:sz w:val="24"/>
          <w:szCs w:val="24"/>
        </w:rPr>
      </w:pPr>
      <w:r>
        <w:rPr>
          <w:rFonts w:hint="eastAsia" w:ascii="宋体" w:eastAsia="宋体"/>
          <w:sz w:val="24"/>
          <w:szCs w:val="24"/>
        </w:rPr>
        <w:t>33.3以联合体形式参加政府采购活动的，其质疑应当由组成联合体的所有供应商共同提出。</w:t>
      </w:r>
    </w:p>
    <w:p>
      <w:pPr>
        <w:pStyle w:val="87"/>
        <w:spacing w:line="500" w:lineRule="exact"/>
        <w:ind w:firstLine="494"/>
        <w:rPr>
          <w:rFonts w:ascii="宋体" w:eastAsia="宋体"/>
          <w:sz w:val="24"/>
          <w:szCs w:val="24"/>
        </w:rPr>
      </w:pPr>
      <w:r>
        <w:rPr>
          <w:rFonts w:hint="eastAsia" w:ascii="宋体" w:eastAsia="宋体"/>
          <w:sz w:val="24"/>
          <w:szCs w:val="24"/>
        </w:rPr>
        <w:t>33.4供应商应当在法定质疑期内一次性提出针对同一采购程序环节的质疑。</w:t>
      </w:r>
    </w:p>
    <w:p>
      <w:pPr>
        <w:pStyle w:val="95"/>
        <w:tabs>
          <w:tab w:val="clear" w:pos="1440"/>
          <w:tab w:val="clear" w:pos="1620"/>
        </w:tabs>
        <w:spacing w:before="0" w:after="0" w:line="500" w:lineRule="exact"/>
        <w:ind w:firstLine="472" w:firstLineChars="196"/>
        <w:rPr>
          <w:color w:val="auto"/>
          <w:sz w:val="24"/>
          <w:szCs w:val="24"/>
        </w:rPr>
      </w:pPr>
      <w:bookmarkStart w:id="62" w:name="_Toc8904102"/>
      <w:r>
        <w:rPr>
          <w:rFonts w:hint="eastAsia"/>
          <w:color w:val="auto"/>
          <w:sz w:val="24"/>
          <w:szCs w:val="24"/>
        </w:rPr>
        <w:t>34．投诉</w:t>
      </w:r>
      <w:bookmarkEnd w:id="62"/>
    </w:p>
    <w:p>
      <w:pPr>
        <w:pStyle w:val="87"/>
        <w:spacing w:line="500" w:lineRule="exact"/>
        <w:ind w:firstLine="494"/>
        <w:rPr>
          <w:rFonts w:ascii="宋体" w:eastAsia="宋体"/>
          <w:sz w:val="24"/>
          <w:szCs w:val="24"/>
        </w:rPr>
      </w:pPr>
      <w:r>
        <w:rPr>
          <w:rFonts w:hint="eastAsia" w:ascii="宋体" w:eastAsia="宋体"/>
          <w:sz w:val="24"/>
          <w:szCs w:val="24"/>
        </w:rPr>
        <w:t>供应商对采购代理机构或采购人的质疑答复不满意或在规定时间内未作出答复的，可以在答复期满后15个工作日内向财政部门投诉。</w:t>
      </w:r>
    </w:p>
    <w:p>
      <w:pPr>
        <w:pStyle w:val="4"/>
        <w:spacing w:before="0" w:after="0" w:line="500" w:lineRule="exact"/>
        <w:rPr>
          <w:rFonts w:ascii="宋体" w:hAnsi="宋体" w:eastAsia="宋体"/>
          <w:bCs/>
          <w:sz w:val="24"/>
          <w:szCs w:val="24"/>
        </w:rPr>
      </w:pPr>
      <w:bookmarkStart w:id="63" w:name="_Toc8904103"/>
      <w:r>
        <w:rPr>
          <w:rFonts w:hint="eastAsia" w:ascii="宋体" w:hAnsi="宋体" w:eastAsia="宋体"/>
          <w:bCs/>
          <w:sz w:val="24"/>
          <w:szCs w:val="24"/>
        </w:rPr>
        <w:t>八、其他</w:t>
      </w:r>
      <w:bookmarkEnd w:id="63"/>
    </w:p>
    <w:p>
      <w:pPr>
        <w:pStyle w:val="95"/>
        <w:tabs>
          <w:tab w:val="clear" w:pos="1440"/>
          <w:tab w:val="clear" w:pos="1620"/>
        </w:tabs>
        <w:spacing w:before="0" w:after="0" w:line="500" w:lineRule="exact"/>
        <w:ind w:firstLine="472" w:firstLineChars="196"/>
        <w:rPr>
          <w:color w:val="auto"/>
          <w:sz w:val="24"/>
          <w:szCs w:val="24"/>
        </w:rPr>
      </w:pPr>
      <w:bookmarkStart w:id="64" w:name="_Toc8904104"/>
      <w:r>
        <w:rPr>
          <w:rFonts w:hint="eastAsia"/>
          <w:color w:val="auto"/>
          <w:sz w:val="24"/>
          <w:szCs w:val="24"/>
        </w:rPr>
        <w:t>35．废标</w:t>
      </w:r>
      <w:bookmarkEnd w:id="64"/>
    </w:p>
    <w:p>
      <w:pPr>
        <w:spacing w:line="500" w:lineRule="exact"/>
        <w:ind w:firstLine="494" w:firstLineChars="206"/>
        <w:rPr>
          <w:rFonts w:ascii="宋体" w:hAnsi="宋体"/>
          <w:sz w:val="24"/>
          <w:szCs w:val="24"/>
        </w:rPr>
      </w:pPr>
      <w:r>
        <w:rPr>
          <w:rFonts w:hint="eastAsia" w:ascii="宋体" w:hAnsi="宋体"/>
          <w:sz w:val="24"/>
          <w:szCs w:val="24"/>
        </w:rPr>
        <w:t>在招标采购中，出现下列情形之一的，应予废标。</w:t>
      </w:r>
    </w:p>
    <w:p>
      <w:pPr>
        <w:spacing w:line="500" w:lineRule="exact"/>
        <w:ind w:firstLine="494" w:firstLineChars="206"/>
        <w:rPr>
          <w:rFonts w:ascii="宋体" w:hAnsi="宋体"/>
          <w:sz w:val="24"/>
          <w:szCs w:val="24"/>
        </w:rPr>
      </w:pPr>
      <w:r>
        <w:rPr>
          <w:rFonts w:hint="eastAsia" w:ascii="宋体" w:hAnsi="宋体"/>
          <w:sz w:val="24"/>
          <w:szCs w:val="24"/>
        </w:rPr>
        <w:t>35.1符合专业条件的供应商或者对招标文件作实质响应的供应商不足三家的；</w:t>
      </w:r>
    </w:p>
    <w:p>
      <w:pPr>
        <w:spacing w:line="500" w:lineRule="exact"/>
        <w:ind w:firstLine="494" w:firstLineChars="206"/>
        <w:rPr>
          <w:rFonts w:ascii="宋体" w:hAnsi="宋体"/>
          <w:sz w:val="24"/>
          <w:szCs w:val="24"/>
        </w:rPr>
      </w:pPr>
      <w:r>
        <w:rPr>
          <w:rFonts w:hint="eastAsia" w:ascii="宋体" w:hAnsi="宋体"/>
          <w:sz w:val="24"/>
          <w:szCs w:val="24"/>
        </w:rPr>
        <w:t>35.2出现影响采购公正的违法、违规行为的；</w:t>
      </w:r>
    </w:p>
    <w:p>
      <w:pPr>
        <w:spacing w:line="500" w:lineRule="exact"/>
        <w:ind w:firstLine="494" w:firstLineChars="206"/>
        <w:rPr>
          <w:rFonts w:ascii="宋体" w:hAnsi="宋体"/>
          <w:sz w:val="24"/>
          <w:szCs w:val="24"/>
        </w:rPr>
      </w:pPr>
      <w:r>
        <w:rPr>
          <w:rFonts w:hint="eastAsia" w:ascii="宋体" w:hAnsi="宋体"/>
          <w:sz w:val="24"/>
          <w:szCs w:val="24"/>
        </w:rPr>
        <w:t>35.3投标人的报价均超过了采购预算，采购人不能支付的；</w:t>
      </w:r>
    </w:p>
    <w:p>
      <w:pPr>
        <w:spacing w:line="500" w:lineRule="exact"/>
        <w:ind w:firstLine="494" w:firstLineChars="206"/>
        <w:rPr>
          <w:rFonts w:ascii="宋体" w:hAnsi="宋体"/>
          <w:sz w:val="24"/>
          <w:szCs w:val="24"/>
        </w:rPr>
      </w:pPr>
      <w:r>
        <w:rPr>
          <w:rFonts w:hint="eastAsia" w:ascii="宋体" w:hAnsi="宋体"/>
          <w:sz w:val="24"/>
          <w:szCs w:val="24"/>
        </w:rPr>
        <w:t>35.4因重大变故，采购任务取消的。</w:t>
      </w:r>
    </w:p>
    <w:p>
      <w:pPr>
        <w:pStyle w:val="95"/>
        <w:tabs>
          <w:tab w:val="clear" w:pos="1440"/>
          <w:tab w:val="clear" w:pos="1620"/>
        </w:tabs>
        <w:spacing w:before="0" w:after="0" w:line="500" w:lineRule="exact"/>
        <w:ind w:firstLine="472" w:firstLineChars="196"/>
        <w:rPr>
          <w:color w:val="auto"/>
          <w:sz w:val="24"/>
          <w:szCs w:val="24"/>
        </w:rPr>
      </w:pPr>
      <w:bookmarkStart w:id="65" w:name="_Toc8904105"/>
      <w:r>
        <w:rPr>
          <w:rFonts w:hint="eastAsia"/>
          <w:color w:val="auto"/>
          <w:sz w:val="24"/>
          <w:szCs w:val="24"/>
        </w:rPr>
        <w:t>36．采购代理机构代理费用</w:t>
      </w:r>
      <w:bookmarkEnd w:id="65"/>
    </w:p>
    <w:p>
      <w:pPr>
        <w:spacing w:line="500" w:lineRule="exact"/>
        <w:ind w:firstLine="494" w:firstLineChars="206"/>
        <w:rPr>
          <w:rFonts w:ascii="宋体" w:hAnsi="宋体"/>
          <w:sz w:val="24"/>
          <w:szCs w:val="24"/>
        </w:rPr>
      </w:pPr>
      <w:r>
        <w:rPr>
          <w:rFonts w:hint="eastAsia" w:ascii="宋体" w:hAnsi="宋体"/>
          <w:sz w:val="24"/>
          <w:szCs w:val="24"/>
        </w:rPr>
        <w:t>代理费用由中标、成交供应商向采购代理机构支付。按计价格[2002]1980号文相关规定收取，以中标、成交通知书中确定的中标、成交金额作为收费基准。</w:t>
      </w:r>
    </w:p>
    <w:p>
      <w:pPr>
        <w:pStyle w:val="95"/>
        <w:tabs>
          <w:tab w:val="clear" w:pos="1440"/>
          <w:tab w:val="clear" w:pos="1620"/>
        </w:tabs>
        <w:spacing w:before="0" w:after="0" w:line="500" w:lineRule="exact"/>
        <w:ind w:firstLine="472" w:firstLineChars="196"/>
        <w:rPr>
          <w:color w:val="auto"/>
          <w:sz w:val="24"/>
          <w:szCs w:val="24"/>
        </w:rPr>
      </w:pPr>
      <w:bookmarkStart w:id="66" w:name="_Toc8904106"/>
      <w:r>
        <w:rPr>
          <w:rFonts w:hint="eastAsia"/>
          <w:color w:val="auto"/>
          <w:sz w:val="24"/>
          <w:szCs w:val="24"/>
        </w:rPr>
        <w:t>37．适用法律</w:t>
      </w:r>
      <w:bookmarkEnd w:id="66"/>
    </w:p>
    <w:p>
      <w:pPr>
        <w:pStyle w:val="87"/>
        <w:spacing w:line="500" w:lineRule="exact"/>
        <w:ind w:firstLine="494"/>
        <w:rPr>
          <w:rFonts w:ascii="宋体" w:eastAsia="宋体"/>
          <w:sz w:val="24"/>
          <w:szCs w:val="24"/>
        </w:rPr>
      </w:pPr>
      <w:r>
        <w:rPr>
          <w:rFonts w:hint="eastAsia" w:ascii="宋体" w:eastAsia="宋体"/>
          <w:sz w:val="24"/>
          <w:szCs w:val="24"/>
        </w:rPr>
        <w:t>采购代理机构、采购人及供应商进行的本次政府采购活动适用《中华人民共和国政府采购法》及其实施条例、《政府采购货物和服务招标投标管理办法》等及其配套的法规、规章、政策。</w:t>
      </w:r>
    </w:p>
    <w:p>
      <w:pPr>
        <w:pStyle w:val="95"/>
        <w:tabs>
          <w:tab w:val="clear" w:pos="1440"/>
          <w:tab w:val="clear" w:pos="1620"/>
        </w:tabs>
        <w:spacing w:before="0" w:after="0" w:line="500" w:lineRule="exact"/>
        <w:ind w:firstLine="472" w:firstLineChars="196"/>
        <w:rPr>
          <w:color w:val="auto"/>
          <w:sz w:val="24"/>
          <w:szCs w:val="24"/>
        </w:rPr>
      </w:pPr>
      <w:bookmarkStart w:id="67" w:name="_Toc8904107"/>
      <w:r>
        <w:rPr>
          <w:rFonts w:hint="eastAsia"/>
          <w:color w:val="auto"/>
          <w:sz w:val="24"/>
          <w:szCs w:val="24"/>
        </w:rPr>
        <w:t>38．招标文件解释权</w:t>
      </w:r>
      <w:bookmarkEnd w:id="67"/>
    </w:p>
    <w:p>
      <w:pPr>
        <w:pStyle w:val="87"/>
        <w:spacing w:line="500" w:lineRule="exact"/>
        <w:ind w:firstLine="494"/>
        <w:rPr>
          <w:rFonts w:ascii="宋体" w:eastAsia="宋体"/>
          <w:sz w:val="24"/>
          <w:szCs w:val="24"/>
        </w:rPr>
      </w:pPr>
      <w:r>
        <w:rPr>
          <w:rFonts w:hint="eastAsia" w:ascii="宋体" w:eastAsia="宋体"/>
          <w:sz w:val="24"/>
          <w:szCs w:val="24"/>
        </w:rPr>
        <w:t>本招标文件解释权属采购代理机构。</w:t>
      </w:r>
    </w:p>
    <w:p>
      <w:pPr>
        <w:pStyle w:val="87"/>
        <w:ind w:firstLine="494"/>
        <w:rPr>
          <w:rFonts w:ascii="宋体" w:eastAsia="宋体"/>
          <w:sz w:val="24"/>
          <w:szCs w:val="24"/>
        </w:rPr>
      </w:pPr>
      <w:r>
        <w:rPr>
          <w:rFonts w:ascii="宋体" w:eastAsia="宋体"/>
          <w:sz w:val="24"/>
          <w:szCs w:val="24"/>
        </w:rPr>
        <w:br w:type="page"/>
      </w: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3"/>
        <w:spacing w:before="0" w:after="0" w:line="400" w:lineRule="exact"/>
        <w:ind w:left="241" w:leftChars="115"/>
        <w:rPr>
          <w:rFonts w:ascii="宋体" w:hAnsi="宋体"/>
          <w:spacing w:val="20"/>
          <w:sz w:val="32"/>
          <w:szCs w:val="32"/>
        </w:rPr>
      </w:pPr>
      <w:bookmarkStart w:id="68" w:name="_Toc8904108"/>
      <w:bookmarkStart w:id="69" w:name="_Toc417050354"/>
      <w:r>
        <w:rPr>
          <w:rFonts w:hint="eastAsia" w:ascii="宋体" w:hAnsi="宋体"/>
          <w:spacing w:val="20"/>
          <w:sz w:val="32"/>
          <w:szCs w:val="32"/>
        </w:rPr>
        <w:t>第三部分  合同书格式</w:t>
      </w:r>
      <w:bookmarkEnd w:id="68"/>
      <w:bookmarkEnd w:id="69"/>
    </w:p>
    <w:p>
      <w:pPr>
        <w:spacing w:line="560" w:lineRule="exact"/>
        <w:ind w:right="560"/>
        <w:rPr>
          <w:rFonts w:ascii="宋体" w:hAnsi="宋体"/>
          <w:sz w:val="24"/>
          <w:szCs w:val="24"/>
        </w:rPr>
      </w:pPr>
      <w:r>
        <w:rPr>
          <w:rFonts w:ascii="宋体"/>
          <w:sz w:val="24"/>
          <w:szCs w:val="24"/>
        </w:rPr>
        <w:br w:type="page"/>
      </w:r>
      <w:r>
        <w:rPr>
          <w:rFonts w:hint="eastAsia" w:ascii="宋体" w:hAnsi="宋体"/>
          <w:sz w:val="24"/>
          <w:szCs w:val="24"/>
        </w:rPr>
        <w:t>合同编号：</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甲方：（采购人）</w:t>
      </w:r>
    </w:p>
    <w:p>
      <w:pPr>
        <w:spacing w:line="560" w:lineRule="exact"/>
        <w:rPr>
          <w:rFonts w:ascii="宋体" w:hAnsi="宋体"/>
          <w:sz w:val="24"/>
          <w:szCs w:val="24"/>
        </w:rPr>
      </w:pPr>
      <w:r>
        <w:rPr>
          <w:rFonts w:hint="eastAsia" w:ascii="宋体" w:hAnsi="宋体"/>
          <w:sz w:val="24"/>
          <w:szCs w:val="24"/>
        </w:rPr>
        <w:t>乙方：（中标供应商）</w:t>
      </w:r>
    </w:p>
    <w:p>
      <w:pPr>
        <w:pStyle w:val="40"/>
        <w:spacing w:line="560" w:lineRule="exact"/>
        <w:ind w:firstLine="480"/>
        <w:rPr>
          <w:rFonts w:ascii="宋体" w:hAnsi="宋体"/>
        </w:rPr>
      </w:pPr>
      <w:r>
        <w:rPr>
          <w:rFonts w:hint="eastAsia" w:ascii="宋体" w:hAnsi="宋体"/>
        </w:rPr>
        <w:t>受甲方委托，</w:t>
      </w:r>
      <w:r>
        <w:rPr>
          <w:rFonts w:hint="eastAsia" w:ascii="宋体" w:hAnsi="宋体"/>
          <w:u w:val="single"/>
        </w:rPr>
        <w:t>东莞市达盛招标代理有限公司</w:t>
      </w:r>
      <w:r>
        <w:rPr>
          <w:rFonts w:hint="eastAsia" w:ascii="宋体" w:hAnsi="宋体"/>
        </w:rPr>
        <w:t>组织对</w:t>
      </w:r>
      <w:r>
        <w:rPr>
          <w:rFonts w:hint="eastAsia" w:ascii="宋体" w:hAnsi="宋体"/>
          <w:u w:val="single"/>
        </w:rPr>
        <w:t>流动注射仪微波消解仪等仪器设备采购</w:t>
      </w:r>
      <w:r>
        <w:rPr>
          <w:rFonts w:hint="eastAsia" w:ascii="宋体" w:hAnsi="宋体"/>
        </w:rPr>
        <w:t>（采购编号为</w:t>
      </w:r>
      <w:r>
        <w:rPr>
          <w:rFonts w:hint="eastAsia" w:ascii="宋体" w:hAnsi="宋体"/>
          <w:u w:val="single"/>
        </w:rPr>
        <w:t xml:space="preserve">       </w:t>
      </w:r>
      <w:r>
        <w:rPr>
          <w:rFonts w:hint="eastAsia" w:ascii="宋体" w:hAnsi="宋体"/>
        </w:rPr>
        <w:t>）进行采购，于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日通过公开招标，经评标委员会评定乙方</w:t>
      </w:r>
      <w:r>
        <w:rPr>
          <w:rFonts w:hint="eastAsia" w:ascii="宋体" w:hAnsi="宋体"/>
          <w:u w:val="single"/>
        </w:rPr>
        <w:t xml:space="preserve">      </w:t>
      </w:r>
      <w:r>
        <w:rPr>
          <w:rFonts w:hint="eastAsia" w:ascii="宋体" w:hAnsi="宋体"/>
        </w:rPr>
        <w:t>为中标供应商。为了保护甲乙双方合法权益，根据《中华人民共和国政府采购法》及其实施条例、《中华人民共和国合同法》，在平等自愿的基础上，按照下面的条款和条件，签署本合同。</w:t>
      </w:r>
    </w:p>
    <w:p>
      <w:pPr>
        <w:pStyle w:val="40"/>
        <w:spacing w:line="560" w:lineRule="exact"/>
        <w:ind w:firstLine="480"/>
        <w:rPr>
          <w:rFonts w:ascii="宋体" w:hAnsi="宋体"/>
        </w:rPr>
      </w:pPr>
      <w:r>
        <w:rPr>
          <w:rFonts w:hint="eastAsia" w:ascii="宋体" w:hAnsi="宋体"/>
        </w:rPr>
        <w:t>1货物需求一览表及技术规格</w:t>
      </w:r>
    </w:p>
    <w:p>
      <w:pPr>
        <w:pStyle w:val="40"/>
        <w:spacing w:line="560" w:lineRule="exact"/>
        <w:ind w:firstLine="480"/>
        <w:rPr>
          <w:rFonts w:ascii="宋体" w:hAnsi="宋体"/>
        </w:rPr>
      </w:pPr>
    </w:p>
    <w:p>
      <w:pPr>
        <w:pStyle w:val="40"/>
        <w:spacing w:line="560" w:lineRule="exact"/>
        <w:ind w:firstLine="480"/>
        <w:rPr>
          <w:rFonts w:ascii="宋体" w:hAnsi="宋体"/>
        </w:rPr>
      </w:pPr>
      <w:r>
        <w:rPr>
          <w:rFonts w:hint="eastAsia" w:ascii="宋体" w:hAnsi="宋体"/>
        </w:rPr>
        <w:t>2本合同总价为人民币</w:t>
      </w:r>
      <w:r>
        <w:rPr>
          <w:rFonts w:hint="eastAsia" w:ascii="宋体" w:hAnsi="宋体"/>
          <w:u w:val="single"/>
        </w:rPr>
        <w:t xml:space="preserve">¥         </w:t>
      </w:r>
      <w:r>
        <w:rPr>
          <w:rFonts w:hint="eastAsia" w:ascii="宋体" w:hAnsi="宋体"/>
        </w:rPr>
        <w:t>元（大写金额：</w:t>
      </w:r>
      <w:r>
        <w:rPr>
          <w:rFonts w:hint="eastAsia" w:ascii="宋体" w:hAnsi="宋体"/>
          <w:u w:val="single"/>
        </w:rPr>
        <w:t xml:space="preserve">      </w:t>
      </w:r>
      <w:r>
        <w:rPr>
          <w:rFonts w:hint="eastAsia" w:ascii="宋体" w:hAnsi="宋体"/>
        </w:rPr>
        <w:t>）。包含了产品购置费、安装调试费、运费、售后服务费及验收合格之前和保修期间的备品备件发生的所有含税费用。</w:t>
      </w:r>
    </w:p>
    <w:p>
      <w:pPr>
        <w:pStyle w:val="40"/>
        <w:spacing w:line="560" w:lineRule="exact"/>
        <w:ind w:firstLine="480"/>
        <w:rPr>
          <w:rFonts w:ascii="宋体" w:hAnsi="宋体"/>
          <w:u w:val="single"/>
        </w:rPr>
      </w:pPr>
      <w:r>
        <w:rPr>
          <w:rFonts w:hint="eastAsia" w:ascii="宋体" w:hAnsi="宋体"/>
        </w:rPr>
        <w:t>3本合同的付款方式为：</w:t>
      </w:r>
      <w:r>
        <w:rPr>
          <w:rFonts w:ascii="宋体" w:hAnsi="宋体"/>
          <w:color w:val="000000"/>
          <w:u w:val="single"/>
        </w:rPr>
        <w:t>签订合同后7天内，甲方向乙方支付合同价的30%；主要设备到达现场，设备初验符合要求的，甲方向乙方支付至合同价的40%；安装调试完毕、验收合格的，甲方向乙方支付至合同价的95%。余下5%作为质量保证金，1年期满且完成全部的保修内容，按规定审核结算后的十五个工作日无息支付。</w:t>
      </w:r>
    </w:p>
    <w:p>
      <w:pPr>
        <w:pStyle w:val="40"/>
        <w:spacing w:line="560" w:lineRule="exact"/>
        <w:ind w:firstLine="480"/>
        <w:rPr>
          <w:rFonts w:ascii="宋体" w:hAnsi="宋体"/>
        </w:rPr>
      </w:pPr>
      <w:r>
        <w:rPr>
          <w:rFonts w:hint="eastAsia" w:ascii="宋体" w:hAnsi="宋体"/>
        </w:rPr>
        <w:t>乙方必须在申请验收时向甲方提供本项目的有效合法的发票。乙方提供发票迟延的，甲方有权延迟验收及支付款项。</w:t>
      </w:r>
    </w:p>
    <w:p>
      <w:pPr>
        <w:pStyle w:val="40"/>
        <w:spacing w:line="560" w:lineRule="exact"/>
        <w:ind w:firstLine="480"/>
        <w:rPr>
          <w:rFonts w:ascii="宋体" w:hAnsi="宋体"/>
        </w:rPr>
      </w:pPr>
      <w:r>
        <w:rPr>
          <w:rFonts w:hint="eastAsia" w:ascii="宋体" w:hAnsi="宋体"/>
        </w:rPr>
        <w:t>货款支付程序如按照东莞市财政支付程序（即会计核算中心或东莞市国库集中支付中心支付程序）支付、则约定的付款期限为甲方向东莞市会计核算中心提交资料的期限，东莞市会计核算中心的审批期限不纳入甲方承诺期限内。如果乙方怠于或者拒绝提供资料或者办理手续的，则因此产生的付款迟延的责任全部由乙方承担。</w:t>
      </w:r>
    </w:p>
    <w:p>
      <w:pPr>
        <w:pStyle w:val="40"/>
        <w:spacing w:line="560" w:lineRule="exact"/>
        <w:ind w:firstLine="480"/>
        <w:rPr>
          <w:rFonts w:ascii="宋体" w:hAnsi="宋体"/>
          <w:u w:val="single"/>
        </w:rPr>
      </w:pPr>
      <w:r>
        <w:rPr>
          <w:rFonts w:hint="eastAsia" w:ascii="宋体" w:hAnsi="宋体"/>
        </w:rPr>
        <w:t>4本合同货物的交货时间为：</w:t>
      </w:r>
      <w:r>
        <w:rPr>
          <w:rFonts w:ascii="宋体" w:hAnsi="宋体"/>
          <w:color w:val="000000"/>
          <w:u w:val="single"/>
        </w:rPr>
        <w:t>合同签订后90天内</w:t>
      </w:r>
      <w:r>
        <w:rPr>
          <w:rFonts w:hint="eastAsia" w:ascii="宋体" w:hAnsi="宋体"/>
          <w:color w:val="000000"/>
          <w:u w:val="single"/>
        </w:rPr>
        <w:t xml:space="preserve"> </w:t>
      </w:r>
      <w:r>
        <w:rPr>
          <w:rFonts w:hint="eastAsia" w:ascii="宋体" w:hAnsi="宋体"/>
        </w:rPr>
        <w:t>；交货地点为：</w:t>
      </w:r>
      <w:r>
        <w:rPr>
          <w:rFonts w:ascii="宋体" w:hAnsi="宋体"/>
          <w:color w:val="000000"/>
          <w:u w:val="single"/>
        </w:rPr>
        <w:t>采购人实验室或采购人指定的地点</w:t>
      </w:r>
      <w:r>
        <w:rPr>
          <w:rFonts w:hint="eastAsia" w:ascii="宋体" w:hAnsi="宋体"/>
          <w:u w:val="single"/>
        </w:rPr>
        <w:t>。</w:t>
      </w:r>
    </w:p>
    <w:p>
      <w:pPr>
        <w:pStyle w:val="40"/>
        <w:spacing w:line="560" w:lineRule="exact"/>
        <w:ind w:firstLine="480"/>
        <w:rPr>
          <w:rFonts w:ascii="宋体" w:hAnsi="宋体"/>
        </w:rPr>
      </w:pPr>
      <w:r>
        <w:rPr>
          <w:rFonts w:hint="eastAsia" w:ascii="宋体" w:hAnsi="宋体"/>
        </w:rPr>
        <w:t>5本合同货物的质保期为：</w:t>
      </w:r>
      <w:r>
        <w:rPr>
          <w:rFonts w:hint="eastAsia" w:ascii="宋体" w:hAnsi="宋体"/>
          <w:u w:val="single"/>
        </w:rPr>
        <w:t xml:space="preserve"> 1年   </w:t>
      </w:r>
      <w:r>
        <w:rPr>
          <w:rFonts w:hint="eastAsia" w:ascii="宋体" w:hAnsi="宋体"/>
        </w:rPr>
        <w:t>。（自货物交付并经甲方验收合格之日起算）。质量保修期内发生质量问题，由乙方在接到甲方的通知</w:t>
      </w:r>
      <w:r>
        <w:rPr>
          <w:rFonts w:hint="eastAsia" w:ascii="宋体" w:hAnsi="宋体"/>
          <w:u w:val="single"/>
        </w:rPr>
        <w:t xml:space="preserve">   </w:t>
      </w:r>
      <w:r>
        <w:rPr>
          <w:rFonts w:hint="eastAsia" w:ascii="宋体" w:hAnsi="宋体"/>
        </w:rPr>
        <w:t>小时内响应，在</w:t>
      </w:r>
      <w:r>
        <w:rPr>
          <w:rFonts w:hint="eastAsia" w:ascii="宋体" w:hAnsi="宋体"/>
          <w:u w:val="single"/>
        </w:rPr>
        <w:t xml:space="preserve">   </w:t>
      </w:r>
      <w:r>
        <w:rPr>
          <w:rFonts w:hint="eastAsia" w:ascii="宋体" w:hAnsi="宋体"/>
        </w:rPr>
        <w:t>小时内派人到现场解决问题，乙方怠于或拒绝履行的，甲方可委托第三方代为履行，发生的费用及损失由乙方承担。</w:t>
      </w:r>
    </w:p>
    <w:p>
      <w:pPr>
        <w:pStyle w:val="40"/>
        <w:spacing w:line="560" w:lineRule="exact"/>
        <w:ind w:firstLine="480"/>
        <w:rPr>
          <w:rFonts w:ascii="宋体" w:hAnsi="宋体"/>
        </w:rPr>
      </w:pPr>
      <w:r>
        <w:rPr>
          <w:rFonts w:hint="eastAsia" w:ascii="宋体" w:hAnsi="宋体"/>
        </w:rPr>
        <w:t>6甲方根据项目要求增加其他必要条款。（如果有的话）</w:t>
      </w:r>
    </w:p>
    <w:p>
      <w:pPr>
        <w:pStyle w:val="40"/>
        <w:spacing w:line="560" w:lineRule="exact"/>
        <w:ind w:firstLine="480"/>
        <w:rPr>
          <w:rFonts w:ascii="宋体" w:hAnsi="宋体"/>
        </w:rPr>
      </w:pPr>
      <w:r>
        <w:rPr>
          <w:rFonts w:hint="eastAsia" w:ascii="宋体" w:hAnsi="宋体"/>
        </w:rPr>
        <w:t xml:space="preserve">7 技术规范 </w:t>
      </w:r>
    </w:p>
    <w:p>
      <w:pPr>
        <w:pStyle w:val="40"/>
        <w:spacing w:line="560" w:lineRule="exact"/>
        <w:ind w:firstLine="480"/>
        <w:rPr>
          <w:rFonts w:ascii="宋体" w:hAnsi="宋体"/>
        </w:rPr>
      </w:pPr>
      <w:r>
        <w:rPr>
          <w:rFonts w:hint="eastAsia" w:ascii="宋体" w:hAnsi="宋体"/>
        </w:rPr>
        <w:t xml:space="preserve">7.1提交货物的技术规范应与招标文件规定的技术规范和其投标文件的技术规范相一致。若技术规范中无相应说明，则以国家有关部门最新颁布的相应标准及规范为准。 </w:t>
      </w:r>
    </w:p>
    <w:p>
      <w:pPr>
        <w:pStyle w:val="40"/>
        <w:spacing w:line="560" w:lineRule="exact"/>
        <w:ind w:firstLine="480"/>
        <w:rPr>
          <w:rFonts w:ascii="宋体" w:hAnsi="宋体"/>
        </w:rPr>
      </w:pPr>
      <w:r>
        <w:rPr>
          <w:rFonts w:hint="eastAsia" w:ascii="宋体" w:hAnsi="宋体"/>
        </w:rPr>
        <w:t xml:space="preserve">8知识产权 </w:t>
      </w:r>
    </w:p>
    <w:p>
      <w:pPr>
        <w:pStyle w:val="40"/>
        <w:spacing w:line="560" w:lineRule="exact"/>
        <w:ind w:firstLine="480"/>
        <w:rPr>
          <w:rFonts w:ascii="宋体" w:hAnsi="宋体"/>
        </w:rPr>
      </w:pPr>
      <w:r>
        <w:rPr>
          <w:rFonts w:hint="eastAsia" w:ascii="宋体" w:hAnsi="宋体"/>
        </w:rPr>
        <w:t xml:space="preserve">8.1 乙方应保证甲方在使用该货物或其任何一部分时不受第三方提出的侵犯专利权、著作权、商标权和工业设计权等的起诉。如果任何第三方提出侵权指控，乙方须与第三方交涉并承担由此发生的一切责任、费用和经济赔偿，导致甲方不能使用成果的应退还全部项目费用，并承担违约责任及赔偿因此给甲方造成的全部损失。 </w:t>
      </w:r>
    </w:p>
    <w:p>
      <w:pPr>
        <w:pStyle w:val="40"/>
        <w:spacing w:line="560" w:lineRule="exact"/>
        <w:ind w:firstLine="480"/>
        <w:rPr>
          <w:rFonts w:ascii="宋体" w:hAnsi="宋体"/>
        </w:rPr>
      </w:pPr>
      <w:r>
        <w:rPr>
          <w:rFonts w:hint="eastAsia" w:ascii="宋体" w:hAnsi="宋体"/>
        </w:rPr>
        <w:t xml:space="preserve">9 包装要求 </w:t>
      </w:r>
    </w:p>
    <w:p>
      <w:pPr>
        <w:pStyle w:val="40"/>
        <w:spacing w:line="560" w:lineRule="exact"/>
        <w:ind w:firstLine="480"/>
        <w:rPr>
          <w:rFonts w:ascii="宋体" w:hAnsi="宋体"/>
        </w:rPr>
      </w:pPr>
      <w:r>
        <w:rPr>
          <w:rFonts w:hint="eastAsia" w:ascii="宋体" w:hAnsi="宋体"/>
        </w:rPr>
        <w:t xml:space="preserve">9.1 除合同另有约定外，乙方提供的全部货物，均应采用本行业通用的方式进行包装，且该包装应符合国家有关包装的法律、法规的规定。包装应适应于远距离运输、防潮、防震、防锈和防粗暴装卸，确保货物安全无损，运抵现场。由于包装不善所引起的货物锈蚀、损坏和损失均由乙方承担。 </w:t>
      </w:r>
    </w:p>
    <w:p>
      <w:pPr>
        <w:pStyle w:val="40"/>
        <w:spacing w:line="560" w:lineRule="exact"/>
        <w:ind w:firstLine="480"/>
        <w:rPr>
          <w:rFonts w:ascii="宋体" w:hAnsi="宋体"/>
        </w:rPr>
      </w:pPr>
      <w:r>
        <w:rPr>
          <w:rFonts w:hint="eastAsia" w:ascii="宋体" w:hAnsi="宋体"/>
        </w:rPr>
        <w:t xml:space="preserve">9.2 每件包装箱内应附一份详细装箱单和质量合格证。 </w:t>
      </w:r>
    </w:p>
    <w:p>
      <w:pPr>
        <w:pStyle w:val="40"/>
        <w:spacing w:line="560" w:lineRule="exact"/>
        <w:ind w:firstLine="480"/>
        <w:rPr>
          <w:rFonts w:ascii="宋体" w:hAnsi="宋体"/>
        </w:rPr>
      </w:pPr>
      <w:r>
        <w:rPr>
          <w:rFonts w:hint="eastAsia" w:ascii="宋体" w:hAnsi="宋体"/>
        </w:rPr>
        <w:t xml:space="preserve">10技术资料 </w:t>
      </w:r>
    </w:p>
    <w:p>
      <w:pPr>
        <w:pStyle w:val="40"/>
        <w:spacing w:line="560" w:lineRule="exact"/>
        <w:ind w:firstLine="480"/>
        <w:rPr>
          <w:rFonts w:ascii="宋体" w:hAnsi="宋体"/>
        </w:rPr>
      </w:pPr>
      <w:r>
        <w:rPr>
          <w:rFonts w:hint="eastAsia" w:ascii="宋体" w:hAnsi="宋体"/>
        </w:rPr>
        <w:t>10.1乙方所提供货物必须符合国家有关规范和环保要求及甲方的技术要求，并提供货物的出厂测试报告及合格证，进口产品必须具备原产地证明或商检部门的检验证明及合法进货渠道证明。</w:t>
      </w:r>
    </w:p>
    <w:p>
      <w:pPr>
        <w:pStyle w:val="40"/>
        <w:spacing w:line="560" w:lineRule="exact"/>
        <w:ind w:firstLine="480"/>
        <w:rPr>
          <w:rFonts w:ascii="宋体" w:hAnsi="宋体"/>
        </w:rPr>
      </w:pPr>
      <w:r>
        <w:rPr>
          <w:rFonts w:hint="eastAsia" w:ascii="宋体" w:hAnsi="宋体"/>
        </w:rPr>
        <w:t xml:space="preserve">11 质量保证 </w:t>
      </w:r>
    </w:p>
    <w:p>
      <w:pPr>
        <w:pStyle w:val="40"/>
        <w:spacing w:line="560" w:lineRule="exact"/>
        <w:ind w:firstLine="480"/>
        <w:rPr>
          <w:rFonts w:ascii="宋体" w:hAnsi="宋体"/>
        </w:rPr>
      </w:pPr>
      <w:r>
        <w:rPr>
          <w:rFonts w:hint="eastAsia" w:ascii="宋体" w:hAnsi="宋体"/>
        </w:rPr>
        <w:t xml:space="preserve">11.1 乙方须保证货物是全新、未使用过的，并完全符合强制性的国家技术质量规范和合同规定的质量、规格、性能和技术规范等的要求。 </w:t>
      </w:r>
    </w:p>
    <w:p>
      <w:pPr>
        <w:pStyle w:val="40"/>
        <w:spacing w:line="560" w:lineRule="exact"/>
        <w:ind w:firstLine="480"/>
        <w:rPr>
          <w:rFonts w:ascii="宋体" w:hAnsi="宋体"/>
        </w:rPr>
      </w:pPr>
      <w:r>
        <w:rPr>
          <w:rFonts w:hint="eastAsia" w:ascii="宋体" w:hAnsi="宋体"/>
        </w:rPr>
        <w:t xml:space="preserve">11.2 乙方须保证所提供的货物经正确安装、正常运转和保养，在其使用寿命期内须具有符合质量要求和产品说明书的性能。在货物质量保证期之内，乙方须对由于设计、工艺或材料的缺陷而发生的任何不足或故障负责。 </w:t>
      </w:r>
    </w:p>
    <w:p>
      <w:pPr>
        <w:pStyle w:val="40"/>
        <w:spacing w:line="560" w:lineRule="exact"/>
        <w:ind w:firstLine="480"/>
        <w:rPr>
          <w:rFonts w:ascii="宋体" w:hAnsi="宋体"/>
        </w:rPr>
      </w:pPr>
      <w:r>
        <w:rPr>
          <w:rFonts w:hint="eastAsia" w:ascii="宋体" w:hAnsi="宋体"/>
        </w:rPr>
        <w:t>11.3 根据甲方按检验标准自己检验结果或委托有资质的相关质检机构的检验结果，发现货物的数量、质量、规格与本合同不符；或者在质量保证期内，证实货物存在缺陷，包括潜在的缺陷或使用不符合要求的材料等，甲方应尽快以书面形式通知乙方。乙方在收到通知后</w:t>
      </w:r>
      <w:r>
        <w:rPr>
          <w:rFonts w:hint="eastAsia" w:ascii="宋体" w:hAnsi="宋体"/>
          <w:u w:val="single"/>
        </w:rPr>
        <w:t xml:space="preserve">    </w:t>
      </w:r>
      <w:r>
        <w:rPr>
          <w:rFonts w:hint="eastAsia" w:ascii="宋体" w:hAnsi="宋体"/>
        </w:rPr>
        <w:t xml:space="preserve">天内应免费维修或更换有缺陷的货物或部件。 </w:t>
      </w:r>
    </w:p>
    <w:p>
      <w:pPr>
        <w:pStyle w:val="40"/>
        <w:spacing w:line="560" w:lineRule="exact"/>
        <w:ind w:firstLine="480"/>
        <w:rPr>
          <w:rFonts w:ascii="宋体" w:hAnsi="宋体"/>
        </w:rPr>
      </w:pPr>
      <w:r>
        <w:rPr>
          <w:rFonts w:hint="eastAsia" w:ascii="宋体" w:hAnsi="宋体"/>
        </w:rPr>
        <w:t>11.4 如果乙方在收到通知后</w:t>
      </w:r>
      <w:r>
        <w:rPr>
          <w:rFonts w:hint="eastAsia" w:ascii="宋体" w:hAnsi="宋体"/>
          <w:u w:val="single"/>
        </w:rPr>
        <w:t xml:space="preserve">   </w:t>
      </w:r>
      <w:r>
        <w:rPr>
          <w:rFonts w:hint="eastAsia" w:ascii="宋体" w:hAnsi="宋体"/>
        </w:rPr>
        <w:t xml:space="preserve">天内没有弥补缺陷，甲方有权自行或是委托第三方采取必要的补救措施，但由此引发的风险和费用将由乙方承担。 </w:t>
      </w:r>
    </w:p>
    <w:p>
      <w:pPr>
        <w:pStyle w:val="40"/>
        <w:spacing w:line="560" w:lineRule="exact"/>
        <w:ind w:firstLine="480"/>
        <w:rPr>
          <w:rFonts w:ascii="宋体" w:hAnsi="宋体"/>
        </w:rPr>
      </w:pPr>
      <w:r>
        <w:rPr>
          <w:rFonts w:hint="eastAsia" w:ascii="宋体" w:hAnsi="宋体"/>
        </w:rPr>
        <w:t xml:space="preserve">12 检验和验收 </w:t>
      </w:r>
    </w:p>
    <w:p>
      <w:pPr>
        <w:pStyle w:val="40"/>
        <w:spacing w:line="560" w:lineRule="exact"/>
        <w:ind w:firstLine="480"/>
        <w:rPr>
          <w:rFonts w:ascii="宋体" w:hAnsi="宋体"/>
        </w:rPr>
      </w:pPr>
      <w:r>
        <w:rPr>
          <w:rFonts w:hint="eastAsia" w:ascii="宋体" w:hAnsi="宋体"/>
        </w:rPr>
        <w:t>12.1 在交货前，乙方应对货物的质量、规格、性能、数量和重量等进行详细而全面的检验，并出具证明货物符合合同规定的文件。该文件将作为申请付款单据的一部分。</w:t>
      </w:r>
    </w:p>
    <w:p>
      <w:pPr>
        <w:pStyle w:val="40"/>
        <w:spacing w:line="560" w:lineRule="exact"/>
        <w:ind w:firstLine="480"/>
        <w:rPr>
          <w:rFonts w:ascii="宋体" w:hAnsi="宋体"/>
        </w:rPr>
      </w:pPr>
      <w:r>
        <w:rPr>
          <w:rFonts w:hint="eastAsia" w:ascii="宋体" w:hAnsi="宋体"/>
        </w:rPr>
        <w:t>12.2验收按国家有关规定、规范进行。验收时发现所交付的货物有短缺、次品、损坏或其它不符合本合同规定之情形的，甲方应做出详尽的现场记录，或由甲乙双方签署备忘录。此现场记录或备忘录可用作补充、缺失和更换损坏部件的有效证据。由此产生的有关费用由乙方承担。如果合同货物运输和安装调试过程中因事故造成货物短缺、损坏，乙方应及时安排换货，以保证合同货物成功完整交付。换货的相关费用由乙方承担。</w:t>
      </w:r>
    </w:p>
    <w:p>
      <w:pPr>
        <w:pStyle w:val="40"/>
        <w:spacing w:line="560" w:lineRule="exact"/>
        <w:ind w:firstLine="480"/>
        <w:rPr>
          <w:rFonts w:ascii="宋体" w:hAnsi="宋体"/>
        </w:rPr>
      </w:pPr>
      <w:r>
        <w:rPr>
          <w:rFonts w:hint="eastAsia" w:ascii="宋体" w:hAnsi="宋体"/>
        </w:rPr>
        <w:t>12.3 甲方组织项目验收小组按国家有关规定、规范进行验收，必要时邀请相关专业人员或机构参与验收。因货物质量问题发生争议时，由本地质量技术监督部门鉴定。货物符合质量技术标准的，鉴定费由甲方承担；否则，鉴定费由乙方承担。</w:t>
      </w:r>
    </w:p>
    <w:p>
      <w:pPr>
        <w:pStyle w:val="40"/>
        <w:spacing w:line="560" w:lineRule="exact"/>
        <w:ind w:firstLine="480"/>
        <w:rPr>
          <w:rFonts w:ascii="宋体" w:hAnsi="宋体"/>
        </w:rPr>
      </w:pPr>
      <w:r>
        <w:rPr>
          <w:rFonts w:hint="eastAsia" w:ascii="宋体" w:hAnsi="宋体"/>
        </w:rPr>
        <w:t xml:space="preserve">13 索赔 </w:t>
      </w:r>
    </w:p>
    <w:p>
      <w:pPr>
        <w:pStyle w:val="40"/>
        <w:spacing w:line="560" w:lineRule="exact"/>
        <w:ind w:firstLine="480"/>
        <w:rPr>
          <w:rFonts w:ascii="宋体" w:hAnsi="宋体"/>
        </w:rPr>
      </w:pPr>
      <w:r>
        <w:rPr>
          <w:rFonts w:hint="eastAsia" w:ascii="宋体" w:hAnsi="宋体"/>
        </w:rPr>
        <w:t xml:space="preserve">13.1 如果货物的质量、规格、数量、重量等与合同不符，或在合同定的质量保证期内证实货物存有缺陷，包括潜在的缺陷或使用不符合要求的材料等，甲方有权向乙方提出索赔（索赔金额不低于合同总价5%）。 </w:t>
      </w:r>
    </w:p>
    <w:p>
      <w:pPr>
        <w:pStyle w:val="40"/>
        <w:spacing w:line="560" w:lineRule="exact"/>
        <w:ind w:firstLine="480"/>
        <w:rPr>
          <w:rFonts w:ascii="宋体" w:hAnsi="宋体"/>
        </w:rPr>
      </w:pPr>
      <w:r>
        <w:rPr>
          <w:rFonts w:hint="eastAsia" w:ascii="宋体" w:hAnsi="宋体"/>
        </w:rPr>
        <w:t>13.2 在根据合同规定的检验期和质量保证期内，如果乙方对甲方提出的索赔负有责任，乙方应按照甲方同意的方式解决索赔事宜，或由双方协商处理。</w:t>
      </w:r>
    </w:p>
    <w:p>
      <w:pPr>
        <w:pStyle w:val="40"/>
        <w:spacing w:line="560" w:lineRule="exact"/>
        <w:ind w:firstLine="480"/>
        <w:rPr>
          <w:rFonts w:ascii="宋体" w:hAnsi="宋体"/>
        </w:rPr>
      </w:pPr>
      <w:r>
        <w:rPr>
          <w:rFonts w:hint="eastAsia" w:ascii="宋体" w:hAnsi="宋体"/>
        </w:rPr>
        <w:t>13.3 如果在甲方发出索赔通知后</w:t>
      </w:r>
      <w:r>
        <w:rPr>
          <w:rFonts w:hint="eastAsia" w:ascii="宋体" w:hAnsi="宋体"/>
          <w:u w:val="single"/>
        </w:rPr>
        <w:t xml:space="preserve">    </w:t>
      </w:r>
      <w:r>
        <w:rPr>
          <w:rFonts w:hint="eastAsia" w:ascii="宋体" w:hAnsi="宋体"/>
        </w:rPr>
        <w:t>天内，乙方未作答复，上述索赔应视为已被乙方接受。如乙方未能在甲方提出索赔通知后</w:t>
      </w:r>
      <w:r>
        <w:rPr>
          <w:rFonts w:hint="eastAsia" w:ascii="宋体" w:hAnsi="宋体"/>
          <w:u w:val="single"/>
        </w:rPr>
        <w:t xml:space="preserve">    </w:t>
      </w:r>
      <w:r>
        <w:rPr>
          <w:rFonts w:hint="eastAsia" w:ascii="宋体" w:hAnsi="宋体"/>
        </w:rPr>
        <w:t>天内或甲方同意的更长时间内，按照本合同规定的方法解决索赔事宜，甲方将从合同款或从乙方开具的履约保证金保函中扣回索赔金额。如果这些金额不足以补偿索赔金额，甲方有权向乙方提出不足部分的补偿。</w:t>
      </w:r>
    </w:p>
    <w:p>
      <w:pPr>
        <w:pStyle w:val="40"/>
        <w:spacing w:line="560" w:lineRule="exact"/>
        <w:ind w:firstLine="480"/>
        <w:rPr>
          <w:rFonts w:ascii="宋体" w:hAnsi="宋体"/>
        </w:rPr>
      </w:pPr>
      <w:r>
        <w:rPr>
          <w:rFonts w:hint="eastAsia" w:ascii="宋体" w:hAnsi="宋体"/>
        </w:rPr>
        <w:t xml:space="preserve">13.4 本合同所述之损失、经济赔偿是指甲方因乙方原因而造成的直接经济损失、因此而向第三方支付的赔偿金、违约金、因此而支付的诉讼费、律师费、公证费、鉴定费等全部费用。 </w:t>
      </w:r>
    </w:p>
    <w:p>
      <w:pPr>
        <w:pStyle w:val="40"/>
        <w:spacing w:line="560" w:lineRule="exact"/>
        <w:ind w:firstLine="480"/>
        <w:rPr>
          <w:rFonts w:ascii="宋体" w:hAnsi="宋体"/>
        </w:rPr>
      </w:pPr>
      <w:r>
        <w:rPr>
          <w:rFonts w:hint="eastAsia" w:ascii="宋体" w:hAnsi="宋体"/>
        </w:rPr>
        <w:t xml:space="preserve">14 违约赔偿 </w:t>
      </w:r>
    </w:p>
    <w:p>
      <w:pPr>
        <w:pStyle w:val="40"/>
        <w:spacing w:line="560" w:lineRule="exact"/>
        <w:ind w:firstLine="480"/>
        <w:rPr>
          <w:rFonts w:ascii="宋体" w:hAnsi="宋体"/>
        </w:rPr>
      </w:pPr>
      <w:r>
        <w:rPr>
          <w:rFonts w:hint="eastAsia" w:ascii="宋体" w:hAnsi="宋体"/>
        </w:rPr>
        <w:t>14.1 除合同规定外，如果乙方没有按照合同规定的时间交货和提供服务，甲方可要求乙方支付违约金。从逾期之日起每日按本合同总价</w:t>
      </w:r>
      <w:r>
        <w:rPr>
          <w:rFonts w:hint="eastAsia" w:ascii="宋体" w:hAnsi="宋体"/>
          <w:u w:val="single"/>
        </w:rPr>
        <w:t>3‰</w:t>
      </w:r>
      <w:r>
        <w:rPr>
          <w:rFonts w:hint="eastAsia" w:ascii="宋体" w:hAnsi="宋体"/>
        </w:rPr>
        <w:t>的数额向甲方支付违约金；逾期15天以上（含15天）的，甲方有权终止合同，要求乙方支付合同总金额20%的违约金，并且给甲方造成的经济损失由乙方承担赔偿责任。</w:t>
      </w:r>
    </w:p>
    <w:p>
      <w:pPr>
        <w:pStyle w:val="40"/>
        <w:spacing w:line="560" w:lineRule="exact"/>
        <w:ind w:firstLine="480"/>
        <w:rPr>
          <w:rFonts w:ascii="宋体" w:hAnsi="宋体"/>
        </w:rPr>
      </w:pPr>
      <w:r>
        <w:rPr>
          <w:rFonts w:hint="eastAsia" w:ascii="宋体" w:hAnsi="宋体"/>
        </w:rPr>
        <w:t>14.2因乙方原因导致本合同解除或是无法履行的，乙方应向甲方支付合同总价20%的违约金，违约金不足以弥补甲方损失的，乙方应另行补足。</w:t>
      </w:r>
    </w:p>
    <w:p>
      <w:pPr>
        <w:pStyle w:val="40"/>
        <w:spacing w:line="560" w:lineRule="exact"/>
        <w:ind w:firstLine="480"/>
        <w:rPr>
          <w:rFonts w:ascii="宋体" w:hAnsi="宋体"/>
        </w:rPr>
      </w:pPr>
      <w:r>
        <w:rPr>
          <w:rFonts w:hint="eastAsia" w:ascii="宋体" w:hAnsi="宋体"/>
        </w:rPr>
        <w:t xml:space="preserve">14.3甲方有权从未支付的款项或是履约保证金中直接扣除乙方的违约金，不足的部分由乙方另行补足。 </w:t>
      </w:r>
    </w:p>
    <w:p>
      <w:pPr>
        <w:pStyle w:val="40"/>
        <w:spacing w:line="560" w:lineRule="exact"/>
        <w:ind w:firstLine="480"/>
        <w:rPr>
          <w:rFonts w:ascii="宋体" w:hAnsi="宋体"/>
        </w:rPr>
      </w:pPr>
      <w:r>
        <w:rPr>
          <w:rFonts w:hint="eastAsia" w:ascii="宋体" w:hAnsi="宋体"/>
        </w:rPr>
        <w:t xml:space="preserve">15 不可抗力 </w:t>
      </w:r>
    </w:p>
    <w:p>
      <w:pPr>
        <w:pStyle w:val="40"/>
        <w:spacing w:line="560" w:lineRule="exact"/>
        <w:ind w:firstLine="480"/>
        <w:rPr>
          <w:rFonts w:ascii="宋体" w:hAnsi="宋体"/>
        </w:rPr>
      </w:pPr>
      <w:r>
        <w:rPr>
          <w:rFonts w:hint="eastAsia" w:ascii="宋体" w:hAnsi="宋体"/>
        </w:rPr>
        <w:t xml:space="preserve">15.1 如果双方中任何一方遭遇法律规定的不可抗力，致使合同履行受阻时，履行合同的期限应予延长，延长的期限应相当于不可抗力所影响的时间。 </w:t>
      </w:r>
    </w:p>
    <w:p>
      <w:pPr>
        <w:pStyle w:val="40"/>
        <w:spacing w:line="560" w:lineRule="exact"/>
        <w:ind w:firstLine="480"/>
        <w:rPr>
          <w:rFonts w:ascii="宋体" w:hAnsi="宋体"/>
        </w:rPr>
      </w:pPr>
      <w:r>
        <w:rPr>
          <w:rFonts w:hint="eastAsia" w:ascii="宋体" w:hAnsi="宋体"/>
        </w:rPr>
        <w:t>15.2 受事故影响的一方应在不可抗力的事故发生后尽快书面形式通知另一方，并在事故发生后</w:t>
      </w:r>
      <w:r>
        <w:rPr>
          <w:rFonts w:hint="eastAsia" w:ascii="宋体" w:hAnsi="宋体"/>
          <w:u w:val="single"/>
        </w:rPr>
        <w:t xml:space="preserve">   </w:t>
      </w:r>
      <w:r>
        <w:rPr>
          <w:rFonts w:hint="eastAsia" w:ascii="宋体" w:hAnsi="宋体"/>
        </w:rPr>
        <w:t xml:space="preserve">天内，将有关部门出具的证明文件送达另一方。 </w:t>
      </w:r>
    </w:p>
    <w:p>
      <w:pPr>
        <w:pStyle w:val="40"/>
        <w:spacing w:line="560" w:lineRule="exact"/>
        <w:ind w:firstLine="480"/>
        <w:rPr>
          <w:rFonts w:ascii="宋体" w:hAnsi="宋体"/>
        </w:rPr>
      </w:pPr>
      <w:r>
        <w:rPr>
          <w:rFonts w:hint="eastAsia" w:ascii="宋体" w:hAnsi="宋体"/>
        </w:rPr>
        <w:t xml:space="preserve">15.3 不可抗力使合同的某些内容有变更必要的，双方应通过协商在 日内达成进一步履行合同的协议，因不可抗力致使合同不能履行的，合同终止。 </w:t>
      </w:r>
    </w:p>
    <w:p>
      <w:pPr>
        <w:pStyle w:val="40"/>
        <w:spacing w:line="560" w:lineRule="exact"/>
        <w:ind w:firstLine="480"/>
        <w:rPr>
          <w:rFonts w:ascii="宋体" w:hAnsi="宋体"/>
        </w:rPr>
      </w:pPr>
      <w:r>
        <w:rPr>
          <w:rFonts w:hint="eastAsia" w:ascii="宋体" w:hAnsi="宋体"/>
        </w:rPr>
        <w:t xml:space="preserve">16税费 </w:t>
      </w:r>
    </w:p>
    <w:p>
      <w:pPr>
        <w:pStyle w:val="40"/>
        <w:spacing w:line="560" w:lineRule="exact"/>
        <w:ind w:firstLine="480"/>
        <w:rPr>
          <w:rFonts w:ascii="宋体" w:hAnsi="宋体"/>
        </w:rPr>
      </w:pPr>
      <w:r>
        <w:rPr>
          <w:rFonts w:hint="eastAsia" w:ascii="宋体" w:hAnsi="宋体"/>
        </w:rPr>
        <w:t xml:space="preserve">16.1 与本合同有关的一切税费均适用中华人民共和国法律的相关规定。 </w:t>
      </w:r>
    </w:p>
    <w:p>
      <w:pPr>
        <w:pStyle w:val="40"/>
        <w:spacing w:line="560" w:lineRule="exact"/>
        <w:ind w:firstLine="480"/>
        <w:rPr>
          <w:rFonts w:ascii="宋体" w:hAnsi="宋体"/>
        </w:rPr>
      </w:pPr>
      <w:r>
        <w:rPr>
          <w:rFonts w:hint="eastAsia" w:ascii="宋体" w:hAnsi="宋体"/>
        </w:rPr>
        <w:t xml:space="preserve">17 合同争议的解决 </w:t>
      </w:r>
    </w:p>
    <w:p>
      <w:pPr>
        <w:pStyle w:val="40"/>
        <w:spacing w:line="560" w:lineRule="exact"/>
        <w:ind w:firstLine="480"/>
        <w:rPr>
          <w:rFonts w:ascii="宋体" w:hAnsi="宋体"/>
        </w:rPr>
      </w:pPr>
      <w:r>
        <w:rPr>
          <w:rFonts w:hint="eastAsia" w:ascii="宋体" w:hAnsi="宋体"/>
        </w:rPr>
        <w:t xml:space="preserve">17.1 因合同履行中发生的争议，可通过合同当事人双方友好协商解决。如自协商开始之起15日内得不到解决，双方应将争议提交同级政府采购监督管理部门调解。调解不成的，可向甲方所在地有管辖权人民法院提起诉讼。 </w:t>
      </w:r>
    </w:p>
    <w:p>
      <w:pPr>
        <w:pStyle w:val="40"/>
        <w:spacing w:line="560" w:lineRule="exact"/>
        <w:ind w:firstLine="480"/>
        <w:rPr>
          <w:rFonts w:ascii="宋体" w:hAnsi="宋体"/>
        </w:rPr>
      </w:pPr>
      <w:r>
        <w:rPr>
          <w:rFonts w:hint="eastAsia" w:ascii="宋体" w:hAnsi="宋体"/>
        </w:rPr>
        <w:t xml:space="preserve">18 违约解除合同 </w:t>
      </w:r>
    </w:p>
    <w:p>
      <w:pPr>
        <w:pStyle w:val="40"/>
        <w:spacing w:line="560" w:lineRule="exact"/>
        <w:ind w:firstLine="480"/>
        <w:rPr>
          <w:rFonts w:ascii="宋体" w:hAnsi="宋体"/>
        </w:rPr>
      </w:pPr>
      <w:r>
        <w:rPr>
          <w:rFonts w:hint="eastAsia" w:ascii="宋体" w:hAnsi="宋体"/>
        </w:rPr>
        <w:t xml:space="preserve">18.1 在乙方违约的情况下，甲方经同级政府采购监督管理部门审批后，可向乙方发出书面通知，部分或全部终止合同。同时保留向乙方追诉的权利。 </w:t>
      </w:r>
    </w:p>
    <w:p>
      <w:pPr>
        <w:pStyle w:val="40"/>
        <w:spacing w:line="560" w:lineRule="exact"/>
        <w:ind w:firstLine="480"/>
        <w:rPr>
          <w:rFonts w:ascii="宋体" w:hAnsi="宋体"/>
        </w:rPr>
      </w:pPr>
      <w:r>
        <w:rPr>
          <w:rFonts w:hint="eastAsia" w:ascii="宋体" w:hAnsi="宋体"/>
        </w:rPr>
        <w:t xml:space="preserve">18.2全部或部分解除合同之后，应当遵循诚实信用原则，以政府采购监督管理部门同意的方式，购买与未交付的货物类似的货物或服务。乙方应承担甲方购买类似货物或服务而产生的额外支出。部分解除合同的，乙方应继续履行合同中未解除的部分。 </w:t>
      </w:r>
    </w:p>
    <w:p>
      <w:pPr>
        <w:pStyle w:val="40"/>
        <w:spacing w:line="560" w:lineRule="exact"/>
        <w:ind w:firstLine="480"/>
        <w:rPr>
          <w:rFonts w:ascii="宋体" w:hAnsi="宋体"/>
        </w:rPr>
      </w:pPr>
      <w:r>
        <w:rPr>
          <w:rFonts w:hint="eastAsia" w:ascii="宋体" w:hAnsi="宋体"/>
        </w:rPr>
        <w:t xml:space="preserve">19 转让和分包 </w:t>
      </w:r>
    </w:p>
    <w:p>
      <w:pPr>
        <w:pStyle w:val="40"/>
        <w:spacing w:line="560" w:lineRule="exact"/>
        <w:ind w:firstLine="480"/>
        <w:rPr>
          <w:rFonts w:ascii="宋体" w:hAnsi="宋体"/>
        </w:rPr>
      </w:pPr>
      <w:r>
        <w:rPr>
          <w:rFonts w:hint="eastAsia" w:ascii="宋体" w:hAnsi="宋体"/>
        </w:rPr>
        <w:t xml:space="preserve">19.1 政府采购合同不能转让。 </w:t>
      </w:r>
    </w:p>
    <w:p>
      <w:pPr>
        <w:pStyle w:val="40"/>
        <w:spacing w:line="560" w:lineRule="exact"/>
        <w:ind w:firstLine="480"/>
        <w:rPr>
          <w:rFonts w:ascii="宋体" w:hAnsi="宋体"/>
        </w:rPr>
      </w:pPr>
      <w:r>
        <w:rPr>
          <w:rFonts w:hint="eastAsia" w:ascii="宋体" w:hAnsi="宋体"/>
        </w:rPr>
        <w:t xml:space="preserve">19.2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 </w:t>
      </w:r>
    </w:p>
    <w:p>
      <w:pPr>
        <w:pStyle w:val="40"/>
        <w:spacing w:line="560" w:lineRule="exact"/>
        <w:ind w:firstLine="480"/>
        <w:rPr>
          <w:rFonts w:ascii="宋体" w:hAnsi="宋体"/>
        </w:rPr>
      </w:pPr>
      <w:r>
        <w:rPr>
          <w:rFonts w:hint="eastAsia" w:ascii="宋体" w:hAnsi="宋体"/>
        </w:rPr>
        <w:t>19.3甲方和乙方都不得擅自变更本合同，但合同继续履行将损害国家和社会公共利益的除外。如必须对合同条款进行改动时，当事人双方须共同签署书面文件，作为合同的补充，并报同级政府采购监督管理部门备案。</w:t>
      </w:r>
    </w:p>
    <w:p>
      <w:pPr>
        <w:pStyle w:val="40"/>
        <w:spacing w:line="560" w:lineRule="exact"/>
        <w:ind w:firstLine="480"/>
        <w:rPr>
          <w:rFonts w:ascii="宋体" w:hAnsi="宋体"/>
        </w:rPr>
      </w:pPr>
      <w:r>
        <w:rPr>
          <w:rFonts w:hint="eastAsia" w:ascii="宋体" w:hAnsi="宋体"/>
        </w:rPr>
        <w:t xml:space="preserve">19.4乙方擅自转让本合同或是未经甲方书面同意将合同项下非主体、非关键性工作分包给他人的，甲方有权立即解除本合同，同时要求乙方支付合同总价20%的违约金，违约金不足以弥补甲方损失，甲方有权继续向乙方追索。 </w:t>
      </w:r>
    </w:p>
    <w:p>
      <w:pPr>
        <w:pStyle w:val="40"/>
        <w:spacing w:line="560" w:lineRule="exact"/>
        <w:ind w:firstLine="480"/>
        <w:rPr>
          <w:rFonts w:ascii="宋体" w:hAnsi="宋体"/>
        </w:rPr>
      </w:pPr>
      <w:r>
        <w:rPr>
          <w:rFonts w:hint="eastAsia" w:ascii="宋体" w:hAnsi="宋体"/>
        </w:rPr>
        <w:t xml:space="preserve">20 计量单位 </w:t>
      </w:r>
    </w:p>
    <w:p>
      <w:pPr>
        <w:pStyle w:val="40"/>
        <w:spacing w:line="560" w:lineRule="exact"/>
        <w:ind w:firstLine="480"/>
        <w:rPr>
          <w:rFonts w:ascii="宋体" w:hAnsi="宋体"/>
        </w:rPr>
      </w:pPr>
      <w:r>
        <w:rPr>
          <w:rFonts w:hint="eastAsia" w:ascii="宋体" w:hAnsi="宋体"/>
        </w:rPr>
        <w:t xml:space="preserve">计量单位均使用国家法定计量单位。 </w:t>
      </w:r>
    </w:p>
    <w:p>
      <w:pPr>
        <w:pStyle w:val="40"/>
        <w:spacing w:line="560" w:lineRule="exact"/>
        <w:ind w:firstLine="480"/>
        <w:rPr>
          <w:rFonts w:ascii="宋体" w:hAnsi="宋体"/>
        </w:rPr>
      </w:pPr>
      <w:r>
        <w:rPr>
          <w:rFonts w:hint="eastAsia" w:ascii="宋体" w:hAnsi="宋体"/>
        </w:rPr>
        <w:t xml:space="preserve">21 合同生效和其它 </w:t>
      </w:r>
    </w:p>
    <w:p>
      <w:pPr>
        <w:pStyle w:val="40"/>
        <w:spacing w:line="560" w:lineRule="exact"/>
        <w:ind w:firstLine="480"/>
        <w:rPr>
          <w:rFonts w:ascii="宋体" w:hAnsi="宋体"/>
        </w:rPr>
      </w:pPr>
      <w:r>
        <w:rPr>
          <w:rFonts w:hint="eastAsia" w:ascii="宋体" w:hAnsi="宋体"/>
        </w:rPr>
        <w:t xml:space="preserve">21.1 政府采购项目的采购合同内容的确定应以招标文件和投标文件为基础，不得违背其实质性内容。政府采购项目的采购合同自签订之日起七个工作日内，甲方应当将合同副本报同级政府采购监督管理部门和有关部门备案。合同将在双方签字盖章后开始生效。 </w:t>
      </w:r>
    </w:p>
    <w:p>
      <w:pPr>
        <w:adjustRightInd w:val="0"/>
        <w:snapToGrid w:val="0"/>
        <w:spacing w:line="560" w:lineRule="exact"/>
        <w:ind w:firstLine="480" w:firstLineChars="200"/>
        <w:rPr>
          <w:rFonts w:ascii="宋体" w:hAnsi="宋体"/>
          <w:sz w:val="24"/>
          <w:szCs w:val="24"/>
        </w:rPr>
      </w:pPr>
      <w:r>
        <w:rPr>
          <w:rFonts w:hint="eastAsia" w:ascii="宋体" w:hAnsi="宋体"/>
          <w:sz w:val="24"/>
          <w:szCs w:val="24"/>
        </w:rPr>
        <w:t>21.2本合同一式</w:t>
      </w:r>
      <w:r>
        <w:rPr>
          <w:rFonts w:hint="eastAsia" w:ascii="宋体" w:hAnsi="宋体"/>
          <w:sz w:val="24"/>
          <w:szCs w:val="24"/>
          <w:u w:val="single"/>
        </w:rPr>
        <w:t xml:space="preserve">    </w:t>
      </w:r>
      <w:r>
        <w:rPr>
          <w:rFonts w:hint="eastAsia" w:ascii="宋体" w:hAnsi="宋体"/>
          <w:sz w:val="24"/>
          <w:szCs w:val="24"/>
        </w:rPr>
        <w:t>份，甲方执</w:t>
      </w:r>
      <w:r>
        <w:rPr>
          <w:rFonts w:hint="eastAsia" w:ascii="宋体" w:hAnsi="宋体"/>
          <w:sz w:val="24"/>
          <w:szCs w:val="24"/>
          <w:u w:val="single"/>
        </w:rPr>
        <w:t xml:space="preserve">    </w:t>
      </w:r>
      <w:r>
        <w:rPr>
          <w:rFonts w:hint="eastAsia" w:ascii="宋体" w:hAnsi="宋体"/>
          <w:sz w:val="24"/>
          <w:szCs w:val="24"/>
        </w:rPr>
        <w:t>份，乙方执</w:t>
      </w:r>
      <w:r>
        <w:rPr>
          <w:rFonts w:hint="eastAsia" w:ascii="宋体" w:hAnsi="宋体"/>
          <w:sz w:val="24"/>
          <w:szCs w:val="24"/>
          <w:u w:val="single"/>
        </w:rPr>
        <w:t xml:space="preserve">    </w:t>
      </w:r>
      <w:r>
        <w:rPr>
          <w:rFonts w:hint="eastAsia" w:ascii="宋体" w:hAnsi="宋体"/>
          <w:sz w:val="24"/>
          <w:szCs w:val="24"/>
        </w:rPr>
        <w:t>份，东莞市达盛招标代理有限公司执</w:t>
      </w:r>
      <w:r>
        <w:rPr>
          <w:rFonts w:hint="eastAsia" w:ascii="宋体" w:hAnsi="宋体"/>
          <w:sz w:val="24"/>
          <w:szCs w:val="24"/>
          <w:u w:val="single"/>
        </w:rPr>
        <w:t>壹</w:t>
      </w:r>
      <w:r>
        <w:rPr>
          <w:rFonts w:hint="eastAsia" w:ascii="宋体" w:hAnsi="宋体"/>
          <w:sz w:val="24"/>
          <w:szCs w:val="24"/>
        </w:rPr>
        <w:t>份，具同等法律效力。本合同合计</w:t>
      </w:r>
      <w:r>
        <w:rPr>
          <w:rFonts w:hint="eastAsia" w:ascii="宋体" w:hAnsi="宋体"/>
          <w:sz w:val="24"/>
          <w:szCs w:val="24"/>
          <w:u w:val="single"/>
        </w:rPr>
        <w:t xml:space="preserve">   </w:t>
      </w:r>
      <w:r>
        <w:rPr>
          <w:rFonts w:hint="eastAsia" w:ascii="宋体" w:hAnsi="宋体"/>
          <w:sz w:val="24"/>
          <w:szCs w:val="24"/>
        </w:rPr>
        <w:t>页，缺页之合同为无效合同。</w:t>
      </w:r>
    </w:p>
    <w:p>
      <w:pPr>
        <w:adjustRightInd w:val="0"/>
        <w:snapToGrid w:val="0"/>
        <w:spacing w:line="560" w:lineRule="exact"/>
        <w:ind w:firstLine="480" w:firstLineChars="200"/>
        <w:rPr>
          <w:rFonts w:ascii="宋体" w:hAnsi="宋体"/>
          <w:sz w:val="24"/>
          <w:szCs w:val="24"/>
        </w:rPr>
      </w:pPr>
      <w:r>
        <w:rPr>
          <w:rFonts w:hint="eastAsia" w:ascii="宋体" w:hAnsi="宋体"/>
          <w:sz w:val="24"/>
          <w:szCs w:val="24"/>
        </w:rPr>
        <w:t>21.3其它未尽事宜，由甲乙双方友好协商解决，并参照《中华人民共和国合同法》有关条款执行。</w:t>
      </w:r>
    </w:p>
    <w:p>
      <w:pPr>
        <w:pStyle w:val="40"/>
        <w:spacing w:line="560" w:lineRule="exact"/>
        <w:ind w:firstLine="480" w:firstLineChars="200"/>
        <w:rPr>
          <w:rFonts w:ascii="宋体" w:hAnsi="宋体"/>
        </w:rPr>
      </w:pPr>
      <w:r>
        <w:rPr>
          <w:rFonts w:hint="eastAsia" w:ascii="宋体" w:hAnsi="宋体"/>
        </w:rPr>
        <w:t>21.4本合同应按照中华人民共和国的法律进行解释。</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甲方（盖章）：                      乙方（盖章）：</w:t>
      </w:r>
    </w:p>
    <w:p>
      <w:pPr>
        <w:spacing w:line="560" w:lineRule="exact"/>
        <w:rPr>
          <w:rFonts w:ascii="宋体" w:hAnsi="宋体"/>
          <w:sz w:val="24"/>
          <w:szCs w:val="24"/>
        </w:rPr>
      </w:pPr>
      <w:r>
        <w:rPr>
          <w:rFonts w:hint="eastAsia" w:ascii="宋体" w:hAnsi="宋体"/>
          <w:sz w:val="24"/>
          <w:szCs w:val="24"/>
        </w:rPr>
        <w:t>甲方法定代表(签字)：               乙方法定代表(签字)：</w:t>
      </w:r>
    </w:p>
    <w:p>
      <w:pPr>
        <w:spacing w:line="560" w:lineRule="exact"/>
        <w:rPr>
          <w:rFonts w:ascii="宋体" w:hAnsi="宋体"/>
          <w:sz w:val="24"/>
          <w:szCs w:val="24"/>
        </w:rPr>
      </w:pPr>
      <w:r>
        <w:rPr>
          <w:rFonts w:hint="eastAsia" w:ascii="宋体" w:hAnsi="宋体"/>
          <w:sz w:val="24"/>
          <w:szCs w:val="24"/>
        </w:rPr>
        <w:t xml:space="preserve">地址：                             地址： </w:t>
      </w:r>
    </w:p>
    <w:p>
      <w:pPr>
        <w:spacing w:line="560" w:lineRule="exact"/>
        <w:rPr>
          <w:rFonts w:ascii="宋体" w:hAnsi="宋体"/>
          <w:sz w:val="24"/>
          <w:szCs w:val="24"/>
        </w:rPr>
      </w:pPr>
      <w:r>
        <w:rPr>
          <w:rFonts w:hint="eastAsia" w:ascii="宋体" w:hAnsi="宋体"/>
          <w:sz w:val="24"/>
          <w:szCs w:val="24"/>
        </w:rPr>
        <w:t>电话：                             电话：</w:t>
      </w:r>
    </w:p>
    <w:p>
      <w:pPr>
        <w:spacing w:line="560" w:lineRule="exact"/>
        <w:rPr>
          <w:rFonts w:ascii="宋体" w:hAnsi="宋体"/>
          <w:sz w:val="24"/>
          <w:szCs w:val="24"/>
        </w:rPr>
      </w:pPr>
      <w:r>
        <w:rPr>
          <w:rFonts w:hint="eastAsia" w:ascii="宋体" w:hAnsi="宋体"/>
          <w:sz w:val="24"/>
          <w:szCs w:val="24"/>
        </w:rPr>
        <w:t>传真：</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传真：</w:t>
      </w:r>
    </w:p>
    <w:p>
      <w:pPr>
        <w:spacing w:line="560" w:lineRule="exact"/>
        <w:rPr>
          <w:rFonts w:ascii="宋体" w:hAnsi="宋体"/>
          <w:sz w:val="24"/>
          <w:szCs w:val="24"/>
        </w:rPr>
      </w:pPr>
      <w:r>
        <w:rPr>
          <w:rFonts w:hint="eastAsia" w:ascii="宋体" w:hAnsi="宋体"/>
          <w:sz w:val="24"/>
          <w:szCs w:val="24"/>
        </w:rPr>
        <w:t>开户银行：</w:t>
      </w:r>
      <w:r>
        <w:rPr>
          <w:rFonts w:hint="eastAsia" w:ascii="宋体" w:hAnsi="宋体"/>
          <w:sz w:val="24"/>
          <w:szCs w:val="24"/>
        </w:rPr>
        <w:tab/>
      </w:r>
      <w:r>
        <w:rPr>
          <w:rFonts w:hint="eastAsia" w:ascii="宋体" w:hAnsi="宋体"/>
          <w:sz w:val="24"/>
          <w:szCs w:val="24"/>
        </w:rPr>
        <w:t xml:space="preserve">                         开户银行：</w:t>
      </w:r>
    </w:p>
    <w:p>
      <w:pPr>
        <w:spacing w:line="560" w:lineRule="exact"/>
        <w:rPr>
          <w:rFonts w:ascii="宋体" w:hAnsi="宋体"/>
          <w:sz w:val="24"/>
          <w:szCs w:val="24"/>
        </w:rPr>
      </w:pPr>
      <w:r>
        <w:rPr>
          <w:rFonts w:hint="eastAsia" w:ascii="宋体" w:hAnsi="宋体"/>
          <w:sz w:val="24"/>
          <w:szCs w:val="24"/>
        </w:rPr>
        <w:t>账号：                              账号：</w:t>
      </w:r>
    </w:p>
    <w:p>
      <w:pPr>
        <w:spacing w:line="560" w:lineRule="exact"/>
        <w:rPr>
          <w:rFonts w:ascii="宋体" w:hAnsi="宋体"/>
          <w:sz w:val="24"/>
          <w:szCs w:val="24"/>
        </w:rPr>
      </w:pPr>
      <w:r>
        <w:rPr>
          <w:rFonts w:hint="eastAsia" w:ascii="宋体" w:hAnsi="宋体"/>
          <w:sz w:val="24"/>
          <w:szCs w:val="24"/>
        </w:rPr>
        <w:t>签约时间：</w:t>
      </w:r>
    </w:p>
    <w:p>
      <w:pPr>
        <w:spacing w:line="560" w:lineRule="exact"/>
        <w:rPr>
          <w:rFonts w:ascii="宋体" w:hAnsi="宋体"/>
          <w:sz w:val="24"/>
          <w:szCs w:val="24"/>
        </w:rPr>
      </w:pPr>
      <w:r>
        <w:rPr>
          <w:rFonts w:hint="eastAsia" w:ascii="宋体" w:hAnsi="宋体"/>
          <w:sz w:val="24"/>
          <w:szCs w:val="24"/>
        </w:rPr>
        <w:t>签约地点：</w:t>
      </w:r>
    </w:p>
    <w:p>
      <w:pPr>
        <w:pStyle w:val="87"/>
        <w:ind w:firstLine="412"/>
        <w:rPr>
          <w:rFonts w:ascii="黑体" w:hAnsi="黑体" w:eastAsia="黑体"/>
          <w:sz w:val="20"/>
          <w:szCs w:val="24"/>
        </w:rPr>
      </w:pPr>
      <w:r>
        <w:rPr>
          <w:rFonts w:hint="eastAsia" w:ascii="黑体" w:hAnsi="黑体" w:eastAsia="黑体"/>
          <w:sz w:val="20"/>
          <w:szCs w:val="24"/>
        </w:rPr>
        <w:t>此仅为合同书样本，中标人需根据实际情况和甲方签订相应的合同。</w:t>
      </w:r>
    </w:p>
    <w:p>
      <w:pPr>
        <w:pStyle w:val="87"/>
        <w:ind w:firstLine="0" w:firstLineChars="0"/>
        <w:jc w:val="left"/>
        <w:rPr>
          <w:rFonts w:ascii="宋体" w:eastAsia="宋体"/>
          <w:sz w:val="24"/>
          <w:szCs w:val="24"/>
        </w:rPr>
      </w:pPr>
      <w:r>
        <w:rPr>
          <w:rFonts w:ascii="宋体" w:eastAsia="宋体"/>
          <w:sz w:val="24"/>
          <w:szCs w:val="24"/>
        </w:rPr>
        <w:br w:type="page"/>
      </w:r>
    </w:p>
    <w:p>
      <w:pPr>
        <w:pStyle w:val="87"/>
        <w:ind w:firstLine="0" w:firstLineChars="0"/>
        <w:jc w:val="left"/>
        <w:rPr>
          <w:rFonts w:ascii="宋体" w:eastAsia="宋体"/>
          <w:sz w:val="24"/>
          <w:szCs w:val="24"/>
        </w:rPr>
      </w:pPr>
    </w:p>
    <w:p>
      <w:pPr>
        <w:pStyle w:val="87"/>
        <w:ind w:firstLine="0" w:firstLineChars="0"/>
        <w:jc w:val="left"/>
        <w:rPr>
          <w:rFonts w:ascii="宋体" w:eastAsia="宋体"/>
          <w:sz w:val="24"/>
          <w:szCs w:val="24"/>
        </w:rPr>
      </w:pPr>
    </w:p>
    <w:p>
      <w:pPr>
        <w:pStyle w:val="87"/>
        <w:ind w:firstLine="0" w:firstLineChars="0"/>
        <w:jc w:val="left"/>
        <w:rPr>
          <w:rFonts w:ascii="宋体" w:eastAsia="宋体"/>
          <w:sz w:val="24"/>
          <w:szCs w:val="24"/>
        </w:rPr>
      </w:pPr>
    </w:p>
    <w:p>
      <w:pPr>
        <w:pStyle w:val="87"/>
        <w:ind w:firstLine="0" w:firstLineChars="0"/>
        <w:jc w:val="left"/>
        <w:rPr>
          <w:rFonts w:ascii="宋体" w:eastAsia="宋体"/>
          <w:sz w:val="24"/>
          <w:szCs w:val="24"/>
        </w:rPr>
      </w:pPr>
    </w:p>
    <w:p>
      <w:pPr>
        <w:pStyle w:val="87"/>
        <w:ind w:firstLine="0" w:firstLineChars="0"/>
        <w:jc w:val="left"/>
      </w:pPr>
    </w:p>
    <w:p>
      <w:pPr>
        <w:pStyle w:val="87"/>
        <w:ind w:firstLine="0" w:firstLineChars="0"/>
        <w:jc w:val="left"/>
        <w:rPr>
          <w:rFonts w:ascii="宋体" w:eastAsia="宋体"/>
          <w:sz w:val="24"/>
          <w:szCs w:val="24"/>
        </w:rPr>
      </w:pPr>
    </w:p>
    <w:p>
      <w:pPr>
        <w:pStyle w:val="87"/>
        <w:ind w:firstLine="0" w:firstLineChars="0"/>
        <w:jc w:val="left"/>
        <w:rPr>
          <w:rFonts w:ascii="宋体" w:eastAsia="宋体"/>
          <w:sz w:val="24"/>
          <w:szCs w:val="24"/>
        </w:rPr>
      </w:pPr>
    </w:p>
    <w:p>
      <w:pPr>
        <w:pStyle w:val="87"/>
        <w:ind w:firstLine="0" w:firstLineChars="0"/>
        <w:jc w:val="left"/>
        <w:rPr>
          <w:rFonts w:ascii="宋体" w:eastAsia="宋体"/>
          <w:sz w:val="24"/>
          <w:szCs w:val="24"/>
        </w:rPr>
      </w:pPr>
    </w:p>
    <w:p>
      <w:pPr>
        <w:pStyle w:val="87"/>
        <w:ind w:firstLine="0" w:firstLineChars="0"/>
        <w:jc w:val="left"/>
        <w:rPr>
          <w:rFonts w:ascii="宋体" w:eastAsia="宋体"/>
          <w:sz w:val="24"/>
          <w:szCs w:val="24"/>
        </w:rPr>
      </w:pPr>
    </w:p>
    <w:p>
      <w:pPr>
        <w:pStyle w:val="87"/>
        <w:ind w:firstLine="0" w:firstLineChars="0"/>
        <w:jc w:val="left"/>
        <w:rPr>
          <w:rFonts w:ascii="宋体" w:eastAsia="宋体"/>
          <w:sz w:val="24"/>
          <w:szCs w:val="24"/>
        </w:rPr>
      </w:pPr>
    </w:p>
    <w:p>
      <w:pPr>
        <w:pStyle w:val="3"/>
        <w:spacing w:before="0" w:after="0" w:line="400" w:lineRule="exact"/>
        <w:ind w:left="241" w:leftChars="115"/>
        <w:rPr>
          <w:rFonts w:ascii="宋体" w:hAnsi="宋体"/>
          <w:spacing w:val="20"/>
          <w:sz w:val="32"/>
          <w:szCs w:val="32"/>
        </w:rPr>
      </w:pPr>
      <w:bookmarkStart w:id="70" w:name="_Toc417050355"/>
      <w:bookmarkStart w:id="71" w:name="_Toc8904109"/>
      <w:r>
        <w:rPr>
          <w:rFonts w:hint="eastAsia" w:ascii="宋体" w:hAnsi="宋体"/>
          <w:spacing w:val="20"/>
          <w:sz w:val="32"/>
          <w:szCs w:val="32"/>
        </w:rPr>
        <w:t>第四部分  用户需求书</w:t>
      </w:r>
      <w:bookmarkEnd w:id="70"/>
      <w:bookmarkEnd w:id="71"/>
    </w:p>
    <w:p>
      <w:pPr>
        <w:spacing w:line="360" w:lineRule="auto"/>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500" w:lineRule="exact"/>
        <w:ind w:firstLine="480" w:firstLineChars="200"/>
        <w:rPr>
          <w:rFonts w:ascii="宋体" w:hAnsi="宋体"/>
          <w:sz w:val="24"/>
          <w:szCs w:val="24"/>
        </w:rPr>
      </w:pPr>
    </w:p>
    <w:p>
      <w:pPr>
        <w:spacing w:before="50" w:after="50" w:line="500" w:lineRule="exact"/>
        <w:jc w:val="center"/>
        <w:rPr>
          <w:rFonts w:ascii="宋体" w:hAnsi="宋体"/>
          <w:b/>
          <w:sz w:val="32"/>
          <w:szCs w:val="32"/>
        </w:rPr>
      </w:pPr>
    </w:p>
    <w:p>
      <w:pPr>
        <w:spacing w:before="50" w:after="50" w:line="500" w:lineRule="exact"/>
        <w:jc w:val="center"/>
        <w:rPr>
          <w:rFonts w:ascii="宋体" w:hAnsi="宋体"/>
          <w:b/>
          <w:sz w:val="32"/>
          <w:szCs w:val="32"/>
        </w:rPr>
      </w:pPr>
      <w:r>
        <w:rPr>
          <w:rFonts w:hint="eastAsia" w:ascii="宋体" w:hAnsi="宋体"/>
          <w:b/>
          <w:sz w:val="32"/>
          <w:szCs w:val="32"/>
        </w:rPr>
        <w:t>商务需求书</w:t>
      </w:r>
    </w:p>
    <w:p>
      <w:pPr>
        <w:spacing w:before="50" w:after="50" w:line="500" w:lineRule="exact"/>
        <w:jc w:val="center"/>
        <w:rPr>
          <w:rFonts w:ascii="宋体" w:hAnsi="宋体"/>
          <w:b/>
          <w:sz w:val="32"/>
          <w:szCs w:val="32"/>
        </w:rPr>
      </w:pPr>
    </w:p>
    <w:tbl>
      <w:tblPr>
        <w:tblStyle w:val="43"/>
        <w:tblW w:w="861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70"/>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序号</w:t>
            </w: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条款名称</w:t>
            </w:r>
          </w:p>
        </w:tc>
        <w:tc>
          <w:tcPr>
            <w:tcW w:w="64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hint="eastAsia" w:ascii="宋体" w:hAnsi="宋体"/>
                <w:color w:val="000000"/>
                <w:sz w:val="22"/>
                <w:szCs w:val="22"/>
              </w:rPr>
              <w:t>1</w:t>
            </w: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供货期</w:t>
            </w:r>
          </w:p>
        </w:tc>
        <w:tc>
          <w:tcPr>
            <w:tcW w:w="64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合同签订后90天内完成供货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hint="eastAsia" w:ascii="宋体" w:hAnsi="宋体"/>
                <w:color w:val="000000"/>
                <w:sz w:val="22"/>
                <w:szCs w:val="22"/>
              </w:rPr>
              <w:t>2</w:t>
            </w: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付款</w:t>
            </w:r>
          </w:p>
        </w:tc>
        <w:tc>
          <w:tcPr>
            <w:tcW w:w="64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rPr>
                <w:rFonts w:ascii="宋体" w:hAnsi="宋体"/>
                <w:sz w:val="22"/>
                <w:szCs w:val="22"/>
              </w:rPr>
            </w:pPr>
            <w:r>
              <w:rPr>
                <w:rFonts w:ascii="宋体" w:hAnsi="宋体"/>
                <w:color w:val="000000"/>
                <w:sz w:val="22"/>
                <w:szCs w:val="22"/>
              </w:rPr>
              <w:t>1、签订合同后7天内，甲方向乙方支付合同价的30%；</w:t>
            </w:r>
          </w:p>
          <w:p>
            <w:pPr>
              <w:snapToGrid w:val="0"/>
              <w:spacing w:line="360" w:lineRule="exact"/>
              <w:rPr>
                <w:rFonts w:ascii="宋体" w:hAnsi="宋体"/>
                <w:sz w:val="22"/>
                <w:szCs w:val="22"/>
              </w:rPr>
            </w:pPr>
            <w:r>
              <w:rPr>
                <w:rFonts w:ascii="宋体" w:hAnsi="宋体"/>
                <w:color w:val="000000"/>
                <w:sz w:val="22"/>
                <w:szCs w:val="22"/>
              </w:rPr>
              <w:t>2、主要设备到达现场，设备初验符合要求的，甲方向乙方支付至合同价的40%；</w:t>
            </w:r>
          </w:p>
          <w:p>
            <w:pPr>
              <w:snapToGrid w:val="0"/>
              <w:spacing w:line="380" w:lineRule="exact"/>
              <w:rPr>
                <w:rFonts w:ascii="宋体" w:hAnsi="宋体"/>
                <w:sz w:val="22"/>
                <w:szCs w:val="22"/>
              </w:rPr>
            </w:pPr>
            <w:r>
              <w:rPr>
                <w:rFonts w:ascii="宋体" w:hAnsi="宋体"/>
                <w:color w:val="000000"/>
                <w:sz w:val="22"/>
                <w:szCs w:val="22"/>
              </w:rPr>
              <w:t>3、安装调试完毕、验收合格的，甲方向乙方支付至合同价的95%。余下5%作为质量保证金，1年期满且完成全部的保修内容，按规定审核结算后的十五个工作日无息支付。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hint="eastAsia" w:ascii="宋体" w:hAnsi="宋体"/>
                <w:color w:val="000000"/>
                <w:sz w:val="22"/>
                <w:szCs w:val="22"/>
              </w:rPr>
              <w:t>3</w:t>
            </w: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交货地点</w:t>
            </w:r>
          </w:p>
        </w:tc>
        <w:tc>
          <w:tcPr>
            <w:tcW w:w="64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采购人实验室或采购人指定的地点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hint="eastAsia" w:ascii="宋体" w:hAnsi="宋体"/>
                <w:color w:val="000000"/>
                <w:sz w:val="22"/>
                <w:szCs w:val="22"/>
              </w:rPr>
              <w:t>4</w:t>
            </w: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报价内容</w:t>
            </w:r>
          </w:p>
        </w:tc>
        <w:tc>
          <w:tcPr>
            <w:tcW w:w="64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报价包含（人民币报价）：</w:t>
            </w:r>
          </w:p>
          <w:p>
            <w:pPr>
              <w:snapToGrid w:val="0"/>
              <w:spacing w:line="380" w:lineRule="exact"/>
              <w:rPr>
                <w:rFonts w:ascii="宋体" w:hAnsi="宋体"/>
                <w:sz w:val="22"/>
                <w:szCs w:val="22"/>
              </w:rPr>
            </w:pPr>
            <w:r>
              <w:rPr>
                <w:rFonts w:ascii="宋体" w:hAnsi="宋体"/>
                <w:color w:val="000000"/>
                <w:sz w:val="22"/>
                <w:szCs w:val="22"/>
              </w:rPr>
              <w:t>招标范围内的所有货物。</w:t>
            </w:r>
          </w:p>
          <w:p>
            <w:pPr>
              <w:snapToGrid w:val="0"/>
              <w:spacing w:line="380" w:lineRule="exact"/>
              <w:rPr>
                <w:rFonts w:ascii="宋体" w:hAnsi="宋体"/>
                <w:sz w:val="22"/>
                <w:szCs w:val="22"/>
              </w:rPr>
            </w:pPr>
            <w:r>
              <w:rPr>
                <w:rFonts w:ascii="宋体" w:hAnsi="宋体"/>
                <w:color w:val="000000"/>
                <w:sz w:val="22"/>
                <w:szCs w:val="22"/>
              </w:rPr>
              <w:t>货物运输过程以及现场保管所产生的全部费用。</w:t>
            </w:r>
          </w:p>
          <w:p>
            <w:pPr>
              <w:snapToGrid w:val="0"/>
              <w:spacing w:line="380" w:lineRule="exact"/>
              <w:rPr>
                <w:rFonts w:ascii="宋体" w:hAnsi="宋体"/>
                <w:sz w:val="22"/>
                <w:szCs w:val="22"/>
              </w:rPr>
            </w:pPr>
            <w:r>
              <w:rPr>
                <w:rFonts w:ascii="宋体" w:hAnsi="宋体"/>
                <w:color w:val="000000"/>
                <w:sz w:val="22"/>
                <w:szCs w:val="22"/>
              </w:rPr>
              <w:t>安装调试、验收、培训费以及质保期内的保修费等。</w:t>
            </w:r>
          </w:p>
          <w:p>
            <w:pPr>
              <w:snapToGrid w:val="0"/>
              <w:spacing w:line="380" w:lineRule="exact"/>
              <w:rPr>
                <w:rFonts w:ascii="宋体" w:hAnsi="宋体"/>
                <w:sz w:val="22"/>
                <w:szCs w:val="22"/>
              </w:rPr>
            </w:pPr>
            <w:r>
              <w:rPr>
                <w:rFonts w:ascii="宋体" w:hAnsi="宋体"/>
                <w:color w:val="000000"/>
                <w:sz w:val="22"/>
                <w:szCs w:val="22"/>
              </w:rPr>
              <w:t>设备含关税、商检、增值税等通关费用。</w:t>
            </w:r>
          </w:p>
          <w:p>
            <w:pPr>
              <w:snapToGrid w:val="0"/>
              <w:spacing w:line="380" w:lineRule="exact"/>
              <w:rPr>
                <w:rFonts w:ascii="宋体" w:hAnsi="宋体"/>
                <w:sz w:val="22"/>
                <w:szCs w:val="22"/>
              </w:rPr>
            </w:pPr>
            <w:r>
              <w:rPr>
                <w:rFonts w:ascii="宋体" w:hAnsi="宋体"/>
                <w:color w:val="000000"/>
                <w:sz w:val="22"/>
                <w:szCs w:val="22"/>
              </w:rPr>
              <w:t>应纳的税金。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hint="eastAsia" w:ascii="宋体" w:hAnsi="宋体"/>
                <w:color w:val="000000"/>
                <w:sz w:val="22"/>
                <w:szCs w:val="22"/>
              </w:rPr>
              <w:t>5</w:t>
            </w:r>
          </w:p>
        </w:tc>
        <w:tc>
          <w:tcPr>
            <w:tcW w:w="147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合同条款</w:t>
            </w:r>
          </w:p>
        </w:tc>
        <w:tc>
          <w:tcPr>
            <w:tcW w:w="643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80" w:lineRule="exact"/>
              <w:rPr>
                <w:rFonts w:ascii="宋体" w:hAnsi="宋体"/>
                <w:sz w:val="22"/>
                <w:szCs w:val="22"/>
              </w:rPr>
            </w:pPr>
            <w:r>
              <w:rPr>
                <w:rFonts w:ascii="宋体" w:hAnsi="宋体"/>
                <w:color w:val="000000"/>
                <w:sz w:val="22"/>
                <w:szCs w:val="22"/>
              </w:rPr>
              <w:t>投标人实质响应合同各条款。</w:t>
            </w:r>
          </w:p>
        </w:tc>
      </w:tr>
    </w:tbl>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rPr>
          <w:rFonts w:ascii="宋体" w:hAnsi="宋体"/>
          <w:sz w:val="24"/>
          <w:szCs w:val="24"/>
        </w:rPr>
      </w:pPr>
    </w:p>
    <w:p>
      <w:pPr>
        <w:spacing w:before="50" w:after="50" w:line="500" w:lineRule="exact"/>
        <w:jc w:val="center"/>
        <w:rPr>
          <w:rFonts w:ascii="宋体" w:hAnsi="宋体"/>
          <w:b/>
          <w:sz w:val="32"/>
          <w:szCs w:val="32"/>
        </w:rPr>
      </w:pPr>
      <w:r>
        <w:rPr>
          <w:rFonts w:hint="eastAsia" w:ascii="宋体" w:hAnsi="宋体"/>
          <w:b/>
          <w:sz w:val="32"/>
          <w:szCs w:val="32"/>
        </w:rPr>
        <w:t>技术需求书</w:t>
      </w:r>
    </w:p>
    <w:p>
      <w:pPr>
        <w:snapToGrid w:val="0"/>
        <w:spacing w:line="440" w:lineRule="exact"/>
        <w:rPr>
          <w:rFonts w:ascii="宋体" w:hAnsi="宋体"/>
          <w:sz w:val="22"/>
          <w:szCs w:val="22"/>
        </w:rPr>
      </w:pPr>
      <w:r>
        <w:rPr>
          <w:rFonts w:ascii="宋体" w:hAnsi="宋体"/>
          <w:b/>
          <w:bCs/>
          <w:color w:val="000000"/>
          <w:sz w:val="22"/>
          <w:szCs w:val="22"/>
        </w:rPr>
        <w:t>注：用户需求书中标注“■”号的内容为采购的主要标的（核心产品），投标人应在《投标分项报价表》中清晰列明“标的名称、规格型号（适用货物）、数量、单价。</w:t>
      </w:r>
    </w:p>
    <w:p>
      <w:pPr>
        <w:snapToGrid w:val="0"/>
        <w:spacing w:line="440" w:lineRule="exact"/>
        <w:rPr>
          <w:rFonts w:ascii="宋体" w:hAnsi="宋体"/>
          <w:sz w:val="22"/>
          <w:szCs w:val="22"/>
        </w:rPr>
      </w:pPr>
      <w:r>
        <w:rPr>
          <w:rFonts w:ascii="宋体" w:hAnsi="宋体"/>
          <w:b/>
          <w:bCs/>
          <w:color w:val="000000"/>
          <w:sz w:val="22"/>
          <w:szCs w:val="22"/>
        </w:rPr>
        <w:t>在《用户需求书》中所提供的货物参数要求，其目的仅仅是为了使投标人更加准确地了解招标要求，不构成对投标单位所报品牌的任何约束；投标人所投货物参数应不低于《用户需求书》中的要求。</w:t>
      </w:r>
    </w:p>
    <w:p>
      <w:pPr>
        <w:snapToGrid w:val="0"/>
        <w:jc w:val="center"/>
        <w:rPr>
          <w:rFonts w:ascii="宋体" w:hAnsi="宋体"/>
          <w:sz w:val="20"/>
        </w:rPr>
      </w:pPr>
    </w:p>
    <w:p>
      <w:pPr>
        <w:snapToGrid w:val="0"/>
        <w:spacing w:line="420" w:lineRule="exact"/>
        <w:rPr>
          <w:rFonts w:ascii="宋体" w:hAnsi="宋体"/>
          <w:sz w:val="22"/>
          <w:szCs w:val="22"/>
        </w:rPr>
      </w:pPr>
      <w:r>
        <w:rPr>
          <w:rFonts w:ascii="宋体" w:hAnsi="宋体"/>
          <w:b/>
          <w:bCs/>
          <w:color w:val="000000"/>
          <w:sz w:val="22"/>
          <w:szCs w:val="22"/>
        </w:rPr>
        <w:t>一、仪器设备明细表</w:t>
      </w:r>
    </w:p>
    <w:tbl>
      <w:tblPr>
        <w:tblStyle w:val="43"/>
        <w:tblW w:w="9061"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922"/>
        <w:gridCol w:w="721"/>
        <w:gridCol w:w="4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jc w:val="center"/>
              <w:rPr>
                <w:rFonts w:ascii="宋体" w:hAnsi="宋体"/>
                <w:sz w:val="22"/>
                <w:szCs w:val="22"/>
              </w:rPr>
            </w:pPr>
            <w:r>
              <w:rPr>
                <w:rFonts w:ascii="宋体" w:hAnsi="宋体"/>
                <w:b/>
                <w:bCs/>
                <w:color w:val="000000"/>
                <w:sz w:val="22"/>
                <w:szCs w:val="22"/>
              </w:rPr>
              <w:t>序号</w:t>
            </w:r>
          </w:p>
        </w:tc>
        <w:tc>
          <w:tcPr>
            <w:tcW w:w="292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jc w:val="center"/>
              <w:rPr>
                <w:rFonts w:ascii="宋体" w:hAnsi="宋体"/>
                <w:sz w:val="22"/>
                <w:szCs w:val="22"/>
              </w:rPr>
            </w:pPr>
            <w:r>
              <w:rPr>
                <w:rFonts w:ascii="宋体" w:hAnsi="宋体"/>
                <w:b/>
                <w:bCs/>
                <w:color w:val="000000"/>
                <w:sz w:val="22"/>
                <w:szCs w:val="22"/>
              </w:rPr>
              <w:t>仪器名称</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jc w:val="center"/>
              <w:rPr>
                <w:rFonts w:ascii="宋体" w:hAnsi="宋体"/>
                <w:sz w:val="22"/>
                <w:szCs w:val="22"/>
              </w:rPr>
            </w:pPr>
            <w:r>
              <w:rPr>
                <w:rFonts w:ascii="宋体" w:hAnsi="宋体"/>
                <w:b/>
                <w:bCs/>
                <w:color w:val="000000"/>
                <w:sz w:val="22"/>
                <w:szCs w:val="22"/>
              </w:rPr>
              <w:t>数量</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jc w:val="center"/>
              <w:rPr>
                <w:rFonts w:ascii="宋体" w:hAnsi="宋体"/>
                <w:sz w:val="22"/>
                <w:szCs w:val="22"/>
              </w:rPr>
            </w:pPr>
            <w:r>
              <w:rPr>
                <w:rFonts w:ascii="宋体" w:hAnsi="宋体"/>
                <w:b/>
                <w:bCs/>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1</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便携式大流量低浓度烟尘自动监测仪</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sz w:val="22"/>
                <w:szCs w:val="22"/>
              </w:rPr>
              <w:t>应用于各种锅炉、烟道、工业炉窑等固定污染源颗粒物的排放浓度、折算浓度、排放总量的测定。自动测量烟气动压、静压、大气压、温度、含湿量、流量计前压力、O</w:t>
            </w:r>
            <w:r>
              <w:rPr>
                <w:rFonts w:ascii="宋体" w:hAnsi="宋体"/>
                <w:szCs w:val="21"/>
                <w:vertAlign w:val="subscript"/>
              </w:rPr>
              <w:t>2</w:t>
            </w:r>
            <w:r>
              <w:rPr>
                <w:rFonts w:ascii="宋体" w:hAnsi="宋体"/>
                <w:sz w:val="22"/>
                <w:szCs w:val="22"/>
              </w:rPr>
              <w:t>、SO</w:t>
            </w:r>
            <w:r>
              <w:rPr>
                <w:rFonts w:ascii="宋体" w:hAnsi="宋体"/>
                <w:szCs w:val="21"/>
                <w:vertAlign w:val="subscript"/>
              </w:rPr>
              <w:t>2</w:t>
            </w:r>
            <w:r>
              <w:rPr>
                <w:rFonts w:ascii="宋体" w:hAnsi="宋体"/>
                <w:sz w:val="22"/>
                <w:szCs w:val="22"/>
              </w:rPr>
              <w:t>、CO的浓度及等速吸引流速等参数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2</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便携式pH计</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sz w:val="22"/>
                <w:szCs w:val="22"/>
              </w:rPr>
              <w:t>用于现场水质pH监测</w:t>
            </w:r>
          </w:p>
          <w:p>
            <w:pPr>
              <w:snapToGrid w:val="0"/>
              <w:spacing w:line="420" w:lineRule="exact"/>
              <w:rPr>
                <w:rFonts w:ascii="宋体" w:hAnsi="宋体"/>
                <w:sz w:val="22"/>
                <w:szCs w:val="22"/>
              </w:rPr>
            </w:pPr>
            <w:r>
              <w:rPr>
                <w:rFonts w:ascii="宋体" w:hAnsi="宋体"/>
                <w:b/>
                <w:bCs/>
                <w:color w:val="000000"/>
                <w:sz w:val="22"/>
                <w:szCs w:val="22"/>
              </w:rPr>
              <w:t>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3</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便携式智能真空采样系统</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sz w:val="22"/>
                <w:szCs w:val="22"/>
              </w:rPr>
              <w:t>用于企业排放废气中非甲烷总烃、甲烷等废气的监测采样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4</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便携式三杯风向风速仪</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3</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sz w:val="22"/>
                <w:szCs w:val="22"/>
              </w:rPr>
              <w:t>用于有组织和无组织废气监测时对风向、风速、大气压力、温度、湿度等气象要素进行准确测量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5</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氧化还原电位仪</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2</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sz w:val="22"/>
                <w:szCs w:val="22"/>
              </w:rPr>
              <w:t>用于水体氧化还原电位的现场监测</w:t>
            </w:r>
          </w:p>
          <w:p>
            <w:pPr>
              <w:snapToGrid w:val="0"/>
              <w:spacing w:line="420" w:lineRule="exact"/>
              <w:rPr>
                <w:rFonts w:ascii="宋体" w:hAnsi="宋体"/>
                <w:sz w:val="22"/>
                <w:szCs w:val="22"/>
              </w:rPr>
            </w:pPr>
            <w:r>
              <w:rPr>
                <w:rFonts w:ascii="宋体" w:hAnsi="宋体"/>
                <w:b/>
                <w:bCs/>
                <w:color w:val="000000"/>
                <w:sz w:val="22"/>
                <w:szCs w:val="22"/>
              </w:rPr>
              <w:t>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6</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便携式抽滤器</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sz w:val="22"/>
                <w:szCs w:val="22"/>
              </w:rPr>
              <w:t>用于地表水采样中</w:t>
            </w:r>
            <w:r>
              <w:rPr>
                <w:rFonts w:ascii="宋体" w:hAnsi="宋体"/>
                <w:color w:val="000000"/>
                <w:sz w:val="22"/>
                <w:szCs w:val="22"/>
                <w:shd w:val="clear" w:color="auto" w:fill="FFFFFF"/>
              </w:rPr>
              <w:t>现场抽滤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7</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流量校准器</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rPr>
                <w:rFonts w:ascii="宋体" w:hAnsi="宋体"/>
                <w:sz w:val="22"/>
                <w:szCs w:val="22"/>
              </w:rPr>
            </w:pPr>
            <w:r>
              <w:rPr>
                <w:rFonts w:ascii="宋体" w:hAnsi="宋体"/>
                <w:color w:val="000000"/>
                <w:sz w:val="22"/>
                <w:szCs w:val="22"/>
              </w:rPr>
              <w:t>用于测定环境空气VOCs项目</w:t>
            </w:r>
          </w:p>
          <w:p>
            <w:pPr>
              <w:snapToGrid w:val="0"/>
              <w:spacing w:line="420" w:lineRule="exact"/>
              <w:rPr>
                <w:rFonts w:ascii="宋体" w:hAnsi="宋体"/>
                <w:sz w:val="22"/>
                <w:szCs w:val="22"/>
              </w:rPr>
            </w:pPr>
            <w:r>
              <w:rPr>
                <w:rFonts w:ascii="宋体" w:hAnsi="宋体"/>
                <w:b/>
                <w:bCs/>
                <w:color w:val="000000"/>
                <w:sz w:val="22"/>
                <w:szCs w:val="22"/>
              </w:rPr>
              <w:t>允许进口产品投标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8</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6L采样罐</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20</w:t>
            </w:r>
          </w:p>
        </w:tc>
        <w:tc>
          <w:tcPr>
            <w:tcW w:w="46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9</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限流定时采样器</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4</w:t>
            </w:r>
          </w:p>
        </w:tc>
        <w:tc>
          <w:tcPr>
            <w:tcW w:w="46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10</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采样器QT阀适配件</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4</w:t>
            </w:r>
          </w:p>
        </w:tc>
        <w:tc>
          <w:tcPr>
            <w:tcW w:w="46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11</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大气预浓缩传输管线</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12</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■流动注射仪</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rPr>
                <w:rFonts w:ascii="宋体" w:hAnsi="宋体"/>
                <w:sz w:val="22"/>
                <w:szCs w:val="22"/>
              </w:rPr>
            </w:pPr>
            <w:r>
              <w:rPr>
                <w:rFonts w:ascii="宋体" w:hAnsi="宋体"/>
                <w:color w:val="000000"/>
                <w:sz w:val="22"/>
                <w:szCs w:val="22"/>
              </w:rPr>
              <w:t>用于测定地表水、地下水、饮用水和环境水中的挥发酚、氰化物、总氰化物、阴离子表面活性剂等成分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13</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分液漏斗振荡器</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rPr>
                <w:rFonts w:ascii="宋体" w:hAnsi="宋体"/>
                <w:sz w:val="22"/>
                <w:szCs w:val="22"/>
              </w:rPr>
            </w:pPr>
            <w:r>
              <w:rPr>
                <w:rFonts w:ascii="宋体" w:hAnsi="宋体"/>
                <w:color w:val="000000"/>
                <w:sz w:val="22"/>
                <w:szCs w:val="22"/>
              </w:rPr>
              <w:t>液液萃取前处理装置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14</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可见分光光度计</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color w:val="000000"/>
                <w:sz w:val="22"/>
                <w:szCs w:val="22"/>
              </w:rPr>
              <w:t>用于测定地表水、地下水、饮用水和环境水中的叶绿素a、阴离子表面活性剂、挥发酚、氰化物等成分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420" w:lineRule="exact"/>
              <w:jc w:val="center"/>
              <w:rPr>
                <w:rFonts w:ascii="宋体" w:hAnsi="宋体"/>
                <w:sz w:val="22"/>
                <w:szCs w:val="22"/>
              </w:rPr>
            </w:pPr>
            <w:r>
              <w:rPr>
                <w:rFonts w:ascii="宋体" w:hAnsi="宋体"/>
                <w:color w:val="000000"/>
                <w:sz w:val="22"/>
                <w:szCs w:val="22"/>
              </w:rPr>
              <w:t>15</w:t>
            </w:r>
          </w:p>
        </w:tc>
        <w:tc>
          <w:tcPr>
            <w:tcW w:w="2922"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jc w:val="center"/>
              <w:rPr>
                <w:rFonts w:ascii="宋体" w:hAnsi="宋体"/>
                <w:color w:val="000000"/>
                <w:sz w:val="22"/>
                <w:szCs w:val="22"/>
              </w:rPr>
            </w:pPr>
            <w:r>
              <w:rPr>
                <w:rFonts w:ascii="宋体" w:hAnsi="宋体"/>
                <w:color w:val="000000"/>
                <w:sz w:val="22"/>
                <w:szCs w:val="22"/>
              </w:rPr>
              <w:t>微波消解仪</w:t>
            </w:r>
          </w:p>
        </w:tc>
        <w:tc>
          <w:tcPr>
            <w:tcW w:w="721"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rFonts w:ascii="宋体" w:hAnsi="宋体"/>
                <w:sz w:val="22"/>
                <w:szCs w:val="22"/>
              </w:rPr>
            </w:pPr>
            <w:r>
              <w:rPr>
                <w:rFonts w:ascii="宋体" w:hAnsi="宋体"/>
                <w:color w:val="000000"/>
                <w:sz w:val="22"/>
                <w:szCs w:val="22"/>
              </w:rPr>
              <w:t>1</w:t>
            </w:r>
          </w:p>
        </w:tc>
        <w:tc>
          <w:tcPr>
            <w:tcW w:w="46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420" w:lineRule="exact"/>
              <w:rPr>
                <w:rFonts w:ascii="宋体" w:hAnsi="宋体"/>
                <w:sz w:val="22"/>
                <w:szCs w:val="22"/>
              </w:rPr>
            </w:pPr>
            <w:r>
              <w:rPr>
                <w:rFonts w:ascii="宋体" w:hAnsi="宋体"/>
                <w:color w:val="000000"/>
                <w:sz w:val="22"/>
                <w:szCs w:val="22"/>
              </w:rPr>
              <w:t>固废重金属前处理装置</w:t>
            </w:r>
          </w:p>
          <w:p>
            <w:pPr>
              <w:snapToGrid w:val="0"/>
              <w:spacing w:line="420" w:lineRule="exact"/>
              <w:rPr>
                <w:rFonts w:ascii="宋体" w:hAnsi="宋体"/>
                <w:sz w:val="22"/>
                <w:szCs w:val="22"/>
              </w:rPr>
            </w:pPr>
            <w:r>
              <w:rPr>
                <w:rFonts w:ascii="宋体" w:hAnsi="宋体"/>
                <w:b/>
                <w:bCs/>
                <w:color w:val="000000"/>
                <w:sz w:val="22"/>
                <w:szCs w:val="22"/>
              </w:rPr>
              <w:t>允许进口产品投标</w:t>
            </w:r>
          </w:p>
        </w:tc>
      </w:tr>
    </w:tbl>
    <w:p>
      <w:pPr>
        <w:snapToGrid w:val="0"/>
        <w:rPr>
          <w:rFonts w:ascii="宋体" w:hAnsi="宋体"/>
          <w:szCs w:val="21"/>
        </w:rPr>
      </w:pPr>
    </w:p>
    <w:p>
      <w:pPr>
        <w:snapToGrid w:val="0"/>
        <w:spacing w:line="360" w:lineRule="exact"/>
        <w:rPr>
          <w:rFonts w:ascii="宋体" w:hAnsi="宋体"/>
          <w:sz w:val="22"/>
          <w:szCs w:val="22"/>
        </w:rPr>
      </w:pPr>
      <w:r>
        <w:rPr>
          <w:rFonts w:ascii="宋体" w:hAnsi="宋体"/>
          <w:b/>
          <w:bCs/>
          <w:color w:val="000000"/>
          <w:sz w:val="22"/>
          <w:szCs w:val="22"/>
        </w:rPr>
        <w:t>根据《政府采购进口产品管理办法》相关规定要求及采购方相关需求意见，经过组织专家论证，经行业主管部门、采购监督管理部门的批准，本项目中便携式pH计、氧化还原电位计、流量校准器、6L采样罐、限流定时采样器、采样器QT阀适配件、大气预浓缩传输管线、微波消解仪接受进口产品参与投标（进口产品是指通过中国海关报关验放进入中国境内且产自关境外的产品。）；其余产品不接受进口产品投标，如发现含有进口产品，评审委员会有权认定其投标为无效投标。</w:t>
      </w:r>
    </w:p>
    <w:p>
      <w:pPr>
        <w:snapToGrid w:val="0"/>
        <w:spacing w:line="360" w:lineRule="exact"/>
        <w:rPr>
          <w:rFonts w:ascii="宋体" w:hAnsi="宋体"/>
          <w:sz w:val="22"/>
          <w:szCs w:val="22"/>
        </w:rPr>
      </w:pPr>
    </w:p>
    <w:p>
      <w:pPr>
        <w:snapToGrid w:val="0"/>
        <w:spacing w:line="360" w:lineRule="exact"/>
        <w:rPr>
          <w:rFonts w:ascii="宋体" w:hAnsi="宋体"/>
          <w:sz w:val="22"/>
          <w:szCs w:val="22"/>
        </w:rPr>
      </w:pPr>
      <w:r>
        <w:rPr>
          <w:rFonts w:ascii="宋体" w:hAnsi="宋体"/>
          <w:b/>
          <w:bCs/>
          <w:color w:val="000000"/>
          <w:sz w:val="22"/>
          <w:szCs w:val="22"/>
        </w:rPr>
        <w:t>二、仪器设备的技术要求与参数</w:t>
      </w:r>
    </w:p>
    <w:p>
      <w:pPr>
        <w:snapToGrid w:val="0"/>
        <w:spacing w:before="187" w:after="187" w:line="360" w:lineRule="exact"/>
        <w:rPr>
          <w:rFonts w:ascii="宋体" w:hAnsi="宋体"/>
          <w:sz w:val="22"/>
          <w:szCs w:val="22"/>
        </w:rPr>
      </w:pPr>
      <w:r>
        <w:rPr>
          <w:rFonts w:ascii="宋体" w:hAnsi="宋体"/>
          <w:b/>
          <w:bCs/>
          <w:sz w:val="22"/>
          <w:szCs w:val="22"/>
        </w:rPr>
        <w:t>（一）便携式大流量低浓度烟尘自动监测仪</w:t>
      </w:r>
    </w:p>
    <w:p>
      <w:pPr>
        <w:snapToGrid w:val="0"/>
        <w:spacing w:line="360" w:lineRule="exact"/>
        <w:jc w:val="left"/>
        <w:rPr>
          <w:rFonts w:ascii="宋体" w:hAnsi="宋体"/>
          <w:sz w:val="22"/>
          <w:szCs w:val="22"/>
        </w:rPr>
      </w:pPr>
      <w:r>
        <w:rPr>
          <w:rFonts w:ascii="宋体" w:hAnsi="宋体"/>
          <w:b/>
          <w:bCs/>
          <w:sz w:val="22"/>
          <w:szCs w:val="22"/>
        </w:rPr>
        <w:t>1、应用范围</w:t>
      </w:r>
    </w:p>
    <w:p>
      <w:pPr>
        <w:snapToGrid w:val="0"/>
        <w:spacing w:line="360" w:lineRule="exact"/>
        <w:rPr>
          <w:rFonts w:ascii="宋体" w:hAnsi="宋体"/>
          <w:sz w:val="22"/>
          <w:szCs w:val="22"/>
        </w:rPr>
      </w:pPr>
      <w:r>
        <w:rPr>
          <w:rFonts w:ascii="宋体" w:hAnsi="宋体"/>
          <w:sz w:val="22"/>
          <w:szCs w:val="22"/>
        </w:rPr>
        <w:t>应用于各种锅炉、烟道、工业炉窑等固定污染源颗粒物的排放浓度、折算浓度、排放总量的测定。自动测量烟气动压、静压、大气压、温度、含湿量、流量计前压力、O</w:t>
      </w:r>
      <w:r>
        <w:rPr>
          <w:rFonts w:ascii="宋体" w:hAnsi="宋体"/>
          <w:szCs w:val="21"/>
          <w:vertAlign w:val="subscript"/>
        </w:rPr>
        <w:t>2</w:t>
      </w:r>
      <w:r>
        <w:rPr>
          <w:rFonts w:ascii="宋体" w:hAnsi="宋体"/>
          <w:sz w:val="22"/>
          <w:szCs w:val="22"/>
        </w:rPr>
        <w:t>、SO</w:t>
      </w:r>
      <w:r>
        <w:rPr>
          <w:rFonts w:ascii="宋体" w:hAnsi="宋体"/>
          <w:szCs w:val="21"/>
          <w:vertAlign w:val="subscript"/>
        </w:rPr>
        <w:t>2</w:t>
      </w:r>
      <w:r>
        <w:rPr>
          <w:rFonts w:ascii="宋体" w:hAnsi="宋体"/>
          <w:sz w:val="22"/>
          <w:szCs w:val="22"/>
        </w:rPr>
        <w:t>、CO的浓度及等速吸引流速等参数。</w:t>
      </w:r>
    </w:p>
    <w:p>
      <w:pPr>
        <w:snapToGrid w:val="0"/>
        <w:spacing w:line="360" w:lineRule="exact"/>
        <w:jc w:val="left"/>
        <w:rPr>
          <w:rFonts w:ascii="宋体" w:hAnsi="宋体"/>
          <w:sz w:val="22"/>
          <w:szCs w:val="22"/>
        </w:rPr>
      </w:pPr>
      <w:r>
        <w:rPr>
          <w:rFonts w:ascii="宋体" w:hAnsi="宋体"/>
          <w:b/>
          <w:bCs/>
          <w:sz w:val="22"/>
          <w:szCs w:val="22"/>
        </w:rPr>
        <w:t>2、技术需求</w:t>
      </w:r>
    </w:p>
    <w:p>
      <w:pPr>
        <w:snapToGrid w:val="0"/>
        <w:spacing w:line="360" w:lineRule="exact"/>
        <w:jc w:val="left"/>
        <w:rPr>
          <w:rFonts w:ascii="宋体" w:hAnsi="宋体"/>
          <w:sz w:val="22"/>
          <w:szCs w:val="22"/>
        </w:rPr>
      </w:pPr>
      <w:r>
        <w:rPr>
          <w:rFonts w:ascii="宋体" w:hAnsi="宋体"/>
          <w:sz w:val="22"/>
          <w:szCs w:val="22"/>
        </w:rPr>
        <w:t>2.1颗粒物技术需求</w:t>
      </w:r>
    </w:p>
    <w:tbl>
      <w:tblPr>
        <w:tblStyle w:val="43"/>
        <w:tblW w:w="8473"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2268"/>
        <w:gridCol w:w="141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项目</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范围</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分辨率</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采样流量</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(0～110) L/min</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 L/min</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烟气动压</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(0～2000) Pa</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 Pa</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烟气静压</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(-30～＋30) kPa</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0.01 kPa</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流量计前压力</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(-30～0) kPa</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0.01 kPa</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流量计前温度</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(-50～120)℃</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烟气温度</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(0～500)℃</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干、湿球温度</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(0～100)℃</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流速</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(5～45）m/s</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 m/s</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准确度不超过±5%</w:t>
            </w:r>
          </w:p>
          <w:p>
            <w:pPr>
              <w:snapToGrid w:val="0"/>
              <w:spacing w:line="360" w:lineRule="exact"/>
              <w:jc w:val="center"/>
              <w:rPr>
                <w:rFonts w:ascii="宋体" w:hAnsi="宋体"/>
                <w:sz w:val="22"/>
                <w:szCs w:val="22"/>
              </w:rPr>
            </w:pPr>
            <w:r>
              <w:rPr>
                <w:rFonts w:ascii="宋体" w:hAnsi="宋体"/>
                <w:sz w:val="22"/>
                <w:szCs w:val="22"/>
              </w:rPr>
              <w:t>等速跟踪响应时间：不超过20s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采样泵负载能力</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≥60 L/min</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阻力为20kPa时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数据存储能力</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＞5000组</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最大采样体积</w:t>
            </w:r>
          </w:p>
        </w:tc>
        <w:tc>
          <w:tcPr>
            <w:tcW w:w="226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999999.9 L</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w:t>
            </w:r>
          </w:p>
        </w:tc>
        <w:tc>
          <w:tcPr>
            <w:tcW w:w="2977"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w:t>
            </w:r>
          </w:p>
        </w:tc>
      </w:tr>
    </w:tbl>
    <w:p>
      <w:pPr>
        <w:snapToGrid w:val="0"/>
        <w:spacing w:line="360" w:lineRule="exact"/>
        <w:rPr>
          <w:rFonts w:ascii="宋体" w:hAnsi="宋体"/>
          <w:sz w:val="22"/>
          <w:szCs w:val="22"/>
        </w:rPr>
      </w:pPr>
      <w:r>
        <w:rPr>
          <w:rFonts w:ascii="宋体" w:hAnsi="宋体"/>
          <w:sz w:val="22"/>
          <w:szCs w:val="22"/>
        </w:rPr>
        <w:t>2.2 烟气技术需求</w:t>
      </w:r>
    </w:p>
    <w:tbl>
      <w:tblPr>
        <w:tblStyle w:val="43"/>
        <w:tblW w:w="8473"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980"/>
        <w:gridCol w:w="1275"/>
        <w:gridCol w:w="183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名称</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范围</w:t>
            </w:r>
          </w:p>
        </w:tc>
        <w:tc>
          <w:tcPr>
            <w:tcW w:w="12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分辨率</w:t>
            </w:r>
          </w:p>
        </w:tc>
        <w:tc>
          <w:tcPr>
            <w:tcW w:w="183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示值误差</w:t>
            </w:r>
          </w:p>
        </w:tc>
        <w:tc>
          <w:tcPr>
            <w:tcW w:w="172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氧气浓度</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(0～25)%</w:t>
            </w:r>
          </w:p>
        </w:tc>
        <w:tc>
          <w:tcPr>
            <w:tcW w:w="12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c>
          <w:tcPr>
            <w:tcW w:w="183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不超过±5％</w:t>
            </w:r>
          </w:p>
        </w:tc>
        <w:tc>
          <w:tcPr>
            <w:tcW w:w="172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二氧化硫浓度</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(0～5700)mg/m3</w:t>
            </w:r>
          </w:p>
        </w:tc>
        <w:tc>
          <w:tcPr>
            <w:tcW w:w="12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1mg/m3</w:t>
            </w:r>
          </w:p>
        </w:tc>
        <w:tc>
          <w:tcPr>
            <w:tcW w:w="183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不超过±5％</w:t>
            </w:r>
          </w:p>
        </w:tc>
        <w:tc>
          <w:tcPr>
            <w:tcW w:w="172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一氧化氮浓度</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(0～1300)mg/m3</w:t>
            </w:r>
          </w:p>
        </w:tc>
        <w:tc>
          <w:tcPr>
            <w:tcW w:w="12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1mg/m3</w:t>
            </w:r>
          </w:p>
        </w:tc>
        <w:tc>
          <w:tcPr>
            <w:tcW w:w="183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不超过±5％</w:t>
            </w:r>
          </w:p>
        </w:tc>
        <w:tc>
          <w:tcPr>
            <w:tcW w:w="172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二氧化氮浓度</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(0～200)mg/m3</w:t>
            </w:r>
          </w:p>
        </w:tc>
        <w:tc>
          <w:tcPr>
            <w:tcW w:w="12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1mg/m3</w:t>
            </w:r>
          </w:p>
        </w:tc>
        <w:tc>
          <w:tcPr>
            <w:tcW w:w="183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不超过±5％</w:t>
            </w:r>
          </w:p>
        </w:tc>
        <w:tc>
          <w:tcPr>
            <w:tcW w:w="172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6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一氧化碳浓度</w:t>
            </w:r>
          </w:p>
        </w:tc>
        <w:tc>
          <w:tcPr>
            <w:tcW w:w="198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(0～5000)mg/m3</w:t>
            </w:r>
          </w:p>
        </w:tc>
        <w:tc>
          <w:tcPr>
            <w:tcW w:w="12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1mg/m3</w:t>
            </w:r>
          </w:p>
        </w:tc>
        <w:tc>
          <w:tcPr>
            <w:tcW w:w="183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不超过±5％</w:t>
            </w:r>
          </w:p>
        </w:tc>
        <w:tc>
          <w:tcPr>
            <w:tcW w:w="172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473" w:type="dxa"/>
            <w:gridSpan w:val="5"/>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left"/>
              <w:rPr>
                <w:rFonts w:ascii="宋体" w:hAnsi="宋体"/>
                <w:sz w:val="22"/>
                <w:szCs w:val="22"/>
              </w:rPr>
            </w:pPr>
            <w:r>
              <w:rPr>
                <w:rFonts w:ascii="宋体" w:hAnsi="宋体"/>
                <w:sz w:val="22"/>
                <w:szCs w:val="22"/>
              </w:rPr>
              <w:t>注：</w:t>
            </w:r>
          </w:p>
          <w:p>
            <w:pPr>
              <w:snapToGrid w:val="0"/>
              <w:spacing w:line="360" w:lineRule="exact"/>
              <w:jc w:val="left"/>
              <w:rPr>
                <w:rFonts w:ascii="宋体" w:hAnsi="宋体"/>
                <w:sz w:val="22"/>
                <w:szCs w:val="22"/>
              </w:rPr>
            </w:pPr>
            <w:r>
              <w:rPr>
                <w:rFonts w:ascii="宋体" w:hAnsi="宋体"/>
                <w:sz w:val="22"/>
                <w:szCs w:val="22"/>
              </w:rPr>
              <w:t>1、烟气采样流量：不小于1.0L/min</w:t>
            </w:r>
          </w:p>
          <w:p>
            <w:pPr>
              <w:snapToGrid w:val="0"/>
              <w:spacing w:line="360" w:lineRule="exact"/>
              <w:jc w:val="left"/>
              <w:rPr>
                <w:rFonts w:ascii="宋体" w:hAnsi="宋体"/>
                <w:sz w:val="22"/>
                <w:szCs w:val="22"/>
              </w:rPr>
            </w:pPr>
            <w:r>
              <w:rPr>
                <w:rFonts w:ascii="宋体" w:hAnsi="宋体"/>
                <w:sz w:val="22"/>
                <w:szCs w:val="22"/>
              </w:rPr>
              <w:t>2、所有传感器：响应时间：≤90s，稳定性：1h内示数值变化不大于5%，使用寿命：空气中约2年</w:t>
            </w:r>
          </w:p>
        </w:tc>
      </w:tr>
    </w:tbl>
    <w:p>
      <w:pPr>
        <w:snapToGrid w:val="0"/>
        <w:spacing w:line="360" w:lineRule="exact"/>
        <w:jc w:val="left"/>
        <w:rPr>
          <w:rFonts w:ascii="宋体" w:hAnsi="宋体"/>
          <w:sz w:val="22"/>
          <w:szCs w:val="22"/>
        </w:rPr>
      </w:pPr>
      <w:r>
        <w:rPr>
          <w:rFonts w:ascii="宋体" w:hAnsi="宋体"/>
          <w:b/>
          <w:bCs/>
          <w:sz w:val="22"/>
          <w:szCs w:val="22"/>
        </w:rPr>
        <w:t>3、仪器配置要求</w:t>
      </w:r>
    </w:p>
    <w:p>
      <w:pPr>
        <w:snapToGrid w:val="0"/>
        <w:spacing w:line="360" w:lineRule="exact"/>
        <w:jc w:val="left"/>
        <w:rPr>
          <w:rFonts w:ascii="宋体" w:hAnsi="宋体"/>
          <w:sz w:val="22"/>
          <w:szCs w:val="22"/>
        </w:rPr>
      </w:pPr>
      <w:r>
        <w:rPr>
          <w:rFonts w:ascii="宋体" w:hAnsi="宋体"/>
          <w:sz w:val="22"/>
          <w:szCs w:val="22"/>
        </w:rPr>
        <w:t>3.1自动烟尘（气）测试仪主机；</w:t>
      </w:r>
    </w:p>
    <w:p>
      <w:pPr>
        <w:snapToGrid w:val="0"/>
        <w:spacing w:line="360" w:lineRule="exact"/>
        <w:jc w:val="left"/>
        <w:rPr>
          <w:rFonts w:ascii="宋体" w:hAnsi="宋体"/>
          <w:sz w:val="22"/>
          <w:szCs w:val="22"/>
        </w:rPr>
      </w:pPr>
      <w:r>
        <w:rPr>
          <w:rFonts w:ascii="宋体" w:hAnsi="宋体"/>
          <w:sz w:val="22"/>
          <w:szCs w:val="22"/>
        </w:rPr>
        <w:t>▲3.2主机具备烟尘、烟气同步同时监测采样系统；</w:t>
      </w:r>
    </w:p>
    <w:p>
      <w:pPr>
        <w:snapToGrid w:val="0"/>
        <w:spacing w:line="360" w:lineRule="exact"/>
        <w:jc w:val="left"/>
        <w:rPr>
          <w:rFonts w:ascii="宋体" w:hAnsi="宋体"/>
          <w:sz w:val="22"/>
          <w:szCs w:val="22"/>
        </w:rPr>
      </w:pPr>
      <w:r>
        <w:rPr>
          <w:rFonts w:ascii="宋体" w:hAnsi="宋体"/>
          <w:sz w:val="22"/>
          <w:szCs w:val="22"/>
        </w:rPr>
        <w:t xml:space="preserve">▲3.3内置锂电池（能够连续采样4小时以上）；  </w:t>
      </w:r>
    </w:p>
    <w:p>
      <w:pPr>
        <w:snapToGrid w:val="0"/>
        <w:spacing w:line="360" w:lineRule="exact"/>
        <w:jc w:val="left"/>
        <w:rPr>
          <w:rFonts w:ascii="宋体" w:hAnsi="宋体"/>
          <w:sz w:val="22"/>
          <w:szCs w:val="22"/>
        </w:rPr>
      </w:pPr>
      <w:r>
        <w:rPr>
          <w:rFonts w:ascii="宋体" w:hAnsi="宋体"/>
          <w:sz w:val="22"/>
          <w:szCs w:val="22"/>
        </w:rPr>
        <w:t>▲3.4阻容法烟气含湿量检测器（一体化设计，采用工业级阻容法湿度传感器、需带有自动温度补偿、需有伴热功能，降低传感器表面结露风险，实时工况压力测量并参与算法修正，提高测量准确性。）</w:t>
      </w:r>
    </w:p>
    <w:p>
      <w:pPr>
        <w:snapToGrid w:val="0"/>
        <w:spacing w:line="360" w:lineRule="exact"/>
        <w:jc w:val="left"/>
        <w:rPr>
          <w:rFonts w:ascii="宋体" w:hAnsi="宋体"/>
          <w:sz w:val="22"/>
          <w:szCs w:val="22"/>
        </w:rPr>
      </w:pPr>
      <w:r>
        <w:rPr>
          <w:rFonts w:ascii="宋体" w:hAnsi="宋体"/>
          <w:sz w:val="22"/>
          <w:szCs w:val="22"/>
        </w:rPr>
        <w:t>▲3.5烟气流速监测仪（一体式设计，内置锂电池，可在无外接电情况下使用，带-20~85°C温度补偿，可设置工况参数，生成监测方案，同步显示当前动压，静压，全压，烟温，烟气流速，烟气流量，标杆流量）；</w:t>
      </w:r>
    </w:p>
    <w:p>
      <w:pPr>
        <w:snapToGrid w:val="0"/>
        <w:spacing w:line="360" w:lineRule="exact"/>
        <w:jc w:val="left"/>
        <w:rPr>
          <w:rFonts w:ascii="宋体" w:hAnsi="宋体"/>
          <w:sz w:val="22"/>
          <w:szCs w:val="22"/>
        </w:rPr>
      </w:pPr>
      <w:r>
        <w:rPr>
          <w:rFonts w:ascii="宋体" w:hAnsi="宋体"/>
          <w:sz w:val="22"/>
          <w:szCs w:val="22"/>
        </w:rPr>
        <w:t>▲3.6烟气预处理取样器（采用两级颗粒物过滤，精度≥50微米、加热温度包含100-160°C、制冷温度包含0-9°C，长度1.5米，采用脱水设计，可自动排水，防止冷凝水过多进入仪器造成伤害）；</w:t>
      </w:r>
    </w:p>
    <w:p>
      <w:pPr>
        <w:snapToGrid w:val="0"/>
        <w:spacing w:line="360" w:lineRule="exact"/>
        <w:jc w:val="left"/>
        <w:rPr>
          <w:rFonts w:ascii="宋体" w:hAnsi="宋体"/>
          <w:sz w:val="22"/>
          <w:szCs w:val="22"/>
        </w:rPr>
      </w:pPr>
      <w:r>
        <w:rPr>
          <w:rFonts w:ascii="宋体" w:hAnsi="宋体"/>
          <w:sz w:val="22"/>
        </w:rPr>
        <w:t>★</w:t>
      </w:r>
      <w:r>
        <w:rPr>
          <w:rFonts w:ascii="宋体" w:hAnsi="宋体"/>
          <w:sz w:val="22"/>
          <w:szCs w:val="22"/>
        </w:rPr>
        <w:t>3.7 SO2、O2、CO、NO、NO2传感器各一套；</w:t>
      </w:r>
    </w:p>
    <w:p>
      <w:pPr>
        <w:snapToGrid w:val="0"/>
        <w:spacing w:line="360" w:lineRule="exact"/>
        <w:jc w:val="left"/>
        <w:rPr>
          <w:rFonts w:ascii="宋体" w:hAnsi="宋体"/>
          <w:sz w:val="22"/>
          <w:szCs w:val="22"/>
        </w:rPr>
      </w:pPr>
      <w:r>
        <w:rPr>
          <w:rFonts w:ascii="宋体" w:hAnsi="宋体"/>
          <w:sz w:val="22"/>
          <w:szCs w:val="22"/>
        </w:rPr>
        <w:t>3.8提供CO干扰试验报告；</w:t>
      </w:r>
    </w:p>
    <w:p>
      <w:pPr>
        <w:snapToGrid w:val="0"/>
        <w:spacing w:line="360" w:lineRule="exact"/>
        <w:jc w:val="left"/>
        <w:rPr>
          <w:rFonts w:ascii="宋体" w:hAnsi="宋体"/>
          <w:sz w:val="22"/>
          <w:szCs w:val="22"/>
        </w:rPr>
      </w:pPr>
      <w:r>
        <w:rPr>
          <w:rFonts w:ascii="宋体" w:hAnsi="宋体"/>
          <w:sz w:val="22"/>
          <w:szCs w:val="22"/>
        </w:rPr>
        <w:t>3.9低浓度颗粒物采样头24个；</w:t>
      </w:r>
    </w:p>
    <w:p>
      <w:pPr>
        <w:snapToGrid w:val="0"/>
        <w:spacing w:line="360" w:lineRule="exact"/>
        <w:jc w:val="left"/>
        <w:rPr>
          <w:rFonts w:ascii="宋体" w:hAnsi="宋体"/>
          <w:sz w:val="22"/>
          <w:szCs w:val="22"/>
        </w:rPr>
      </w:pPr>
      <w:r>
        <w:rPr>
          <w:rFonts w:ascii="宋体" w:hAnsi="宋体"/>
          <w:sz w:val="22"/>
          <w:szCs w:val="22"/>
        </w:rPr>
        <w:t>3.10高效汽水分离器；</w:t>
      </w:r>
    </w:p>
    <w:p>
      <w:pPr>
        <w:snapToGrid w:val="0"/>
        <w:spacing w:line="360" w:lineRule="exact"/>
        <w:jc w:val="left"/>
        <w:rPr>
          <w:rFonts w:ascii="宋体" w:hAnsi="宋体"/>
          <w:sz w:val="22"/>
          <w:szCs w:val="22"/>
        </w:rPr>
      </w:pPr>
      <w:r>
        <w:rPr>
          <w:rFonts w:ascii="宋体" w:hAnsi="宋体"/>
          <w:sz w:val="22"/>
          <w:szCs w:val="22"/>
        </w:rPr>
        <w:t>3.11 自动压膜机；</w:t>
      </w:r>
    </w:p>
    <w:p>
      <w:pPr>
        <w:snapToGrid w:val="0"/>
        <w:spacing w:line="360" w:lineRule="exact"/>
        <w:jc w:val="left"/>
        <w:rPr>
          <w:rFonts w:ascii="宋体" w:hAnsi="宋体"/>
          <w:sz w:val="22"/>
          <w:szCs w:val="22"/>
        </w:rPr>
      </w:pPr>
      <w:r>
        <w:rPr>
          <w:rFonts w:ascii="宋体" w:hAnsi="宋体"/>
          <w:sz w:val="22"/>
          <w:szCs w:val="22"/>
        </w:rPr>
        <w:t>3.12 检定证书、使用说明书、产品合格证；</w:t>
      </w:r>
    </w:p>
    <w:p>
      <w:pPr>
        <w:snapToGrid w:val="0"/>
        <w:spacing w:line="360" w:lineRule="exact"/>
        <w:jc w:val="left"/>
        <w:rPr>
          <w:rFonts w:ascii="宋体" w:hAnsi="宋体"/>
          <w:sz w:val="22"/>
          <w:szCs w:val="22"/>
        </w:rPr>
      </w:pPr>
      <w:r>
        <w:rPr>
          <w:rFonts w:ascii="宋体" w:hAnsi="宋体"/>
          <w:sz w:val="22"/>
          <w:szCs w:val="22"/>
        </w:rPr>
        <w:t>3.13低浓度烟尘多功能取样管（1.5米和2.5米）各一套；</w:t>
      </w:r>
    </w:p>
    <w:p>
      <w:pPr>
        <w:snapToGrid w:val="0"/>
        <w:spacing w:line="360" w:lineRule="exact"/>
        <w:jc w:val="left"/>
        <w:rPr>
          <w:rFonts w:ascii="宋体" w:hAnsi="宋体"/>
          <w:sz w:val="22"/>
          <w:szCs w:val="22"/>
        </w:rPr>
      </w:pPr>
      <w:r>
        <w:rPr>
          <w:rFonts w:ascii="宋体" w:hAnsi="宋体"/>
          <w:sz w:val="22"/>
          <w:szCs w:val="22"/>
        </w:rPr>
        <w:t>3.14蓝牙打印机和热敏打印机各一台；</w:t>
      </w:r>
    </w:p>
    <w:p>
      <w:pPr>
        <w:snapToGrid w:val="0"/>
        <w:spacing w:line="360" w:lineRule="exact"/>
        <w:jc w:val="left"/>
        <w:rPr>
          <w:rFonts w:ascii="宋体" w:hAnsi="宋体"/>
          <w:sz w:val="22"/>
          <w:szCs w:val="22"/>
        </w:rPr>
      </w:pPr>
      <w:r>
        <w:rPr>
          <w:rFonts w:ascii="宋体" w:hAnsi="宋体"/>
          <w:sz w:val="22"/>
          <w:szCs w:val="22"/>
        </w:rPr>
        <w:t>3.15智能交直流移动电源（可显示负载功率，电池电量，剩余使用时间，交直流供电，在额定功率下可同时AC220V、DC24V、DC12V输出，具备USB双口输出）</w:t>
      </w:r>
    </w:p>
    <w:p>
      <w:pPr>
        <w:snapToGrid w:val="0"/>
        <w:spacing w:line="360" w:lineRule="exact"/>
        <w:rPr>
          <w:rFonts w:ascii="宋体" w:hAnsi="宋体"/>
          <w:sz w:val="22"/>
          <w:szCs w:val="22"/>
        </w:rPr>
      </w:pPr>
    </w:p>
    <w:p>
      <w:pPr>
        <w:snapToGrid w:val="0"/>
        <w:spacing w:before="187" w:after="187" w:line="360" w:lineRule="exact"/>
        <w:rPr>
          <w:rFonts w:ascii="宋体" w:hAnsi="宋体"/>
          <w:sz w:val="22"/>
          <w:szCs w:val="22"/>
        </w:rPr>
      </w:pPr>
      <w:r>
        <w:rPr>
          <w:rFonts w:ascii="宋体" w:hAnsi="宋体"/>
          <w:b/>
          <w:bCs/>
          <w:sz w:val="22"/>
          <w:szCs w:val="22"/>
        </w:rPr>
        <w:t>（二）便携式pH计</w:t>
      </w:r>
    </w:p>
    <w:p>
      <w:pPr>
        <w:snapToGrid w:val="0"/>
        <w:spacing w:line="360" w:lineRule="exact"/>
        <w:rPr>
          <w:rFonts w:ascii="宋体" w:hAnsi="宋体"/>
          <w:sz w:val="22"/>
          <w:szCs w:val="22"/>
        </w:rPr>
      </w:pPr>
      <w:r>
        <w:rPr>
          <w:rFonts w:ascii="宋体" w:hAnsi="宋体"/>
          <w:b/>
          <w:bCs/>
          <w:sz w:val="22"/>
          <w:szCs w:val="22"/>
        </w:rPr>
        <w:t>1、应用范围</w:t>
      </w:r>
    </w:p>
    <w:p>
      <w:pPr>
        <w:snapToGrid w:val="0"/>
        <w:spacing w:line="360" w:lineRule="exact"/>
        <w:rPr>
          <w:rFonts w:ascii="宋体" w:hAnsi="宋体"/>
          <w:sz w:val="22"/>
          <w:szCs w:val="22"/>
        </w:rPr>
      </w:pPr>
      <w:r>
        <w:rPr>
          <w:rFonts w:ascii="宋体" w:hAnsi="宋体"/>
          <w:sz w:val="22"/>
          <w:szCs w:val="22"/>
        </w:rPr>
        <w:t>用于现场水质pH监测。</w:t>
      </w:r>
    </w:p>
    <w:p>
      <w:pPr>
        <w:snapToGrid w:val="0"/>
        <w:spacing w:line="360" w:lineRule="exact"/>
        <w:rPr>
          <w:rFonts w:ascii="宋体" w:hAnsi="宋体"/>
          <w:sz w:val="22"/>
          <w:szCs w:val="22"/>
        </w:rPr>
      </w:pPr>
      <w:r>
        <w:rPr>
          <w:rFonts w:ascii="宋体" w:hAnsi="宋体"/>
          <w:b/>
          <w:bCs/>
          <w:sz w:val="22"/>
          <w:szCs w:val="22"/>
        </w:rPr>
        <w:t>2、技术参数</w:t>
      </w:r>
    </w:p>
    <w:p>
      <w:pPr>
        <w:snapToGrid w:val="0"/>
        <w:spacing w:line="360" w:lineRule="exact"/>
        <w:jc w:val="left"/>
        <w:rPr>
          <w:rFonts w:ascii="宋体" w:hAnsi="宋体"/>
          <w:sz w:val="22"/>
          <w:szCs w:val="22"/>
        </w:rPr>
      </w:pPr>
      <w:r>
        <w:rPr>
          <w:rFonts w:ascii="宋体" w:hAnsi="宋体"/>
          <w:sz w:val="22"/>
          <w:szCs w:val="22"/>
        </w:rPr>
        <w:t>▲2.1测量参数</w:t>
      </w:r>
    </w:p>
    <w:p>
      <w:pPr>
        <w:snapToGrid w:val="0"/>
        <w:spacing w:line="360" w:lineRule="exact"/>
        <w:jc w:val="left"/>
        <w:rPr>
          <w:rFonts w:ascii="宋体" w:hAnsi="宋体"/>
          <w:sz w:val="22"/>
          <w:szCs w:val="22"/>
        </w:rPr>
      </w:pPr>
    </w:p>
    <w:tbl>
      <w:tblPr>
        <w:tblStyle w:val="43"/>
        <w:tblW w:w="4527"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646"/>
        <w:gridCol w:w="92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6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参数</w:t>
            </w:r>
          </w:p>
        </w:tc>
        <w:tc>
          <w:tcPr>
            <w:tcW w:w="164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测量范围</w:t>
            </w:r>
          </w:p>
        </w:tc>
        <w:tc>
          <w:tcPr>
            <w:tcW w:w="92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分辨率</w:t>
            </w:r>
          </w:p>
        </w:tc>
        <w:tc>
          <w:tcPr>
            <w:tcW w:w="12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pH</w:t>
            </w:r>
          </w:p>
        </w:tc>
        <w:tc>
          <w:tcPr>
            <w:tcW w:w="164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-2.000~20.000</w:t>
            </w:r>
          </w:p>
        </w:tc>
        <w:tc>
          <w:tcPr>
            <w:tcW w:w="92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0.001</w:t>
            </w:r>
          </w:p>
        </w:tc>
        <w:tc>
          <w:tcPr>
            <w:tcW w:w="12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±0.0</w:t>
            </w:r>
            <w:r>
              <w:rPr>
                <w:rFonts w:hint="eastAsia" w:ascii="宋体" w:hAnsi="宋体"/>
                <w:sz w:val="22"/>
                <w:szCs w:val="22"/>
              </w:rPr>
              <w:t>0</w:t>
            </w:r>
            <w:r>
              <w:rPr>
                <w:rFonts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ORP</w:t>
            </w:r>
          </w:p>
        </w:tc>
        <w:tc>
          <w:tcPr>
            <w:tcW w:w="164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w:t>
            </w:r>
            <w:r>
              <w:rPr>
                <w:rFonts w:hint="eastAsia" w:ascii="宋体" w:hAnsi="宋体"/>
                <w:sz w:val="22"/>
                <w:szCs w:val="22"/>
              </w:rPr>
              <w:t>2000</w:t>
            </w:r>
            <w:r>
              <w:rPr>
                <w:rFonts w:ascii="宋体" w:hAnsi="宋体"/>
                <w:sz w:val="22"/>
                <w:szCs w:val="22"/>
              </w:rPr>
              <w:t>~</w:t>
            </w:r>
            <w:r>
              <w:rPr>
                <w:rFonts w:hint="eastAsia" w:ascii="宋体" w:hAnsi="宋体"/>
                <w:sz w:val="22"/>
                <w:szCs w:val="22"/>
              </w:rPr>
              <w:t>2000</w:t>
            </w:r>
          </w:p>
        </w:tc>
        <w:tc>
          <w:tcPr>
            <w:tcW w:w="92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c>
          <w:tcPr>
            <w:tcW w:w="12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6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温度</w:t>
            </w:r>
          </w:p>
        </w:tc>
        <w:tc>
          <w:tcPr>
            <w:tcW w:w="164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-30.0~130.0℃</w:t>
            </w:r>
          </w:p>
        </w:tc>
        <w:tc>
          <w:tcPr>
            <w:tcW w:w="92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c>
          <w:tcPr>
            <w:tcW w:w="129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±0.5℃</w:t>
            </w:r>
          </w:p>
        </w:tc>
      </w:tr>
    </w:tbl>
    <w:p>
      <w:pPr>
        <w:snapToGrid w:val="0"/>
        <w:spacing w:line="360" w:lineRule="exact"/>
        <w:jc w:val="left"/>
        <w:rPr>
          <w:rFonts w:ascii="宋体" w:hAnsi="宋体"/>
          <w:sz w:val="22"/>
          <w:szCs w:val="22"/>
        </w:rPr>
      </w:pPr>
      <w:r>
        <w:rPr>
          <w:rFonts w:ascii="宋体" w:hAnsi="宋体"/>
          <w:sz w:val="22"/>
          <w:szCs w:val="22"/>
        </w:rPr>
        <w:t>2.2 pH校准</w:t>
      </w:r>
    </w:p>
    <w:p>
      <w:pPr>
        <w:snapToGrid w:val="0"/>
        <w:spacing w:line="360" w:lineRule="exact"/>
        <w:jc w:val="left"/>
        <w:rPr>
          <w:rFonts w:ascii="宋体" w:hAnsi="宋体"/>
          <w:sz w:val="22"/>
          <w:szCs w:val="22"/>
        </w:rPr>
      </w:pPr>
      <w:r>
        <w:rPr>
          <w:rFonts w:ascii="宋体" w:hAnsi="宋体"/>
          <w:sz w:val="22"/>
          <w:szCs w:val="22"/>
        </w:rPr>
        <w:t>2.2.1pH校准点5个。</w:t>
      </w:r>
    </w:p>
    <w:p>
      <w:pPr>
        <w:snapToGrid w:val="0"/>
        <w:spacing w:line="360" w:lineRule="exact"/>
        <w:jc w:val="left"/>
        <w:rPr>
          <w:rFonts w:ascii="宋体" w:hAnsi="宋体"/>
          <w:sz w:val="22"/>
          <w:szCs w:val="22"/>
        </w:rPr>
      </w:pPr>
      <w:r>
        <w:rPr>
          <w:rFonts w:ascii="宋体" w:hAnsi="宋体"/>
          <w:sz w:val="22"/>
          <w:szCs w:val="22"/>
        </w:rPr>
        <w:t>2.2.2pH预设缓冲液组</w:t>
      </w:r>
      <w:r>
        <w:rPr>
          <w:rFonts w:hint="eastAsia" w:ascii="宋体" w:hAnsi="宋体"/>
          <w:sz w:val="22"/>
          <w:szCs w:val="22"/>
        </w:rPr>
        <w:t>8</w:t>
      </w:r>
      <w:r>
        <w:rPr>
          <w:rFonts w:ascii="宋体" w:hAnsi="宋体"/>
          <w:sz w:val="22"/>
          <w:szCs w:val="22"/>
        </w:rPr>
        <w:t>个。</w:t>
      </w:r>
    </w:p>
    <w:p>
      <w:pPr>
        <w:snapToGrid w:val="0"/>
        <w:spacing w:line="360" w:lineRule="exact"/>
        <w:jc w:val="left"/>
        <w:rPr>
          <w:rFonts w:ascii="宋体" w:hAnsi="宋体"/>
          <w:sz w:val="22"/>
          <w:szCs w:val="22"/>
        </w:rPr>
      </w:pPr>
      <w:r>
        <w:rPr>
          <w:rFonts w:ascii="宋体" w:hAnsi="宋体"/>
          <w:sz w:val="22"/>
          <w:szCs w:val="22"/>
        </w:rPr>
        <w:t>2.2.3 用户自定义缓冲液组</w:t>
      </w:r>
    </w:p>
    <w:p>
      <w:pPr>
        <w:snapToGrid w:val="0"/>
        <w:spacing w:line="360" w:lineRule="exact"/>
        <w:jc w:val="left"/>
        <w:rPr>
          <w:rFonts w:ascii="宋体" w:hAnsi="宋体"/>
          <w:sz w:val="22"/>
          <w:szCs w:val="22"/>
        </w:rPr>
      </w:pPr>
      <w:r>
        <w:rPr>
          <w:rFonts w:ascii="宋体" w:hAnsi="宋体"/>
          <w:sz w:val="22"/>
          <w:szCs w:val="22"/>
        </w:rPr>
        <w:t>2.2.4 缓冲液自动识别</w:t>
      </w:r>
    </w:p>
    <w:p>
      <w:pPr>
        <w:snapToGrid w:val="0"/>
        <w:spacing w:line="360" w:lineRule="exact"/>
        <w:jc w:val="left"/>
        <w:rPr>
          <w:rFonts w:ascii="宋体" w:hAnsi="宋体"/>
          <w:sz w:val="22"/>
          <w:szCs w:val="22"/>
        </w:rPr>
      </w:pPr>
      <w:r>
        <w:rPr>
          <w:rFonts w:ascii="宋体" w:hAnsi="宋体"/>
          <w:sz w:val="22"/>
          <w:szCs w:val="22"/>
        </w:rPr>
        <w:t>2.2.5校准模式分线性和分段。</w:t>
      </w:r>
    </w:p>
    <w:p>
      <w:pPr>
        <w:snapToGrid w:val="0"/>
        <w:spacing w:line="360" w:lineRule="exact"/>
        <w:jc w:val="left"/>
        <w:rPr>
          <w:rFonts w:ascii="宋体" w:hAnsi="宋体"/>
          <w:sz w:val="22"/>
          <w:szCs w:val="22"/>
        </w:rPr>
      </w:pPr>
      <w:r>
        <w:rPr>
          <w:rFonts w:ascii="宋体" w:hAnsi="宋体"/>
          <w:sz w:val="22"/>
          <w:szCs w:val="22"/>
        </w:rPr>
        <w:t>2.3通用测量参数</w:t>
      </w:r>
    </w:p>
    <w:p>
      <w:pPr>
        <w:snapToGrid w:val="0"/>
        <w:spacing w:line="360" w:lineRule="exact"/>
        <w:jc w:val="left"/>
        <w:rPr>
          <w:rFonts w:ascii="宋体" w:hAnsi="宋体"/>
          <w:sz w:val="22"/>
          <w:szCs w:val="22"/>
        </w:rPr>
      </w:pPr>
      <w:r>
        <w:rPr>
          <w:rFonts w:ascii="宋体" w:hAnsi="宋体"/>
          <w:sz w:val="22"/>
          <w:szCs w:val="22"/>
        </w:rPr>
        <w:t>2.3.1支持12种语言，可中文清晰表述用户界面</w:t>
      </w:r>
    </w:p>
    <w:p>
      <w:pPr>
        <w:snapToGrid w:val="0"/>
        <w:spacing w:line="360" w:lineRule="exact"/>
        <w:jc w:val="left"/>
        <w:rPr>
          <w:rFonts w:ascii="宋体" w:hAnsi="宋体"/>
          <w:sz w:val="22"/>
          <w:szCs w:val="22"/>
        </w:rPr>
      </w:pPr>
      <w:r>
        <w:rPr>
          <w:rFonts w:ascii="宋体" w:hAnsi="宋体"/>
          <w:sz w:val="22"/>
          <w:szCs w:val="22"/>
        </w:rPr>
        <w:t>2.3.2自动、手动终点</w:t>
      </w:r>
    </w:p>
    <w:p>
      <w:pPr>
        <w:snapToGrid w:val="0"/>
        <w:spacing w:line="360" w:lineRule="exact"/>
        <w:jc w:val="left"/>
        <w:rPr>
          <w:rFonts w:ascii="宋体" w:hAnsi="宋体"/>
          <w:sz w:val="22"/>
          <w:szCs w:val="22"/>
        </w:rPr>
      </w:pPr>
      <w:r>
        <w:rPr>
          <w:rFonts w:ascii="宋体" w:hAnsi="宋体"/>
          <w:sz w:val="22"/>
          <w:szCs w:val="22"/>
        </w:rPr>
        <w:t>2.3.3定时终点</w:t>
      </w:r>
    </w:p>
    <w:p>
      <w:pPr>
        <w:snapToGrid w:val="0"/>
        <w:spacing w:line="360" w:lineRule="exact"/>
        <w:jc w:val="left"/>
        <w:rPr>
          <w:rFonts w:ascii="宋体" w:hAnsi="宋体"/>
          <w:sz w:val="22"/>
          <w:szCs w:val="22"/>
        </w:rPr>
      </w:pPr>
      <w:r>
        <w:rPr>
          <w:rFonts w:ascii="宋体" w:hAnsi="宋体"/>
          <w:sz w:val="22"/>
          <w:szCs w:val="22"/>
        </w:rPr>
        <w:t>2.3.4连续测量</w:t>
      </w:r>
    </w:p>
    <w:p>
      <w:pPr>
        <w:snapToGrid w:val="0"/>
        <w:spacing w:line="360" w:lineRule="exact"/>
        <w:jc w:val="left"/>
        <w:rPr>
          <w:rFonts w:ascii="宋体" w:hAnsi="宋体"/>
          <w:sz w:val="22"/>
          <w:szCs w:val="22"/>
        </w:rPr>
      </w:pPr>
      <w:r>
        <w:rPr>
          <w:rFonts w:ascii="宋体" w:hAnsi="宋体"/>
          <w:sz w:val="22"/>
          <w:szCs w:val="22"/>
        </w:rPr>
        <w:t>2.3.5终点提示图标</w:t>
      </w:r>
    </w:p>
    <w:p>
      <w:pPr>
        <w:snapToGrid w:val="0"/>
        <w:spacing w:line="360" w:lineRule="exact"/>
        <w:jc w:val="left"/>
        <w:rPr>
          <w:rFonts w:ascii="宋体" w:hAnsi="宋体"/>
          <w:sz w:val="22"/>
          <w:szCs w:val="22"/>
        </w:rPr>
      </w:pPr>
      <w:r>
        <w:rPr>
          <w:rFonts w:ascii="宋体" w:hAnsi="宋体"/>
          <w:sz w:val="22"/>
          <w:szCs w:val="22"/>
        </w:rPr>
        <w:t>2.3.6 2000个符合GLP要求的数据，包括时间、日期、电极ID、样品ID等。</w:t>
      </w:r>
    </w:p>
    <w:p>
      <w:pPr>
        <w:snapToGrid w:val="0"/>
        <w:spacing w:line="360" w:lineRule="exact"/>
        <w:jc w:val="left"/>
        <w:rPr>
          <w:rFonts w:ascii="宋体" w:hAnsi="宋体"/>
          <w:sz w:val="22"/>
          <w:szCs w:val="22"/>
        </w:rPr>
      </w:pPr>
      <w:r>
        <w:rPr>
          <w:rFonts w:ascii="宋体" w:hAnsi="宋体"/>
          <w:sz w:val="22"/>
          <w:szCs w:val="22"/>
        </w:rPr>
        <w:t>2.3.7防强光屏幕 – 避免眩光引起无法读数</w:t>
      </w:r>
    </w:p>
    <w:p>
      <w:pPr>
        <w:snapToGrid w:val="0"/>
        <w:spacing w:line="360" w:lineRule="exact"/>
        <w:jc w:val="left"/>
        <w:rPr>
          <w:rFonts w:ascii="宋体" w:hAnsi="宋体"/>
          <w:sz w:val="22"/>
          <w:szCs w:val="22"/>
        </w:rPr>
      </w:pPr>
      <w:r>
        <w:rPr>
          <w:rFonts w:ascii="宋体" w:hAnsi="宋体"/>
          <w:sz w:val="22"/>
          <w:szCs w:val="22"/>
        </w:rPr>
        <w:t>2.3.8电源4节1.5V AA碱性电池</w:t>
      </w:r>
    </w:p>
    <w:p>
      <w:pPr>
        <w:snapToGrid w:val="0"/>
        <w:spacing w:line="360" w:lineRule="exact"/>
        <w:jc w:val="left"/>
        <w:rPr>
          <w:rFonts w:ascii="宋体" w:hAnsi="宋体"/>
          <w:sz w:val="22"/>
          <w:szCs w:val="22"/>
        </w:rPr>
      </w:pPr>
      <w:r>
        <w:rPr>
          <w:rFonts w:ascii="宋体" w:hAnsi="宋体"/>
          <w:sz w:val="22"/>
          <w:szCs w:val="22"/>
        </w:rPr>
        <w:t>2.3.9图形LCD显示屏</w:t>
      </w:r>
    </w:p>
    <w:p>
      <w:pPr>
        <w:snapToGrid w:val="0"/>
        <w:spacing w:line="360" w:lineRule="exact"/>
        <w:jc w:val="left"/>
        <w:rPr>
          <w:rFonts w:ascii="宋体" w:hAnsi="宋体"/>
          <w:sz w:val="22"/>
          <w:szCs w:val="22"/>
        </w:rPr>
      </w:pPr>
      <w:r>
        <w:rPr>
          <w:rFonts w:ascii="宋体" w:hAnsi="宋体"/>
          <w:sz w:val="22"/>
          <w:szCs w:val="22"/>
        </w:rPr>
        <w:t>3、标准配置</w:t>
      </w:r>
    </w:p>
    <w:tbl>
      <w:tblPr>
        <w:tblStyle w:val="43"/>
        <w:tblW w:w="8456"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93"/>
        <w:gridCol w:w="1406"/>
        <w:gridCol w:w="1145"/>
        <w:gridCol w:w="698"/>
        <w:gridCol w:w="720"/>
        <w:gridCol w:w="708"/>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序号</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名称</w:t>
            </w:r>
          </w:p>
        </w:tc>
        <w:tc>
          <w:tcPr>
            <w:tcW w:w="114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规格</w:t>
            </w:r>
          </w:p>
        </w:tc>
        <w:tc>
          <w:tcPr>
            <w:tcW w:w="69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单位</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数量</w:t>
            </w:r>
          </w:p>
        </w:tc>
        <w:tc>
          <w:tcPr>
            <w:tcW w:w="70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配置</w:t>
            </w:r>
          </w:p>
        </w:tc>
        <w:tc>
          <w:tcPr>
            <w:tcW w:w="2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restart"/>
            <w:tcBorders>
              <w:top w:val="single" w:color="000000" w:sz="8" w:space="0"/>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台</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1.1</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restart"/>
            <w:tcBorders>
              <w:top w:val="single" w:color="000000" w:sz="8" w:space="0"/>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主机附件箱</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r>
              <w:rPr>
                <w:rFonts w:ascii="宋体" w:hAnsi="宋体"/>
                <w:sz w:val="22"/>
                <w:szCs w:val="22"/>
              </w:rPr>
              <w:t>1</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2</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pH电极</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电极杆直径：12 mm</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可存储电极多项参数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2.3</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电极电缆线</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1.2m电缆</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根</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2.4</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4.01/7.00/9.21校准液</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250ml/瓶</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套</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2.5</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校准瓶</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6</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2.6</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便携箱</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restart"/>
            <w:tcBorders>
              <w:top w:val="single" w:color="000000" w:sz="8" w:space="0"/>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资料袋</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r>
              <w:rPr>
                <w:rFonts w:ascii="宋体" w:hAnsi="宋体"/>
                <w:sz w:val="22"/>
                <w:szCs w:val="22"/>
              </w:rPr>
              <w:t>1</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产品合格证</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份</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r>
              <w:rPr>
                <w:rFonts w:ascii="宋体" w:hAnsi="宋体"/>
                <w:sz w:val="22"/>
                <w:szCs w:val="22"/>
              </w:rPr>
              <w:t>2</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使用说明书</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份</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提供中英文说明书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676" w:type="dxa"/>
            <w:vMerge w:val="continue"/>
            <w:tcBorders>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r>
              <w:rPr>
                <w:rFonts w:ascii="宋体" w:hAnsi="宋体"/>
                <w:sz w:val="22"/>
                <w:szCs w:val="22"/>
              </w:rPr>
              <w:t>3</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校准证书</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份</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1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bl>
    <w:p>
      <w:pPr>
        <w:snapToGrid w:val="0"/>
        <w:spacing w:line="360" w:lineRule="exact"/>
        <w:jc w:val="left"/>
        <w:rPr>
          <w:rFonts w:ascii="宋体" w:hAnsi="宋体"/>
          <w:sz w:val="22"/>
          <w:szCs w:val="22"/>
        </w:rPr>
      </w:pPr>
    </w:p>
    <w:p>
      <w:pPr>
        <w:snapToGrid w:val="0"/>
        <w:spacing w:before="187" w:after="187" w:line="360" w:lineRule="exact"/>
        <w:rPr>
          <w:rFonts w:ascii="Calibri" w:hAnsi="Calibri"/>
          <w:szCs w:val="22"/>
        </w:rPr>
      </w:pPr>
      <w:r>
        <w:rPr>
          <w:rFonts w:ascii="宋体" w:hAnsi="宋体"/>
          <w:b/>
          <w:bCs/>
          <w:sz w:val="22"/>
          <w:szCs w:val="22"/>
        </w:rPr>
        <w:t>（三）便携式智能真空采样系统</w:t>
      </w:r>
    </w:p>
    <w:p>
      <w:pPr>
        <w:snapToGrid w:val="0"/>
        <w:spacing w:line="360" w:lineRule="exact"/>
        <w:rPr>
          <w:rFonts w:ascii="宋体" w:hAnsi="宋体"/>
          <w:sz w:val="22"/>
          <w:szCs w:val="22"/>
        </w:rPr>
      </w:pPr>
      <w:r>
        <w:rPr>
          <w:rFonts w:ascii="宋体" w:hAnsi="宋体"/>
          <w:b/>
          <w:bCs/>
          <w:sz w:val="22"/>
          <w:szCs w:val="22"/>
        </w:rPr>
        <w:t>1、应用范围</w:t>
      </w:r>
    </w:p>
    <w:p>
      <w:pPr>
        <w:snapToGrid w:val="0"/>
        <w:spacing w:line="360" w:lineRule="exact"/>
        <w:jc w:val="left"/>
        <w:rPr>
          <w:rFonts w:ascii="宋体" w:hAnsi="宋体"/>
          <w:sz w:val="22"/>
          <w:szCs w:val="22"/>
        </w:rPr>
      </w:pPr>
      <w:r>
        <w:rPr>
          <w:rFonts w:ascii="宋体" w:hAnsi="宋体"/>
          <w:sz w:val="22"/>
          <w:szCs w:val="22"/>
        </w:rPr>
        <w:t>用于企业排放废气中非甲烷总烃、甲烷等废气的监测采样。</w:t>
      </w:r>
    </w:p>
    <w:p>
      <w:pPr>
        <w:snapToGrid w:val="0"/>
        <w:spacing w:line="360" w:lineRule="exact"/>
        <w:jc w:val="left"/>
        <w:rPr>
          <w:rFonts w:ascii="宋体" w:hAnsi="宋体"/>
          <w:sz w:val="22"/>
          <w:szCs w:val="22"/>
        </w:rPr>
      </w:pPr>
      <w:r>
        <w:rPr>
          <w:rFonts w:ascii="宋体" w:hAnsi="宋体"/>
          <w:sz w:val="22"/>
          <w:szCs w:val="22"/>
        </w:rPr>
        <w:t>HJ 732-2014    固定污染源废气 挥发性有机物的采样 气袋法</w:t>
      </w:r>
    </w:p>
    <w:p>
      <w:pPr>
        <w:snapToGrid w:val="0"/>
        <w:spacing w:line="360" w:lineRule="exact"/>
        <w:jc w:val="left"/>
        <w:rPr>
          <w:rFonts w:ascii="宋体" w:hAnsi="宋体"/>
          <w:sz w:val="22"/>
          <w:szCs w:val="22"/>
        </w:rPr>
      </w:pPr>
      <w:r>
        <w:rPr>
          <w:rFonts w:ascii="宋体" w:hAnsi="宋体"/>
          <w:sz w:val="22"/>
          <w:szCs w:val="22"/>
        </w:rPr>
        <w:t>HJ38-2017     固定污染源废气 总烃、甲烷和非甲烷总烃的测定 气相色谱法</w:t>
      </w:r>
    </w:p>
    <w:p>
      <w:pPr>
        <w:snapToGrid w:val="0"/>
        <w:spacing w:line="360" w:lineRule="exact"/>
        <w:rPr>
          <w:rFonts w:ascii="宋体" w:hAnsi="宋体"/>
          <w:b/>
          <w:bCs/>
          <w:sz w:val="22"/>
          <w:szCs w:val="22"/>
        </w:rPr>
      </w:pPr>
      <w:r>
        <w:rPr>
          <w:rFonts w:ascii="宋体" w:hAnsi="宋体"/>
          <w:b/>
          <w:bCs/>
          <w:sz w:val="22"/>
          <w:szCs w:val="22"/>
        </w:rPr>
        <w:t>2、性能指标</w:t>
      </w:r>
    </w:p>
    <w:p>
      <w:pPr>
        <w:snapToGrid w:val="0"/>
        <w:spacing w:line="360" w:lineRule="exact"/>
        <w:jc w:val="left"/>
        <w:rPr>
          <w:rFonts w:ascii="宋体" w:hAnsi="宋体"/>
          <w:sz w:val="22"/>
          <w:szCs w:val="22"/>
        </w:rPr>
      </w:pPr>
      <w:r>
        <w:rPr>
          <w:rFonts w:ascii="宋体" w:hAnsi="宋体"/>
          <w:sz w:val="22"/>
          <w:szCs w:val="22"/>
        </w:rPr>
        <w:t>2.1</w:t>
      </w:r>
      <w:r>
        <w:rPr>
          <w:rFonts w:hint="eastAsia" w:ascii="宋体" w:hAnsi="宋体"/>
          <w:sz w:val="22"/>
          <w:szCs w:val="22"/>
        </w:rPr>
        <w:t>采用真空箱抽负压、气袋被动抽气原理，样气从采样管直接进入气袋，避免样品污染。</w:t>
      </w:r>
    </w:p>
    <w:p>
      <w:pPr>
        <w:snapToGrid w:val="0"/>
        <w:spacing w:line="360" w:lineRule="exact"/>
        <w:jc w:val="left"/>
        <w:rPr>
          <w:rFonts w:ascii="宋体" w:hAnsi="宋体"/>
          <w:sz w:val="22"/>
          <w:szCs w:val="22"/>
        </w:rPr>
      </w:pPr>
      <w:r>
        <w:rPr>
          <w:rFonts w:ascii="宋体" w:hAnsi="宋体"/>
          <w:sz w:val="22"/>
          <w:szCs w:val="22"/>
        </w:rPr>
        <w:t>2.2</w:t>
      </w:r>
      <w:r>
        <w:rPr>
          <w:rFonts w:hint="eastAsia" w:ascii="宋体" w:hAnsi="宋体"/>
          <w:sz w:val="22"/>
          <w:szCs w:val="22"/>
        </w:rPr>
        <w:t>真空箱采用一体化设计,内置大孔径惰性材料电磁阀，采集速度快，可实现气路密闭性自动检测、管路自动清洗、气袋自动清洗、清洗次数可调功能。</w:t>
      </w:r>
    </w:p>
    <w:p>
      <w:pPr>
        <w:snapToGrid w:val="0"/>
        <w:spacing w:line="360" w:lineRule="exact"/>
        <w:jc w:val="left"/>
        <w:rPr>
          <w:rFonts w:ascii="宋体" w:hAnsi="宋体"/>
          <w:sz w:val="22"/>
          <w:szCs w:val="22"/>
        </w:rPr>
      </w:pPr>
      <w:r>
        <w:rPr>
          <w:rFonts w:ascii="宋体" w:hAnsi="宋体"/>
          <w:sz w:val="22"/>
          <w:szCs w:val="22"/>
        </w:rPr>
        <w:t>2.3</w:t>
      </w:r>
      <w:r>
        <w:rPr>
          <w:rFonts w:hint="eastAsia" w:ascii="宋体" w:hAnsi="宋体"/>
          <w:sz w:val="22"/>
          <w:szCs w:val="22"/>
        </w:rPr>
        <w:t>气体管路需全程采用惰性材料聚四氟乙烯，保证样品无吸附。</w:t>
      </w:r>
    </w:p>
    <w:p>
      <w:pPr>
        <w:snapToGrid w:val="0"/>
        <w:spacing w:line="360" w:lineRule="exact"/>
        <w:jc w:val="left"/>
        <w:rPr>
          <w:rFonts w:ascii="宋体" w:hAnsi="宋体"/>
          <w:sz w:val="22"/>
          <w:szCs w:val="22"/>
        </w:rPr>
      </w:pPr>
      <w:r>
        <w:rPr>
          <w:rFonts w:ascii="宋体" w:hAnsi="宋体"/>
          <w:sz w:val="22"/>
          <w:szCs w:val="22"/>
        </w:rPr>
        <w:t>2.4</w:t>
      </w:r>
      <w:r>
        <w:rPr>
          <w:rFonts w:hint="eastAsia" w:ascii="宋体" w:hAnsi="宋体"/>
          <w:sz w:val="22"/>
          <w:szCs w:val="22"/>
        </w:rPr>
        <w:t>需配有专用的全程伴热模块，防止产生冷凝水，保证样品无污染。</w:t>
      </w:r>
    </w:p>
    <w:p>
      <w:pPr>
        <w:snapToGrid w:val="0"/>
        <w:spacing w:line="360" w:lineRule="exact"/>
        <w:jc w:val="left"/>
        <w:rPr>
          <w:rFonts w:ascii="宋体" w:hAnsi="宋体"/>
          <w:sz w:val="22"/>
          <w:szCs w:val="22"/>
        </w:rPr>
      </w:pPr>
      <w:r>
        <w:rPr>
          <w:rFonts w:ascii="宋体" w:hAnsi="宋体"/>
          <w:sz w:val="22"/>
          <w:szCs w:val="22"/>
        </w:rPr>
        <w:t>2.5</w:t>
      </w:r>
      <w:r>
        <w:rPr>
          <w:rFonts w:hint="eastAsia" w:ascii="宋体" w:hAnsi="宋体"/>
          <w:sz w:val="22"/>
          <w:szCs w:val="22"/>
        </w:rPr>
        <w:t>采样泵可四档位调速，以满足不同污染物采样要求。</w:t>
      </w:r>
    </w:p>
    <w:p>
      <w:pPr>
        <w:snapToGrid w:val="0"/>
        <w:spacing w:line="360" w:lineRule="exact"/>
        <w:jc w:val="left"/>
        <w:rPr>
          <w:rFonts w:ascii="宋体" w:hAnsi="宋体"/>
          <w:sz w:val="22"/>
          <w:szCs w:val="22"/>
        </w:rPr>
      </w:pPr>
      <w:r>
        <w:rPr>
          <w:rFonts w:ascii="宋体" w:hAnsi="宋体"/>
          <w:sz w:val="22"/>
          <w:szCs w:val="22"/>
        </w:rPr>
        <w:t>2.6</w:t>
      </w:r>
      <w:r>
        <w:rPr>
          <w:rFonts w:hint="eastAsia" w:ascii="宋体" w:hAnsi="宋体"/>
          <w:sz w:val="22"/>
          <w:szCs w:val="22"/>
        </w:rPr>
        <w:t>需具有探测气袋压力，超过气袋压力设定值，自动停止采样功能。</w:t>
      </w:r>
    </w:p>
    <w:p>
      <w:pPr>
        <w:snapToGrid w:val="0"/>
        <w:spacing w:line="360" w:lineRule="exact"/>
        <w:jc w:val="left"/>
        <w:rPr>
          <w:rFonts w:ascii="宋体" w:hAnsi="宋体"/>
          <w:sz w:val="22"/>
          <w:szCs w:val="22"/>
        </w:rPr>
      </w:pPr>
      <w:r>
        <w:rPr>
          <w:rFonts w:ascii="宋体" w:hAnsi="宋体"/>
          <w:sz w:val="22"/>
          <w:szCs w:val="22"/>
        </w:rPr>
        <w:t>2.7</w:t>
      </w:r>
      <w:r>
        <w:rPr>
          <w:rFonts w:hint="eastAsia" w:ascii="宋体" w:hAnsi="宋体"/>
          <w:sz w:val="22"/>
          <w:szCs w:val="22"/>
        </w:rPr>
        <w:t>内置锂电池，充电时间约1.5H，满电状态可连续采样</w:t>
      </w:r>
      <w:r>
        <w:rPr>
          <w:rFonts w:ascii="宋体" w:hAnsi="宋体"/>
          <w:sz w:val="22"/>
          <w:szCs w:val="22"/>
        </w:rPr>
        <w:t>8</w:t>
      </w:r>
      <w:r>
        <w:rPr>
          <w:rFonts w:hint="eastAsia" w:ascii="宋体" w:hAnsi="宋体"/>
          <w:sz w:val="22"/>
          <w:szCs w:val="22"/>
        </w:rPr>
        <w:t>次。</w:t>
      </w:r>
    </w:p>
    <w:p>
      <w:pPr>
        <w:snapToGrid w:val="0"/>
        <w:spacing w:line="360" w:lineRule="exact"/>
        <w:rPr>
          <w:rFonts w:ascii="宋体" w:hAnsi="宋体"/>
          <w:b/>
          <w:bCs/>
          <w:sz w:val="22"/>
          <w:szCs w:val="22"/>
        </w:rPr>
      </w:pPr>
      <w:r>
        <w:rPr>
          <w:rFonts w:ascii="宋体" w:hAnsi="宋体"/>
          <w:b/>
          <w:bCs/>
          <w:sz w:val="22"/>
          <w:szCs w:val="22"/>
        </w:rPr>
        <w:t>3、</w:t>
      </w:r>
      <w:r>
        <w:fldChar w:fldCharType="begin"/>
      </w:r>
      <w:r>
        <w:instrText xml:space="preserve"> HYPERLINK "file:///d:\\My%20Documents\\WeChat%20Files\\Documents\\tencent%20files\\478829084\\qq接收分类\\Documents\\tencent%20files\\562568674\\filerecv\\型" \h </w:instrText>
      </w:r>
      <w:r>
        <w:fldChar w:fldCharType="separate"/>
      </w:r>
      <w:r>
        <w:rPr>
          <w:rFonts w:ascii="宋体" w:hAnsi="宋体"/>
          <w:b/>
          <w:bCs/>
          <w:sz w:val="22"/>
          <w:szCs w:val="22"/>
        </w:rPr>
        <w:t xml:space="preserve">技术参数 </w:t>
      </w:r>
      <w:r>
        <w:rPr>
          <w:rFonts w:ascii="宋体" w:hAnsi="宋体"/>
          <w:b/>
          <w:bCs/>
          <w:sz w:val="22"/>
          <w:szCs w:val="22"/>
        </w:rPr>
        <w:fldChar w:fldCharType="end"/>
      </w:r>
    </w:p>
    <w:p>
      <w:pPr>
        <w:snapToGrid w:val="0"/>
        <w:spacing w:line="360" w:lineRule="exact"/>
        <w:jc w:val="left"/>
        <w:rPr>
          <w:rFonts w:ascii="宋体" w:hAnsi="宋体"/>
          <w:sz w:val="22"/>
          <w:szCs w:val="22"/>
        </w:rPr>
      </w:pPr>
      <w:r>
        <w:rPr>
          <w:rFonts w:ascii="宋体" w:hAnsi="宋体"/>
          <w:sz w:val="22"/>
          <w:szCs w:val="22"/>
        </w:rPr>
        <w:t>3.1采样与排气流量 约4L/min</w:t>
      </w:r>
    </w:p>
    <w:p>
      <w:pPr>
        <w:snapToGrid w:val="0"/>
        <w:spacing w:line="360" w:lineRule="exact"/>
        <w:jc w:val="left"/>
        <w:rPr>
          <w:rFonts w:ascii="宋体" w:hAnsi="宋体"/>
          <w:sz w:val="22"/>
          <w:szCs w:val="22"/>
        </w:rPr>
      </w:pPr>
      <w:r>
        <w:rPr>
          <w:rFonts w:ascii="宋体" w:hAnsi="宋体"/>
          <w:sz w:val="22"/>
          <w:szCs w:val="22"/>
        </w:rPr>
        <w:t>3.2工作温度 (-20～50)℃</w:t>
      </w:r>
    </w:p>
    <w:p>
      <w:pPr>
        <w:snapToGrid w:val="0"/>
        <w:spacing w:line="360" w:lineRule="exact"/>
        <w:jc w:val="left"/>
        <w:rPr>
          <w:rFonts w:ascii="宋体" w:hAnsi="宋体"/>
          <w:sz w:val="22"/>
          <w:szCs w:val="22"/>
        </w:rPr>
      </w:pPr>
      <w:r>
        <w:rPr>
          <w:rFonts w:ascii="宋体" w:hAnsi="宋体"/>
          <w:sz w:val="22"/>
          <w:szCs w:val="22"/>
        </w:rPr>
        <w:t>3.3伴热软管加热温度（60-140）℃</w:t>
      </w:r>
    </w:p>
    <w:p>
      <w:pPr>
        <w:snapToGrid w:val="0"/>
        <w:spacing w:line="360" w:lineRule="exact"/>
        <w:jc w:val="left"/>
        <w:rPr>
          <w:rFonts w:ascii="宋体" w:hAnsi="宋体"/>
          <w:sz w:val="22"/>
          <w:szCs w:val="22"/>
        </w:rPr>
      </w:pPr>
      <w:r>
        <w:rPr>
          <w:rFonts w:ascii="宋体" w:hAnsi="宋体"/>
          <w:sz w:val="22"/>
          <w:szCs w:val="22"/>
        </w:rPr>
        <w:t>3.4环境大气压(60~130)kpa</w:t>
      </w:r>
    </w:p>
    <w:p>
      <w:pPr>
        <w:snapToGrid w:val="0"/>
        <w:spacing w:line="360" w:lineRule="exact"/>
        <w:jc w:val="left"/>
        <w:rPr>
          <w:rFonts w:ascii="宋体" w:hAnsi="宋体"/>
          <w:sz w:val="22"/>
          <w:szCs w:val="22"/>
        </w:rPr>
      </w:pPr>
      <w:r>
        <w:rPr>
          <w:rFonts w:ascii="宋体" w:hAnsi="宋体"/>
          <w:sz w:val="22"/>
          <w:szCs w:val="22"/>
        </w:rPr>
        <w:t>3.5采样负压&gt;-16kPa</w:t>
      </w:r>
    </w:p>
    <w:p>
      <w:pPr>
        <w:snapToGrid w:val="0"/>
        <w:spacing w:line="360" w:lineRule="exact"/>
        <w:jc w:val="left"/>
        <w:rPr>
          <w:rFonts w:ascii="宋体" w:hAnsi="宋体"/>
          <w:sz w:val="22"/>
          <w:szCs w:val="22"/>
        </w:rPr>
      </w:pPr>
      <w:r>
        <w:rPr>
          <w:rFonts w:ascii="宋体" w:hAnsi="宋体"/>
          <w:sz w:val="22"/>
          <w:szCs w:val="22"/>
        </w:rPr>
        <w:t>3.6适配气袋容积(1~4)L</w:t>
      </w:r>
    </w:p>
    <w:p>
      <w:pPr>
        <w:snapToGrid w:val="0"/>
        <w:spacing w:line="360" w:lineRule="exact"/>
        <w:jc w:val="left"/>
        <w:rPr>
          <w:rFonts w:ascii="宋体" w:hAnsi="宋体"/>
          <w:sz w:val="22"/>
          <w:szCs w:val="22"/>
        </w:rPr>
      </w:pPr>
      <w:r>
        <w:rPr>
          <w:rFonts w:ascii="宋体" w:hAnsi="宋体"/>
          <w:sz w:val="22"/>
          <w:szCs w:val="22"/>
        </w:rPr>
        <w:t>3.7工作电源AC220V±10%，50Hz</w:t>
      </w:r>
    </w:p>
    <w:p>
      <w:pPr>
        <w:snapToGrid w:val="0"/>
        <w:spacing w:line="360" w:lineRule="exact"/>
        <w:jc w:val="left"/>
        <w:rPr>
          <w:rFonts w:ascii="宋体" w:hAnsi="宋体"/>
          <w:sz w:val="22"/>
          <w:szCs w:val="22"/>
        </w:rPr>
      </w:pPr>
      <w:r>
        <w:rPr>
          <w:rFonts w:ascii="宋体" w:hAnsi="宋体"/>
          <w:sz w:val="22"/>
          <w:szCs w:val="22"/>
        </w:rPr>
        <w:t>3.8整机功耗≤450W(带伴热)</w:t>
      </w:r>
    </w:p>
    <w:p>
      <w:pPr>
        <w:snapToGrid w:val="0"/>
        <w:spacing w:line="360" w:lineRule="exact"/>
        <w:rPr>
          <w:rFonts w:ascii="宋体" w:hAnsi="宋体"/>
          <w:b/>
          <w:bCs/>
          <w:sz w:val="22"/>
          <w:szCs w:val="22"/>
        </w:rPr>
      </w:pPr>
      <w:r>
        <w:rPr>
          <w:rFonts w:ascii="宋体" w:hAnsi="宋体"/>
          <w:b/>
          <w:bCs/>
          <w:sz w:val="22"/>
          <w:szCs w:val="22"/>
        </w:rPr>
        <w:t>4、</w:t>
      </w:r>
      <w:r>
        <w:fldChar w:fldCharType="begin"/>
      </w:r>
      <w:r>
        <w:instrText xml:space="preserve"> HYPERLINK "file:///d:\\My%20Documents\\WeChat%20Files\\Documents\\tencent%20files\\478829084\\qq接收分类\\Documents\\tencent%20files\\562568674\\filerecv\\型" \h </w:instrText>
      </w:r>
      <w:r>
        <w:fldChar w:fldCharType="separate"/>
      </w:r>
      <w:r>
        <w:rPr>
          <w:rFonts w:ascii="宋体" w:hAnsi="宋体"/>
          <w:b/>
          <w:bCs/>
          <w:sz w:val="22"/>
          <w:szCs w:val="22"/>
        </w:rPr>
        <w:t xml:space="preserve">标准配置 </w:t>
      </w:r>
      <w:r>
        <w:rPr>
          <w:rFonts w:ascii="宋体" w:hAnsi="宋体"/>
          <w:b/>
          <w:bCs/>
          <w:sz w:val="22"/>
          <w:szCs w:val="22"/>
        </w:rPr>
        <w:fldChar w:fldCharType="end"/>
      </w:r>
    </w:p>
    <w:p>
      <w:pPr>
        <w:snapToGrid w:val="0"/>
        <w:spacing w:line="360" w:lineRule="exact"/>
        <w:jc w:val="left"/>
        <w:rPr>
          <w:rFonts w:ascii="宋体" w:hAnsi="宋体"/>
          <w:sz w:val="22"/>
          <w:szCs w:val="22"/>
        </w:rPr>
      </w:pPr>
      <w:r>
        <w:rPr>
          <w:rFonts w:ascii="宋体" w:hAnsi="宋体"/>
          <w:sz w:val="22"/>
          <w:szCs w:val="22"/>
        </w:rPr>
        <w:t>4.1主机1台</w:t>
      </w:r>
    </w:p>
    <w:p>
      <w:pPr>
        <w:snapToGrid w:val="0"/>
        <w:spacing w:line="360" w:lineRule="exact"/>
        <w:jc w:val="left"/>
        <w:rPr>
          <w:rFonts w:ascii="宋体" w:hAnsi="宋体"/>
          <w:sz w:val="22"/>
          <w:szCs w:val="22"/>
        </w:rPr>
      </w:pPr>
      <w:r>
        <w:rPr>
          <w:rFonts w:ascii="宋体" w:hAnsi="宋体"/>
          <w:sz w:val="22"/>
          <w:szCs w:val="22"/>
        </w:rPr>
        <w:t>4.2烟气恒温采样伴热软管1套</w:t>
      </w:r>
    </w:p>
    <w:p>
      <w:pPr>
        <w:snapToGrid w:val="0"/>
        <w:spacing w:line="360" w:lineRule="exact"/>
        <w:jc w:val="left"/>
        <w:rPr>
          <w:rFonts w:ascii="宋体" w:hAnsi="宋体"/>
          <w:sz w:val="22"/>
          <w:szCs w:val="22"/>
        </w:rPr>
      </w:pPr>
      <w:r>
        <w:rPr>
          <w:rFonts w:ascii="宋体" w:hAnsi="宋体"/>
          <w:sz w:val="22"/>
          <w:szCs w:val="22"/>
        </w:rPr>
        <w:t>4.3交流电源连接线1根</w:t>
      </w:r>
    </w:p>
    <w:p>
      <w:pPr>
        <w:snapToGrid w:val="0"/>
        <w:spacing w:line="360" w:lineRule="exact"/>
        <w:jc w:val="left"/>
        <w:rPr>
          <w:rFonts w:ascii="宋体" w:hAnsi="宋体"/>
          <w:sz w:val="22"/>
          <w:szCs w:val="22"/>
        </w:rPr>
      </w:pPr>
      <w:r>
        <w:rPr>
          <w:rFonts w:ascii="宋体" w:hAnsi="宋体"/>
          <w:sz w:val="22"/>
          <w:szCs w:val="22"/>
        </w:rPr>
        <w:t>4.4硅胶管</w:t>
      </w:r>
    </w:p>
    <w:p>
      <w:pPr>
        <w:snapToGrid w:val="0"/>
        <w:spacing w:line="360" w:lineRule="exact"/>
        <w:jc w:val="left"/>
        <w:rPr>
          <w:rFonts w:ascii="宋体" w:hAnsi="宋体"/>
          <w:sz w:val="22"/>
          <w:szCs w:val="22"/>
        </w:rPr>
      </w:pPr>
      <w:r>
        <w:rPr>
          <w:rFonts w:ascii="宋体" w:hAnsi="宋体"/>
          <w:sz w:val="22"/>
          <w:szCs w:val="22"/>
        </w:rPr>
        <w:t>4.5气动快接头1个</w:t>
      </w:r>
    </w:p>
    <w:p>
      <w:pPr>
        <w:snapToGrid w:val="0"/>
        <w:spacing w:line="360" w:lineRule="exact"/>
        <w:jc w:val="left"/>
        <w:rPr>
          <w:rFonts w:ascii="宋体" w:hAnsi="宋体"/>
          <w:sz w:val="22"/>
          <w:szCs w:val="22"/>
        </w:rPr>
      </w:pPr>
      <w:r>
        <w:rPr>
          <w:rFonts w:ascii="宋体" w:hAnsi="宋体"/>
          <w:sz w:val="22"/>
          <w:szCs w:val="22"/>
        </w:rPr>
        <w:t>4.6吸附剂筒1个</w:t>
      </w:r>
    </w:p>
    <w:p>
      <w:pPr>
        <w:snapToGrid w:val="0"/>
        <w:spacing w:line="360" w:lineRule="exact"/>
        <w:jc w:val="left"/>
        <w:rPr>
          <w:rFonts w:ascii="宋体" w:hAnsi="宋体"/>
          <w:sz w:val="22"/>
          <w:szCs w:val="22"/>
        </w:rPr>
      </w:pPr>
      <w:r>
        <w:rPr>
          <w:rFonts w:ascii="宋体" w:hAnsi="宋体"/>
          <w:sz w:val="22"/>
          <w:szCs w:val="22"/>
        </w:rPr>
        <w:t>4.7背带1条</w:t>
      </w:r>
    </w:p>
    <w:p>
      <w:pPr>
        <w:snapToGrid w:val="0"/>
        <w:spacing w:line="360" w:lineRule="exact"/>
        <w:jc w:val="left"/>
        <w:rPr>
          <w:rFonts w:ascii="宋体" w:hAnsi="宋体"/>
          <w:sz w:val="22"/>
          <w:szCs w:val="22"/>
        </w:rPr>
      </w:pPr>
      <w:r>
        <w:rPr>
          <w:rFonts w:ascii="宋体" w:hAnsi="宋体"/>
          <w:sz w:val="22"/>
          <w:szCs w:val="22"/>
        </w:rPr>
        <w:t>4.8聚偏氟乙烯采样袋10个</w:t>
      </w:r>
    </w:p>
    <w:p>
      <w:pPr>
        <w:snapToGrid w:val="0"/>
        <w:spacing w:line="360" w:lineRule="exact"/>
        <w:jc w:val="left"/>
        <w:rPr>
          <w:rFonts w:ascii="宋体" w:hAnsi="宋体"/>
          <w:sz w:val="22"/>
          <w:szCs w:val="22"/>
        </w:rPr>
      </w:pPr>
      <w:r>
        <w:rPr>
          <w:rFonts w:ascii="宋体" w:hAnsi="宋体"/>
          <w:sz w:val="22"/>
          <w:szCs w:val="22"/>
        </w:rPr>
        <w:t>4.9说明书1份</w:t>
      </w:r>
    </w:p>
    <w:p>
      <w:pPr>
        <w:snapToGrid w:val="0"/>
        <w:spacing w:line="360" w:lineRule="exact"/>
        <w:jc w:val="left"/>
        <w:rPr>
          <w:rFonts w:ascii="宋体" w:hAnsi="宋体"/>
          <w:sz w:val="22"/>
          <w:szCs w:val="22"/>
        </w:rPr>
      </w:pPr>
      <w:r>
        <w:rPr>
          <w:rFonts w:ascii="宋体" w:hAnsi="宋体"/>
          <w:sz w:val="22"/>
          <w:szCs w:val="22"/>
        </w:rPr>
        <w:t>4.10合格证1份</w:t>
      </w:r>
    </w:p>
    <w:p>
      <w:pPr>
        <w:snapToGrid w:val="0"/>
        <w:spacing w:line="360" w:lineRule="exact"/>
        <w:rPr>
          <w:rFonts w:ascii="宋体" w:hAnsi="宋体"/>
          <w:sz w:val="20"/>
        </w:rPr>
      </w:pPr>
    </w:p>
    <w:p>
      <w:pPr>
        <w:snapToGrid w:val="0"/>
        <w:spacing w:before="187" w:after="187" w:line="360" w:lineRule="exact"/>
        <w:rPr>
          <w:rFonts w:ascii="宋体" w:hAnsi="宋体"/>
          <w:sz w:val="22"/>
          <w:szCs w:val="22"/>
        </w:rPr>
      </w:pPr>
      <w:r>
        <w:rPr>
          <w:rFonts w:ascii="宋体" w:hAnsi="宋体"/>
          <w:b/>
          <w:bCs/>
          <w:sz w:val="22"/>
          <w:szCs w:val="22"/>
        </w:rPr>
        <w:t>（四）</w:t>
      </w:r>
      <w:r>
        <w:rPr>
          <w:rFonts w:hint="eastAsia" w:ascii="宋体" w:hAnsi="宋体"/>
          <w:b/>
          <w:bCs/>
          <w:sz w:val="22"/>
          <w:szCs w:val="22"/>
        </w:rPr>
        <w:t>便携式三杯风向风速仪</w:t>
      </w:r>
    </w:p>
    <w:p>
      <w:pPr>
        <w:snapToGrid w:val="0"/>
        <w:spacing w:line="360" w:lineRule="exact"/>
        <w:rPr>
          <w:rFonts w:ascii="宋体" w:hAnsi="宋体"/>
          <w:sz w:val="22"/>
          <w:szCs w:val="22"/>
        </w:rPr>
      </w:pPr>
      <w:r>
        <w:rPr>
          <w:rFonts w:ascii="宋体" w:hAnsi="宋体"/>
          <w:b/>
          <w:bCs/>
          <w:sz w:val="22"/>
          <w:szCs w:val="22"/>
        </w:rPr>
        <w:t>1、应用范围</w:t>
      </w:r>
    </w:p>
    <w:p>
      <w:pPr>
        <w:snapToGrid w:val="0"/>
        <w:spacing w:line="360" w:lineRule="exact"/>
        <w:rPr>
          <w:rFonts w:ascii="宋体" w:hAnsi="宋体"/>
          <w:sz w:val="22"/>
          <w:szCs w:val="22"/>
        </w:rPr>
      </w:pPr>
      <w:r>
        <w:rPr>
          <w:rFonts w:ascii="宋体" w:hAnsi="宋体"/>
          <w:sz w:val="22"/>
          <w:szCs w:val="22"/>
        </w:rPr>
        <w:t>用于有组织和无组织废气监测时对风向、风速、大气压力、温度、湿度等气象要素进行准确测量。</w:t>
      </w:r>
    </w:p>
    <w:p>
      <w:pPr>
        <w:snapToGrid w:val="0"/>
        <w:spacing w:line="360" w:lineRule="exact"/>
        <w:rPr>
          <w:rFonts w:ascii="宋体" w:hAnsi="宋体"/>
          <w:sz w:val="22"/>
          <w:szCs w:val="22"/>
        </w:rPr>
      </w:pPr>
      <w:r>
        <w:rPr>
          <w:rFonts w:ascii="宋体" w:hAnsi="宋体"/>
          <w:b/>
          <w:bCs/>
          <w:sz w:val="22"/>
          <w:szCs w:val="22"/>
        </w:rPr>
        <w:t>2、性能指标</w:t>
      </w:r>
    </w:p>
    <w:p>
      <w:pPr>
        <w:snapToGrid w:val="0"/>
        <w:spacing w:line="360" w:lineRule="exact"/>
        <w:rPr>
          <w:rFonts w:ascii="宋体" w:hAnsi="宋体"/>
          <w:sz w:val="22"/>
          <w:szCs w:val="22"/>
        </w:rPr>
      </w:pPr>
      <w:r>
        <w:rPr>
          <w:rFonts w:ascii="宋体" w:hAnsi="宋体"/>
          <w:sz w:val="22"/>
          <w:szCs w:val="22"/>
        </w:rPr>
        <w:t>2.1  128×64大屏幕液晶显示温度、湿度、风速、平均风速、最大风速、风向、气压值；</w:t>
      </w:r>
    </w:p>
    <w:p>
      <w:pPr>
        <w:snapToGrid w:val="0"/>
        <w:spacing w:line="360" w:lineRule="exact"/>
        <w:rPr>
          <w:rFonts w:ascii="宋体" w:hAnsi="宋体"/>
          <w:sz w:val="22"/>
          <w:szCs w:val="22"/>
        </w:rPr>
      </w:pPr>
      <w:r>
        <w:rPr>
          <w:rFonts w:ascii="宋体" w:hAnsi="宋体"/>
          <w:sz w:val="22"/>
          <w:szCs w:val="22"/>
        </w:rPr>
        <w:t>2.2  大容量数据存储，最多可存储40960条气象数据（数据记录间隔可在1~240分钟之间设置）；</w:t>
      </w:r>
    </w:p>
    <w:p>
      <w:pPr>
        <w:snapToGrid w:val="0"/>
        <w:spacing w:line="360" w:lineRule="exact"/>
        <w:rPr>
          <w:rFonts w:ascii="宋体" w:hAnsi="宋体"/>
          <w:sz w:val="22"/>
          <w:szCs w:val="22"/>
        </w:rPr>
      </w:pPr>
      <w:r>
        <w:rPr>
          <w:rFonts w:ascii="宋体" w:hAnsi="宋体"/>
          <w:sz w:val="22"/>
          <w:szCs w:val="22"/>
        </w:rPr>
        <w:t xml:space="preserve">2.3语言可在中文和英文之间切换；   </w:t>
      </w:r>
    </w:p>
    <w:p>
      <w:pPr>
        <w:snapToGrid w:val="0"/>
        <w:spacing w:line="360" w:lineRule="exact"/>
        <w:rPr>
          <w:rFonts w:ascii="宋体" w:hAnsi="宋体"/>
          <w:sz w:val="22"/>
          <w:szCs w:val="22"/>
        </w:rPr>
      </w:pPr>
      <w:r>
        <w:rPr>
          <w:rFonts w:ascii="宋体" w:hAnsi="宋体"/>
          <w:sz w:val="22"/>
          <w:szCs w:val="22"/>
        </w:rPr>
        <w:t>2.4只需三节5号干电池供电；低功耗设计，长时间待机；</w:t>
      </w:r>
    </w:p>
    <w:p>
      <w:pPr>
        <w:snapToGrid w:val="0"/>
        <w:spacing w:line="360" w:lineRule="exact"/>
        <w:rPr>
          <w:rFonts w:ascii="宋体" w:hAnsi="宋体"/>
          <w:sz w:val="22"/>
          <w:szCs w:val="22"/>
        </w:rPr>
      </w:pPr>
      <w:r>
        <w:rPr>
          <w:rFonts w:ascii="宋体" w:hAnsi="宋体"/>
          <w:sz w:val="22"/>
          <w:szCs w:val="22"/>
        </w:rPr>
        <w:t xml:space="preserve">2.5通用USB通讯接口，使用配套的USB线缆即可将数据下载到电脑。 </w:t>
      </w:r>
    </w:p>
    <w:p>
      <w:pPr>
        <w:snapToGrid w:val="0"/>
        <w:spacing w:line="360" w:lineRule="exact"/>
        <w:rPr>
          <w:rFonts w:ascii="宋体" w:hAnsi="宋体"/>
          <w:b/>
          <w:bCs/>
          <w:sz w:val="22"/>
          <w:szCs w:val="22"/>
        </w:rPr>
      </w:pPr>
      <w:r>
        <w:rPr>
          <w:rFonts w:ascii="宋体" w:hAnsi="宋体"/>
          <w:b/>
          <w:bCs/>
          <w:sz w:val="22"/>
          <w:szCs w:val="22"/>
        </w:rPr>
        <w:t>3、</w:t>
      </w:r>
      <w:r>
        <w:fldChar w:fldCharType="begin"/>
      </w:r>
      <w:r>
        <w:instrText xml:space="preserve"> HYPERLINK "file:///d:\\My%20Documents\\WeChat%20Files\\Documents\\tencent%20files\\478829084\\qq接收分类\\Documents\\tencent%20files\\562568674\\filerecv\\型" \h </w:instrText>
      </w:r>
      <w:r>
        <w:fldChar w:fldCharType="separate"/>
      </w:r>
      <w:r>
        <w:rPr>
          <w:rFonts w:ascii="宋体" w:hAnsi="宋体"/>
          <w:b/>
          <w:bCs/>
          <w:sz w:val="22"/>
          <w:szCs w:val="22"/>
        </w:rPr>
        <w:t xml:space="preserve">技术参数 </w:t>
      </w:r>
      <w:r>
        <w:rPr>
          <w:rFonts w:ascii="宋体" w:hAnsi="宋体"/>
          <w:b/>
          <w:bCs/>
          <w:sz w:val="22"/>
          <w:szCs w:val="22"/>
        </w:rPr>
        <w:fldChar w:fldCharType="end"/>
      </w:r>
    </w:p>
    <w:p>
      <w:pPr>
        <w:snapToGrid w:val="0"/>
        <w:spacing w:line="360" w:lineRule="exact"/>
        <w:rPr>
          <w:rFonts w:ascii="宋体" w:hAnsi="宋体"/>
          <w:sz w:val="22"/>
          <w:szCs w:val="22"/>
        </w:rPr>
      </w:pPr>
      <w:r>
        <w:rPr>
          <w:rFonts w:ascii="宋体" w:hAnsi="宋体"/>
          <w:sz w:val="22"/>
          <w:szCs w:val="22"/>
        </w:rPr>
        <w:t>3.1测量范围： 0-45m/s</w:t>
      </w:r>
    </w:p>
    <w:p>
      <w:pPr>
        <w:snapToGrid w:val="0"/>
        <w:spacing w:line="360" w:lineRule="exact"/>
        <w:rPr>
          <w:rFonts w:ascii="宋体" w:hAnsi="宋体"/>
          <w:sz w:val="22"/>
          <w:szCs w:val="22"/>
        </w:rPr>
      </w:pPr>
      <w:r>
        <w:rPr>
          <w:rFonts w:ascii="宋体" w:hAnsi="宋体"/>
          <w:sz w:val="22"/>
          <w:szCs w:val="22"/>
        </w:rPr>
        <w:t xml:space="preserve">3.2风速传感器启动风速：0.8m/s </w:t>
      </w:r>
    </w:p>
    <w:p>
      <w:pPr>
        <w:snapToGrid w:val="0"/>
        <w:spacing w:line="360" w:lineRule="exact"/>
        <w:rPr>
          <w:rFonts w:ascii="宋体" w:hAnsi="宋体"/>
          <w:sz w:val="22"/>
          <w:szCs w:val="22"/>
        </w:rPr>
      </w:pPr>
      <w:r>
        <w:rPr>
          <w:rFonts w:ascii="宋体" w:hAnsi="宋体"/>
          <w:sz w:val="22"/>
          <w:szCs w:val="22"/>
        </w:rPr>
        <w:t>3.3风速测量精度：±（0.3+0.03V）m/s （V实际风速）</w:t>
      </w:r>
    </w:p>
    <w:p>
      <w:pPr>
        <w:snapToGrid w:val="0"/>
        <w:spacing w:line="360" w:lineRule="exact"/>
        <w:rPr>
          <w:rFonts w:ascii="宋体" w:hAnsi="宋体"/>
          <w:sz w:val="22"/>
          <w:szCs w:val="22"/>
        </w:rPr>
      </w:pPr>
      <w:r>
        <w:rPr>
          <w:rFonts w:ascii="宋体" w:hAnsi="宋体"/>
          <w:sz w:val="22"/>
          <w:szCs w:val="22"/>
        </w:rPr>
        <w:t>3.4可显示的风速参数：瞬时风速，平均风速，瞬时风级，平均风级，对应浪高</w:t>
      </w:r>
    </w:p>
    <w:p>
      <w:pPr>
        <w:snapToGrid w:val="0"/>
        <w:spacing w:line="360" w:lineRule="exact"/>
        <w:rPr>
          <w:rFonts w:ascii="宋体" w:hAnsi="宋体"/>
          <w:sz w:val="22"/>
          <w:szCs w:val="22"/>
        </w:rPr>
      </w:pPr>
      <w:r>
        <w:rPr>
          <w:rFonts w:ascii="宋体" w:hAnsi="宋体"/>
          <w:sz w:val="22"/>
          <w:szCs w:val="22"/>
        </w:rPr>
        <w:t>3.5显示分辨率： 0.1m/s  (风速)1级（风级）0.1m（浪高）</w:t>
      </w:r>
    </w:p>
    <w:p>
      <w:pPr>
        <w:snapToGrid w:val="0"/>
        <w:spacing w:line="360" w:lineRule="exact"/>
        <w:rPr>
          <w:rFonts w:ascii="宋体" w:hAnsi="宋体"/>
          <w:sz w:val="22"/>
          <w:szCs w:val="22"/>
        </w:rPr>
      </w:pPr>
      <w:r>
        <w:rPr>
          <w:rFonts w:ascii="宋体" w:hAnsi="宋体"/>
          <w:sz w:val="22"/>
          <w:szCs w:val="22"/>
        </w:rPr>
        <w:t>▲3.6风向测量范围：0-360º，16个方位数据显示</w:t>
      </w:r>
      <w:r>
        <w:rPr>
          <w:rFonts w:hint="eastAsia" w:ascii="宋体" w:hAnsi="宋体"/>
          <w:sz w:val="22"/>
          <w:szCs w:val="22"/>
        </w:rPr>
        <w:t>，并</w:t>
      </w:r>
      <w:r>
        <w:rPr>
          <w:rFonts w:ascii="宋体" w:hAnsi="宋体"/>
          <w:sz w:val="22"/>
          <w:szCs w:val="22"/>
        </w:rPr>
        <w:t>符合无组织废气监测对于风向方位夹角数据相关要求。</w:t>
      </w:r>
    </w:p>
    <w:p>
      <w:pPr>
        <w:snapToGrid w:val="0"/>
        <w:spacing w:line="360" w:lineRule="exact"/>
        <w:rPr>
          <w:rFonts w:ascii="宋体" w:hAnsi="宋体"/>
          <w:sz w:val="22"/>
          <w:szCs w:val="22"/>
        </w:rPr>
      </w:pPr>
      <w:r>
        <w:rPr>
          <w:rFonts w:ascii="宋体" w:hAnsi="宋体"/>
          <w:sz w:val="22"/>
          <w:szCs w:val="22"/>
        </w:rPr>
        <w:t>3.7风向传感器启动风速：1.0m/s</w:t>
      </w:r>
    </w:p>
    <w:p>
      <w:pPr>
        <w:snapToGrid w:val="0"/>
        <w:spacing w:line="360" w:lineRule="exact"/>
        <w:rPr>
          <w:rFonts w:ascii="宋体" w:hAnsi="宋体"/>
          <w:sz w:val="22"/>
          <w:szCs w:val="22"/>
        </w:rPr>
      </w:pPr>
      <w:r>
        <w:rPr>
          <w:rFonts w:ascii="宋体" w:hAnsi="宋体"/>
          <w:sz w:val="22"/>
          <w:szCs w:val="22"/>
        </w:rPr>
        <w:t>3.8风向测量精度：±1方位</w:t>
      </w:r>
    </w:p>
    <w:p>
      <w:pPr>
        <w:snapToGrid w:val="0"/>
        <w:spacing w:line="360" w:lineRule="exact"/>
        <w:rPr>
          <w:rFonts w:ascii="宋体" w:hAnsi="宋体"/>
          <w:sz w:val="22"/>
          <w:szCs w:val="22"/>
        </w:rPr>
      </w:pPr>
      <w:r>
        <w:rPr>
          <w:rFonts w:ascii="宋体" w:hAnsi="宋体"/>
          <w:sz w:val="22"/>
          <w:szCs w:val="22"/>
        </w:rPr>
        <w:t>3.9风向定北：自动</w:t>
      </w:r>
    </w:p>
    <w:p>
      <w:pPr>
        <w:snapToGrid w:val="0"/>
        <w:spacing w:line="360" w:lineRule="exact"/>
        <w:rPr>
          <w:rFonts w:ascii="宋体" w:hAnsi="宋体"/>
          <w:sz w:val="22"/>
          <w:szCs w:val="22"/>
        </w:rPr>
      </w:pPr>
      <w:r>
        <w:rPr>
          <w:rFonts w:ascii="宋体" w:hAnsi="宋体"/>
          <w:sz w:val="22"/>
          <w:szCs w:val="22"/>
        </w:rPr>
        <w:t>3.10工作环境温度：-20~80 º C</w:t>
      </w:r>
    </w:p>
    <w:p>
      <w:pPr>
        <w:snapToGrid w:val="0"/>
        <w:spacing w:line="360" w:lineRule="exact"/>
        <w:rPr>
          <w:rFonts w:ascii="宋体" w:hAnsi="宋体"/>
          <w:sz w:val="22"/>
          <w:szCs w:val="22"/>
        </w:rPr>
      </w:pPr>
      <w:r>
        <w:rPr>
          <w:rFonts w:ascii="宋体" w:hAnsi="宋体"/>
          <w:sz w:val="22"/>
          <w:szCs w:val="22"/>
        </w:rPr>
        <w:t>3.11工作环境湿度：≤100%RH（无凝结）</w:t>
      </w:r>
    </w:p>
    <w:p>
      <w:pPr>
        <w:snapToGrid w:val="0"/>
        <w:spacing w:line="360" w:lineRule="exact"/>
        <w:rPr>
          <w:rFonts w:ascii="宋体" w:hAnsi="宋体"/>
          <w:sz w:val="22"/>
          <w:szCs w:val="22"/>
        </w:rPr>
      </w:pPr>
      <w:r>
        <w:rPr>
          <w:rFonts w:ascii="宋体" w:hAnsi="宋体"/>
          <w:sz w:val="22"/>
          <w:szCs w:val="22"/>
        </w:rPr>
        <w:t>3.12电源电压：4.5V  5#干电池  3节</w:t>
      </w:r>
    </w:p>
    <w:p>
      <w:pPr>
        <w:snapToGrid w:val="0"/>
        <w:spacing w:line="360" w:lineRule="exact"/>
        <w:rPr>
          <w:rFonts w:ascii="宋体" w:hAnsi="宋体"/>
          <w:sz w:val="22"/>
          <w:szCs w:val="22"/>
        </w:rPr>
      </w:pPr>
      <w:r>
        <w:rPr>
          <w:rFonts w:ascii="宋体" w:hAnsi="宋体"/>
          <w:sz w:val="22"/>
          <w:szCs w:val="22"/>
        </w:rPr>
        <w:t>3.13平均耗电电流：≤5mA（电源电压为4.5V时）</w:t>
      </w:r>
    </w:p>
    <w:p>
      <w:pPr>
        <w:snapToGrid w:val="0"/>
        <w:spacing w:line="360" w:lineRule="exact"/>
        <w:rPr>
          <w:rFonts w:ascii="宋体" w:hAnsi="宋体"/>
          <w:sz w:val="22"/>
          <w:szCs w:val="22"/>
        </w:rPr>
      </w:pPr>
      <w:r>
        <w:rPr>
          <w:rFonts w:ascii="宋体" w:hAnsi="宋体"/>
          <w:sz w:val="22"/>
          <w:szCs w:val="22"/>
        </w:rPr>
        <w:t>3.14存储容量：4万条数据</w:t>
      </w:r>
    </w:p>
    <w:p>
      <w:pPr>
        <w:snapToGrid w:val="0"/>
        <w:spacing w:before="187" w:after="187" w:line="360" w:lineRule="exact"/>
        <w:rPr>
          <w:rFonts w:ascii="宋体" w:hAnsi="宋体"/>
          <w:sz w:val="22"/>
          <w:szCs w:val="22"/>
        </w:rPr>
      </w:pPr>
      <w:r>
        <w:rPr>
          <w:rFonts w:ascii="宋体" w:hAnsi="宋体"/>
          <w:b/>
          <w:bCs/>
          <w:sz w:val="22"/>
          <w:szCs w:val="22"/>
        </w:rPr>
        <w:t>（五）氧化还原电位仪</w:t>
      </w:r>
    </w:p>
    <w:p>
      <w:pPr>
        <w:snapToGrid w:val="0"/>
        <w:spacing w:line="360" w:lineRule="exact"/>
        <w:rPr>
          <w:rFonts w:ascii="宋体" w:hAnsi="宋体"/>
          <w:sz w:val="22"/>
          <w:szCs w:val="22"/>
        </w:rPr>
      </w:pPr>
      <w:r>
        <w:rPr>
          <w:rFonts w:ascii="宋体" w:hAnsi="宋体"/>
          <w:b/>
          <w:bCs/>
          <w:sz w:val="22"/>
          <w:szCs w:val="22"/>
        </w:rPr>
        <w:t>1、应用范围</w:t>
      </w:r>
    </w:p>
    <w:p>
      <w:pPr>
        <w:snapToGrid w:val="0"/>
        <w:spacing w:line="360" w:lineRule="exact"/>
        <w:rPr>
          <w:rFonts w:ascii="宋体" w:hAnsi="宋体"/>
          <w:sz w:val="22"/>
          <w:szCs w:val="22"/>
        </w:rPr>
      </w:pPr>
      <w:r>
        <w:rPr>
          <w:rFonts w:ascii="宋体" w:hAnsi="宋体"/>
          <w:sz w:val="22"/>
          <w:szCs w:val="22"/>
        </w:rPr>
        <w:t>用于水体氧化还原电位的现场监测。</w:t>
      </w:r>
    </w:p>
    <w:p>
      <w:pPr>
        <w:snapToGrid w:val="0"/>
        <w:spacing w:line="360" w:lineRule="exact"/>
        <w:rPr>
          <w:rFonts w:ascii="宋体" w:hAnsi="宋体"/>
          <w:sz w:val="22"/>
          <w:szCs w:val="22"/>
        </w:rPr>
      </w:pPr>
      <w:r>
        <w:rPr>
          <w:rFonts w:ascii="宋体" w:hAnsi="宋体"/>
          <w:b/>
          <w:bCs/>
          <w:sz w:val="22"/>
          <w:szCs w:val="22"/>
        </w:rPr>
        <w:t xml:space="preserve">2、技术参数 </w:t>
      </w:r>
    </w:p>
    <w:p>
      <w:pPr>
        <w:snapToGrid w:val="0"/>
        <w:spacing w:line="360" w:lineRule="exact"/>
        <w:rPr>
          <w:rFonts w:ascii="宋体" w:hAnsi="宋体"/>
          <w:sz w:val="22"/>
          <w:szCs w:val="22"/>
        </w:rPr>
      </w:pPr>
      <w:r>
        <w:rPr>
          <w:rFonts w:ascii="宋体" w:hAnsi="宋体"/>
          <w:sz w:val="22"/>
          <w:szCs w:val="22"/>
        </w:rPr>
        <w:t>▲2.1测量参数</w:t>
      </w:r>
    </w:p>
    <w:p>
      <w:pPr>
        <w:snapToGrid w:val="0"/>
        <w:spacing w:line="360" w:lineRule="exact"/>
        <w:rPr>
          <w:rFonts w:ascii="Calibri" w:hAnsi="Calibri"/>
          <w:szCs w:val="22"/>
        </w:rPr>
      </w:pPr>
    </w:p>
    <w:tbl>
      <w:tblPr>
        <w:tblStyle w:val="43"/>
        <w:tblW w:w="4220"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75"/>
        <w:gridCol w:w="9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Calibri" w:hAnsi="Calibri"/>
                <w:sz w:val="22"/>
                <w:szCs w:val="22"/>
              </w:rPr>
            </w:pPr>
            <w:r>
              <w:rPr>
                <w:rFonts w:ascii="宋体" w:hAnsi="宋体"/>
                <w:color w:val="000000"/>
                <w:sz w:val="22"/>
                <w:szCs w:val="22"/>
              </w:rPr>
              <w:t>参数</w:t>
            </w:r>
          </w:p>
        </w:tc>
        <w:tc>
          <w:tcPr>
            <w:tcW w:w="15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Calibri" w:hAnsi="Calibri"/>
                <w:sz w:val="22"/>
                <w:szCs w:val="22"/>
              </w:rPr>
            </w:pPr>
            <w:r>
              <w:rPr>
                <w:rFonts w:ascii="宋体" w:hAnsi="宋体"/>
                <w:color w:val="000000"/>
                <w:sz w:val="22"/>
                <w:szCs w:val="22"/>
              </w:rPr>
              <w:t>测量范围</w:t>
            </w:r>
          </w:p>
        </w:tc>
        <w:tc>
          <w:tcPr>
            <w:tcW w:w="97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Calibri" w:hAnsi="Calibri"/>
                <w:sz w:val="22"/>
                <w:szCs w:val="22"/>
              </w:rPr>
            </w:pPr>
            <w:r>
              <w:rPr>
                <w:rFonts w:ascii="宋体" w:hAnsi="宋体"/>
                <w:color w:val="000000"/>
                <w:sz w:val="22"/>
                <w:szCs w:val="22"/>
              </w:rPr>
              <w:t>分辨率</w:t>
            </w:r>
          </w:p>
        </w:tc>
        <w:tc>
          <w:tcPr>
            <w:tcW w:w="99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Calibri" w:hAnsi="Calibri"/>
                <w:sz w:val="22"/>
                <w:szCs w:val="22"/>
              </w:rPr>
            </w:pPr>
            <w:r>
              <w:rPr>
                <w:rFonts w:ascii="宋体" w:hAnsi="宋体"/>
                <w:color w:val="000000"/>
                <w:sz w:val="22"/>
                <w:szCs w:val="22"/>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pH</w:t>
            </w:r>
          </w:p>
        </w:tc>
        <w:tc>
          <w:tcPr>
            <w:tcW w:w="15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-2.00~20.00</w:t>
            </w:r>
          </w:p>
        </w:tc>
        <w:tc>
          <w:tcPr>
            <w:tcW w:w="97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0.01</w:t>
            </w:r>
          </w:p>
        </w:tc>
        <w:tc>
          <w:tcPr>
            <w:tcW w:w="99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ORP</w:t>
            </w:r>
          </w:p>
        </w:tc>
        <w:tc>
          <w:tcPr>
            <w:tcW w:w="15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-1999~1999</w:t>
            </w:r>
          </w:p>
        </w:tc>
        <w:tc>
          <w:tcPr>
            <w:tcW w:w="97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1</w:t>
            </w:r>
          </w:p>
        </w:tc>
        <w:tc>
          <w:tcPr>
            <w:tcW w:w="99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温度</w:t>
            </w:r>
          </w:p>
        </w:tc>
        <w:tc>
          <w:tcPr>
            <w:tcW w:w="157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-5.0~105.0℃</w:t>
            </w:r>
          </w:p>
        </w:tc>
        <w:tc>
          <w:tcPr>
            <w:tcW w:w="979"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0.1℃</w:t>
            </w:r>
          </w:p>
        </w:tc>
        <w:tc>
          <w:tcPr>
            <w:tcW w:w="992"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color w:val="000000"/>
                <w:sz w:val="22"/>
                <w:szCs w:val="22"/>
              </w:rPr>
            </w:pPr>
            <w:r>
              <w:rPr>
                <w:rFonts w:ascii="宋体" w:hAnsi="宋体"/>
                <w:color w:val="000000"/>
                <w:sz w:val="22"/>
                <w:szCs w:val="22"/>
              </w:rPr>
              <w:t>±0.5℃</w:t>
            </w:r>
          </w:p>
        </w:tc>
      </w:tr>
    </w:tbl>
    <w:p>
      <w:pPr>
        <w:snapToGrid w:val="0"/>
        <w:spacing w:line="360" w:lineRule="exact"/>
        <w:rPr>
          <w:rFonts w:ascii="宋体" w:hAnsi="宋体"/>
          <w:sz w:val="22"/>
          <w:szCs w:val="22"/>
        </w:rPr>
      </w:pPr>
      <w:r>
        <w:rPr>
          <w:rFonts w:ascii="宋体" w:hAnsi="宋体"/>
          <w:sz w:val="22"/>
          <w:szCs w:val="22"/>
        </w:rPr>
        <w:t>2.2 pH校准</w:t>
      </w:r>
    </w:p>
    <w:p>
      <w:pPr>
        <w:snapToGrid w:val="0"/>
        <w:spacing w:line="360" w:lineRule="exact"/>
        <w:rPr>
          <w:rFonts w:ascii="宋体" w:hAnsi="宋体"/>
          <w:sz w:val="22"/>
          <w:szCs w:val="22"/>
        </w:rPr>
      </w:pPr>
      <w:r>
        <w:rPr>
          <w:rFonts w:ascii="宋体" w:hAnsi="宋体"/>
          <w:sz w:val="22"/>
          <w:szCs w:val="22"/>
        </w:rPr>
        <w:t>2.2.1pH校准点5个。</w:t>
      </w:r>
    </w:p>
    <w:p>
      <w:pPr>
        <w:snapToGrid w:val="0"/>
        <w:spacing w:line="360" w:lineRule="exact"/>
        <w:rPr>
          <w:rFonts w:ascii="宋体" w:hAnsi="宋体"/>
          <w:sz w:val="22"/>
          <w:szCs w:val="22"/>
        </w:rPr>
      </w:pPr>
      <w:r>
        <w:rPr>
          <w:rFonts w:ascii="宋体" w:hAnsi="宋体"/>
          <w:sz w:val="22"/>
          <w:szCs w:val="22"/>
        </w:rPr>
        <w:t>2.2.2pH预设缓冲液组4个。</w:t>
      </w:r>
    </w:p>
    <w:p>
      <w:pPr>
        <w:snapToGrid w:val="0"/>
        <w:spacing w:line="360" w:lineRule="exact"/>
        <w:rPr>
          <w:rFonts w:ascii="宋体" w:hAnsi="宋体"/>
          <w:sz w:val="22"/>
          <w:szCs w:val="22"/>
        </w:rPr>
      </w:pPr>
      <w:r>
        <w:rPr>
          <w:rFonts w:ascii="宋体" w:hAnsi="宋体"/>
          <w:sz w:val="22"/>
          <w:szCs w:val="22"/>
        </w:rPr>
        <w:t>2.2.3 用户自定义缓冲液组</w:t>
      </w:r>
    </w:p>
    <w:p>
      <w:pPr>
        <w:snapToGrid w:val="0"/>
        <w:spacing w:line="360" w:lineRule="exact"/>
        <w:rPr>
          <w:rFonts w:ascii="宋体" w:hAnsi="宋体"/>
          <w:sz w:val="22"/>
          <w:szCs w:val="22"/>
        </w:rPr>
      </w:pPr>
      <w:r>
        <w:rPr>
          <w:rFonts w:ascii="宋体" w:hAnsi="宋体"/>
          <w:sz w:val="22"/>
          <w:szCs w:val="22"/>
        </w:rPr>
        <w:t>2.2.4 缓冲液自动识别</w:t>
      </w:r>
    </w:p>
    <w:p>
      <w:pPr>
        <w:snapToGrid w:val="0"/>
        <w:spacing w:line="360" w:lineRule="exact"/>
        <w:rPr>
          <w:rFonts w:ascii="宋体" w:hAnsi="宋体"/>
          <w:sz w:val="22"/>
          <w:szCs w:val="22"/>
        </w:rPr>
      </w:pPr>
      <w:r>
        <w:rPr>
          <w:rFonts w:ascii="宋体" w:hAnsi="宋体"/>
          <w:sz w:val="22"/>
          <w:szCs w:val="22"/>
        </w:rPr>
        <w:t>2.2.5校准模式分线性和分段。</w:t>
      </w:r>
    </w:p>
    <w:p>
      <w:pPr>
        <w:snapToGrid w:val="0"/>
        <w:spacing w:line="360" w:lineRule="exact"/>
        <w:rPr>
          <w:rFonts w:ascii="宋体" w:hAnsi="宋体"/>
          <w:sz w:val="22"/>
          <w:szCs w:val="22"/>
        </w:rPr>
      </w:pPr>
      <w:r>
        <w:rPr>
          <w:rFonts w:ascii="宋体" w:hAnsi="宋体"/>
          <w:sz w:val="22"/>
          <w:szCs w:val="22"/>
        </w:rPr>
        <w:t>2.3通用测量参数</w:t>
      </w:r>
    </w:p>
    <w:p>
      <w:pPr>
        <w:snapToGrid w:val="0"/>
        <w:spacing w:line="360" w:lineRule="exact"/>
        <w:rPr>
          <w:rFonts w:ascii="宋体" w:hAnsi="宋体"/>
          <w:sz w:val="22"/>
          <w:szCs w:val="22"/>
        </w:rPr>
      </w:pPr>
      <w:r>
        <w:rPr>
          <w:rFonts w:ascii="宋体" w:hAnsi="宋体"/>
          <w:sz w:val="22"/>
          <w:szCs w:val="22"/>
        </w:rPr>
        <w:t>2.3.1自动、手动终点</w:t>
      </w:r>
    </w:p>
    <w:p>
      <w:pPr>
        <w:snapToGrid w:val="0"/>
        <w:spacing w:line="360" w:lineRule="exact"/>
        <w:rPr>
          <w:rFonts w:ascii="宋体" w:hAnsi="宋体"/>
          <w:sz w:val="22"/>
          <w:szCs w:val="22"/>
        </w:rPr>
      </w:pPr>
      <w:r>
        <w:rPr>
          <w:rFonts w:ascii="宋体" w:hAnsi="宋体"/>
          <w:sz w:val="22"/>
          <w:szCs w:val="22"/>
        </w:rPr>
        <w:t>2.3.2定时终点</w:t>
      </w:r>
    </w:p>
    <w:p>
      <w:pPr>
        <w:snapToGrid w:val="0"/>
        <w:spacing w:line="360" w:lineRule="exact"/>
        <w:rPr>
          <w:rFonts w:ascii="宋体" w:hAnsi="宋体"/>
          <w:sz w:val="22"/>
          <w:szCs w:val="22"/>
        </w:rPr>
      </w:pPr>
      <w:r>
        <w:rPr>
          <w:rFonts w:ascii="宋体" w:hAnsi="宋体"/>
          <w:sz w:val="22"/>
          <w:szCs w:val="22"/>
        </w:rPr>
        <w:t>2.3.3连续测量</w:t>
      </w:r>
    </w:p>
    <w:p>
      <w:pPr>
        <w:snapToGrid w:val="0"/>
        <w:spacing w:line="360" w:lineRule="exact"/>
        <w:rPr>
          <w:rFonts w:ascii="宋体" w:hAnsi="宋体"/>
          <w:sz w:val="22"/>
          <w:szCs w:val="22"/>
        </w:rPr>
      </w:pPr>
      <w:r>
        <w:rPr>
          <w:rFonts w:ascii="宋体" w:hAnsi="宋体"/>
          <w:sz w:val="22"/>
          <w:szCs w:val="22"/>
        </w:rPr>
        <w:t>2.3.4终点图示图标</w:t>
      </w:r>
    </w:p>
    <w:p>
      <w:pPr>
        <w:snapToGrid w:val="0"/>
        <w:spacing w:line="360" w:lineRule="exact"/>
        <w:rPr>
          <w:rFonts w:ascii="宋体" w:hAnsi="宋体"/>
          <w:sz w:val="22"/>
          <w:szCs w:val="22"/>
        </w:rPr>
      </w:pPr>
      <w:r>
        <w:rPr>
          <w:rFonts w:ascii="宋体" w:hAnsi="宋体"/>
          <w:sz w:val="22"/>
          <w:szCs w:val="22"/>
        </w:rPr>
        <w:t>2.4数据安全、存储200组数据</w:t>
      </w:r>
    </w:p>
    <w:p>
      <w:pPr>
        <w:snapToGrid w:val="0"/>
        <w:spacing w:line="360" w:lineRule="exact"/>
        <w:rPr>
          <w:rFonts w:ascii="宋体" w:hAnsi="宋体"/>
          <w:b/>
          <w:bCs/>
          <w:sz w:val="22"/>
          <w:szCs w:val="22"/>
        </w:rPr>
      </w:pPr>
      <w:r>
        <w:rPr>
          <w:rFonts w:ascii="宋体" w:hAnsi="宋体"/>
          <w:b/>
          <w:bCs/>
          <w:sz w:val="22"/>
          <w:szCs w:val="22"/>
        </w:rPr>
        <w:t xml:space="preserve">3、标准配置 </w:t>
      </w:r>
      <w:r>
        <w:rPr>
          <w:rFonts w:hint="eastAsia" w:ascii="宋体" w:hAnsi="宋体"/>
          <w:b/>
          <w:bCs/>
          <w:sz w:val="22"/>
          <w:szCs w:val="22"/>
        </w:rPr>
        <w:t>（每台）</w:t>
      </w:r>
    </w:p>
    <w:tbl>
      <w:tblPr>
        <w:tblStyle w:val="43"/>
        <w:tblW w:w="8524"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93"/>
        <w:gridCol w:w="1406"/>
        <w:gridCol w:w="1145"/>
        <w:gridCol w:w="698"/>
        <w:gridCol w:w="720"/>
        <w:gridCol w:w="708"/>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序号</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名称</w:t>
            </w:r>
          </w:p>
        </w:tc>
        <w:tc>
          <w:tcPr>
            <w:tcW w:w="114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规格</w:t>
            </w:r>
          </w:p>
        </w:tc>
        <w:tc>
          <w:tcPr>
            <w:tcW w:w="69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单位</w:t>
            </w:r>
          </w:p>
        </w:tc>
        <w:tc>
          <w:tcPr>
            <w:tcW w:w="72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数量</w:t>
            </w:r>
          </w:p>
        </w:tc>
        <w:tc>
          <w:tcPr>
            <w:tcW w:w="70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配置</w:t>
            </w:r>
          </w:p>
        </w:tc>
        <w:tc>
          <w:tcPr>
            <w:tcW w:w="217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restart"/>
            <w:tcBorders>
              <w:top w:val="single" w:color="000000" w:sz="8" w:space="0"/>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台</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1.1</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restart"/>
            <w:tcBorders>
              <w:top w:val="single" w:color="000000" w:sz="8" w:space="0"/>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主机附件箱</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r>
              <w:rPr>
                <w:rFonts w:ascii="宋体" w:hAnsi="宋体"/>
                <w:sz w:val="22"/>
                <w:szCs w:val="22"/>
              </w:rPr>
              <w:t>1</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主机</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2</w:t>
            </w:r>
          </w:p>
        </w:tc>
        <w:tc>
          <w:tcPr>
            <w:tcW w:w="1406"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铂金氧化还原电极</w:t>
            </w:r>
          </w:p>
        </w:tc>
        <w:tc>
          <w:tcPr>
            <w:tcW w:w="1145"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铂金环</w:t>
            </w:r>
          </w:p>
        </w:tc>
        <w:tc>
          <w:tcPr>
            <w:tcW w:w="698"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2.3</w:t>
            </w:r>
          </w:p>
        </w:tc>
        <w:tc>
          <w:tcPr>
            <w:tcW w:w="1406"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电极电缆线</w:t>
            </w:r>
          </w:p>
        </w:tc>
        <w:tc>
          <w:tcPr>
            <w:tcW w:w="1145"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1.2m电缆</w:t>
            </w:r>
          </w:p>
        </w:tc>
        <w:tc>
          <w:tcPr>
            <w:tcW w:w="698"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根</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2.4</w:t>
            </w:r>
          </w:p>
        </w:tc>
        <w:tc>
          <w:tcPr>
            <w:tcW w:w="1406"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220Mv 标准液</w:t>
            </w:r>
          </w:p>
        </w:tc>
        <w:tc>
          <w:tcPr>
            <w:tcW w:w="1145"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250ml/瓶</w:t>
            </w:r>
          </w:p>
        </w:tc>
        <w:tc>
          <w:tcPr>
            <w:tcW w:w="698" w:type="dxa"/>
            <w:tcBorders>
              <w:top w:val="single" w:color="000000" w:sz="8" w:space="0"/>
              <w:left w:val="single" w:color="000000" w:sz="8" w:space="0"/>
              <w:bottom w:val="single" w:color="000000" w:sz="8" w:space="0"/>
              <w:right w:val="single" w:color="000000" w:sz="8" w:space="0"/>
            </w:tcBorders>
            <w:shd w:val="clear" w:color="auto" w:fill="auto"/>
          </w:tcPr>
          <w:p>
            <w:pPr>
              <w:snapToGrid w:val="0"/>
              <w:jc w:val="center"/>
              <w:rPr>
                <w:sz w:val="22"/>
              </w:rPr>
            </w:pPr>
            <w:r>
              <w:rPr>
                <w:rFonts w:ascii="宋体" w:hAnsi="宋体"/>
                <w:sz w:val="22"/>
              </w:rPr>
              <w:t>瓶</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2.5</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校准瓶</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6</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2.6</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便携箱</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个</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restart"/>
            <w:tcBorders>
              <w:top w:val="single" w:color="000000" w:sz="8" w:space="0"/>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p>
        </w:tc>
        <w:tc>
          <w:tcPr>
            <w:tcW w:w="239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资料袋</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r>
              <w:rPr>
                <w:rFonts w:ascii="宋体" w:hAnsi="宋体"/>
                <w:sz w:val="22"/>
                <w:szCs w:val="22"/>
              </w:rPr>
              <w:t>1</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产品合格证</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份</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76" w:type="dxa"/>
            <w:vMerge w:val="continue"/>
            <w:tcBorders>
              <w:left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r>
              <w:rPr>
                <w:rFonts w:ascii="宋体" w:hAnsi="宋体"/>
                <w:sz w:val="22"/>
                <w:szCs w:val="22"/>
              </w:rPr>
              <w:t>2</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使用说明书</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份</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提供中英文说明书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676" w:type="dxa"/>
            <w:vMerge w:val="continue"/>
            <w:tcBorders>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hint="eastAsia" w:ascii="宋体" w:hAnsi="宋体"/>
                <w:sz w:val="22"/>
                <w:szCs w:val="22"/>
              </w:rPr>
              <w:t>3.</w:t>
            </w:r>
            <w:r>
              <w:rPr>
                <w:rFonts w:ascii="宋体" w:hAnsi="宋体"/>
                <w:sz w:val="22"/>
                <w:szCs w:val="22"/>
              </w:rPr>
              <w:t>3</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校准证书</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w:t>
            </w:r>
          </w:p>
        </w:tc>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份</w:t>
            </w:r>
          </w:p>
        </w:tc>
        <w:tc>
          <w:tcPr>
            <w:tcW w:w="720"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r>
              <w:rPr>
                <w:rFonts w:ascii="宋体" w:hAnsi="宋体"/>
                <w:sz w:val="22"/>
                <w:szCs w:val="22"/>
              </w:rPr>
              <w:t>1</w:t>
            </w:r>
          </w:p>
        </w:tc>
        <w:tc>
          <w:tcPr>
            <w:tcW w:w="70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c>
          <w:tcPr>
            <w:tcW w:w="2178"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exact"/>
              <w:jc w:val="center"/>
              <w:rPr>
                <w:rFonts w:ascii="宋体" w:hAnsi="宋体"/>
                <w:sz w:val="22"/>
                <w:szCs w:val="22"/>
              </w:rPr>
            </w:pPr>
          </w:p>
        </w:tc>
      </w:tr>
    </w:tbl>
    <w:p>
      <w:pPr>
        <w:snapToGrid w:val="0"/>
        <w:spacing w:before="187" w:after="187" w:line="360" w:lineRule="exact"/>
        <w:rPr>
          <w:rFonts w:ascii="宋体" w:hAnsi="宋体"/>
          <w:b/>
          <w:bCs/>
          <w:sz w:val="22"/>
          <w:szCs w:val="22"/>
        </w:rPr>
      </w:pPr>
    </w:p>
    <w:p>
      <w:pPr>
        <w:snapToGrid w:val="0"/>
        <w:spacing w:before="187" w:after="187" w:line="360" w:lineRule="exact"/>
        <w:rPr>
          <w:rFonts w:ascii="宋体" w:hAnsi="宋体"/>
          <w:sz w:val="22"/>
          <w:szCs w:val="22"/>
        </w:rPr>
      </w:pPr>
      <w:r>
        <w:rPr>
          <w:rFonts w:ascii="宋体" w:hAnsi="宋体"/>
          <w:b/>
          <w:bCs/>
          <w:sz w:val="22"/>
          <w:szCs w:val="22"/>
        </w:rPr>
        <w:t>（六）便携式抽滤器</w:t>
      </w:r>
    </w:p>
    <w:p>
      <w:pPr>
        <w:snapToGrid w:val="0"/>
        <w:spacing w:line="360" w:lineRule="exact"/>
        <w:rPr>
          <w:rFonts w:ascii="宋体" w:hAnsi="宋体"/>
          <w:sz w:val="22"/>
          <w:szCs w:val="22"/>
        </w:rPr>
      </w:pPr>
      <w:r>
        <w:rPr>
          <w:rFonts w:ascii="宋体" w:hAnsi="宋体"/>
          <w:b/>
          <w:bCs/>
          <w:sz w:val="22"/>
          <w:szCs w:val="22"/>
        </w:rPr>
        <w:t>1、应用范围</w:t>
      </w:r>
    </w:p>
    <w:p>
      <w:pPr>
        <w:snapToGrid w:val="0"/>
        <w:spacing w:line="360" w:lineRule="exact"/>
        <w:rPr>
          <w:rFonts w:ascii="宋体" w:hAnsi="宋体"/>
          <w:sz w:val="22"/>
          <w:szCs w:val="22"/>
        </w:rPr>
      </w:pPr>
      <w:r>
        <w:rPr>
          <w:rFonts w:ascii="宋体" w:hAnsi="宋体"/>
          <w:sz w:val="22"/>
          <w:szCs w:val="22"/>
        </w:rPr>
        <w:t>用于地表水采样中</w:t>
      </w:r>
      <w:r>
        <w:rPr>
          <w:rFonts w:ascii="宋体" w:hAnsi="宋体"/>
          <w:color w:val="000000"/>
          <w:sz w:val="22"/>
          <w:szCs w:val="22"/>
          <w:shd w:val="clear" w:color="auto" w:fill="FFFFFF"/>
        </w:rPr>
        <w:t>现场抽滤。</w:t>
      </w:r>
    </w:p>
    <w:p>
      <w:pPr>
        <w:snapToGrid w:val="0"/>
        <w:spacing w:line="360" w:lineRule="exact"/>
        <w:rPr>
          <w:rFonts w:ascii="宋体" w:hAnsi="宋体"/>
          <w:sz w:val="22"/>
          <w:szCs w:val="22"/>
        </w:rPr>
      </w:pPr>
      <w:r>
        <w:rPr>
          <w:rFonts w:ascii="宋体" w:hAnsi="宋体"/>
          <w:b/>
          <w:bCs/>
          <w:sz w:val="22"/>
          <w:szCs w:val="22"/>
        </w:rPr>
        <w:t>2、技术需求</w:t>
      </w:r>
    </w:p>
    <w:p>
      <w:pPr>
        <w:snapToGrid w:val="0"/>
        <w:spacing w:line="360" w:lineRule="exact"/>
        <w:rPr>
          <w:rFonts w:ascii="宋体" w:hAnsi="宋体"/>
          <w:sz w:val="22"/>
          <w:szCs w:val="22"/>
        </w:rPr>
      </w:pPr>
      <w:r>
        <w:rPr>
          <w:rFonts w:ascii="宋体" w:hAnsi="宋体"/>
          <w:sz w:val="22"/>
          <w:szCs w:val="22"/>
        </w:rPr>
        <w:t>2．</w:t>
      </w:r>
      <w:r>
        <w:rPr>
          <w:rFonts w:ascii="宋体" w:hAnsi="宋体"/>
          <w:color w:val="000000"/>
          <w:sz w:val="22"/>
          <w:szCs w:val="22"/>
          <w:shd w:val="clear" w:color="auto" w:fill="FFFFFF"/>
        </w:rPr>
        <w:t>1 操作简单，具备自动泄压功能；</w:t>
      </w:r>
    </w:p>
    <w:p>
      <w:pPr>
        <w:snapToGrid w:val="0"/>
        <w:spacing w:line="360" w:lineRule="exact"/>
        <w:rPr>
          <w:rFonts w:ascii="宋体" w:hAnsi="宋体"/>
          <w:sz w:val="22"/>
          <w:szCs w:val="22"/>
        </w:rPr>
      </w:pPr>
      <w:r>
        <w:rPr>
          <w:rFonts w:ascii="宋体" w:hAnsi="宋体"/>
          <w:sz w:val="22"/>
          <w:szCs w:val="22"/>
        </w:rPr>
        <w:t>2．</w:t>
      </w:r>
      <w:r>
        <w:rPr>
          <w:rFonts w:ascii="宋体" w:hAnsi="宋体"/>
          <w:color w:val="000000"/>
          <w:sz w:val="22"/>
          <w:szCs w:val="22"/>
          <w:shd w:val="clear" w:color="auto" w:fill="FFFFFF"/>
        </w:rPr>
        <w:t>2 要求仪器一体化设计：抽滤头、集液瓶和主机为一个整体，易于携带；</w:t>
      </w:r>
    </w:p>
    <w:p>
      <w:pPr>
        <w:snapToGrid w:val="0"/>
        <w:spacing w:line="360" w:lineRule="exact"/>
        <w:rPr>
          <w:rFonts w:ascii="宋体" w:hAnsi="宋体"/>
          <w:sz w:val="22"/>
          <w:szCs w:val="22"/>
        </w:rPr>
      </w:pPr>
      <w:r>
        <w:rPr>
          <w:rFonts w:ascii="宋体" w:hAnsi="宋体"/>
          <w:sz w:val="22"/>
          <w:szCs w:val="22"/>
        </w:rPr>
        <w:t>2．</w:t>
      </w:r>
      <w:r>
        <w:rPr>
          <w:rFonts w:ascii="宋体" w:hAnsi="宋体"/>
          <w:color w:val="000000"/>
          <w:sz w:val="22"/>
          <w:szCs w:val="22"/>
          <w:shd w:val="clear" w:color="auto" w:fill="FFFFFF"/>
        </w:rPr>
        <w:t>3 能采用100mm的0.45um水系微孔滤膜，抽滤速度快；</w:t>
      </w:r>
    </w:p>
    <w:p>
      <w:pPr>
        <w:snapToGrid w:val="0"/>
        <w:spacing w:line="360" w:lineRule="exact"/>
        <w:rPr>
          <w:rFonts w:ascii="宋体" w:hAnsi="宋体"/>
          <w:sz w:val="22"/>
          <w:szCs w:val="22"/>
        </w:rPr>
      </w:pPr>
      <w:r>
        <w:rPr>
          <w:rFonts w:ascii="宋体" w:hAnsi="宋体"/>
          <w:sz w:val="22"/>
          <w:szCs w:val="22"/>
        </w:rPr>
        <w:t>2．</w:t>
      </w:r>
      <w:r>
        <w:rPr>
          <w:rFonts w:ascii="宋体" w:hAnsi="宋体"/>
          <w:color w:val="000000"/>
          <w:sz w:val="22"/>
          <w:szCs w:val="22"/>
          <w:shd w:val="clear" w:color="auto" w:fill="FFFFFF"/>
        </w:rPr>
        <w:t>4 抽滤头和集液瓶不使用玻璃材料，所选材质不含可溶出金属离子，符合国家标准及作业指导书要求；</w:t>
      </w:r>
    </w:p>
    <w:p>
      <w:pPr>
        <w:snapToGrid w:val="0"/>
        <w:spacing w:line="360" w:lineRule="exact"/>
        <w:rPr>
          <w:rFonts w:ascii="宋体" w:hAnsi="宋体"/>
          <w:sz w:val="22"/>
          <w:szCs w:val="22"/>
        </w:rPr>
      </w:pPr>
      <w:r>
        <w:rPr>
          <w:rFonts w:ascii="宋体" w:hAnsi="宋体"/>
          <w:sz w:val="22"/>
          <w:szCs w:val="22"/>
        </w:rPr>
        <w:t>2．</w:t>
      </w:r>
      <w:r>
        <w:rPr>
          <w:rFonts w:ascii="宋体" w:hAnsi="宋体"/>
          <w:color w:val="000000"/>
          <w:sz w:val="22"/>
          <w:szCs w:val="22"/>
          <w:shd w:val="clear" w:color="auto" w:fill="FFFFFF"/>
        </w:rPr>
        <w:t>5．自带锂电池：电池续航时间不小于20h；</w:t>
      </w:r>
    </w:p>
    <w:p>
      <w:pPr>
        <w:snapToGrid w:val="0"/>
        <w:spacing w:line="360" w:lineRule="exact"/>
        <w:rPr>
          <w:rFonts w:ascii="宋体" w:hAnsi="宋体"/>
          <w:sz w:val="22"/>
          <w:szCs w:val="22"/>
        </w:rPr>
      </w:pPr>
      <w:r>
        <w:rPr>
          <w:rFonts w:ascii="宋体" w:hAnsi="宋体"/>
          <w:b/>
          <w:bCs/>
          <w:sz w:val="22"/>
          <w:szCs w:val="22"/>
        </w:rPr>
        <w:t>3、仪器配置要求</w:t>
      </w:r>
    </w:p>
    <w:p>
      <w:pPr>
        <w:snapToGrid w:val="0"/>
        <w:spacing w:line="360" w:lineRule="exact"/>
        <w:rPr>
          <w:rFonts w:ascii="宋体" w:hAnsi="宋体"/>
          <w:sz w:val="22"/>
          <w:szCs w:val="22"/>
        </w:rPr>
      </w:pPr>
      <w:r>
        <w:rPr>
          <w:rFonts w:ascii="宋体" w:hAnsi="宋体"/>
          <w:sz w:val="22"/>
          <w:szCs w:val="22"/>
        </w:rPr>
        <w:t>3.</w:t>
      </w:r>
      <w:r>
        <w:rPr>
          <w:rFonts w:ascii="宋体" w:hAnsi="宋体"/>
          <w:color w:val="000000"/>
          <w:sz w:val="22"/>
          <w:szCs w:val="22"/>
          <w:shd w:val="clear" w:color="auto" w:fill="FFFFFF"/>
        </w:rPr>
        <w:t>1 便携式抽滤器（主机1台）</w:t>
      </w:r>
    </w:p>
    <w:p>
      <w:pPr>
        <w:snapToGrid w:val="0"/>
        <w:spacing w:line="360" w:lineRule="exact"/>
        <w:rPr>
          <w:rFonts w:ascii="宋体" w:hAnsi="宋体"/>
          <w:sz w:val="22"/>
          <w:szCs w:val="22"/>
        </w:rPr>
      </w:pPr>
      <w:r>
        <w:rPr>
          <w:rFonts w:ascii="宋体" w:hAnsi="宋体"/>
          <w:sz w:val="22"/>
          <w:szCs w:val="22"/>
        </w:rPr>
        <w:t>3.</w:t>
      </w:r>
      <w:r>
        <w:rPr>
          <w:rFonts w:ascii="宋体" w:hAnsi="宋体"/>
          <w:color w:val="000000"/>
          <w:sz w:val="22"/>
          <w:szCs w:val="22"/>
          <w:shd w:val="clear" w:color="auto" w:fill="FFFFFF"/>
        </w:rPr>
        <w:t>2 电池2套（主机原装电池1块、原装替换电池1块）</w:t>
      </w:r>
    </w:p>
    <w:p>
      <w:pPr>
        <w:snapToGrid w:val="0"/>
        <w:spacing w:line="360" w:lineRule="exact"/>
        <w:rPr>
          <w:rFonts w:ascii="宋体" w:hAnsi="宋体"/>
          <w:sz w:val="22"/>
          <w:szCs w:val="22"/>
        </w:rPr>
      </w:pPr>
      <w:r>
        <w:rPr>
          <w:rFonts w:ascii="宋体" w:hAnsi="宋体"/>
          <w:sz w:val="22"/>
          <w:szCs w:val="22"/>
        </w:rPr>
        <w:t>3.</w:t>
      </w:r>
      <w:r>
        <w:rPr>
          <w:rFonts w:ascii="宋体" w:hAnsi="宋体"/>
          <w:color w:val="000000"/>
          <w:sz w:val="22"/>
          <w:szCs w:val="22"/>
          <w:shd w:val="clear" w:color="auto" w:fill="FFFFFF"/>
        </w:rPr>
        <w:t>3 充电器 1个</w:t>
      </w:r>
    </w:p>
    <w:p>
      <w:pPr>
        <w:snapToGrid w:val="0"/>
        <w:spacing w:line="360" w:lineRule="exact"/>
        <w:rPr>
          <w:rFonts w:ascii="宋体" w:hAnsi="宋体"/>
          <w:sz w:val="22"/>
          <w:szCs w:val="22"/>
        </w:rPr>
      </w:pPr>
      <w:r>
        <w:rPr>
          <w:rFonts w:ascii="宋体" w:hAnsi="宋体"/>
          <w:sz w:val="22"/>
          <w:szCs w:val="22"/>
        </w:rPr>
        <w:t>3.</w:t>
      </w:r>
      <w:r>
        <w:rPr>
          <w:rFonts w:ascii="宋体" w:hAnsi="宋体"/>
          <w:color w:val="000000"/>
          <w:sz w:val="22"/>
          <w:szCs w:val="22"/>
          <w:shd w:val="clear" w:color="auto" w:fill="FFFFFF"/>
        </w:rPr>
        <w:t>4 微孔滤膜 10盒</w:t>
      </w:r>
    </w:p>
    <w:p>
      <w:pPr>
        <w:snapToGrid w:val="0"/>
        <w:spacing w:line="360" w:lineRule="exact"/>
        <w:rPr>
          <w:rFonts w:ascii="宋体" w:hAnsi="宋体"/>
          <w:sz w:val="22"/>
          <w:szCs w:val="22"/>
        </w:rPr>
      </w:pPr>
      <w:r>
        <w:rPr>
          <w:rFonts w:ascii="宋体" w:hAnsi="宋体"/>
          <w:sz w:val="22"/>
          <w:szCs w:val="22"/>
        </w:rPr>
        <w:t>3.</w:t>
      </w:r>
      <w:r>
        <w:rPr>
          <w:rFonts w:ascii="宋体" w:hAnsi="宋体"/>
          <w:color w:val="000000"/>
          <w:sz w:val="22"/>
          <w:szCs w:val="22"/>
          <w:shd w:val="clear" w:color="auto" w:fill="FFFFFF"/>
        </w:rPr>
        <w:t>5 600ml集液瓶  4个</w:t>
      </w:r>
    </w:p>
    <w:p>
      <w:pPr>
        <w:snapToGrid w:val="0"/>
        <w:spacing w:line="360" w:lineRule="exact"/>
        <w:jc w:val="left"/>
        <w:rPr>
          <w:rFonts w:ascii="宋体" w:hAnsi="宋体"/>
          <w:sz w:val="22"/>
          <w:szCs w:val="22"/>
        </w:rPr>
      </w:pPr>
      <w:r>
        <w:rPr>
          <w:rFonts w:ascii="宋体" w:hAnsi="宋体"/>
          <w:color w:val="000000"/>
          <w:sz w:val="22"/>
          <w:szCs w:val="22"/>
          <w:shd w:val="clear" w:color="auto" w:fill="FFFFFF"/>
        </w:rPr>
        <w:t>3.6</w:t>
      </w:r>
      <w:r>
        <w:rPr>
          <w:rFonts w:ascii="宋体" w:hAnsi="宋体"/>
          <w:sz w:val="22"/>
          <w:szCs w:val="22"/>
        </w:rPr>
        <w:t>检定证书、使用说明书、产品合格证</w:t>
      </w:r>
    </w:p>
    <w:p>
      <w:pPr>
        <w:snapToGrid w:val="0"/>
        <w:spacing w:line="360" w:lineRule="exact"/>
        <w:rPr>
          <w:rFonts w:ascii="宋体" w:hAnsi="宋体"/>
          <w:sz w:val="22"/>
          <w:szCs w:val="22"/>
        </w:rPr>
      </w:pPr>
    </w:p>
    <w:p>
      <w:pPr>
        <w:snapToGrid w:val="0"/>
        <w:spacing w:line="360" w:lineRule="exact"/>
        <w:rPr>
          <w:rFonts w:ascii="宋体" w:hAnsi="宋体"/>
          <w:sz w:val="22"/>
          <w:szCs w:val="22"/>
        </w:rPr>
      </w:pPr>
      <w:r>
        <w:rPr>
          <w:rFonts w:ascii="宋体" w:hAnsi="宋体"/>
          <w:b/>
          <w:bCs/>
          <w:color w:val="000000"/>
          <w:sz w:val="22"/>
          <w:szCs w:val="22"/>
        </w:rPr>
        <w:t>（七）、流量校准器</w:t>
      </w:r>
    </w:p>
    <w:p>
      <w:pPr>
        <w:snapToGrid w:val="0"/>
        <w:spacing w:line="360" w:lineRule="exact"/>
        <w:rPr>
          <w:rFonts w:ascii="宋体" w:hAnsi="宋体"/>
          <w:sz w:val="22"/>
          <w:szCs w:val="22"/>
        </w:rPr>
      </w:pPr>
      <w:r>
        <w:rPr>
          <w:rFonts w:ascii="宋体" w:hAnsi="宋体"/>
          <w:b/>
          <w:bCs/>
          <w:color w:val="000000"/>
          <w:sz w:val="22"/>
          <w:szCs w:val="22"/>
        </w:rPr>
        <w:t>1、主要用途：</w:t>
      </w:r>
    </w:p>
    <w:p>
      <w:pPr>
        <w:snapToGrid w:val="0"/>
        <w:spacing w:line="360" w:lineRule="exact"/>
        <w:rPr>
          <w:rFonts w:ascii="宋体" w:hAnsi="宋体"/>
          <w:sz w:val="22"/>
          <w:szCs w:val="22"/>
        </w:rPr>
      </w:pPr>
      <w:r>
        <w:rPr>
          <w:rFonts w:ascii="宋体" w:hAnsi="宋体"/>
          <w:color w:val="000000"/>
          <w:sz w:val="22"/>
          <w:szCs w:val="22"/>
        </w:rPr>
        <w:t>采样器具体调节到其中某个流速，流量校准器可自动校准采样器并提供校准报告，减少采样流速误差，实现恒定流速采样，使采集的气体更接近真实值；</w:t>
      </w:r>
    </w:p>
    <w:p>
      <w:pPr>
        <w:snapToGrid w:val="0"/>
        <w:spacing w:line="360" w:lineRule="exact"/>
        <w:rPr>
          <w:rFonts w:ascii="宋体" w:hAnsi="宋体"/>
          <w:sz w:val="22"/>
          <w:szCs w:val="22"/>
        </w:rPr>
      </w:pPr>
      <w:r>
        <w:rPr>
          <w:rFonts w:ascii="宋体" w:hAnsi="宋体"/>
          <w:b/>
          <w:bCs/>
          <w:color w:val="000000"/>
          <w:sz w:val="22"/>
          <w:szCs w:val="22"/>
        </w:rPr>
        <w:t>2、工作条件：</w:t>
      </w:r>
    </w:p>
    <w:p>
      <w:pPr>
        <w:snapToGrid w:val="0"/>
        <w:spacing w:line="360" w:lineRule="exact"/>
        <w:rPr>
          <w:rFonts w:ascii="宋体" w:hAnsi="宋体"/>
          <w:sz w:val="22"/>
          <w:szCs w:val="22"/>
        </w:rPr>
      </w:pPr>
      <w:r>
        <w:rPr>
          <w:rFonts w:ascii="宋体" w:hAnsi="宋体"/>
          <w:bCs/>
          <w:color w:val="000000"/>
          <w:sz w:val="22"/>
          <w:szCs w:val="22"/>
        </w:rPr>
        <w:t>2.1</w:t>
      </w:r>
      <w:r>
        <w:rPr>
          <w:rFonts w:ascii="宋体" w:hAnsi="宋体"/>
          <w:color w:val="000000"/>
          <w:sz w:val="22"/>
          <w:szCs w:val="22"/>
        </w:rPr>
        <w:t>工作电源：AC 220V±10%，50Hz。</w:t>
      </w:r>
    </w:p>
    <w:p>
      <w:pPr>
        <w:snapToGrid w:val="0"/>
        <w:spacing w:line="360" w:lineRule="exact"/>
        <w:rPr>
          <w:rFonts w:ascii="宋体" w:hAnsi="宋体"/>
          <w:sz w:val="22"/>
          <w:szCs w:val="22"/>
        </w:rPr>
      </w:pPr>
      <w:r>
        <w:rPr>
          <w:rFonts w:ascii="宋体" w:hAnsi="宋体"/>
          <w:bCs/>
          <w:color w:val="000000"/>
          <w:sz w:val="22"/>
          <w:szCs w:val="22"/>
        </w:rPr>
        <w:t>2.2</w:t>
      </w:r>
      <w:r>
        <w:rPr>
          <w:rFonts w:ascii="宋体" w:hAnsi="宋体"/>
          <w:color w:val="000000"/>
          <w:sz w:val="22"/>
          <w:szCs w:val="22"/>
        </w:rPr>
        <w:t>工作温度：－5～60℃</w:t>
      </w:r>
    </w:p>
    <w:p>
      <w:pPr>
        <w:snapToGrid w:val="0"/>
        <w:spacing w:line="360" w:lineRule="exact"/>
        <w:rPr>
          <w:rFonts w:ascii="宋体" w:hAnsi="宋体"/>
          <w:sz w:val="22"/>
          <w:szCs w:val="22"/>
        </w:rPr>
      </w:pPr>
      <w:r>
        <w:rPr>
          <w:rFonts w:ascii="宋体" w:hAnsi="宋体"/>
          <w:bCs/>
          <w:color w:val="000000"/>
          <w:sz w:val="22"/>
          <w:szCs w:val="22"/>
        </w:rPr>
        <w:t>2.3</w:t>
      </w:r>
      <w:r>
        <w:rPr>
          <w:rFonts w:ascii="宋体" w:hAnsi="宋体"/>
          <w:color w:val="000000"/>
          <w:sz w:val="22"/>
          <w:szCs w:val="22"/>
        </w:rPr>
        <w:t>相对湿度：≤90%</w:t>
      </w:r>
    </w:p>
    <w:p>
      <w:pPr>
        <w:snapToGrid w:val="0"/>
        <w:spacing w:line="360" w:lineRule="exact"/>
        <w:rPr>
          <w:rFonts w:ascii="宋体" w:hAnsi="宋体"/>
          <w:sz w:val="22"/>
          <w:szCs w:val="22"/>
        </w:rPr>
      </w:pPr>
      <w:r>
        <w:rPr>
          <w:rFonts w:ascii="宋体" w:hAnsi="宋体"/>
          <w:b/>
          <w:bCs/>
          <w:color w:val="000000"/>
          <w:sz w:val="22"/>
          <w:szCs w:val="22"/>
        </w:rPr>
        <w:t>3、 技术参数：</w:t>
      </w:r>
    </w:p>
    <w:p>
      <w:pPr>
        <w:snapToGrid w:val="0"/>
        <w:spacing w:line="360" w:lineRule="exact"/>
        <w:rPr>
          <w:rFonts w:ascii="宋体" w:hAnsi="宋体"/>
          <w:sz w:val="22"/>
          <w:szCs w:val="22"/>
        </w:rPr>
      </w:pPr>
      <w:r>
        <w:rPr>
          <w:rFonts w:ascii="宋体" w:hAnsi="宋体"/>
          <w:color w:val="000000"/>
          <w:sz w:val="22"/>
          <w:szCs w:val="22"/>
        </w:rPr>
        <w:t>3.1 流量校准器可</w:t>
      </w:r>
      <w:r>
        <w:rPr>
          <w:rFonts w:hint="eastAsia" w:ascii="宋体" w:hAnsi="宋体"/>
          <w:color w:val="000000"/>
          <w:sz w:val="22"/>
          <w:szCs w:val="22"/>
        </w:rPr>
        <w:t>校准采样器</w:t>
      </w:r>
      <w:r>
        <w:rPr>
          <w:rFonts w:ascii="宋体" w:hAnsi="宋体"/>
          <w:color w:val="000000"/>
          <w:sz w:val="22"/>
          <w:szCs w:val="22"/>
        </w:rPr>
        <w:t>可适应450ml到15L</w:t>
      </w:r>
      <w:r>
        <w:rPr>
          <w:rFonts w:hint="eastAsia" w:ascii="宋体" w:hAnsi="宋体"/>
          <w:color w:val="000000"/>
          <w:sz w:val="22"/>
          <w:szCs w:val="22"/>
        </w:rPr>
        <w:t>的</w:t>
      </w:r>
      <w:r>
        <w:rPr>
          <w:rFonts w:ascii="宋体" w:hAnsi="宋体"/>
          <w:color w:val="000000"/>
          <w:sz w:val="22"/>
          <w:szCs w:val="22"/>
        </w:rPr>
        <w:t>采样罐，在软件上设定流速后，校准系统自行校准并出具校准报告；</w:t>
      </w:r>
    </w:p>
    <w:p>
      <w:pPr>
        <w:snapToGrid w:val="0"/>
        <w:spacing w:line="360" w:lineRule="exact"/>
        <w:rPr>
          <w:rFonts w:ascii="宋体" w:hAnsi="宋体"/>
          <w:sz w:val="22"/>
          <w:szCs w:val="22"/>
        </w:rPr>
      </w:pPr>
      <w:r>
        <w:rPr>
          <w:rFonts w:ascii="宋体" w:hAnsi="宋体"/>
          <w:color w:val="000000"/>
          <w:sz w:val="22"/>
          <w:szCs w:val="22"/>
        </w:rPr>
        <w:t>3.2 校准系统软件实时显示：采样罐体积、采样时间、采样结束维持的真空度；</w:t>
      </w:r>
    </w:p>
    <w:p>
      <w:pPr>
        <w:snapToGrid w:val="0"/>
        <w:spacing w:line="360" w:lineRule="exact"/>
        <w:rPr>
          <w:rFonts w:ascii="宋体" w:hAnsi="宋体"/>
          <w:sz w:val="22"/>
          <w:szCs w:val="22"/>
        </w:rPr>
      </w:pPr>
      <w:r>
        <w:rPr>
          <w:rFonts w:ascii="宋体" w:hAnsi="宋体"/>
          <w:color w:val="000000"/>
          <w:sz w:val="22"/>
          <w:szCs w:val="22"/>
        </w:rPr>
        <w:t>3.3 每次校准，校准系统自动控制流速，通过现场的海拔高度、温度优化采样速率；</w:t>
      </w:r>
    </w:p>
    <w:p>
      <w:pPr>
        <w:snapToGrid w:val="0"/>
        <w:spacing w:line="360" w:lineRule="exact"/>
        <w:rPr>
          <w:rFonts w:ascii="宋体" w:hAnsi="宋体"/>
          <w:sz w:val="22"/>
          <w:szCs w:val="22"/>
        </w:rPr>
      </w:pPr>
      <w:r>
        <w:rPr>
          <w:rFonts w:ascii="宋体" w:hAnsi="宋体"/>
          <w:color w:val="000000"/>
          <w:sz w:val="22"/>
          <w:szCs w:val="22"/>
        </w:rPr>
        <w:t>3.4 每个校准系统软件可控制同时校准4个被动积分采样器；</w:t>
      </w:r>
    </w:p>
    <w:p>
      <w:pPr>
        <w:snapToGrid w:val="0"/>
        <w:spacing w:line="360" w:lineRule="exact"/>
        <w:rPr>
          <w:rFonts w:ascii="宋体" w:hAnsi="宋体"/>
          <w:sz w:val="22"/>
          <w:szCs w:val="22"/>
        </w:rPr>
      </w:pPr>
      <w:r>
        <w:rPr>
          <w:rFonts w:ascii="宋体" w:hAnsi="宋体"/>
          <w:color w:val="000000"/>
          <w:sz w:val="22"/>
          <w:szCs w:val="22"/>
        </w:rPr>
        <w:t>3.5 校准完后，系统自动出具校准报告方便溯源，可纸质可电子版。</w:t>
      </w:r>
    </w:p>
    <w:p>
      <w:pPr>
        <w:snapToGrid w:val="0"/>
        <w:spacing w:line="360" w:lineRule="exact"/>
        <w:rPr>
          <w:rFonts w:ascii="宋体" w:hAnsi="宋体"/>
          <w:sz w:val="22"/>
          <w:szCs w:val="22"/>
        </w:rPr>
      </w:pPr>
    </w:p>
    <w:p>
      <w:pPr>
        <w:snapToGrid w:val="0"/>
        <w:spacing w:line="360" w:lineRule="exact"/>
        <w:rPr>
          <w:rFonts w:ascii="宋体" w:hAnsi="宋体"/>
          <w:sz w:val="22"/>
          <w:szCs w:val="22"/>
        </w:rPr>
      </w:pPr>
      <w:r>
        <w:rPr>
          <w:rFonts w:ascii="宋体" w:hAnsi="宋体"/>
          <w:b/>
          <w:bCs/>
          <w:color w:val="000000"/>
          <w:sz w:val="22"/>
          <w:szCs w:val="22"/>
        </w:rPr>
        <w:t>（八）、6L采样罐</w:t>
      </w:r>
    </w:p>
    <w:p>
      <w:pPr>
        <w:snapToGrid w:val="0"/>
        <w:spacing w:line="360" w:lineRule="exact"/>
        <w:rPr>
          <w:rFonts w:ascii="宋体" w:hAnsi="宋体"/>
          <w:b/>
          <w:bCs/>
          <w:color w:val="000000"/>
          <w:sz w:val="22"/>
          <w:szCs w:val="22"/>
        </w:rPr>
      </w:pPr>
      <w:r>
        <w:rPr>
          <w:rFonts w:hint="eastAsia" w:ascii="宋体" w:hAnsi="宋体"/>
          <w:b/>
          <w:bCs/>
          <w:color w:val="000000"/>
          <w:sz w:val="22"/>
          <w:szCs w:val="22"/>
        </w:rPr>
        <w:t>1、主要用途：</w:t>
      </w:r>
    </w:p>
    <w:p>
      <w:pPr>
        <w:snapToGrid w:val="0"/>
        <w:spacing w:line="360" w:lineRule="exact"/>
        <w:rPr>
          <w:rFonts w:ascii="宋体" w:hAnsi="宋体"/>
          <w:bCs/>
          <w:color w:val="000000"/>
          <w:sz w:val="22"/>
          <w:szCs w:val="22"/>
        </w:rPr>
      </w:pPr>
      <w:r>
        <w:rPr>
          <w:rFonts w:hint="eastAsia" w:ascii="宋体" w:hAnsi="宋体"/>
          <w:bCs/>
          <w:color w:val="000000"/>
          <w:sz w:val="22"/>
          <w:szCs w:val="22"/>
        </w:rPr>
        <w:t>用于采集环境空气、污染源气体或者其他气体；</w:t>
      </w:r>
    </w:p>
    <w:p>
      <w:pPr>
        <w:snapToGrid w:val="0"/>
        <w:spacing w:line="360" w:lineRule="exact"/>
        <w:rPr>
          <w:rFonts w:ascii="宋体" w:hAnsi="宋体"/>
          <w:b/>
          <w:bCs/>
          <w:color w:val="000000"/>
          <w:sz w:val="22"/>
          <w:szCs w:val="22"/>
        </w:rPr>
      </w:pPr>
      <w:r>
        <w:rPr>
          <w:rFonts w:hint="eastAsia" w:ascii="宋体" w:hAnsi="宋体"/>
          <w:b/>
          <w:bCs/>
          <w:color w:val="000000"/>
          <w:sz w:val="22"/>
          <w:szCs w:val="22"/>
        </w:rPr>
        <w:t>2、工作条件：</w:t>
      </w:r>
    </w:p>
    <w:p>
      <w:pPr>
        <w:snapToGrid w:val="0"/>
        <w:spacing w:line="360" w:lineRule="exact"/>
        <w:rPr>
          <w:rFonts w:ascii="宋体" w:hAnsi="宋体"/>
          <w:bCs/>
          <w:color w:val="000000"/>
          <w:sz w:val="22"/>
          <w:szCs w:val="22"/>
        </w:rPr>
      </w:pPr>
      <w:r>
        <w:rPr>
          <w:rFonts w:hint="eastAsia" w:ascii="宋体" w:hAnsi="宋体"/>
          <w:bCs/>
          <w:color w:val="000000"/>
          <w:sz w:val="22"/>
          <w:szCs w:val="22"/>
        </w:rPr>
        <w:t>2.1工作温度：－5～60℃</w:t>
      </w:r>
    </w:p>
    <w:p>
      <w:pPr>
        <w:snapToGrid w:val="0"/>
        <w:spacing w:line="360" w:lineRule="exact"/>
        <w:rPr>
          <w:rFonts w:ascii="宋体" w:hAnsi="宋体"/>
          <w:bCs/>
          <w:color w:val="000000"/>
          <w:sz w:val="22"/>
          <w:szCs w:val="22"/>
        </w:rPr>
      </w:pPr>
      <w:r>
        <w:rPr>
          <w:rFonts w:hint="eastAsia" w:ascii="宋体" w:hAnsi="宋体"/>
          <w:bCs/>
          <w:color w:val="000000"/>
          <w:sz w:val="22"/>
          <w:szCs w:val="22"/>
        </w:rPr>
        <w:t>2.2相对湿度：≤90%</w:t>
      </w:r>
    </w:p>
    <w:p>
      <w:pPr>
        <w:snapToGrid w:val="0"/>
        <w:spacing w:line="360" w:lineRule="exact"/>
        <w:rPr>
          <w:rFonts w:ascii="宋体" w:hAnsi="宋体"/>
          <w:b/>
          <w:bCs/>
          <w:color w:val="000000"/>
          <w:sz w:val="22"/>
          <w:szCs w:val="22"/>
        </w:rPr>
      </w:pPr>
      <w:r>
        <w:rPr>
          <w:rFonts w:hint="eastAsia" w:ascii="宋体" w:hAnsi="宋体"/>
          <w:b/>
          <w:bCs/>
          <w:color w:val="000000"/>
          <w:sz w:val="22"/>
          <w:szCs w:val="22"/>
        </w:rPr>
        <w:t>3、 技术参数：</w:t>
      </w:r>
    </w:p>
    <w:p>
      <w:pPr>
        <w:snapToGrid w:val="0"/>
        <w:spacing w:line="360" w:lineRule="exact"/>
        <w:rPr>
          <w:rFonts w:ascii="宋体" w:hAnsi="宋体"/>
          <w:bCs/>
          <w:color w:val="000000"/>
          <w:sz w:val="22"/>
          <w:szCs w:val="22"/>
        </w:rPr>
      </w:pPr>
      <w:r>
        <w:rPr>
          <w:rFonts w:hint="eastAsia" w:ascii="宋体" w:hAnsi="宋体"/>
          <w:bCs/>
          <w:color w:val="000000"/>
          <w:sz w:val="22"/>
          <w:szCs w:val="22"/>
        </w:rPr>
        <w:t>3.1 罐体为不锈钢材质，规格为6L，具备手动开关阀；（提供彩页证明）</w:t>
      </w:r>
    </w:p>
    <w:p>
      <w:pPr>
        <w:snapToGrid w:val="0"/>
        <w:spacing w:line="360" w:lineRule="exact"/>
        <w:rPr>
          <w:rFonts w:ascii="宋体" w:hAnsi="宋体"/>
          <w:bCs/>
          <w:color w:val="000000"/>
          <w:sz w:val="22"/>
          <w:szCs w:val="22"/>
        </w:rPr>
      </w:pPr>
      <w:r>
        <w:rPr>
          <w:rFonts w:hint="eastAsia" w:ascii="宋体" w:hAnsi="宋体"/>
          <w:bCs/>
          <w:color w:val="000000"/>
          <w:sz w:val="22"/>
          <w:szCs w:val="22"/>
        </w:rPr>
        <w:t>3.2采样方式为快速无动力采集，能采集24小时的平均样；</w:t>
      </w:r>
    </w:p>
    <w:p>
      <w:pPr>
        <w:snapToGrid w:val="0"/>
        <w:spacing w:line="360" w:lineRule="exact"/>
        <w:rPr>
          <w:rFonts w:ascii="宋体" w:hAnsi="宋体"/>
          <w:bCs/>
          <w:color w:val="000000"/>
          <w:sz w:val="22"/>
          <w:szCs w:val="22"/>
        </w:rPr>
      </w:pPr>
      <w:r>
        <w:rPr>
          <w:rFonts w:hint="eastAsia" w:ascii="宋体" w:hAnsi="宋体"/>
          <w:bCs/>
          <w:color w:val="000000"/>
          <w:sz w:val="22"/>
          <w:szCs w:val="22"/>
        </w:rPr>
        <w:t>3.3采样罐需满足存储不稳定的硫、氮化合物和极性（醛、醇、酯、酮、醚）、非极性化合物的要求；</w:t>
      </w:r>
    </w:p>
    <w:p>
      <w:pPr>
        <w:snapToGrid w:val="0"/>
        <w:spacing w:line="360" w:lineRule="exact"/>
        <w:rPr>
          <w:rFonts w:ascii="宋体" w:hAnsi="宋体"/>
          <w:bCs/>
          <w:color w:val="000000"/>
          <w:sz w:val="22"/>
          <w:szCs w:val="22"/>
        </w:rPr>
      </w:pPr>
      <w:r>
        <w:rPr>
          <w:rFonts w:hint="eastAsia" w:ascii="宋体" w:hAnsi="宋体"/>
          <w:bCs/>
          <w:color w:val="000000"/>
          <w:sz w:val="22"/>
          <w:szCs w:val="22"/>
        </w:rPr>
        <w:t>3.4内壁经过硅烷化惰性涂层处理；（提供彩页证明）</w:t>
      </w:r>
    </w:p>
    <w:p>
      <w:pPr>
        <w:snapToGrid w:val="0"/>
        <w:spacing w:line="360" w:lineRule="exact"/>
        <w:rPr>
          <w:rFonts w:ascii="宋体" w:hAnsi="宋体"/>
          <w:bCs/>
          <w:color w:val="000000"/>
          <w:sz w:val="22"/>
          <w:szCs w:val="22"/>
        </w:rPr>
      </w:pPr>
      <w:r>
        <w:rPr>
          <w:rFonts w:hint="eastAsia" w:ascii="宋体" w:hAnsi="宋体"/>
          <w:bCs/>
          <w:color w:val="000000"/>
          <w:sz w:val="22"/>
          <w:szCs w:val="22"/>
        </w:rPr>
        <w:t>▲3.5阀门的密封力&lt;2英寸/磅，有双重密封功能；（提供彩页证明）</w:t>
      </w:r>
    </w:p>
    <w:p>
      <w:pPr>
        <w:snapToGrid w:val="0"/>
        <w:spacing w:line="360" w:lineRule="exact"/>
        <w:rPr>
          <w:rFonts w:ascii="宋体" w:hAnsi="宋体"/>
          <w:bCs/>
          <w:color w:val="000000"/>
          <w:sz w:val="22"/>
          <w:szCs w:val="22"/>
        </w:rPr>
      </w:pPr>
      <w:r>
        <w:rPr>
          <w:rFonts w:hint="eastAsia" w:ascii="宋体" w:hAnsi="宋体"/>
          <w:bCs/>
          <w:color w:val="000000"/>
          <w:sz w:val="22"/>
          <w:szCs w:val="22"/>
        </w:rPr>
        <w:t xml:space="preserve">3.6后期可配置提供采样罐使用一年或者两年后的硅烷化惰性涂层情况分析测试报告； </w:t>
      </w:r>
    </w:p>
    <w:p>
      <w:pPr>
        <w:snapToGrid w:val="0"/>
        <w:spacing w:line="360" w:lineRule="exact"/>
        <w:rPr>
          <w:rFonts w:ascii="宋体" w:hAnsi="宋体"/>
          <w:bCs/>
          <w:color w:val="000000"/>
          <w:sz w:val="22"/>
          <w:szCs w:val="22"/>
        </w:rPr>
      </w:pPr>
      <w:r>
        <w:rPr>
          <w:rFonts w:hint="eastAsia" w:ascii="宋体" w:hAnsi="宋体"/>
          <w:bCs/>
          <w:color w:val="000000"/>
          <w:sz w:val="22"/>
          <w:szCs w:val="22"/>
        </w:rPr>
        <w:t>3.7配置自动校准系统，用于采样罐泄漏检测和流速校准，并适用于不同温湿度和海拔；（提供彩页证明）</w:t>
      </w:r>
    </w:p>
    <w:p>
      <w:pPr>
        <w:snapToGrid w:val="0"/>
        <w:spacing w:line="360" w:lineRule="exact"/>
        <w:rPr>
          <w:rFonts w:ascii="宋体" w:hAnsi="宋体"/>
          <w:sz w:val="22"/>
          <w:szCs w:val="22"/>
        </w:rPr>
      </w:pPr>
      <w:r>
        <w:rPr>
          <w:rFonts w:hint="eastAsia" w:ascii="宋体" w:hAnsi="宋体"/>
          <w:bCs/>
          <w:color w:val="000000"/>
          <w:sz w:val="22"/>
          <w:szCs w:val="22"/>
        </w:rPr>
        <w:t>▲3.8能与ENTECH仪器快速连接，并与现有仪器（entech）保证兼容。</w:t>
      </w:r>
    </w:p>
    <w:p>
      <w:pPr>
        <w:snapToGrid w:val="0"/>
        <w:spacing w:line="360" w:lineRule="exact"/>
        <w:rPr>
          <w:rFonts w:ascii="宋体" w:hAnsi="宋体"/>
          <w:b/>
          <w:bCs/>
          <w:color w:val="000000"/>
          <w:sz w:val="22"/>
          <w:szCs w:val="22"/>
        </w:rPr>
      </w:pPr>
    </w:p>
    <w:p>
      <w:pPr>
        <w:snapToGrid w:val="0"/>
        <w:spacing w:line="360" w:lineRule="exact"/>
        <w:rPr>
          <w:rFonts w:ascii="宋体" w:hAnsi="宋体"/>
          <w:sz w:val="22"/>
          <w:szCs w:val="22"/>
        </w:rPr>
      </w:pPr>
      <w:r>
        <w:rPr>
          <w:rFonts w:ascii="宋体" w:hAnsi="宋体"/>
          <w:b/>
          <w:bCs/>
          <w:color w:val="000000"/>
          <w:sz w:val="22"/>
          <w:szCs w:val="22"/>
        </w:rPr>
        <w:t>（九）、限流定时采样器</w:t>
      </w:r>
    </w:p>
    <w:p>
      <w:pPr>
        <w:snapToGrid w:val="0"/>
        <w:spacing w:line="360" w:lineRule="exact"/>
        <w:rPr>
          <w:rFonts w:ascii="宋体" w:hAnsi="宋体"/>
          <w:sz w:val="22"/>
          <w:szCs w:val="22"/>
        </w:rPr>
      </w:pPr>
      <w:r>
        <w:rPr>
          <w:rFonts w:ascii="宋体" w:hAnsi="宋体"/>
          <w:b/>
          <w:bCs/>
          <w:color w:val="000000"/>
          <w:sz w:val="22"/>
          <w:szCs w:val="22"/>
        </w:rPr>
        <w:t>1、主要用途：</w:t>
      </w:r>
    </w:p>
    <w:p>
      <w:pPr>
        <w:snapToGrid w:val="0"/>
        <w:spacing w:line="360" w:lineRule="exact"/>
        <w:rPr>
          <w:rFonts w:ascii="宋体" w:hAnsi="宋体"/>
          <w:sz w:val="22"/>
          <w:szCs w:val="22"/>
        </w:rPr>
      </w:pPr>
      <w:r>
        <w:rPr>
          <w:rFonts w:ascii="宋体" w:hAnsi="宋体"/>
          <w:color w:val="000000"/>
          <w:sz w:val="22"/>
          <w:szCs w:val="22"/>
        </w:rPr>
        <w:t>用于恒定流速采集气体进入到采样罐；</w:t>
      </w:r>
    </w:p>
    <w:p>
      <w:pPr>
        <w:snapToGrid w:val="0"/>
        <w:spacing w:line="360" w:lineRule="exact"/>
        <w:rPr>
          <w:rFonts w:ascii="宋体" w:hAnsi="宋体"/>
          <w:sz w:val="22"/>
          <w:szCs w:val="22"/>
        </w:rPr>
      </w:pPr>
      <w:r>
        <w:rPr>
          <w:rFonts w:ascii="宋体" w:hAnsi="宋体"/>
          <w:b/>
          <w:bCs/>
          <w:color w:val="000000"/>
          <w:sz w:val="22"/>
          <w:szCs w:val="22"/>
        </w:rPr>
        <w:t>2、工作条件：</w:t>
      </w:r>
    </w:p>
    <w:p>
      <w:pPr>
        <w:snapToGrid w:val="0"/>
        <w:spacing w:line="360" w:lineRule="exact"/>
        <w:rPr>
          <w:rFonts w:ascii="宋体" w:hAnsi="宋体"/>
          <w:sz w:val="22"/>
          <w:szCs w:val="22"/>
        </w:rPr>
      </w:pPr>
      <w:r>
        <w:rPr>
          <w:rFonts w:ascii="宋体" w:hAnsi="宋体"/>
          <w:b/>
          <w:bCs/>
          <w:color w:val="000000"/>
          <w:sz w:val="22"/>
          <w:szCs w:val="22"/>
        </w:rPr>
        <w:t>2.</w:t>
      </w:r>
      <w:r>
        <w:rPr>
          <w:rFonts w:hint="eastAsia" w:ascii="宋体" w:hAnsi="宋体"/>
          <w:b/>
          <w:bCs/>
          <w:color w:val="000000"/>
          <w:sz w:val="22"/>
          <w:szCs w:val="22"/>
        </w:rPr>
        <w:t>1</w:t>
      </w:r>
      <w:r>
        <w:rPr>
          <w:rFonts w:ascii="宋体" w:hAnsi="宋体"/>
          <w:color w:val="000000"/>
          <w:sz w:val="22"/>
          <w:szCs w:val="22"/>
        </w:rPr>
        <w:t>工作温度：－5～60℃</w:t>
      </w:r>
    </w:p>
    <w:p>
      <w:pPr>
        <w:snapToGrid w:val="0"/>
        <w:spacing w:line="360" w:lineRule="exact"/>
        <w:rPr>
          <w:rFonts w:ascii="宋体" w:hAnsi="宋体"/>
          <w:sz w:val="22"/>
          <w:szCs w:val="22"/>
        </w:rPr>
      </w:pPr>
      <w:r>
        <w:rPr>
          <w:rFonts w:ascii="宋体" w:hAnsi="宋体"/>
          <w:b/>
          <w:bCs/>
          <w:color w:val="000000"/>
          <w:sz w:val="22"/>
          <w:szCs w:val="22"/>
        </w:rPr>
        <w:t>2.</w:t>
      </w:r>
      <w:r>
        <w:rPr>
          <w:rFonts w:hint="eastAsia" w:ascii="宋体" w:hAnsi="宋体"/>
          <w:b/>
          <w:bCs/>
          <w:color w:val="000000"/>
          <w:sz w:val="22"/>
          <w:szCs w:val="22"/>
        </w:rPr>
        <w:t>2</w:t>
      </w:r>
      <w:r>
        <w:rPr>
          <w:rFonts w:ascii="宋体" w:hAnsi="宋体"/>
          <w:color w:val="000000"/>
          <w:sz w:val="22"/>
          <w:szCs w:val="22"/>
        </w:rPr>
        <w:t>相对湿度：≤90%</w:t>
      </w:r>
    </w:p>
    <w:p>
      <w:pPr>
        <w:snapToGrid w:val="0"/>
        <w:spacing w:line="360" w:lineRule="exact"/>
        <w:rPr>
          <w:rFonts w:ascii="宋体" w:hAnsi="宋体"/>
          <w:sz w:val="22"/>
          <w:szCs w:val="22"/>
        </w:rPr>
      </w:pPr>
      <w:r>
        <w:rPr>
          <w:rFonts w:ascii="宋体" w:hAnsi="宋体"/>
          <w:b/>
          <w:bCs/>
          <w:color w:val="000000"/>
          <w:sz w:val="22"/>
          <w:szCs w:val="22"/>
        </w:rPr>
        <w:t>3、 技术参数：</w:t>
      </w:r>
    </w:p>
    <w:p>
      <w:pPr>
        <w:snapToGrid w:val="0"/>
        <w:spacing w:line="360" w:lineRule="exact"/>
        <w:rPr>
          <w:rFonts w:ascii="宋体" w:hAnsi="宋体"/>
          <w:sz w:val="22"/>
          <w:szCs w:val="22"/>
        </w:rPr>
      </w:pPr>
      <w:r>
        <w:rPr>
          <w:rFonts w:ascii="宋体" w:hAnsi="宋体"/>
          <w:color w:val="000000"/>
          <w:sz w:val="22"/>
          <w:szCs w:val="22"/>
        </w:rPr>
        <w:t>3.1被动积分采样器</w:t>
      </w:r>
      <w:r>
        <w:rPr>
          <w:rFonts w:hint="eastAsia" w:ascii="宋体" w:hAnsi="宋体"/>
          <w:color w:val="000000"/>
          <w:sz w:val="22"/>
          <w:szCs w:val="22"/>
        </w:rPr>
        <w:t>需</w:t>
      </w:r>
      <w:r>
        <w:rPr>
          <w:rFonts w:ascii="宋体" w:hAnsi="宋体"/>
          <w:color w:val="000000"/>
          <w:sz w:val="22"/>
          <w:szCs w:val="22"/>
        </w:rPr>
        <w:t>全</w:t>
      </w:r>
      <w:r>
        <w:rPr>
          <w:rFonts w:hint="eastAsia" w:ascii="宋体" w:hAnsi="宋体"/>
          <w:color w:val="000000"/>
          <w:sz w:val="22"/>
          <w:szCs w:val="22"/>
        </w:rPr>
        <w:t>面硅烷化（惰性化）</w:t>
      </w:r>
      <w:r>
        <w:rPr>
          <w:rFonts w:ascii="宋体" w:hAnsi="宋体"/>
          <w:color w:val="000000"/>
          <w:sz w:val="22"/>
          <w:szCs w:val="22"/>
        </w:rPr>
        <w:t>处理，</w:t>
      </w:r>
      <w:r>
        <w:rPr>
          <w:rFonts w:hint="eastAsia" w:ascii="宋体" w:hAnsi="宋体"/>
          <w:color w:val="000000"/>
          <w:sz w:val="22"/>
          <w:szCs w:val="22"/>
        </w:rPr>
        <w:t>并</w:t>
      </w:r>
      <w:r>
        <w:rPr>
          <w:rFonts w:ascii="宋体" w:hAnsi="宋体"/>
          <w:color w:val="000000"/>
          <w:sz w:val="22"/>
          <w:szCs w:val="22"/>
        </w:rPr>
        <w:t>配置防雨帽、防尘过滤器和压力表；</w:t>
      </w:r>
    </w:p>
    <w:p>
      <w:pPr>
        <w:snapToGrid w:val="0"/>
        <w:spacing w:line="360" w:lineRule="exact"/>
        <w:rPr>
          <w:rFonts w:ascii="宋体" w:hAnsi="宋体"/>
          <w:sz w:val="22"/>
          <w:szCs w:val="22"/>
        </w:rPr>
      </w:pPr>
      <w:r>
        <w:rPr>
          <w:rFonts w:ascii="宋体" w:hAnsi="宋体"/>
          <w:color w:val="000000"/>
          <w:sz w:val="22"/>
          <w:szCs w:val="22"/>
        </w:rPr>
        <w:t>3.2被动积分采样器</w:t>
      </w:r>
      <w:r>
        <w:rPr>
          <w:rFonts w:hint="eastAsia" w:ascii="宋体" w:hAnsi="宋体"/>
          <w:color w:val="000000"/>
          <w:sz w:val="22"/>
          <w:szCs w:val="22"/>
        </w:rPr>
        <w:t>可通过</w:t>
      </w:r>
      <w:r>
        <w:rPr>
          <w:rFonts w:ascii="宋体" w:hAnsi="宋体"/>
          <w:color w:val="000000"/>
          <w:sz w:val="22"/>
          <w:szCs w:val="22"/>
        </w:rPr>
        <w:t>更换</w:t>
      </w:r>
      <w:r>
        <w:rPr>
          <w:rFonts w:hint="eastAsia" w:ascii="宋体" w:hAnsi="宋体"/>
          <w:color w:val="000000"/>
          <w:sz w:val="22"/>
          <w:szCs w:val="22"/>
        </w:rPr>
        <w:t>不同</w:t>
      </w:r>
      <w:r>
        <w:rPr>
          <w:rFonts w:ascii="宋体" w:hAnsi="宋体"/>
          <w:color w:val="000000"/>
          <w:sz w:val="22"/>
          <w:szCs w:val="22"/>
        </w:rPr>
        <w:t>的气阻可实现不同流速</w:t>
      </w:r>
      <w:r>
        <w:rPr>
          <w:rFonts w:hint="eastAsia" w:ascii="宋体" w:hAnsi="宋体"/>
          <w:color w:val="000000"/>
          <w:sz w:val="22"/>
          <w:szCs w:val="22"/>
        </w:rPr>
        <w:t>的</w:t>
      </w:r>
      <w:r>
        <w:rPr>
          <w:rFonts w:ascii="宋体" w:hAnsi="宋体"/>
          <w:color w:val="000000"/>
          <w:sz w:val="22"/>
          <w:szCs w:val="22"/>
        </w:rPr>
        <w:t>采样；</w:t>
      </w:r>
    </w:p>
    <w:p>
      <w:pPr>
        <w:snapToGrid w:val="0"/>
        <w:spacing w:line="360" w:lineRule="exact"/>
        <w:rPr>
          <w:rFonts w:ascii="宋体" w:hAnsi="宋体"/>
          <w:sz w:val="22"/>
          <w:szCs w:val="22"/>
        </w:rPr>
      </w:pPr>
      <w:r>
        <w:rPr>
          <w:rFonts w:ascii="宋体" w:hAnsi="宋体"/>
          <w:color w:val="000000"/>
          <w:sz w:val="22"/>
          <w:szCs w:val="22"/>
        </w:rPr>
        <w:t>▲3.3 流量范围：2-6cc/min，24小时采满6L采样罐；</w:t>
      </w:r>
    </w:p>
    <w:p>
      <w:pPr>
        <w:snapToGrid w:val="0"/>
        <w:spacing w:line="360" w:lineRule="exact"/>
        <w:rPr>
          <w:rFonts w:ascii="宋体" w:hAnsi="宋体"/>
          <w:sz w:val="22"/>
          <w:szCs w:val="22"/>
        </w:rPr>
      </w:pPr>
      <w:r>
        <w:rPr>
          <w:rFonts w:ascii="宋体" w:hAnsi="宋体"/>
          <w:color w:val="000000"/>
          <w:sz w:val="22"/>
          <w:szCs w:val="22"/>
        </w:rPr>
        <w:t>3.4 与6L硅烷化采样罐相匹配；</w:t>
      </w:r>
    </w:p>
    <w:p>
      <w:pPr>
        <w:snapToGrid w:val="0"/>
        <w:spacing w:line="360" w:lineRule="exact"/>
        <w:rPr>
          <w:rFonts w:ascii="宋体" w:hAnsi="宋体"/>
          <w:sz w:val="22"/>
          <w:szCs w:val="22"/>
        </w:rPr>
      </w:pPr>
      <w:r>
        <w:rPr>
          <w:rFonts w:ascii="宋体" w:hAnsi="宋体"/>
          <w:color w:val="000000"/>
          <w:sz w:val="22"/>
          <w:szCs w:val="22"/>
        </w:rPr>
        <w:t>3.</w:t>
      </w:r>
      <w:r>
        <w:rPr>
          <w:rFonts w:hint="eastAsia" w:ascii="宋体" w:hAnsi="宋体"/>
          <w:color w:val="000000"/>
          <w:sz w:val="22"/>
          <w:szCs w:val="22"/>
        </w:rPr>
        <w:t>5</w:t>
      </w:r>
      <w:r>
        <w:rPr>
          <w:rFonts w:ascii="宋体" w:hAnsi="宋体"/>
          <w:color w:val="000000"/>
          <w:sz w:val="22"/>
          <w:szCs w:val="22"/>
        </w:rPr>
        <w:t xml:space="preserve"> 配置无需扳手即可实现快速连接的连接头；</w:t>
      </w:r>
    </w:p>
    <w:p>
      <w:pPr>
        <w:snapToGrid w:val="0"/>
        <w:spacing w:line="360" w:lineRule="exact"/>
        <w:rPr>
          <w:rFonts w:ascii="宋体" w:hAnsi="宋体"/>
          <w:sz w:val="22"/>
          <w:szCs w:val="22"/>
        </w:rPr>
      </w:pPr>
    </w:p>
    <w:p>
      <w:pPr>
        <w:snapToGrid w:val="0"/>
        <w:spacing w:line="360" w:lineRule="exact"/>
        <w:rPr>
          <w:rFonts w:ascii="宋体" w:hAnsi="宋体"/>
          <w:sz w:val="22"/>
          <w:szCs w:val="22"/>
        </w:rPr>
      </w:pPr>
      <w:r>
        <w:rPr>
          <w:rFonts w:ascii="宋体" w:hAnsi="宋体"/>
          <w:b/>
          <w:bCs/>
          <w:color w:val="000000"/>
          <w:sz w:val="22"/>
          <w:szCs w:val="22"/>
        </w:rPr>
        <w:t>（十）、采样器QT阀适配件</w:t>
      </w:r>
    </w:p>
    <w:p>
      <w:pPr>
        <w:snapToGrid w:val="0"/>
        <w:spacing w:line="360" w:lineRule="exact"/>
        <w:rPr>
          <w:rFonts w:ascii="宋体" w:hAnsi="宋体"/>
          <w:sz w:val="22"/>
          <w:szCs w:val="22"/>
        </w:rPr>
      </w:pPr>
      <w:r>
        <w:rPr>
          <w:rFonts w:ascii="宋体" w:hAnsi="宋体"/>
          <w:b/>
          <w:bCs/>
          <w:color w:val="000000"/>
          <w:sz w:val="22"/>
          <w:szCs w:val="22"/>
        </w:rPr>
        <w:t>1、主要用途：</w:t>
      </w:r>
    </w:p>
    <w:p>
      <w:pPr>
        <w:snapToGrid w:val="0"/>
        <w:spacing w:line="360" w:lineRule="exact"/>
        <w:rPr>
          <w:rFonts w:ascii="宋体" w:hAnsi="宋体"/>
          <w:sz w:val="22"/>
          <w:szCs w:val="22"/>
        </w:rPr>
      </w:pPr>
      <w:r>
        <w:rPr>
          <w:rFonts w:ascii="宋体" w:hAnsi="宋体"/>
          <w:color w:val="000000"/>
          <w:sz w:val="22"/>
          <w:szCs w:val="22"/>
        </w:rPr>
        <w:t xml:space="preserve">    与快速连接配合使用能实现快速采样</w:t>
      </w:r>
    </w:p>
    <w:p>
      <w:pPr>
        <w:snapToGrid w:val="0"/>
        <w:spacing w:line="360" w:lineRule="exact"/>
        <w:rPr>
          <w:rFonts w:ascii="宋体" w:hAnsi="宋体"/>
          <w:sz w:val="22"/>
          <w:szCs w:val="22"/>
        </w:rPr>
      </w:pPr>
      <w:r>
        <w:rPr>
          <w:rFonts w:ascii="宋体" w:hAnsi="宋体"/>
          <w:b/>
          <w:bCs/>
          <w:color w:val="000000"/>
          <w:sz w:val="22"/>
          <w:szCs w:val="22"/>
        </w:rPr>
        <w:t>2、工作条件：</w:t>
      </w:r>
    </w:p>
    <w:p>
      <w:pPr>
        <w:snapToGrid w:val="0"/>
        <w:spacing w:line="360" w:lineRule="exact"/>
        <w:rPr>
          <w:rFonts w:ascii="宋体" w:hAnsi="宋体"/>
          <w:sz w:val="22"/>
          <w:szCs w:val="22"/>
        </w:rPr>
      </w:pPr>
      <w:r>
        <w:rPr>
          <w:rFonts w:ascii="宋体" w:hAnsi="宋体"/>
          <w:b/>
          <w:bCs/>
          <w:color w:val="000000"/>
          <w:sz w:val="22"/>
          <w:szCs w:val="22"/>
        </w:rPr>
        <w:t>2.1</w:t>
      </w:r>
      <w:r>
        <w:rPr>
          <w:rFonts w:ascii="宋体" w:hAnsi="宋体"/>
          <w:color w:val="000000"/>
          <w:sz w:val="22"/>
          <w:szCs w:val="22"/>
        </w:rPr>
        <w:t>工作电源：AC 220V±10%，50Hz。</w:t>
      </w:r>
    </w:p>
    <w:p>
      <w:pPr>
        <w:snapToGrid w:val="0"/>
        <w:spacing w:line="360" w:lineRule="exact"/>
        <w:rPr>
          <w:rFonts w:ascii="宋体" w:hAnsi="宋体"/>
          <w:sz w:val="22"/>
          <w:szCs w:val="22"/>
        </w:rPr>
      </w:pPr>
      <w:r>
        <w:rPr>
          <w:rFonts w:ascii="宋体" w:hAnsi="宋体"/>
          <w:b/>
          <w:bCs/>
          <w:color w:val="000000"/>
          <w:sz w:val="22"/>
          <w:szCs w:val="22"/>
        </w:rPr>
        <w:t>2.2</w:t>
      </w:r>
      <w:r>
        <w:rPr>
          <w:rFonts w:ascii="宋体" w:hAnsi="宋体"/>
          <w:color w:val="000000"/>
          <w:sz w:val="22"/>
          <w:szCs w:val="22"/>
        </w:rPr>
        <w:t>工作温度：－5～60℃</w:t>
      </w:r>
    </w:p>
    <w:p>
      <w:pPr>
        <w:snapToGrid w:val="0"/>
        <w:spacing w:line="360" w:lineRule="exact"/>
        <w:rPr>
          <w:rFonts w:ascii="宋体" w:hAnsi="宋体"/>
          <w:sz w:val="22"/>
          <w:szCs w:val="22"/>
        </w:rPr>
      </w:pPr>
      <w:r>
        <w:rPr>
          <w:rFonts w:ascii="宋体" w:hAnsi="宋体"/>
          <w:b/>
          <w:bCs/>
          <w:color w:val="000000"/>
          <w:sz w:val="22"/>
          <w:szCs w:val="22"/>
        </w:rPr>
        <w:t>2.3</w:t>
      </w:r>
      <w:r>
        <w:rPr>
          <w:rFonts w:ascii="宋体" w:hAnsi="宋体"/>
          <w:color w:val="000000"/>
          <w:sz w:val="22"/>
          <w:szCs w:val="22"/>
        </w:rPr>
        <w:t>相对湿度：≤90%</w:t>
      </w:r>
    </w:p>
    <w:p>
      <w:pPr>
        <w:snapToGrid w:val="0"/>
        <w:spacing w:line="360" w:lineRule="exact"/>
        <w:rPr>
          <w:rFonts w:ascii="宋体" w:hAnsi="宋体"/>
          <w:sz w:val="22"/>
          <w:szCs w:val="22"/>
        </w:rPr>
      </w:pPr>
      <w:r>
        <w:rPr>
          <w:rFonts w:ascii="宋体" w:hAnsi="宋体"/>
          <w:b/>
          <w:bCs/>
          <w:color w:val="000000"/>
          <w:sz w:val="22"/>
          <w:szCs w:val="22"/>
        </w:rPr>
        <w:t>3、 技术参数：</w:t>
      </w:r>
    </w:p>
    <w:p>
      <w:pPr>
        <w:snapToGrid w:val="0"/>
        <w:spacing w:line="360" w:lineRule="exact"/>
        <w:rPr>
          <w:rFonts w:ascii="宋体" w:hAnsi="宋体"/>
          <w:sz w:val="22"/>
          <w:szCs w:val="22"/>
        </w:rPr>
      </w:pPr>
      <w:r>
        <w:rPr>
          <w:rFonts w:ascii="宋体" w:hAnsi="宋体"/>
          <w:color w:val="000000"/>
          <w:sz w:val="22"/>
          <w:szCs w:val="22"/>
        </w:rPr>
        <w:t>全</w:t>
      </w:r>
      <w:r>
        <w:rPr>
          <w:rFonts w:hint="eastAsia" w:ascii="宋体" w:hAnsi="宋体"/>
          <w:color w:val="000000"/>
          <w:sz w:val="22"/>
          <w:szCs w:val="22"/>
        </w:rPr>
        <w:t>硅烷化</w:t>
      </w:r>
      <w:r>
        <w:rPr>
          <w:rFonts w:ascii="宋体" w:hAnsi="宋体"/>
          <w:color w:val="000000"/>
          <w:sz w:val="22"/>
          <w:szCs w:val="22"/>
        </w:rPr>
        <w:t>（惰性化）处理母QT阀门变径1/4螺母，用于公接头的快速连接，无需用工具拧螺母</w:t>
      </w:r>
      <w:r>
        <w:rPr>
          <w:rFonts w:hint="eastAsia" w:ascii="宋体" w:hAnsi="宋体"/>
          <w:color w:val="000000"/>
          <w:sz w:val="22"/>
          <w:szCs w:val="22"/>
        </w:rPr>
        <w:t>。</w:t>
      </w:r>
    </w:p>
    <w:p>
      <w:pPr>
        <w:snapToGrid w:val="0"/>
        <w:spacing w:line="360" w:lineRule="exact"/>
        <w:rPr>
          <w:rFonts w:ascii="宋体" w:hAnsi="宋体"/>
          <w:sz w:val="22"/>
          <w:szCs w:val="22"/>
        </w:rPr>
      </w:pPr>
    </w:p>
    <w:p>
      <w:pPr>
        <w:snapToGrid w:val="0"/>
        <w:spacing w:line="360" w:lineRule="exact"/>
        <w:rPr>
          <w:rFonts w:ascii="宋体" w:hAnsi="宋体"/>
          <w:sz w:val="22"/>
          <w:szCs w:val="22"/>
        </w:rPr>
      </w:pPr>
      <w:r>
        <w:rPr>
          <w:rFonts w:ascii="宋体" w:hAnsi="宋体"/>
          <w:b/>
          <w:bCs/>
          <w:color w:val="000000"/>
          <w:sz w:val="22"/>
          <w:szCs w:val="22"/>
        </w:rPr>
        <w:t>（十一）、大气预浓缩传输管线</w:t>
      </w:r>
    </w:p>
    <w:p>
      <w:pPr>
        <w:snapToGrid w:val="0"/>
        <w:spacing w:line="360" w:lineRule="exact"/>
        <w:rPr>
          <w:rFonts w:ascii="宋体" w:hAnsi="宋体"/>
          <w:sz w:val="22"/>
          <w:szCs w:val="22"/>
        </w:rPr>
      </w:pPr>
      <w:r>
        <w:rPr>
          <w:rFonts w:ascii="宋体" w:hAnsi="宋体"/>
          <w:b/>
          <w:bCs/>
          <w:color w:val="000000"/>
          <w:sz w:val="22"/>
          <w:szCs w:val="22"/>
        </w:rPr>
        <w:t>1、主要用途：</w:t>
      </w:r>
    </w:p>
    <w:p>
      <w:pPr>
        <w:snapToGrid w:val="0"/>
        <w:spacing w:line="360" w:lineRule="exact"/>
        <w:rPr>
          <w:rFonts w:ascii="宋体" w:hAnsi="宋体"/>
          <w:sz w:val="22"/>
          <w:szCs w:val="22"/>
        </w:rPr>
      </w:pPr>
      <w:r>
        <w:rPr>
          <w:rFonts w:ascii="宋体" w:hAnsi="宋体"/>
          <w:color w:val="000000"/>
          <w:sz w:val="22"/>
          <w:szCs w:val="22"/>
        </w:rPr>
        <w:t>用于大气预浓缩7100与气质联用仪连接使用</w:t>
      </w:r>
    </w:p>
    <w:p>
      <w:pPr>
        <w:snapToGrid w:val="0"/>
        <w:spacing w:line="360" w:lineRule="exact"/>
        <w:rPr>
          <w:rFonts w:ascii="宋体" w:hAnsi="宋体"/>
          <w:sz w:val="22"/>
          <w:szCs w:val="22"/>
        </w:rPr>
      </w:pPr>
      <w:r>
        <w:rPr>
          <w:rFonts w:ascii="宋体" w:hAnsi="宋体"/>
          <w:b/>
          <w:bCs/>
          <w:color w:val="000000"/>
          <w:sz w:val="22"/>
          <w:szCs w:val="22"/>
        </w:rPr>
        <w:t>2、工作条件：</w:t>
      </w:r>
    </w:p>
    <w:p>
      <w:pPr>
        <w:snapToGrid w:val="0"/>
        <w:spacing w:line="360" w:lineRule="exact"/>
        <w:rPr>
          <w:rFonts w:ascii="宋体" w:hAnsi="宋体"/>
          <w:sz w:val="22"/>
          <w:szCs w:val="22"/>
        </w:rPr>
      </w:pPr>
      <w:r>
        <w:rPr>
          <w:rFonts w:ascii="宋体" w:hAnsi="宋体"/>
          <w:b/>
          <w:bCs/>
          <w:color w:val="000000"/>
          <w:sz w:val="22"/>
          <w:szCs w:val="22"/>
        </w:rPr>
        <w:t>2.1</w:t>
      </w:r>
      <w:r>
        <w:rPr>
          <w:rFonts w:ascii="宋体" w:hAnsi="宋体"/>
          <w:color w:val="000000"/>
          <w:sz w:val="22"/>
          <w:szCs w:val="22"/>
        </w:rPr>
        <w:t>工作电源：AC 220V±10%，50Hz。</w:t>
      </w:r>
    </w:p>
    <w:p>
      <w:pPr>
        <w:snapToGrid w:val="0"/>
        <w:spacing w:line="360" w:lineRule="exact"/>
        <w:rPr>
          <w:rFonts w:ascii="宋体" w:hAnsi="宋体"/>
          <w:sz w:val="22"/>
          <w:szCs w:val="22"/>
        </w:rPr>
      </w:pPr>
      <w:r>
        <w:rPr>
          <w:rFonts w:ascii="宋体" w:hAnsi="宋体"/>
          <w:b/>
          <w:bCs/>
          <w:color w:val="000000"/>
          <w:sz w:val="22"/>
          <w:szCs w:val="22"/>
        </w:rPr>
        <w:t>2.2</w:t>
      </w:r>
      <w:r>
        <w:rPr>
          <w:rFonts w:ascii="宋体" w:hAnsi="宋体"/>
          <w:color w:val="000000"/>
          <w:sz w:val="22"/>
          <w:szCs w:val="22"/>
        </w:rPr>
        <w:t>工作温度：－5～60℃</w:t>
      </w:r>
    </w:p>
    <w:p>
      <w:pPr>
        <w:snapToGrid w:val="0"/>
        <w:spacing w:line="360" w:lineRule="exact"/>
        <w:rPr>
          <w:rFonts w:ascii="宋体" w:hAnsi="宋体"/>
          <w:sz w:val="22"/>
          <w:szCs w:val="22"/>
        </w:rPr>
      </w:pPr>
      <w:r>
        <w:rPr>
          <w:rFonts w:ascii="宋体" w:hAnsi="宋体"/>
          <w:b/>
          <w:bCs/>
          <w:color w:val="000000"/>
          <w:sz w:val="22"/>
          <w:szCs w:val="22"/>
        </w:rPr>
        <w:t>2.3</w:t>
      </w:r>
      <w:r>
        <w:rPr>
          <w:rFonts w:ascii="宋体" w:hAnsi="宋体"/>
          <w:color w:val="000000"/>
          <w:sz w:val="22"/>
          <w:szCs w:val="22"/>
        </w:rPr>
        <w:t>相对湿度：≤90%</w:t>
      </w:r>
    </w:p>
    <w:p>
      <w:pPr>
        <w:snapToGrid w:val="0"/>
        <w:spacing w:line="360" w:lineRule="exact"/>
        <w:rPr>
          <w:rFonts w:ascii="宋体" w:hAnsi="宋体"/>
          <w:sz w:val="22"/>
          <w:szCs w:val="22"/>
        </w:rPr>
      </w:pPr>
      <w:r>
        <w:rPr>
          <w:rFonts w:ascii="宋体" w:hAnsi="宋体"/>
          <w:b/>
          <w:bCs/>
          <w:color w:val="000000"/>
          <w:sz w:val="22"/>
          <w:szCs w:val="22"/>
        </w:rPr>
        <w:t>3、 技术参数：</w:t>
      </w:r>
    </w:p>
    <w:p>
      <w:pPr>
        <w:snapToGrid w:val="0"/>
        <w:spacing w:line="360" w:lineRule="exact"/>
        <w:rPr>
          <w:rFonts w:ascii="宋体" w:hAnsi="宋体"/>
          <w:sz w:val="22"/>
          <w:szCs w:val="22"/>
        </w:rPr>
      </w:pPr>
      <w:r>
        <w:rPr>
          <w:rFonts w:ascii="宋体" w:hAnsi="宋体"/>
          <w:color w:val="000000"/>
          <w:sz w:val="22"/>
          <w:szCs w:val="22"/>
        </w:rPr>
        <w:t>▲与现有ENTECH7100主机匹配；</w:t>
      </w:r>
    </w:p>
    <w:p>
      <w:pPr>
        <w:snapToGrid w:val="0"/>
        <w:spacing w:line="360" w:lineRule="exact"/>
        <w:rPr>
          <w:rFonts w:ascii="宋体" w:hAnsi="宋体"/>
          <w:sz w:val="22"/>
          <w:szCs w:val="22"/>
        </w:rPr>
      </w:pPr>
    </w:p>
    <w:p>
      <w:pPr>
        <w:snapToGrid w:val="0"/>
        <w:spacing w:line="360" w:lineRule="exact"/>
        <w:rPr>
          <w:rFonts w:ascii="宋体" w:hAnsi="宋体"/>
          <w:sz w:val="22"/>
          <w:szCs w:val="22"/>
        </w:rPr>
      </w:pPr>
      <w:r>
        <w:rPr>
          <w:rFonts w:ascii="宋体" w:hAnsi="宋体"/>
          <w:b/>
          <w:bCs/>
          <w:color w:val="000000"/>
          <w:sz w:val="22"/>
          <w:szCs w:val="22"/>
        </w:rPr>
        <w:t>（十二）、流动注射仪</w:t>
      </w:r>
    </w:p>
    <w:p>
      <w:pPr>
        <w:snapToGrid w:val="0"/>
        <w:spacing w:line="360" w:lineRule="exact"/>
        <w:rPr>
          <w:rFonts w:ascii="宋体" w:hAnsi="宋体"/>
          <w:sz w:val="22"/>
          <w:szCs w:val="22"/>
        </w:rPr>
      </w:pPr>
      <w:r>
        <w:rPr>
          <w:rFonts w:ascii="宋体" w:hAnsi="宋体"/>
          <w:b/>
          <w:bCs/>
          <w:color w:val="000000"/>
          <w:sz w:val="22"/>
          <w:szCs w:val="22"/>
        </w:rPr>
        <w:t>1、应用范围</w:t>
      </w:r>
    </w:p>
    <w:p>
      <w:pPr>
        <w:snapToGrid w:val="0"/>
        <w:spacing w:line="360" w:lineRule="exact"/>
        <w:jc w:val="left"/>
        <w:rPr>
          <w:rFonts w:ascii="宋体" w:hAnsi="宋体"/>
          <w:color w:val="000000"/>
          <w:sz w:val="22"/>
          <w:szCs w:val="22"/>
        </w:rPr>
      </w:pPr>
      <w:r>
        <w:rPr>
          <w:rFonts w:ascii="宋体" w:hAnsi="宋体"/>
          <w:color w:val="000000"/>
          <w:sz w:val="22"/>
          <w:szCs w:val="22"/>
        </w:rPr>
        <w:t>仪器用途：用于测定地表水、地下水、饮用水和环境水中的挥发酚、氰化物、总氰化物、阴离子表面活性剂</w:t>
      </w:r>
      <w:r>
        <w:rPr>
          <w:rFonts w:ascii="宋体" w:hAnsi="宋体"/>
          <w:sz w:val="22"/>
          <w:szCs w:val="22"/>
        </w:rPr>
        <w:t>等成分</w:t>
      </w:r>
      <w:r>
        <w:rPr>
          <w:rFonts w:ascii="宋体" w:hAnsi="宋体"/>
          <w:color w:val="000000"/>
          <w:sz w:val="22"/>
          <w:szCs w:val="22"/>
        </w:rPr>
        <w:t>。</w:t>
      </w:r>
    </w:p>
    <w:p>
      <w:pPr>
        <w:snapToGrid w:val="0"/>
        <w:spacing w:line="360" w:lineRule="exact"/>
        <w:rPr>
          <w:rFonts w:ascii="宋体" w:hAnsi="宋体"/>
          <w:sz w:val="22"/>
          <w:szCs w:val="22"/>
        </w:rPr>
      </w:pPr>
      <w:r>
        <w:rPr>
          <w:rFonts w:ascii="宋体" w:hAnsi="宋体"/>
          <w:b/>
          <w:bCs/>
          <w:color w:val="000000"/>
          <w:sz w:val="22"/>
          <w:szCs w:val="22"/>
        </w:rPr>
        <w:t>2、 仪器配置(含耗材)</w:t>
      </w:r>
    </w:p>
    <w:tbl>
      <w:tblPr>
        <w:tblStyle w:val="43"/>
        <w:tblW w:w="8491"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418"/>
        <w:gridCol w:w="5094"/>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序号</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配置</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详细说明</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01</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挥发酚通道</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包括在线蒸馏装置、独立的双通道数字式分光光度计检测器、独立的在线电冷凝模块、独立的反应池、独立的流动比色池及滤光器、配套的自动进样器、在线自动稀释和配标曲功能。</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02</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（总）氰化物道通</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包括在线蒸馏、独立的双通道数字式分光光度计检测器、独立的反应池、独立的流动比色池及滤光器、配套的自动进样器、在线自动稀释和配标曲功能。</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03</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阴离子表面活性剂通道</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包括在线萃取、独立的双通道数字式分光光度计检测器、独立的反应池、独立的流动比色池及滤光器、配套的自动进样器、在线自动稀释和配标曲功能。</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04</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备件包</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仪器正常运行1年所需要的消耗品</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05</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计算机</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联想商用电脑</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06</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打印机</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惠普激光打印机</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07</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专业软件</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全中文操作系统</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08</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样品管</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180个(10ml),20个(50ml)</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09</w:t>
            </w:r>
          </w:p>
        </w:tc>
        <w:tc>
          <w:tcPr>
            <w:tcW w:w="1418"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专用工具</w:t>
            </w:r>
          </w:p>
        </w:tc>
        <w:tc>
          <w:tcPr>
            <w:tcW w:w="5094"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仪器日常维护所需</w:t>
            </w:r>
          </w:p>
        </w:tc>
        <w:tc>
          <w:tcPr>
            <w:tcW w:w="1306"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1套</w:t>
            </w:r>
          </w:p>
        </w:tc>
      </w:tr>
    </w:tbl>
    <w:p>
      <w:pPr>
        <w:snapToGrid w:val="0"/>
        <w:spacing w:line="360" w:lineRule="exact"/>
        <w:rPr>
          <w:rFonts w:ascii="宋体" w:hAnsi="宋体"/>
          <w:sz w:val="22"/>
          <w:szCs w:val="22"/>
        </w:rPr>
      </w:pPr>
      <w:r>
        <w:rPr>
          <w:rFonts w:ascii="宋体" w:hAnsi="宋体"/>
          <w:b/>
          <w:bCs/>
          <w:color w:val="000000"/>
          <w:sz w:val="22"/>
          <w:szCs w:val="22"/>
        </w:rPr>
        <w:t>3、工作环境</w:t>
      </w:r>
    </w:p>
    <w:p>
      <w:pPr>
        <w:snapToGrid w:val="0"/>
        <w:spacing w:line="360" w:lineRule="exact"/>
        <w:rPr>
          <w:rFonts w:ascii="宋体" w:hAnsi="宋体"/>
          <w:sz w:val="22"/>
          <w:szCs w:val="22"/>
        </w:rPr>
      </w:pPr>
      <w:r>
        <w:rPr>
          <w:rFonts w:ascii="宋体" w:hAnsi="宋体"/>
          <w:color w:val="000000"/>
          <w:sz w:val="22"/>
          <w:szCs w:val="22"/>
        </w:rPr>
        <w:t>室内使用 ：环境温度 15—30℃；</w:t>
      </w:r>
    </w:p>
    <w:p>
      <w:pPr>
        <w:snapToGrid w:val="0"/>
        <w:spacing w:line="360" w:lineRule="exact"/>
        <w:rPr>
          <w:rFonts w:ascii="宋体" w:hAnsi="宋体"/>
          <w:sz w:val="22"/>
          <w:szCs w:val="22"/>
        </w:rPr>
      </w:pPr>
      <w:r>
        <w:rPr>
          <w:rFonts w:ascii="宋体" w:hAnsi="宋体"/>
          <w:color w:val="000000"/>
          <w:sz w:val="22"/>
          <w:szCs w:val="22"/>
        </w:rPr>
        <w:t>电源供给 ： 220VAC，50HZ；</w:t>
      </w:r>
    </w:p>
    <w:p>
      <w:pPr>
        <w:snapToGrid w:val="0"/>
        <w:spacing w:line="360" w:lineRule="exact"/>
        <w:rPr>
          <w:rFonts w:ascii="宋体" w:hAnsi="宋体"/>
          <w:sz w:val="22"/>
          <w:szCs w:val="22"/>
        </w:rPr>
      </w:pPr>
      <w:r>
        <w:rPr>
          <w:rFonts w:ascii="宋体" w:hAnsi="宋体"/>
          <w:color w:val="000000"/>
          <w:sz w:val="22"/>
          <w:szCs w:val="22"/>
        </w:rPr>
        <w:t>相对湿度 ： 25%—85%，无凝结</w:t>
      </w:r>
    </w:p>
    <w:p>
      <w:pPr>
        <w:snapToGrid w:val="0"/>
        <w:spacing w:line="360" w:lineRule="exact"/>
        <w:rPr>
          <w:rFonts w:ascii="宋体" w:hAnsi="宋体"/>
          <w:sz w:val="22"/>
          <w:szCs w:val="22"/>
        </w:rPr>
      </w:pPr>
      <w:r>
        <w:rPr>
          <w:rFonts w:ascii="宋体" w:hAnsi="宋体"/>
          <w:b/>
          <w:bCs/>
          <w:color w:val="000000"/>
          <w:sz w:val="22"/>
          <w:szCs w:val="22"/>
        </w:rPr>
        <w:t>4、性能指标</w:t>
      </w:r>
    </w:p>
    <w:p>
      <w:pPr>
        <w:snapToGrid w:val="0"/>
        <w:spacing w:line="360" w:lineRule="exact"/>
        <w:rPr>
          <w:rFonts w:ascii="宋体" w:hAnsi="宋体"/>
          <w:sz w:val="22"/>
          <w:szCs w:val="22"/>
        </w:rPr>
      </w:pPr>
      <w:r>
        <w:rPr>
          <w:rFonts w:ascii="宋体" w:hAnsi="宋体"/>
          <w:sz w:val="22"/>
        </w:rPr>
        <w:t>★</w:t>
      </w:r>
      <w:r>
        <w:rPr>
          <w:rFonts w:ascii="宋体" w:hAnsi="宋体"/>
          <w:b/>
          <w:bCs/>
          <w:sz w:val="22"/>
          <w:szCs w:val="22"/>
        </w:rPr>
        <w:t>4.1仪器原理</w:t>
      </w:r>
      <w:r>
        <w:rPr>
          <w:rFonts w:ascii="宋体" w:hAnsi="宋体"/>
          <w:sz w:val="22"/>
          <w:szCs w:val="22"/>
        </w:rPr>
        <w:t>：</w:t>
      </w:r>
      <w:r>
        <w:rPr>
          <w:rFonts w:ascii="宋体" w:hAnsi="宋体"/>
          <w:color w:val="000000"/>
          <w:kern w:val="0"/>
          <w:sz w:val="22"/>
          <w:szCs w:val="22"/>
        </w:rPr>
        <w:t>利用流动注射（FIA）的原理: 在封闭的管路中向连续流动的载流注入一定体积的样品, 试剂与样品在混合圈中反应,然后流过检测器,无需加入空气泡，来实现完全快速的自动化水质分析。在确定的管线长度和内径的流路系统中准确地控制注入样品的体积和液体流速来获得最佳的精度和重现性,无交叉污染。</w:t>
      </w:r>
    </w:p>
    <w:p>
      <w:pPr>
        <w:snapToGrid w:val="0"/>
        <w:spacing w:line="360" w:lineRule="exact"/>
        <w:rPr>
          <w:rFonts w:ascii="宋体" w:hAnsi="宋体"/>
          <w:sz w:val="22"/>
          <w:szCs w:val="22"/>
        </w:rPr>
      </w:pPr>
      <w:r>
        <w:rPr>
          <w:rFonts w:ascii="宋体" w:hAnsi="宋体"/>
          <w:b/>
          <w:bCs/>
          <w:sz w:val="22"/>
          <w:szCs w:val="22"/>
        </w:rPr>
        <w:t>4.2仪器组成</w:t>
      </w:r>
      <w:r>
        <w:rPr>
          <w:rFonts w:ascii="宋体" w:hAnsi="宋体"/>
          <w:sz w:val="22"/>
          <w:szCs w:val="22"/>
        </w:rPr>
        <w:t>：挥发酚通道、 (总)氰化物分析通道和阴离子表面活性剂每个通道都为一体机式设计，每个通道包括一个自动进样装置及一个两位载流槽，一个十通道蠕动泵，一套化学分析流路，一个双光束检测器及与化学分析流路配套的温度控制器、控制电路等。除工作站软件外，通道间无共用装置。通道与工作站软件通过网线接口进行数据传输。仪器无需使用压缩气体，所有化学分析流路使用FEP全化学惰性透明管或者PTFE塑料管 ,可自行更换。</w:t>
      </w:r>
    </w:p>
    <w:p>
      <w:pPr>
        <w:snapToGrid w:val="0"/>
        <w:spacing w:line="360" w:lineRule="exact"/>
        <w:rPr>
          <w:rFonts w:ascii="宋体" w:hAnsi="宋体"/>
          <w:sz w:val="22"/>
          <w:szCs w:val="22"/>
        </w:rPr>
      </w:pPr>
      <w:r>
        <w:rPr>
          <w:rFonts w:ascii="宋体" w:hAnsi="宋体"/>
          <w:b/>
          <w:bCs/>
          <w:sz w:val="22"/>
          <w:szCs w:val="22"/>
        </w:rPr>
        <w:t>4.3</w:t>
      </w:r>
      <w:r>
        <w:rPr>
          <w:rFonts w:ascii="宋体" w:hAnsi="宋体"/>
          <w:b/>
          <w:bCs/>
          <w:color w:val="000000"/>
          <w:sz w:val="22"/>
          <w:szCs w:val="22"/>
        </w:rPr>
        <w:t>仪器进样模式</w:t>
      </w:r>
      <w:r>
        <w:rPr>
          <w:rFonts w:ascii="宋体" w:hAnsi="宋体"/>
          <w:color w:val="000000"/>
          <w:sz w:val="22"/>
          <w:szCs w:val="22"/>
        </w:rPr>
        <w:t>：蠕动泵采用整体压块进样。</w:t>
      </w:r>
      <w:r>
        <w:rPr>
          <w:rFonts w:ascii="宋体" w:hAnsi="宋体"/>
          <w:sz w:val="22"/>
          <w:szCs w:val="22"/>
        </w:rPr>
        <w:t>泵速：0-100r/min连续可调。</w:t>
      </w:r>
    </w:p>
    <w:p>
      <w:pPr>
        <w:snapToGrid w:val="0"/>
        <w:spacing w:line="360" w:lineRule="exact"/>
        <w:rPr>
          <w:rFonts w:ascii="宋体" w:hAnsi="宋体"/>
          <w:sz w:val="22"/>
          <w:szCs w:val="22"/>
        </w:rPr>
      </w:pPr>
      <w:r>
        <w:rPr>
          <w:rFonts w:ascii="宋体" w:hAnsi="宋体"/>
          <w:b/>
          <w:bCs/>
          <w:sz w:val="22"/>
          <w:szCs w:val="22"/>
        </w:rPr>
        <w:t>4.4系统配置：</w:t>
      </w:r>
    </w:p>
    <w:p>
      <w:pPr>
        <w:snapToGrid w:val="0"/>
        <w:spacing w:line="360" w:lineRule="exact"/>
        <w:jc w:val="left"/>
        <w:rPr>
          <w:rFonts w:ascii="宋体" w:hAnsi="宋体"/>
          <w:sz w:val="22"/>
          <w:szCs w:val="22"/>
        </w:rPr>
      </w:pPr>
      <w:r>
        <w:rPr>
          <w:rFonts w:ascii="宋体" w:hAnsi="宋体"/>
          <w:color w:val="000000"/>
          <w:sz w:val="22"/>
          <w:szCs w:val="22"/>
        </w:rPr>
        <w:t>▲4.4.1 各分析模块包括挥发酚、（总）氰化物、阴离子表面活性剂均为一体设计，每个模块包括一个自动进样装置，一个十通道蠕动泵，一套化学分析流路，一个双光束检测器及与化学分析流路配套的温度控制器、控制电路等</w:t>
      </w:r>
      <w:r>
        <w:rPr>
          <w:rFonts w:ascii="宋体" w:hAnsi="宋体"/>
          <w:sz w:val="22"/>
          <w:szCs w:val="22"/>
        </w:rPr>
        <w:t>。</w:t>
      </w:r>
    </w:p>
    <w:p>
      <w:pPr>
        <w:snapToGrid w:val="0"/>
        <w:spacing w:line="360" w:lineRule="exact"/>
        <w:rPr>
          <w:rFonts w:ascii="宋体" w:hAnsi="宋体"/>
          <w:sz w:val="22"/>
          <w:szCs w:val="22"/>
        </w:rPr>
      </w:pPr>
      <w:r>
        <w:rPr>
          <w:rFonts w:ascii="宋体" w:hAnsi="宋体"/>
          <w:sz w:val="22"/>
          <w:szCs w:val="22"/>
        </w:rPr>
        <w:t>4.4.2 蠕动泵、化学反应模块、检测器一一对应，用户检测不同项目无需做任何改动；所有需要加热蒸馏的模块均配备独立蒸馏器，所有需要紫外消解的模块均配备独立消解装置。</w:t>
      </w:r>
    </w:p>
    <w:p>
      <w:pPr>
        <w:snapToGrid w:val="0"/>
        <w:spacing w:line="360" w:lineRule="exact"/>
        <w:rPr>
          <w:rFonts w:ascii="宋体" w:hAnsi="宋体"/>
          <w:sz w:val="22"/>
          <w:szCs w:val="22"/>
        </w:rPr>
      </w:pPr>
      <w:r>
        <w:rPr>
          <w:rFonts w:ascii="宋体" w:hAnsi="宋体"/>
          <w:sz w:val="22"/>
          <w:szCs w:val="22"/>
        </w:rPr>
        <w:t>4.4.3 通道配置内置恒温加热器，温度通过软件控制实时监测，使化学反应温度为最佳反应温度，温度控制区间为室温到220℃，温度精度0.1℃，数字显示。</w:t>
      </w:r>
    </w:p>
    <w:p>
      <w:pPr>
        <w:snapToGrid w:val="0"/>
        <w:spacing w:line="360" w:lineRule="exact"/>
        <w:rPr>
          <w:rFonts w:ascii="宋体" w:hAnsi="宋体"/>
          <w:sz w:val="22"/>
          <w:szCs w:val="22"/>
        </w:rPr>
      </w:pPr>
      <w:r>
        <w:rPr>
          <w:rFonts w:ascii="宋体" w:hAnsi="宋体"/>
          <w:sz w:val="22"/>
          <w:szCs w:val="22"/>
        </w:rPr>
        <w:t>4.4.4 分析软件：全中文操作软件及帮助文件，可在winxp/win7以上的操作系统工作，可同时显示所有同系列分析仪的实时谱图及过往图谱，可一边进行测试一边进行以往数据的查看及处理。仪器软件易于操作，能够进行多窗口同时操作，操作界面全部为中文（挥发酚，（总） 氰化物，阴离子表面活性剂能同时在一个软件上同时运行操作）。</w:t>
      </w:r>
    </w:p>
    <w:p>
      <w:pPr>
        <w:snapToGrid w:val="0"/>
        <w:spacing w:line="360" w:lineRule="exact"/>
        <w:rPr>
          <w:rFonts w:ascii="宋体" w:hAnsi="宋体"/>
          <w:sz w:val="22"/>
          <w:szCs w:val="22"/>
        </w:rPr>
      </w:pPr>
      <w:r>
        <w:rPr>
          <w:rFonts w:ascii="宋体" w:hAnsi="宋体"/>
          <w:sz w:val="22"/>
          <w:szCs w:val="22"/>
        </w:rPr>
        <w:t>4.4.5 双光束高精度分光检测器：检测器为双光束设计，通过窄带滤光片分光，不同的系列分析仪可以使用相同的滤光片，也可使用不同的滤光片，滤光片更换方便。检测器使用400-1100nm的卤钨灯作为光源，还包括一个流通式比色皿，光程10mm。</w:t>
      </w:r>
    </w:p>
    <w:p>
      <w:pPr>
        <w:snapToGrid w:val="0"/>
        <w:spacing w:line="360" w:lineRule="exact"/>
        <w:rPr>
          <w:rFonts w:ascii="宋体" w:hAnsi="宋体"/>
          <w:sz w:val="22"/>
          <w:szCs w:val="22"/>
        </w:rPr>
      </w:pPr>
      <w:r>
        <w:rPr>
          <w:rFonts w:ascii="宋体" w:hAnsi="宋体"/>
          <w:sz w:val="22"/>
          <w:szCs w:val="22"/>
        </w:rPr>
        <w:t>4.4.6 该仪器配套的化学流路元件都固定在化学流路板上，化学流路板的设计有利于观察化学反应情况和废液的集中收集，避免废液腐蚀。</w:t>
      </w:r>
    </w:p>
    <w:p>
      <w:pPr>
        <w:snapToGrid w:val="0"/>
        <w:spacing w:line="360" w:lineRule="exact"/>
        <w:rPr>
          <w:rFonts w:ascii="宋体" w:hAnsi="宋体"/>
          <w:sz w:val="22"/>
          <w:szCs w:val="22"/>
        </w:rPr>
      </w:pPr>
      <w:r>
        <w:rPr>
          <w:rFonts w:ascii="宋体" w:hAnsi="宋体"/>
          <w:sz w:val="22"/>
          <w:szCs w:val="22"/>
        </w:rPr>
        <w:t>4.4.7具有自适应光学系统，根据检测方法波长自动调节，同时根据波长可自动增益调节光强，使光学系统达到最佳条件，大幅降低基线噪音、漂移，增强检测灵敏度。</w:t>
      </w:r>
    </w:p>
    <w:p>
      <w:pPr>
        <w:snapToGrid w:val="0"/>
        <w:spacing w:line="360" w:lineRule="exact"/>
        <w:rPr>
          <w:rFonts w:ascii="宋体" w:hAnsi="宋体"/>
          <w:sz w:val="22"/>
          <w:szCs w:val="22"/>
        </w:rPr>
      </w:pPr>
      <w:r>
        <w:rPr>
          <w:rFonts w:ascii="宋体" w:hAnsi="宋体"/>
          <w:b/>
          <w:bCs/>
          <w:sz w:val="22"/>
          <w:szCs w:val="22"/>
        </w:rPr>
        <w:t>▲</w:t>
      </w:r>
      <w:r>
        <w:rPr>
          <w:rFonts w:ascii="宋体" w:hAnsi="宋体"/>
          <w:sz w:val="22"/>
          <w:szCs w:val="22"/>
        </w:rPr>
        <w:t>4.4.8 安全防护：仪器具有安全防护装置，运行过程中可成关闭保护状态，不能影响操作人员观察仪器运行状态；化学反应面板上有安全防护罩，避免可能的蒸馏/加热试剂泄露导致人员伤害；仪器具有安全防护盖，避免环境中水汽/盐汽/酸汽对设备核心部件的腐蚀，保障仪器的使用寿命。</w:t>
      </w:r>
    </w:p>
    <w:p>
      <w:pPr>
        <w:snapToGrid w:val="0"/>
        <w:spacing w:line="360" w:lineRule="exact"/>
        <w:rPr>
          <w:rFonts w:ascii="宋体" w:hAnsi="宋体"/>
          <w:sz w:val="22"/>
          <w:szCs w:val="22"/>
        </w:rPr>
      </w:pPr>
      <w:r>
        <w:rPr>
          <w:rFonts w:ascii="宋体" w:hAnsi="宋体"/>
          <w:sz w:val="22"/>
          <w:szCs w:val="22"/>
        </w:rPr>
        <w:t>4.4.9 仪器具备状态监控功能，各检测处理单元实时状态可视，同时仪器具备自我诊断功能。</w:t>
      </w:r>
    </w:p>
    <w:p>
      <w:pPr>
        <w:snapToGrid w:val="0"/>
        <w:spacing w:line="360" w:lineRule="exact"/>
        <w:rPr>
          <w:rFonts w:ascii="宋体" w:hAnsi="宋体"/>
          <w:sz w:val="22"/>
          <w:szCs w:val="22"/>
        </w:rPr>
      </w:pPr>
      <w:r>
        <w:rPr>
          <w:rFonts w:ascii="宋体" w:hAnsi="宋体"/>
          <w:b/>
          <w:bCs/>
          <w:sz w:val="22"/>
          <w:szCs w:val="22"/>
        </w:rPr>
        <w:t>4.5 分析项目的具体技术性能指标：</w:t>
      </w:r>
    </w:p>
    <w:p>
      <w:pPr>
        <w:snapToGrid w:val="0"/>
        <w:spacing w:line="360" w:lineRule="exact"/>
        <w:rPr>
          <w:rFonts w:ascii="宋体" w:hAnsi="宋体"/>
          <w:sz w:val="22"/>
          <w:szCs w:val="22"/>
        </w:rPr>
      </w:pPr>
      <w:r>
        <w:rPr>
          <w:rFonts w:ascii="宋体" w:hAnsi="宋体"/>
          <w:sz w:val="22"/>
          <w:szCs w:val="22"/>
        </w:rPr>
        <w:t>4.5.1分析项目：挥发酚（含蠕动泵、六通阀、化学分析模板、双光束检测器、温控仪、自动进样器）</w:t>
      </w:r>
    </w:p>
    <w:p>
      <w:pPr>
        <w:snapToGrid w:val="0"/>
        <w:spacing w:line="360" w:lineRule="exact"/>
        <w:rPr>
          <w:rFonts w:ascii="宋体" w:hAnsi="宋体"/>
          <w:sz w:val="22"/>
          <w:szCs w:val="22"/>
        </w:rPr>
      </w:pPr>
      <w:r>
        <w:rPr>
          <w:rFonts w:ascii="宋体" w:hAnsi="宋体"/>
          <w:sz w:val="22"/>
          <w:szCs w:val="22"/>
        </w:rPr>
        <w:t>方法原理：4-氨基安替比林光度法</w:t>
      </w:r>
    </w:p>
    <w:p>
      <w:pPr>
        <w:snapToGrid w:val="0"/>
        <w:spacing w:line="360" w:lineRule="exact"/>
        <w:rPr>
          <w:rFonts w:ascii="宋体" w:hAnsi="宋体"/>
          <w:sz w:val="22"/>
          <w:szCs w:val="22"/>
        </w:rPr>
      </w:pPr>
      <w:r>
        <w:rPr>
          <w:rFonts w:ascii="宋体" w:hAnsi="宋体"/>
          <w:b/>
          <w:bCs/>
          <w:sz w:val="22"/>
          <w:szCs w:val="22"/>
        </w:rPr>
        <w:t>▲</w:t>
      </w:r>
      <w:r>
        <w:rPr>
          <w:rFonts w:ascii="宋体" w:hAnsi="宋体"/>
          <w:sz w:val="22"/>
          <w:szCs w:val="22"/>
        </w:rPr>
        <w:t>特别要求：膜分离在线蒸馏模块、内置式电子冷凝装置</w:t>
      </w:r>
    </w:p>
    <w:p>
      <w:pPr>
        <w:snapToGrid w:val="0"/>
        <w:spacing w:line="360" w:lineRule="exact"/>
        <w:rPr>
          <w:rFonts w:ascii="宋体" w:hAnsi="宋体"/>
          <w:sz w:val="22"/>
          <w:szCs w:val="22"/>
        </w:rPr>
      </w:pPr>
      <w:r>
        <w:rPr>
          <w:rFonts w:ascii="宋体" w:hAnsi="宋体"/>
          <w:sz w:val="22"/>
          <w:szCs w:val="22"/>
        </w:rPr>
        <w:t xml:space="preserve">线性范围：0.001-0.2mg/L,曲线999以上。  </w:t>
      </w:r>
    </w:p>
    <w:p>
      <w:pPr>
        <w:snapToGrid w:val="0"/>
        <w:spacing w:line="360" w:lineRule="exact"/>
        <w:rPr>
          <w:rFonts w:ascii="宋体" w:hAnsi="宋体"/>
          <w:sz w:val="22"/>
          <w:szCs w:val="22"/>
        </w:rPr>
      </w:pPr>
      <w:r>
        <w:rPr>
          <w:rFonts w:ascii="宋体" w:hAnsi="宋体"/>
          <w:sz w:val="22"/>
          <w:szCs w:val="22"/>
        </w:rPr>
        <w:t xml:space="preserve">MDL: 检出限：≤0.0003 mg/L </w:t>
      </w:r>
    </w:p>
    <w:p>
      <w:pPr>
        <w:snapToGrid w:val="0"/>
        <w:spacing w:line="360" w:lineRule="exact"/>
        <w:rPr>
          <w:rFonts w:ascii="宋体" w:hAnsi="宋体"/>
          <w:sz w:val="22"/>
          <w:szCs w:val="22"/>
        </w:rPr>
      </w:pPr>
      <w:r>
        <w:rPr>
          <w:rFonts w:ascii="宋体" w:hAnsi="宋体"/>
          <w:sz w:val="22"/>
          <w:szCs w:val="22"/>
        </w:rPr>
        <w:t>样品分析频率：18样/小时</w:t>
      </w:r>
    </w:p>
    <w:p>
      <w:pPr>
        <w:snapToGrid w:val="0"/>
        <w:spacing w:line="360" w:lineRule="exact"/>
        <w:rPr>
          <w:rFonts w:ascii="宋体" w:hAnsi="宋体"/>
          <w:sz w:val="22"/>
          <w:szCs w:val="22"/>
        </w:rPr>
      </w:pPr>
      <w:r>
        <w:rPr>
          <w:rFonts w:ascii="宋体" w:hAnsi="宋体"/>
          <w:sz w:val="22"/>
          <w:szCs w:val="22"/>
        </w:rPr>
        <w:t>精密度：≤ 1%</w:t>
      </w:r>
    </w:p>
    <w:p>
      <w:pPr>
        <w:snapToGrid w:val="0"/>
        <w:spacing w:line="360" w:lineRule="exact"/>
        <w:rPr>
          <w:rFonts w:ascii="宋体" w:hAnsi="宋体"/>
          <w:sz w:val="22"/>
          <w:szCs w:val="22"/>
        </w:rPr>
      </w:pPr>
      <w:r>
        <w:rPr>
          <w:rFonts w:ascii="宋体" w:hAnsi="宋体"/>
          <w:sz w:val="22"/>
          <w:szCs w:val="22"/>
        </w:rPr>
        <w:t>4.5.2分析项目：（总）氰化物（含蠕动泵、六通阀、化学分析模板、双光束检测器、温控仪、自动进样器）</w:t>
      </w:r>
    </w:p>
    <w:p>
      <w:pPr>
        <w:snapToGrid w:val="0"/>
        <w:spacing w:line="360" w:lineRule="exact"/>
        <w:rPr>
          <w:rFonts w:ascii="宋体" w:hAnsi="宋体"/>
          <w:sz w:val="22"/>
          <w:szCs w:val="22"/>
        </w:rPr>
      </w:pPr>
      <w:r>
        <w:rPr>
          <w:rFonts w:ascii="宋体" w:hAnsi="宋体"/>
          <w:sz w:val="22"/>
          <w:szCs w:val="22"/>
        </w:rPr>
        <w:t>方法原理：在线蒸馏异烟酸-巴比妥酸光度法</w:t>
      </w:r>
    </w:p>
    <w:p>
      <w:pPr>
        <w:snapToGrid w:val="0"/>
        <w:spacing w:line="360" w:lineRule="exact"/>
        <w:rPr>
          <w:rFonts w:ascii="宋体" w:hAnsi="宋体"/>
          <w:sz w:val="22"/>
          <w:szCs w:val="22"/>
        </w:rPr>
      </w:pPr>
      <w:r>
        <w:rPr>
          <w:rFonts w:ascii="宋体" w:hAnsi="宋体"/>
          <w:sz w:val="22"/>
          <w:szCs w:val="22"/>
        </w:rPr>
        <w:t>特别要求：膜分离在线蒸馏模块、在线消解模块</w:t>
      </w:r>
    </w:p>
    <w:p>
      <w:pPr>
        <w:snapToGrid w:val="0"/>
        <w:spacing w:line="360" w:lineRule="exact"/>
        <w:rPr>
          <w:rFonts w:ascii="宋体" w:hAnsi="宋体"/>
          <w:sz w:val="22"/>
          <w:szCs w:val="22"/>
        </w:rPr>
      </w:pPr>
      <w:r>
        <w:rPr>
          <w:rFonts w:ascii="宋体" w:hAnsi="宋体"/>
          <w:sz w:val="22"/>
          <w:szCs w:val="22"/>
        </w:rPr>
        <w:t xml:space="preserve">线性范围：0.002 -0.2mg/L </w:t>
      </w:r>
    </w:p>
    <w:p>
      <w:pPr>
        <w:snapToGrid w:val="0"/>
        <w:spacing w:line="360" w:lineRule="exact"/>
        <w:rPr>
          <w:rFonts w:ascii="宋体" w:hAnsi="宋体"/>
          <w:sz w:val="22"/>
          <w:szCs w:val="22"/>
        </w:rPr>
      </w:pPr>
      <w:r>
        <w:rPr>
          <w:rFonts w:ascii="宋体" w:hAnsi="宋体"/>
          <w:sz w:val="22"/>
          <w:szCs w:val="22"/>
        </w:rPr>
        <w:t xml:space="preserve">MDL：&lt; 0.0005 mg/L </w:t>
      </w:r>
    </w:p>
    <w:p>
      <w:pPr>
        <w:snapToGrid w:val="0"/>
        <w:spacing w:line="360" w:lineRule="exact"/>
        <w:rPr>
          <w:rFonts w:ascii="宋体" w:hAnsi="宋体"/>
          <w:sz w:val="22"/>
          <w:szCs w:val="22"/>
        </w:rPr>
      </w:pPr>
      <w:r>
        <w:rPr>
          <w:rFonts w:ascii="宋体" w:hAnsi="宋体"/>
          <w:sz w:val="22"/>
          <w:szCs w:val="22"/>
        </w:rPr>
        <w:t>样品分析频率：18样/小时</w:t>
      </w:r>
    </w:p>
    <w:p>
      <w:pPr>
        <w:snapToGrid w:val="0"/>
        <w:spacing w:line="360" w:lineRule="exact"/>
        <w:rPr>
          <w:rFonts w:ascii="宋体" w:hAnsi="宋体"/>
          <w:sz w:val="22"/>
          <w:szCs w:val="22"/>
        </w:rPr>
      </w:pPr>
      <w:r>
        <w:rPr>
          <w:rFonts w:ascii="宋体" w:hAnsi="宋体"/>
          <w:sz w:val="22"/>
          <w:szCs w:val="22"/>
        </w:rPr>
        <w:t>精密度：≤ 1%</w:t>
      </w:r>
    </w:p>
    <w:p>
      <w:pPr>
        <w:snapToGrid w:val="0"/>
        <w:spacing w:line="360" w:lineRule="exact"/>
        <w:rPr>
          <w:rFonts w:ascii="宋体" w:hAnsi="宋体"/>
          <w:sz w:val="22"/>
          <w:szCs w:val="22"/>
        </w:rPr>
      </w:pPr>
      <w:r>
        <w:rPr>
          <w:rFonts w:ascii="宋体" w:hAnsi="宋体"/>
          <w:sz w:val="22"/>
          <w:szCs w:val="22"/>
        </w:rPr>
        <w:t>4.5.3分析项目：阴离子表面活性剂（含蠕动泵、六通阀、化学分析模板、双光束检测器、 自动进样器）</w:t>
      </w:r>
    </w:p>
    <w:p>
      <w:pPr>
        <w:snapToGrid w:val="0"/>
        <w:spacing w:line="360" w:lineRule="exact"/>
        <w:rPr>
          <w:rFonts w:ascii="宋体" w:hAnsi="宋体"/>
          <w:sz w:val="22"/>
          <w:szCs w:val="22"/>
        </w:rPr>
      </w:pPr>
      <w:r>
        <w:rPr>
          <w:rFonts w:ascii="宋体" w:hAnsi="宋体"/>
          <w:sz w:val="22"/>
          <w:szCs w:val="22"/>
        </w:rPr>
        <w:t>方法原理：在线萃取亚甲基蓝光度法</w:t>
      </w:r>
    </w:p>
    <w:p>
      <w:pPr>
        <w:snapToGrid w:val="0"/>
        <w:spacing w:line="360" w:lineRule="exact"/>
        <w:rPr>
          <w:rFonts w:ascii="宋体" w:hAnsi="宋体"/>
          <w:sz w:val="22"/>
          <w:szCs w:val="22"/>
        </w:rPr>
      </w:pPr>
      <w:r>
        <w:rPr>
          <w:rFonts w:ascii="宋体" w:hAnsi="宋体"/>
          <w:sz w:val="22"/>
          <w:szCs w:val="22"/>
        </w:rPr>
        <w:t xml:space="preserve">线性范围：0.02 -2mg/L </w:t>
      </w:r>
    </w:p>
    <w:p>
      <w:pPr>
        <w:snapToGrid w:val="0"/>
        <w:spacing w:line="360" w:lineRule="exact"/>
        <w:rPr>
          <w:rFonts w:ascii="宋体" w:hAnsi="宋体"/>
          <w:sz w:val="22"/>
          <w:szCs w:val="22"/>
        </w:rPr>
      </w:pPr>
      <w:r>
        <w:rPr>
          <w:rFonts w:ascii="宋体" w:hAnsi="宋体"/>
          <w:sz w:val="22"/>
          <w:szCs w:val="22"/>
        </w:rPr>
        <w:t xml:space="preserve">MDL：&lt; 0.010 mg/L </w:t>
      </w:r>
    </w:p>
    <w:p>
      <w:pPr>
        <w:snapToGrid w:val="0"/>
        <w:spacing w:line="360" w:lineRule="exact"/>
        <w:rPr>
          <w:rFonts w:ascii="宋体" w:hAnsi="宋体"/>
          <w:sz w:val="22"/>
          <w:szCs w:val="22"/>
        </w:rPr>
      </w:pPr>
      <w:r>
        <w:rPr>
          <w:rFonts w:ascii="宋体" w:hAnsi="宋体"/>
          <w:sz w:val="22"/>
          <w:szCs w:val="22"/>
        </w:rPr>
        <w:t>样品分析频率：18样/小时</w:t>
      </w:r>
    </w:p>
    <w:p>
      <w:pPr>
        <w:snapToGrid w:val="0"/>
        <w:spacing w:line="360" w:lineRule="exact"/>
        <w:rPr>
          <w:rFonts w:ascii="宋体" w:hAnsi="宋体"/>
          <w:sz w:val="22"/>
          <w:szCs w:val="22"/>
        </w:rPr>
      </w:pPr>
      <w:r>
        <w:rPr>
          <w:rFonts w:ascii="宋体" w:hAnsi="宋体"/>
          <w:sz w:val="22"/>
          <w:szCs w:val="22"/>
        </w:rPr>
        <w:t>精密度：≤ 2%</w:t>
      </w:r>
    </w:p>
    <w:p>
      <w:pPr>
        <w:snapToGrid w:val="0"/>
        <w:spacing w:line="360" w:lineRule="exact"/>
        <w:rPr>
          <w:rFonts w:ascii="宋体" w:hAnsi="宋体"/>
          <w:sz w:val="22"/>
          <w:szCs w:val="22"/>
        </w:rPr>
      </w:pPr>
      <w:r>
        <w:rPr>
          <w:rFonts w:ascii="宋体" w:hAnsi="宋体"/>
          <w:b/>
          <w:bCs/>
          <w:sz w:val="22"/>
          <w:szCs w:val="22"/>
        </w:rPr>
        <w:t>4.6工作站及软件</w:t>
      </w:r>
    </w:p>
    <w:p>
      <w:pPr>
        <w:snapToGrid w:val="0"/>
        <w:spacing w:line="360" w:lineRule="exact"/>
        <w:rPr>
          <w:rFonts w:ascii="宋体" w:hAnsi="宋体"/>
          <w:sz w:val="22"/>
          <w:szCs w:val="22"/>
        </w:rPr>
      </w:pPr>
      <w:r>
        <w:rPr>
          <w:rFonts w:ascii="宋体" w:hAnsi="宋体"/>
          <w:sz w:val="22"/>
          <w:szCs w:val="22"/>
        </w:rPr>
        <w:t>4.6.1采用中英文控制软件，直接在WINDOWS下操作，可同时显示多分析通道的实时谱图；结果自动计算及标准曲线校正，实时保存数据结果，提供品质控制图等功能。</w:t>
      </w:r>
    </w:p>
    <w:p>
      <w:pPr>
        <w:snapToGrid w:val="0"/>
        <w:spacing w:line="360" w:lineRule="exact"/>
        <w:rPr>
          <w:rFonts w:ascii="宋体" w:hAnsi="宋体"/>
          <w:sz w:val="22"/>
          <w:szCs w:val="22"/>
        </w:rPr>
      </w:pPr>
      <w:r>
        <w:rPr>
          <w:rFonts w:ascii="宋体" w:hAnsi="宋体"/>
          <w:sz w:val="22"/>
          <w:szCs w:val="22"/>
        </w:rPr>
        <w:t>4.6.2自动生成文件名，自动生成质控图，自动显示数据，自动生成报告。</w:t>
      </w:r>
    </w:p>
    <w:p>
      <w:pPr>
        <w:snapToGrid w:val="0"/>
        <w:spacing w:line="360" w:lineRule="exact"/>
        <w:rPr>
          <w:rFonts w:ascii="宋体" w:hAnsi="宋体"/>
          <w:sz w:val="22"/>
          <w:szCs w:val="22"/>
        </w:rPr>
      </w:pPr>
      <w:r>
        <w:rPr>
          <w:rFonts w:ascii="宋体" w:hAnsi="宋体"/>
          <w:sz w:val="22"/>
          <w:szCs w:val="22"/>
        </w:rPr>
        <w:t>4.6.3测试过程中可控制随时添加、插入样品，能够进行多窗口同时操作。</w:t>
      </w:r>
    </w:p>
    <w:p>
      <w:pPr>
        <w:snapToGrid w:val="0"/>
        <w:spacing w:line="360" w:lineRule="exact"/>
        <w:rPr>
          <w:rFonts w:ascii="宋体" w:hAnsi="宋体"/>
          <w:sz w:val="22"/>
          <w:szCs w:val="22"/>
        </w:rPr>
      </w:pPr>
      <w:r>
        <w:rPr>
          <w:rFonts w:ascii="宋体" w:hAnsi="宋体"/>
          <w:sz w:val="22"/>
          <w:szCs w:val="22"/>
        </w:rPr>
        <w:t>4.6.4提供操作手册及维护手册。</w:t>
      </w:r>
    </w:p>
    <w:p>
      <w:pPr>
        <w:snapToGrid w:val="0"/>
        <w:spacing w:line="360" w:lineRule="exact"/>
        <w:rPr>
          <w:rFonts w:ascii="宋体" w:hAnsi="宋体"/>
          <w:b/>
          <w:bCs/>
          <w:sz w:val="22"/>
          <w:szCs w:val="22"/>
        </w:rPr>
      </w:pPr>
      <w:r>
        <w:rPr>
          <w:rFonts w:ascii="宋体" w:hAnsi="宋体"/>
          <w:b/>
          <w:bCs/>
          <w:sz w:val="22"/>
          <w:szCs w:val="22"/>
        </w:rPr>
        <w:t>4.7硬件</w:t>
      </w:r>
    </w:p>
    <w:p>
      <w:pPr>
        <w:snapToGrid w:val="0"/>
        <w:spacing w:line="360" w:lineRule="exact"/>
        <w:rPr>
          <w:rFonts w:ascii="宋体" w:hAnsi="宋体"/>
          <w:sz w:val="22"/>
          <w:szCs w:val="22"/>
        </w:rPr>
      </w:pPr>
      <w:r>
        <w:rPr>
          <w:rFonts w:ascii="宋体" w:hAnsi="宋体"/>
          <w:sz w:val="22"/>
          <w:szCs w:val="22"/>
        </w:rPr>
        <w:t>硬件：原装品牌电脑，CPU i5-7400以上，DDR4 4G内存，DVD-ROW，1T硬盘，21”正屏液晶显示器，2G独立显卡，黑白A4激光打印机，带厂家3年免费上门服务。每台仪器均配带原装正版win10 专业版以上操作系统。</w:t>
      </w:r>
    </w:p>
    <w:p>
      <w:pPr>
        <w:snapToGrid w:val="0"/>
        <w:spacing w:line="360" w:lineRule="exact"/>
        <w:rPr>
          <w:rFonts w:ascii="宋体" w:hAnsi="宋体"/>
          <w:b/>
          <w:bCs/>
          <w:sz w:val="22"/>
          <w:szCs w:val="22"/>
        </w:rPr>
      </w:pPr>
      <w:r>
        <w:rPr>
          <w:rFonts w:ascii="宋体" w:hAnsi="宋体"/>
          <w:b/>
          <w:bCs/>
          <w:sz w:val="22"/>
          <w:szCs w:val="22"/>
        </w:rPr>
        <w:t>4.8附件、备件、工具、消耗品、质保期</w:t>
      </w:r>
    </w:p>
    <w:p>
      <w:pPr>
        <w:snapToGrid w:val="0"/>
        <w:spacing w:line="360" w:lineRule="exact"/>
        <w:rPr>
          <w:rFonts w:ascii="宋体" w:hAnsi="宋体"/>
          <w:sz w:val="22"/>
          <w:szCs w:val="22"/>
        </w:rPr>
      </w:pPr>
      <w:r>
        <w:rPr>
          <w:rFonts w:ascii="宋体" w:hAnsi="宋体"/>
          <w:sz w:val="22"/>
          <w:szCs w:val="22"/>
        </w:rPr>
        <w:t>4.8.1提供仪器标准配置所带的全套样品杯、标准样品杯、各种管线接头、反应管线，输送管线、泵管等。提供仪器正常使用2年期的耗材。清单如下表：</w:t>
      </w:r>
    </w:p>
    <w:p>
      <w:pPr>
        <w:spacing w:after="187" w:line="360" w:lineRule="exact"/>
        <w:jc w:val="center"/>
        <w:rPr>
          <w:rFonts w:ascii="宋体" w:hAnsi="宋体"/>
          <w:b/>
          <w:bCs/>
          <w:color w:val="000000"/>
          <w:sz w:val="22"/>
          <w:szCs w:val="22"/>
        </w:rPr>
      </w:pPr>
    </w:p>
    <w:p>
      <w:pPr>
        <w:spacing w:after="187" w:line="360" w:lineRule="exact"/>
        <w:jc w:val="center"/>
        <w:rPr>
          <w:rFonts w:ascii="宋体" w:hAnsi="宋体"/>
          <w:sz w:val="22"/>
          <w:szCs w:val="22"/>
        </w:rPr>
      </w:pPr>
      <w:r>
        <w:rPr>
          <w:rFonts w:ascii="宋体" w:hAnsi="宋体"/>
          <w:b/>
          <w:bCs/>
          <w:color w:val="000000"/>
          <w:sz w:val="22"/>
          <w:szCs w:val="22"/>
        </w:rPr>
        <w:t>全自动挥发酚检测仪配件明细表</w:t>
      </w:r>
    </w:p>
    <w:tbl>
      <w:tblPr>
        <w:tblStyle w:val="43"/>
        <w:tblW w:w="7755"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550"/>
        <w:gridCol w:w="2115"/>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序 号</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配 置 名 称</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规 格</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数 量</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方法说明书</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1本</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三芯电源线</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网线</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FEP毛细管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内径0.8mm</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FEP毛细管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内径1.0mm</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Pharmed泵管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1.52</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7</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Pharmed泵管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1.14</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8</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Pharmed泵管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0.64</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9</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脱气管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20根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样品盘</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40号位</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11</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载流槽</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12</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玻璃样品管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10mL</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60支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13</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玻璃样品管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50mL</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14</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进样针</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不锈钢</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15</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有机膜</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长13cm,宽4cm</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20张</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bl>
    <w:p>
      <w:pPr>
        <w:spacing w:after="187" w:line="360" w:lineRule="exact"/>
        <w:jc w:val="center"/>
        <w:rPr>
          <w:rFonts w:ascii="宋体" w:hAnsi="宋体"/>
          <w:sz w:val="22"/>
          <w:szCs w:val="22"/>
        </w:rPr>
      </w:pPr>
      <w:r>
        <w:rPr>
          <w:rFonts w:ascii="宋体" w:hAnsi="宋体"/>
          <w:b/>
          <w:bCs/>
          <w:color w:val="000000"/>
          <w:sz w:val="22"/>
          <w:szCs w:val="22"/>
        </w:rPr>
        <w:t>全自动（总）氰化物检测仪配件明细表</w:t>
      </w:r>
    </w:p>
    <w:tbl>
      <w:tblPr>
        <w:tblStyle w:val="43"/>
        <w:tblW w:w="7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550"/>
        <w:gridCol w:w="2115"/>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序 号</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配 置 名 称</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规 格</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数 量</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方法说明书</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1本</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三芯电源线</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10A250V，1.5米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网线</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FEP毛细管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内径0.8mm</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Tygon泵管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1.30</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Tygon泵管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1.14</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7</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Tygon泵管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0.76</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8</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Tygon泵管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0.64</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9</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脱气管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20根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样品盘</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40号位</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11</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载流槽</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12</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玻璃样品管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10mL</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60支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13</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玻璃样品管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50mL</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14</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进样针</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不锈钢</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15</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有机膜</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20张</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bl>
    <w:p>
      <w:pPr>
        <w:snapToGrid w:val="0"/>
        <w:spacing w:line="360" w:lineRule="exact"/>
        <w:jc w:val="left"/>
        <w:rPr>
          <w:rFonts w:ascii="宋体" w:hAnsi="宋体"/>
          <w:sz w:val="20"/>
        </w:rPr>
      </w:pPr>
    </w:p>
    <w:p>
      <w:pPr>
        <w:spacing w:after="187" w:line="360" w:lineRule="exact"/>
        <w:jc w:val="center"/>
        <w:rPr>
          <w:rFonts w:ascii="宋体" w:hAnsi="宋体"/>
          <w:sz w:val="22"/>
          <w:szCs w:val="22"/>
        </w:rPr>
      </w:pPr>
      <w:r>
        <w:rPr>
          <w:rFonts w:ascii="宋体" w:hAnsi="宋体"/>
          <w:b/>
          <w:bCs/>
          <w:color w:val="000000"/>
          <w:sz w:val="22"/>
          <w:szCs w:val="22"/>
        </w:rPr>
        <w:t>全自动阴离子表面活性剂检测仪配件明细表</w:t>
      </w:r>
    </w:p>
    <w:tbl>
      <w:tblPr>
        <w:tblStyle w:val="43"/>
        <w:tblW w:w="7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550"/>
        <w:gridCol w:w="2115"/>
        <w:gridCol w:w="990"/>
        <w:gridCol w:w="990"/>
      </w:tblGrid>
      <w:tr>
        <w:tblPrEx>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序 号</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配 置 名 称</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规 格</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数 量</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方法说明书</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1本</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三芯电源线</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10A250V，1.5米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网线</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FEP毛细管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内径0.8mm</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3米</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Tygon泵管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0.64</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Tygon泵管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1.14</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2根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7</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Tygon泵管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1.52</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8</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Viton泵管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1.02</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6根</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9</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样品盘</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40号位</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载流槽</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1个</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11</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玻璃样品管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10mL</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60支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12</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玻璃样品管</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50mL</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13</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进样针</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不锈钢</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1支</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14</w:t>
            </w:r>
          </w:p>
        </w:tc>
        <w:tc>
          <w:tcPr>
            <w:tcW w:w="255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有机膜</w:t>
            </w:r>
          </w:p>
        </w:tc>
        <w:tc>
          <w:tcPr>
            <w:tcW w:w="2115"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长10cm,宽4cm</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r>
              <w:rPr>
                <w:rFonts w:ascii="宋体" w:hAnsi="宋体"/>
                <w:sz w:val="22"/>
                <w:szCs w:val="22"/>
              </w:rPr>
              <w:t>50张</w:t>
            </w:r>
          </w:p>
        </w:tc>
        <w:tc>
          <w:tcPr>
            <w:tcW w:w="990" w:type="dxa"/>
            <w:tcBorders>
              <w:top w:val="single" w:color="000000" w:sz="8" w:space="0"/>
              <w:left w:val="single" w:color="000000" w:sz="8" w:space="0"/>
              <w:bottom w:val="single" w:color="000000" w:sz="8" w:space="0"/>
              <w:right w:val="single" w:color="000000" w:sz="8" w:space="0"/>
            </w:tcBorders>
            <w:shd w:val="clear" w:color="auto" w:fill="auto"/>
          </w:tcPr>
          <w:p>
            <w:pPr>
              <w:snapToGrid w:val="0"/>
              <w:spacing w:line="360" w:lineRule="exact"/>
              <w:jc w:val="center"/>
              <w:rPr>
                <w:rFonts w:ascii="宋体" w:hAnsi="宋体"/>
                <w:sz w:val="22"/>
                <w:szCs w:val="22"/>
              </w:rPr>
            </w:pPr>
          </w:p>
        </w:tc>
      </w:tr>
    </w:tbl>
    <w:p>
      <w:pPr>
        <w:snapToGrid w:val="0"/>
        <w:spacing w:line="360" w:lineRule="exact"/>
        <w:jc w:val="left"/>
        <w:rPr>
          <w:rFonts w:ascii="宋体" w:hAnsi="宋体"/>
          <w:sz w:val="22"/>
          <w:szCs w:val="22"/>
        </w:rPr>
      </w:pPr>
      <w:r>
        <w:rPr>
          <w:rFonts w:ascii="宋体" w:hAnsi="宋体"/>
          <w:sz w:val="22"/>
          <w:szCs w:val="22"/>
        </w:rPr>
        <w:t>4.8.2专用工具包：应配备仪器操作和日常维护必须的专用工具1套。</w:t>
      </w:r>
    </w:p>
    <w:p>
      <w:pPr>
        <w:snapToGrid w:val="0"/>
        <w:spacing w:line="360" w:lineRule="exact"/>
        <w:jc w:val="left"/>
        <w:rPr>
          <w:rFonts w:ascii="宋体" w:hAnsi="宋体"/>
          <w:sz w:val="22"/>
          <w:szCs w:val="22"/>
        </w:rPr>
      </w:pPr>
      <w:r>
        <w:rPr>
          <w:rFonts w:ascii="宋体" w:hAnsi="宋体"/>
          <w:sz w:val="22"/>
          <w:szCs w:val="22"/>
        </w:rPr>
        <w:t>4.8.3至少提供3个模块方法所需的国产试剂包</w:t>
      </w:r>
    </w:p>
    <w:p>
      <w:pPr>
        <w:snapToGrid w:val="0"/>
        <w:spacing w:line="360" w:lineRule="exact"/>
        <w:jc w:val="left"/>
        <w:rPr>
          <w:rFonts w:ascii="宋体" w:hAnsi="宋体"/>
          <w:sz w:val="22"/>
          <w:szCs w:val="22"/>
        </w:rPr>
      </w:pPr>
      <w:r>
        <w:rPr>
          <w:rFonts w:ascii="宋体" w:hAnsi="宋体"/>
          <w:sz w:val="22"/>
          <w:szCs w:val="22"/>
        </w:rPr>
        <w:t>4.8.4质保期3年。</w:t>
      </w:r>
    </w:p>
    <w:p>
      <w:pPr>
        <w:snapToGrid w:val="0"/>
        <w:spacing w:line="360" w:lineRule="exact"/>
        <w:rPr>
          <w:rFonts w:ascii="宋体" w:hAnsi="宋体"/>
          <w:sz w:val="22"/>
          <w:szCs w:val="22"/>
        </w:rPr>
      </w:pPr>
      <w:r>
        <w:rPr>
          <w:rFonts w:ascii="宋体" w:hAnsi="宋体"/>
          <w:b/>
          <w:bCs/>
          <w:color w:val="000000"/>
          <w:sz w:val="22"/>
          <w:szCs w:val="22"/>
        </w:rPr>
        <w:t>（十三）分液漏斗振荡器</w:t>
      </w:r>
    </w:p>
    <w:p>
      <w:pPr>
        <w:snapToGrid w:val="0"/>
        <w:spacing w:line="360" w:lineRule="exact"/>
        <w:rPr>
          <w:rFonts w:ascii="宋体" w:hAnsi="宋体"/>
          <w:sz w:val="22"/>
          <w:szCs w:val="22"/>
        </w:rPr>
      </w:pPr>
      <w:r>
        <w:rPr>
          <w:rFonts w:ascii="宋体" w:hAnsi="宋体"/>
          <w:b/>
          <w:bCs/>
          <w:sz w:val="22"/>
          <w:szCs w:val="22"/>
        </w:rPr>
        <w:t>1、仪器用途</w:t>
      </w:r>
      <w:r>
        <w:rPr>
          <w:rFonts w:ascii="宋体" w:hAnsi="宋体"/>
          <w:sz w:val="22"/>
          <w:szCs w:val="22"/>
        </w:rPr>
        <w:t>：</w:t>
      </w:r>
    </w:p>
    <w:p>
      <w:pPr>
        <w:snapToGrid w:val="0"/>
        <w:spacing w:line="360" w:lineRule="exact"/>
        <w:jc w:val="left"/>
        <w:rPr>
          <w:rFonts w:ascii="宋体" w:hAnsi="宋体"/>
          <w:sz w:val="22"/>
          <w:szCs w:val="22"/>
        </w:rPr>
      </w:pPr>
      <w:r>
        <w:rPr>
          <w:rFonts w:ascii="宋体" w:hAnsi="宋体"/>
          <w:sz w:val="22"/>
          <w:szCs w:val="22"/>
        </w:rPr>
        <w:t>分液漏斗垂直振荡器可自动摇动分液漏斗，完成液液萃取、样品混匀等实验过程；所有核心部件均采用原装进口产品，振幅大、速度快，工作时间可设定，频率可调；批量处理样品，高效率，高回收率；最大限度减少操作人员接触化学试剂，保护人身安全！运行平稳可靠、噪音低；</w:t>
      </w:r>
    </w:p>
    <w:p>
      <w:pPr>
        <w:snapToGrid w:val="0"/>
        <w:spacing w:line="360" w:lineRule="exact"/>
        <w:jc w:val="left"/>
        <w:rPr>
          <w:rFonts w:ascii="宋体" w:hAnsi="宋体"/>
          <w:sz w:val="22"/>
          <w:szCs w:val="22"/>
        </w:rPr>
      </w:pPr>
      <w:r>
        <w:rPr>
          <w:rFonts w:ascii="宋体" w:hAnsi="宋体"/>
          <w:b/>
          <w:bCs/>
          <w:sz w:val="22"/>
          <w:szCs w:val="22"/>
        </w:rPr>
        <w:t>2、仪器配置</w:t>
      </w:r>
    </w:p>
    <w:p>
      <w:pPr>
        <w:snapToGrid w:val="0"/>
        <w:spacing w:line="360" w:lineRule="exact"/>
        <w:jc w:val="left"/>
        <w:rPr>
          <w:rFonts w:ascii="宋体" w:hAnsi="宋体"/>
          <w:sz w:val="22"/>
          <w:szCs w:val="22"/>
        </w:rPr>
      </w:pPr>
      <w:r>
        <w:rPr>
          <w:rFonts w:ascii="宋体" w:hAnsi="宋体"/>
          <w:sz w:val="22"/>
          <w:szCs w:val="22"/>
        </w:rPr>
        <w:t>2.1 主机一台</w:t>
      </w:r>
    </w:p>
    <w:p>
      <w:pPr>
        <w:snapToGrid w:val="0"/>
        <w:spacing w:line="360" w:lineRule="exact"/>
        <w:jc w:val="left"/>
        <w:rPr>
          <w:rFonts w:ascii="宋体" w:hAnsi="宋体"/>
          <w:sz w:val="22"/>
          <w:szCs w:val="22"/>
        </w:rPr>
      </w:pPr>
      <w:r>
        <w:rPr>
          <w:rFonts w:ascii="宋体" w:hAnsi="宋体"/>
          <w:sz w:val="22"/>
          <w:szCs w:val="22"/>
        </w:rPr>
        <w:t>2.2 带聚四氟乙烯口分液漏斗500ml10只</w:t>
      </w:r>
    </w:p>
    <w:p>
      <w:pPr>
        <w:snapToGrid w:val="0"/>
        <w:spacing w:line="360" w:lineRule="exact"/>
        <w:jc w:val="left"/>
        <w:rPr>
          <w:rFonts w:ascii="宋体" w:hAnsi="宋体"/>
          <w:sz w:val="22"/>
          <w:szCs w:val="22"/>
        </w:rPr>
      </w:pPr>
      <w:r>
        <w:rPr>
          <w:rFonts w:ascii="宋体" w:hAnsi="宋体"/>
          <w:sz w:val="22"/>
          <w:szCs w:val="22"/>
        </w:rPr>
        <w:t>2.3 带聚四氟乙烯口分液漏斗1000ml10只</w:t>
      </w:r>
    </w:p>
    <w:p>
      <w:pPr>
        <w:snapToGrid w:val="0"/>
        <w:spacing w:line="360" w:lineRule="exact"/>
        <w:jc w:val="left"/>
        <w:rPr>
          <w:rFonts w:ascii="宋体" w:hAnsi="宋体"/>
          <w:sz w:val="22"/>
          <w:szCs w:val="22"/>
        </w:rPr>
      </w:pPr>
      <w:r>
        <w:rPr>
          <w:rFonts w:ascii="宋体" w:hAnsi="宋体"/>
          <w:sz w:val="22"/>
          <w:szCs w:val="22"/>
        </w:rPr>
        <w:t>2.4 合格证一份</w:t>
      </w:r>
    </w:p>
    <w:p>
      <w:pPr>
        <w:snapToGrid w:val="0"/>
        <w:spacing w:line="360" w:lineRule="exact"/>
        <w:jc w:val="left"/>
        <w:rPr>
          <w:rFonts w:ascii="宋体" w:hAnsi="宋体"/>
          <w:sz w:val="22"/>
          <w:szCs w:val="22"/>
        </w:rPr>
      </w:pPr>
      <w:r>
        <w:rPr>
          <w:rFonts w:ascii="宋体" w:hAnsi="宋体"/>
          <w:sz w:val="22"/>
          <w:szCs w:val="22"/>
        </w:rPr>
        <w:t>2.5 仪器操作说明书一份</w:t>
      </w:r>
    </w:p>
    <w:p>
      <w:pPr>
        <w:snapToGrid w:val="0"/>
        <w:spacing w:line="360" w:lineRule="exact"/>
        <w:jc w:val="left"/>
        <w:rPr>
          <w:rFonts w:ascii="宋体" w:hAnsi="宋体"/>
          <w:sz w:val="22"/>
          <w:szCs w:val="22"/>
        </w:rPr>
      </w:pPr>
      <w:r>
        <w:rPr>
          <w:rFonts w:ascii="宋体" w:hAnsi="宋体"/>
          <w:sz w:val="22"/>
          <w:szCs w:val="22"/>
        </w:rPr>
        <w:t>2.6 电源线一根</w:t>
      </w:r>
    </w:p>
    <w:p>
      <w:pPr>
        <w:snapToGrid w:val="0"/>
        <w:spacing w:line="360" w:lineRule="exact"/>
        <w:jc w:val="left"/>
        <w:rPr>
          <w:rFonts w:ascii="宋体" w:hAnsi="宋体"/>
          <w:sz w:val="22"/>
          <w:szCs w:val="22"/>
        </w:rPr>
      </w:pPr>
      <w:r>
        <w:rPr>
          <w:rFonts w:ascii="宋体" w:hAnsi="宋体"/>
          <w:sz w:val="22"/>
          <w:szCs w:val="22"/>
        </w:rPr>
        <w:t>2.7 产品保修单一份,</w:t>
      </w:r>
    </w:p>
    <w:p>
      <w:pPr>
        <w:snapToGrid w:val="0"/>
        <w:spacing w:line="360" w:lineRule="exact"/>
        <w:jc w:val="left"/>
        <w:rPr>
          <w:rFonts w:ascii="宋体" w:hAnsi="宋体"/>
          <w:sz w:val="22"/>
          <w:szCs w:val="22"/>
        </w:rPr>
      </w:pPr>
      <w:r>
        <w:rPr>
          <w:rFonts w:ascii="宋体" w:hAnsi="宋体"/>
          <w:sz w:val="22"/>
          <w:szCs w:val="22"/>
        </w:rPr>
        <w:t>2.8 四氟塞 10个，</w:t>
      </w:r>
    </w:p>
    <w:p>
      <w:pPr>
        <w:snapToGrid w:val="0"/>
        <w:spacing w:line="360" w:lineRule="exact"/>
        <w:jc w:val="left"/>
        <w:rPr>
          <w:rFonts w:ascii="宋体" w:hAnsi="宋体"/>
          <w:sz w:val="22"/>
          <w:szCs w:val="22"/>
        </w:rPr>
      </w:pPr>
      <w:r>
        <w:rPr>
          <w:rFonts w:ascii="宋体" w:hAnsi="宋体"/>
          <w:sz w:val="22"/>
          <w:szCs w:val="22"/>
        </w:rPr>
        <w:t>2.9 开关按键2个</w:t>
      </w:r>
    </w:p>
    <w:p>
      <w:pPr>
        <w:snapToGrid w:val="0"/>
        <w:spacing w:line="360" w:lineRule="exact"/>
        <w:jc w:val="left"/>
        <w:rPr>
          <w:rFonts w:ascii="宋体" w:hAnsi="宋体"/>
          <w:sz w:val="22"/>
          <w:szCs w:val="22"/>
        </w:rPr>
      </w:pPr>
      <w:r>
        <w:rPr>
          <w:rFonts w:ascii="宋体" w:hAnsi="宋体"/>
          <w:b/>
          <w:bCs/>
          <w:sz w:val="22"/>
          <w:szCs w:val="22"/>
        </w:rPr>
        <w:t>3、技术参数</w:t>
      </w:r>
    </w:p>
    <w:p>
      <w:pPr>
        <w:snapToGrid w:val="0"/>
        <w:spacing w:line="360" w:lineRule="exact"/>
        <w:rPr>
          <w:rFonts w:ascii="宋体" w:hAnsi="宋体"/>
          <w:sz w:val="22"/>
          <w:szCs w:val="22"/>
        </w:rPr>
      </w:pPr>
      <w:r>
        <w:rPr>
          <w:rFonts w:ascii="宋体" w:hAnsi="宋体"/>
          <w:sz w:val="22"/>
          <w:szCs w:val="22"/>
        </w:rPr>
        <w:t>▲3.1 振荡方式：垂直振荡或倾斜振荡可选，倾斜角度0-20度</w:t>
      </w:r>
    </w:p>
    <w:p>
      <w:pPr>
        <w:snapToGrid w:val="0"/>
        <w:spacing w:line="360" w:lineRule="exact"/>
        <w:jc w:val="left"/>
        <w:rPr>
          <w:rFonts w:ascii="Calibri" w:hAnsi="Calibri"/>
          <w:szCs w:val="22"/>
        </w:rPr>
      </w:pPr>
      <w:r>
        <w:rPr>
          <w:rFonts w:ascii="宋体" w:hAnsi="宋体"/>
          <w:sz w:val="22"/>
          <w:szCs w:val="22"/>
        </w:rPr>
        <w:t>3.2 振荡频率精确显示,可长时间保持稳定频率</w:t>
      </w:r>
    </w:p>
    <w:p>
      <w:pPr>
        <w:snapToGrid w:val="0"/>
        <w:spacing w:line="360" w:lineRule="exact"/>
        <w:jc w:val="left"/>
        <w:rPr>
          <w:rFonts w:ascii="Calibri" w:hAnsi="Calibri"/>
          <w:szCs w:val="22"/>
        </w:rPr>
      </w:pPr>
      <w:r>
        <w:rPr>
          <w:rFonts w:ascii="宋体" w:hAnsi="宋体"/>
          <w:sz w:val="22"/>
          <w:szCs w:val="22"/>
        </w:rPr>
        <w:t>3.3 无级调速，振荡频率范围：0-450rpm</w:t>
      </w:r>
    </w:p>
    <w:p>
      <w:pPr>
        <w:snapToGrid w:val="0"/>
        <w:spacing w:line="360" w:lineRule="exact"/>
        <w:jc w:val="left"/>
        <w:rPr>
          <w:rFonts w:ascii="Calibri" w:hAnsi="Calibri"/>
          <w:szCs w:val="22"/>
        </w:rPr>
      </w:pPr>
      <w:r>
        <w:rPr>
          <w:rFonts w:ascii="宋体" w:hAnsi="宋体"/>
          <w:sz w:val="22"/>
          <w:szCs w:val="22"/>
        </w:rPr>
        <w:t>3.4 定时器时间：0-99小时</w:t>
      </w:r>
    </w:p>
    <w:p>
      <w:pPr>
        <w:snapToGrid w:val="0"/>
        <w:spacing w:line="360" w:lineRule="exact"/>
        <w:jc w:val="left"/>
        <w:rPr>
          <w:rFonts w:ascii="Calibri" w:hAnsi="Calibri"/>
          <w:szCs w:val="22"/>
        </w:rPr>
      </w:pPr>
      <w:r>
        <w:rPr>
          <w:rFonts w:ascii="宋体" w:hAnsi="宋体"/>
          <w:sz w:val="22"/>
          <w:szCs w:val="22"/>
        </w:rPr>
        <w:t>3.5 弹性无级可调一体式夹具，可自由滑动，适用于分液漏斗、容量瓶、三角瓶、具塞量筒、比色管、试管、离心管等</w:t>
      </w:r>
    </w:p>
    <w:p>
      <w:pPr>
        <w:snapToGrid w:val="0"/>
        <w:spacing w:line="360" w:lineRule="exact"/>
        <w:jc w:val="left"/>
        <w:rPr>
          <w:rFonts w:ascii="Calibri" w:hAnsi="Calibri"/>
          <w:szCs w:val="22"/>
        </w:rPr>
      </w:pPr>
      <w:r>
        <w:rPr>
          <w:rFonts w:ascii="宋体" w:hAnsi="宋体"/>
          <w:color w:val="000000"/>
          <w:sz w:val="22"/>
          <w:szCs w:val="22"/>
        </w:rPr>
        <w:t>▲</w:t>
      </w:r>
      <w:r>
        <w:rPr>
          <w:rFonts w:ascii="宋体" w:hAnsi="宋体"/>
          <w:sz w:val="22"/>
          <w:szCs w:val="22"/>
        </w:rPr>
        <w:t>3.6 样品位数：8位</w:t>
      </w:r>
    </w:p>
    <w:p>
      <w:pPr>
        <w:snapToGrid w:val="0"/>
        <w:spacing w:line="360" w:lineRule="exact"/>
        <w:rPr>
          <w:rFonts w:ascii="宋体" w:hAnsi="宋体"/>
          <w:sz w:val="22"/>
          <w:szCs w:val="22"/>
        </w:rPr>
      </w:pPr>
      <w:r>
        <w:rPr>
          <w:rFonts w:ascii="宋体" w:hAnsi="宋体"/>
          <w:sz w:val="22"/>
          <w:szCs w:val="22"/>
        </w:rPr>
        <w:t>3.7 振荡幅度0-60mm</w:t>
      </w:r>
    </w:p>
    <w:p>
      <w:pPr>
        <w:snapToGrid w:val="0"/>
        <w:spacing w:line="360" w:lineRule="exact"/>
        <w:rPr>
          <w:rFonts w:ascii="宋体" w:hAnsi="宋体"/>
          <w:sz w:val="22"/>
          <w:szCs w:val="22"/>
        </w:rPr>
      </w:pPr>
      <w:r>
        <w:rPr>
          <w:rFonts w:ascii="宋体" w:hAnsi="宋体"/>
          <w:sz w:val="22"/>
          <w:szCs w:val="22"/>
        </w:rPr>
        <w:t>3.8 全不锈钢设计，耐酸碱，耐腐蚀。</w:t>
      </w:r>
    </w:p>
    <w:p>
      <w:pPr>
        <w:snapToGrid w:val="0"/>
        <w:spacing w:line="360" w:lineRule="exact"/>
        <w:rPr>
          <w:rFonts w:ascii="宋体" w:hAnsi="宋体"/>
          <w:sz w:val="22"/>
          <w:szCs w:val="22"/>
        </w:rPr>
      </w:pPr>
      <w:r>
        <w:rPr>
          <w:rFonts w:ascii="宋体" w:hAnsi="宋体"/>
          <w:sz w:val="22"/>
          <w:szCs w:val="22"/>
        </w:rPr>
        <w:t>3.9 核心采用进口电机。</w:t>
      </w:r>
    </w:p>
    <w:p>
      <w:pPr>
        <w:snapToGrid w:val="0"/>
        <w:spacing w:line="360" w:lineRule="exact"/>
        <w:rPr>
          <w:rFonts w:ascii="宋体" w:hAnsi="宋体"/>
          <w:sz w:val="22"/>
          <w:szCs w:val="22"/>
        </w:rPr>
      </w:pPr>
    </w:p>
    <w:p>
      <w:pPr>
        <w:snapToGrid w:val="0"/>
        <w:spacing w:line="360" w:lineRule="exact"/>
        <w:jc w:val="left"/>
        <w:rPr>
          <w:rFonts w:ascii="宋体" w:hAnsi="宋体"/>
          <w:b/>
          <w:bCs/>
          <w:sz w:val="22"/>
          <w:szCs w:val="22"/>
        </w:rPr>
      </w:pPr>
      <w:r>
        <w:rPr>
          <w:rFonts w:ascii="宋体" w:hAnsi="宋体"/>
          <w:b/>
          <w:bCs/>
          <w:sz w:val="22"/>
          <w:szCs w:val="22"/>
        </w:rPr>
        <w:t>（十四）可见分光光度计</w:t>
      </w:r>
    </w:p>
    <w:p>
      <w:pPr>
        <w:snapToGrid w:val="0"/>
        <w:spacing w:line="360" w:lineRule="exact"/>
        <w:jc w:val="left"/>
        <w:rPr>
          <w:rFonts w:ascii="宋体" w:hAnsi="宋体"/>
          <w:b/>
          <w:bCs/>
          <w:sz w:val="22"/>
          <w:szCs w:val="22"/>
        </w:rPr>
      </w:pPr>
      <w:r>
        <w:rPr>
          <w:rFonts w:ascii="宋体" w:hAnsi="宋体"/>
          <w:b/>
          <w:bCs/>
          <w:sz w:val="22"/>
          <w:szCs w:val="22"/>
        </w:rPr>
        <w:t>1、应用范围</w:t>
      </w:r>
    </w:p>
    <w:p>
      <w:pPr>
        <w:snapToGrid w:val="0"/>
        <w:spacing w:line="360" w:lineRule="exact"/>
        <w:rPr>
          <w:rFonts w:ascii="宋体" w:hAnsi="宋体"/>
          <w:sz w:val="22"/>
          <w:szCs w:val="22"/>
        </w:rPr>
      </w:pPr>
      <w:r>
        <w:rPr>
          <w:rFonts w:ascii="宋体" w:hAnsi="宋体"/>
          <w:sz w:val="22"/>
          <w:szCs w:val="22"/>
        </w:rPr>
        <w:t>用于测定地表水、地下水、饮用水和环境水中的叶绿素a、阴离子表面活性剂、挥发酚、氰化物等成分。</w:t>
      </w:r>
    </w:p>
    <w:p>
      <w:pPr>
        <w:snapToGrid w:val="0"/>
        <w:spacing w:line="360" w:lineRule="exact"/>
        <w:jc w:val="left"/>
        <w:rPr>
          <w:rFonts w:ascii="宋体" w:hAnsi="宋体"/>
          <w:b/>
          <w:bCs/>
          <w:sz w:val="22"/>
          <w:szCs w:val="22"/>
        </w:rPr>
      </w:pPr>
      <w:r>
        <w:rPr>
          <w:rFonts w:ascii="宋体" w:hAnsi="宋体"/>
          <w:b/>
          <w:bCs/>
          <w:sz w:val="22"/>
          <w:szCs w:val="22"/>
        </w:rPr>
        <w:t>2、 仪器配置</w:t>
      </w:r>
    </w:p>
    <w:p>
      <w:pPr>
        <w:snapToGrid w:val="0"/>
        <w:spacing w:line="360" w:lineRule="exact"/>
        <w:rPr>
          <w:rFonts w:ascii="宋体" w:hAnsi="宋体"/>
          <w:sz w:val="22"/>
          <w:szCs w:val="22"/>
        </w:rPr>
      </w:pPr>
      <w:r>
        <w:rPr>
          <w:rFonts w:ascii="宋体" w:hAnsi="宋体"/>
          <w:sz w:val="22"/>
          <w:szCs w:val="22"/>
        </w:rPr>
        <w:t>2.1  723C可见分光光度计     1台</w:t>
      </w:r>
    </w:p>
    <w:p>
      <w:pPr>
        <w:snapToGrid w:val="0"/>
        <w:spacing w:line="360" w:lineRule="exact"/>
        <w:rPr>
          <w:rFonts w:ascii="宋体" w:hAnsi="宋体"/>
          <w:sz w:val="22"/>
          <w:szCs w:val="22"/>
        </w:rPr>
      </w:pPr>
      <w:r>
        <w:rPr>
          <w:rFonts w:ascii="宋体" w:hAnsi="宋体"/>
          <w:sz w:val="22"/>
          <w:szCs w:val="22"/>
        </w:rPr>
        <w:t>2.2  5cm比色皿架    1套</w:t>
      </w:r>
    </w:p>
    <w:p>
      <w:pPr>
        <w:snapToGrid w:val="0"/>
        <w:spacing w:line="360" w:lineRule="exact"/>
        <w:jc w:val="left"/>
        <w:rPr>
          <w:rFonts w:ascii="宋体" w:hAnsi="宋体"/>
          <w:b/>
          <w:bCs/>
          <w:sz w:val="22"/>
          <w:szCs w:val="22"/>
        </w:rPr>
      </w:pPr>
      <w:r>
        <w:rPr>
          <w:rFonts w:ascii="宋体" w:hAnsi="宋体"/>
          <w:b/>
          <w:bCs/>
          <w:sz w:val="22"/>
          <w:szCs w:val="22"/>
        </w:rPr>
        <w:t>3、性能指标</w:t>
      </w:r>
    </w:p>
    <w:p>
      <w:pPr>
        <w:snapToGrid w:val="0"/>
        <w:spacing w:line="360" w:lineRule="exact"/>
        <w:rPr>
          <w:rFonts w:ascii="宋体" w:hAnsi="宋体"/>
          <w:sz w:val="22"/>
          <w:szCs w:val="22"/>
        </w:rPr>
      </w:pPr>
      <w:r>
        <w:rPr>
          <w:rFonts w:ascii="宋体" w:hAnsi="宋体"/>
          <w:sz w:val="22"/>
          <w:szCs w:val="22"/>
        </w:rPr>
        <w:t>3.1 测试方法提供光度计模式、波长扫描、定量分析、动力学分析和多波长测试模式，在定量测试模式中提供系数输入、一点法和多点待定三种常用的分析方法。</w:t>
      </w:r>
    </w:p>
    <w:p>
      <w:pPr>
        <w:snapToGrid w:val="0"/>
        <w:spacing w:line="360" w:lineRule="exact"/>
        <w:rPr>
          <w:rFonts w:ascii="宋体" w:hAnsi="宋体"/>
          <w:sz w:val="22"/>
          <w:szCs w:val="22"/>
        </w:rPr>
      </w:pPr>
      <w:r>
        <w:rPr>
          <w:rFonts w:ascii="宋体" w:hAnsi="宋体"/>
          <w:sz w:val="22"/>
          <w:szCs w:val="22"/>
        </w:rPr>
        <w:t xml:space="preserve"> 3.2 具有自动调零/调满度功能。</w:t>
      </w:r>
    </w:p>
    <w:p>
      <w:pPr>
        <w:snapToGrid w:val="0"/>
        <w:spacing w:line="360" w:lineRule="exact"/>
        <w:rPr>
          <w:rFonts w:ascii="宋体" w:hAnsi="宋体"/>
          <w:sz w:val="22"/>
          <w:szCs w:val="22"/>
        </w:rPr>
      </w:pPr>
      <w:r>
        <w:rPr>
          <w:rFonts w:ascii="宋体" w:hAnsi="宋体"/>
          <w:sz w:val="22"/>
          <w:szCs w:val="22"/>
        </w:rPr>
        <w:t xml:space="preserve"> 3.3 有浓度直读，线性回归，定时打印，GOTOλ以及光谱扫描等各种高级功能</w:t>
      </w:r>
    </w:p>
    <w:p>
      <w:pPr>
        <w:snapToGrid w:val="0"/>
        <w:spacing w:line="360" w:lineRule="exact"/>
        <w:rPr>
          <w:rFonts w:ascii="宋体" w:hAnsi="宋体"/>
          <w:sz w:val="22"/>
          <w:szCs w:val="22"/>
        </w:rPr>
      </w:pPr>
      <w:r>
        <w:rPr>
          <w:rFonts w:ascii="宋体" w:hAnsi="宋体"/>
          <w:sz w:val="22"/>
          <w:szCs w:val="22"/>
        </w:rPr>
        <w:t>▲3.4波长范围：325nm～1000nm</w:t>
      </w:r>
    </w:p>
    <w:p>
      <w:pPr>
        <w:snapToGrid w:val="0"/>
        <w:spacing w:line="360" w:lineRule="exact"/>
        <w:rPr>
          <w:rFonts w:ascii="宋体" w:hAnsi="宋体"/>
          <w:sz w:val="22"/>
          <w:szCs w:val="22"/>
        </w:rPr>
      </w:pPr>
      <w:r>
        <w:rPr>
          <w:rFonts w:ascii="宋体" w:hAnsi="宋体"/>
          <w:sz w:val="22"/>
          <w:szCs w:val="22"/>
        </w:rPr>
        <w:t>3.4.1 波长最大允许误差：±1nm</w:t>
      </w:r>
    </w:p>
    <w:p>
      <w:pPr>
        <w:snapToGrid w:val="0"/>
        <w:spacing w:line="360" w:lineRule="exact"/>
        <w:rPr>
          <w:rFonts w:ascii="宋体" w:hAnsi="宋体"/>
          <w:sz w:val="22"/>
          <w:szCs w:val="22"/>
        </w:rPr>
      </w:pPr>
      <w:r>
        <w:rPr>
          <w:rFonts w:ascii="宋体" w:hAnsi="宋体"/>
          <w:sz w:val="22"/>
          <w:szCs w:val="22"/>
        </w:rPr>
        <w:t>3.4.2 波长重复性：≤0.5nm</w:t>
      </w:r>
    </w:p>
    <w:p>
      <w:pPr>
        <w:snapToGrid w:val="0"/>
        <w:spacing w:line="360" w:lineRule="exact"/>
        <w:rPr>
          <w:rFonts w:ascii="宋体" w:hAnsi="宋体"/>
          <w:sz w:val="22"/>
          <w:szCs w:val="22"/>
        </w:rPr>
      </w:pPr>
      <w:r>
        <w:rPr>
          <w:rFonts w:ascii="宋体" w:hAnsi="宋体"/>
          <w:sz w:val="22"/>
          <w:szCs w:val="22"/>
        </w:rPr>
        <w:t>3.4.3光谱带宽：4nm</w:t>
      </w:r>
    </w:p>
    <w:p>
      <w:pPr>
        <w:snapToGrid w:val="0"/>
        <w:spacing w:line="360" w:lineRule="exact"/>
        <w:rPr>
          <w:rFonts w:ascii="宋体" w:hAnsi="宋体"/>
          <w:sz w:val="22"/>
          <w:szCs w:val="22"/>
        </w:rPr>
      </w:pPr>
      <w:r>
        <w:rPr>
          <w:rFonts w:ascii="宋体" w:hAnsi="宋体"/>
          <w:sz w:val="22"/>
          <w:szCs w:val="22"/>
        </w:rPr>
        <w:t>3.4.4 杂散光：≤0.3%(T)（在360nm处，以NaNO2测试，实测0.1%τ）</w:t>
      </w:r>
    </w:p>
    <w:p>
      <w:pPr>
        <w:snapToGrid w:val="0"/>
        <w:spacing w:line="360" w:lineRule="exact"/>
        <w:rPr>
          <w:rFonts w:ascii="宋体" w:hAnsi="宋体"/>
          <w:sz w:val="22"/>
          <w:szCs w:val="22"/>
        </w:rPr>
      </w:pPr>
      <w:r>
        <w:rPr>
          <w:rFonts w:ascii="宋体" w:hAnsi="宋体"/>
          <w:sz w:val="22"/>
          <w:szCs w:val="22"/>
        </w:rPr>
        <w:t>3.4.5 透射比范围：0.0%（T）～200.0%（T）</w:t>
      </w:r>
    </w:p>
    <w:p>
      <w:pPr>
        <w:snapToGrid w:val="0"/>
        <w:spacing w:line="360" w:lineRule="exact"/>
        <w:rPr>
          <w:rFonts w:ascii="宋体" w:hAnsi="宋体"/>
          <w:sz w:val="22"/>
          <w:szCs w:val="22"/>
        </w:rPr>
      </w:pPr>
      <w:r>
        <w:rPr>
          <w:rFonts w:ascii="宋体" w:hAnsi="宋体"/>
          <w:sz w:val="22"/>
          <w:szCs w:val="22"/>
        </w:rPr>
        <w:t>3.4.6 透射比最大允许误差：±0.5%（T）(以NBS930D测试)</w:t>
      </w:r>
    </w:p>
    <w:p>
      <w:pPr>
        <w:snapToGrid w:val="0"/>
        <w:spacing w:line="360" w:lineRule="exact"/>
        <w:rPr>
          <w:rFonts w:ascii="宋体" w:hAnsi="宋体"/>
          <w:sz w:val="22"/>
          <w:szCs w:val="22"/>
        </w:rPr>
      </w:pPr>
      <w:r>
        <w:rPr>
          <w:rFonts w:ascii="宋体" w:hAnsi="宋体"/>
          <w:sz w:val="22"/>
          <w:szCs w:val="22"/>
        </w:rPr>
        <w:t>3.4.7 透射比重复性：≤0.2%(T)</w:t>
      </w:r>
    </w:p>
    <w:p>
      <w:pPr>
        <w:snapToGrid w:val="0"/>
        <w:spacing w:line="360" w:lineRule="exact"/>
        <w:rPr>
          <w:rFonts w:ascii="宋体" w:hAnsi="宋体"/>
          <w:sz w:val="22"/>
          <w:szCs w:val="22"/>
        </w:rPr>
      </w:pPr>
      <w:r>
        <w:rPr>
          <w:rFonts w:ascii="宋体" w:hAnsi="宋体"/>
          <w:sz w:val="22"/>
          <w:szCs w:val="22"/>
        </w:rPr>
        <w:t>3.4.8吸光度显示范围：-0.301（A）～4.000（A）</w:t>
      </w:r>
    </w:p>
    <w:p>
      <w:pPr>
        <w:snapToGrid w:val="0"/>
        <w:spacing w:line="360" w:lineRule="exact"/>
        <w:rPr>
          <w:rFonts w:ascii="宋体" w:hAnsi="宋体"/>
          <w:sz w:val="22"/>
          <w:szCs w:val="22"/>
        </w:rPr>
      </w:pPr>
      <w:r>
        <w:rPr>
          <w:rFonts w:ascii="宋体" w:hAnsi="宋体"/>
          <w:sz w:val="22"/>
          <w:szCs w:val="22"/>
        </w:rPr>
        <w:t>3.4.9 浓度直读范围；0.000～9999（C）</w:t>
      </w:r>
    </w:p>
    <w:p>
      <w:pPr>
        <w:snapToGrid w:val="0"/>
        <w:spacing w:line="360" w:lineRule="exact"/>
        <w:rPr>
          <w:rFonts w:ascii="宋体" w:hAnsi="宋体"/>
          <w:sz w:val="22"/>
          <w:szCs w:val="22"/>
        </w:rPr>
      </w:pPr>
      <w:r>
        <w:rPr>
          <w:rFonts w:ascii="宋体" w:hAnsi="宋体"/>
          <w:sz w:val="22"/>
          <w:szCs w:val="22"/>
        </w:rPr>
        <w:t>3.4.10 基线平直度：±0.005（A）</w:t>
      </w:r>
    </w:p>
    <w:p>
      <w:pPr>
        <w:snapToGrid w:val="0"/>
        <w:spacing w:line="360" w:lineRule="exact"/>
        <w:rPr>
          <w:rFonts w:ascii="宋体" w:hAnsi="宋体"/>
          <w:sz w:val="22"/>
          <w:szCs w:val="22"/>
        </w:rPr>
      </w:pPr>
      <w:r>
        <w:rPr>
          <w:rFonts w:ascii="宋体" w:hAnsi="宋体"/>
          <w:sz w:val="22"/>
          <w:szCs w:val="22"/>
        </w:rPr>
        <w:t>3.4.11 噪声：100%噪声≤0.3%(T)</w:t>
      </w:r>
    </w:p>
    <w:p>
      <w:pPr>
        <w:snapToGrid w:val="0"/>
        <w:spacing w:line="360" w:lineRule="exact"/>
        <w:rPr>
          <w:rFonts w:ascii="宋体" w:hAnsi="宋体"/>
          <w:sz w:val="22"/>
          <w:szCs w:val="22"/>
        </w:rPr>
      </w:pPr>
      <w:r>
        <w:rPr>
          <w:rFonts w:ascii="宋体" w:hAnsi="宋体"/>
          <w:sz w:val="22"/>
          <w:szCs w:val="22"/>
        </w:rPr>
        <w:t>3.4.12 漂移：≤0.004(A)/h</w:t>
      </w:r>
    </w:p>
    <w:p>
      <w:pPr>
        <w:snapToGrid w:val="0"/>
        <w:spacing w:line="360" w:lineRule="exact"/>
        <w:rPr>
          <w:rFonts w:ascii="宋体" w:hAnsi="宋体"/>
          <w:sz w:val="22"/>
          <w:szCs w:val="22"/>
        </w:rPr>
      </w:pPr>
      <w:r>
        <w:rPr>
          <w:rFonts w:ascii="宋体" w:hAnsi="宋体"/>
          <w:sz w:val="22"/>
          <w:szCs w:val="22"/>
        </w:rPr>
        <w:t>3.5 光学系统：单光束、1200线/mm衍射光栅</w:t>
      </w:r>
    </w:p>
    <w:p>
      <w:pPr>
        <w:snapToGrid w:val="0"/>
        <w:spacing w:line="360" w:lineRule="exact"/>
        <w:rPr>
          <w:rFonts w:ascii="宋体" w:hAnsi="宋体"/>
          <w:sz w:val="22"/>
          <w:szCs w:val="22"/>
        </w:rPr>
      </w:pPr>
      <w:r>
        <w:rPr>
          <w:rFonts w:ascii="宋体" w:hAnsi="宋体"/>
          <w:sz w:val="22"/>
          <w:szCs w:val="22"/>
        </w:rPr>
        <w:t>3.5.1 显示与输出：5”LCD图形显示器，外接热敏打印机</w:t>
      </w:r>
    </w:p>
    <w:p>
      <w:pPr>
        <w:snapToGrid w:val="0"/>
        <w:spacing w:line="360" w:lineRule="exact"/>
        <w:rPr>
          <w:rFonts w:ascii="宋体" w:hAnsi="宋体"/>
          <w:sz w:val="22"/>
          <w:szCs w:val="22"/>
        </w:rPr>
      </w:pPr>
      <w:r>
        <w:rPr>
          <w:rFonts w:ascii="宋体" w:hAnsi="宋体"/>
          <w:sz w:val="22"/>
          <w:szCs w:val="22"/>
        </w:rPr>
        <w:t>3.5.2 光源：卤钨灯12V10W</w:t>
      </w:r>
    </w:p>
    <w:p>
      <w:pPr>
        <w:snapToGrid w:val="0"/>
        <w:spacing w:line="360" w:lineRule="exact"/>
        <w:rPr>
          <w:rFonts w:ascii="宋体" w:hAnsi="宋体"/>
          <w:sz w:val="22"/>
          <w:szCs w:val="22"/>
        </w:rPr>
      </w:pPr>
      <w:r>
        <w:rPr>
          <w:rFonts w:ascii="宋体" w:hAnsi="宋体"/>
          <w:sz w:val="22"/>
          <w:szCs w:val="22"/>
        </w:rPr>
        <w:t>3.5.3接收元件：光电池</w:t>
      </w:r>
    </w:p>
    <w:p>
      <w:pPr>
        <w:snapToGrid w:val="0"/>
        <w:spacing w:line="360" w:lineRule="exact"/>
        <w:rPr>
          <w:rFonts w:ascii="宋体" w:hAnsi="宋体"/>
          <w:sz w:val="22"/>
          <w:szCs w:val="22"/>
        </w:rPr>
      </w:pPr>
      <w:r>
        <w:rPr>
          <w:rFonts w:ascii="宋体" w:hAnsi="宋体"/>
          <w:sz w:val="22"/>
          <w:szCs w:val="22"/>
        </w:rPr>
        <w:t>3.5.4 电源电压：AC220V±22V  50Hz±1Hz</w:t>
      </w:r>
    </w:p>
    <w:p>
      <w:pPr>
        <w:snapToGrid w:val="0"/>
        <w:spacing w:line="360" w:lineRule="exact"/>
        <w:rPr>
          <w:rFonts w:ascii="宋体" w:hAnsi="宋体"/>
          <w:sz w:val="22"/>
          <w:szCs w:val="22"/>
        </w:rPr>
      </w:pPr>
      <w:r>
        <w:rPr>
          <w:rFonts w:ascii="宋体" w:hAnsi="宋体"/>
          <w:b/>
          <w:bCs/>
          <w:sz w:val="22"/>
          <w:szCs w:val="22"/>
        </w:rPr>
        <w:t>▲</w:t>
      </w:r>
      <w:r>
        <w:rPr>
          <w:rFonts w:ascii="宋体" w:hAnsi="宋体"/>
          <w:sz w:val="22"/>
          <w:szCs w:val="22"/>
        </w:rPr>
        <w:t xml:space="preserve"> 3.6 </w:t>
      </w:r>
      <w:r>
        <w:rPr>
          <w:rFonts w:hint="eastAsia" w:ascii="宋体" w:hAnsi="宋体"/>
          <w:sz w:val="22"/>
          <w:szCs w:val="22"/>
        </w:rPr>
        <w:t>配备</w:t>
      </w:r>
      <w:r>
        <w:rPr>
          <w:rFonts w:ascii="宋体" w:hAnsi="宋体"/>
          <w:sz w:val="22"/>
          <w:szCs w:val="22"/>
        </w:rPr>
        <w:t>比色皿架：5cm</w:t>
      </w:r>
    </w:p>
    <w:p>
      <w:pPr>
        <w:snapToGrid w:val="0"/>
        <w:spacing w:line="360" w:lineRule="exact"/>
        <w:rPr>
          <w:rFonts w:ascii="宋体" w:hAnsi="宋体"/>
          <w:b/>
          <w:bCs/>
          <w:color w:val="000000"/>
          <w:sz w:val="22"/>
          <w:szCs w:val="22"/>
        </w:rPr>
      </w:pPr>
    </w:p>
    <w:p>
      <w:pPr>
        <w:snapToGrid w:val="0"/>
        <w:spacing w:line="360" w:lineRule="exact"/>
        <w:rPr>
          <w:rFonts w:ascii="宋体" w:hAnsi="宋体"/>
          <w:sz w:val="22"/>
          <w:szCs w:val="22"/>
        </w:rPr>
      </w:pPr>
      <w:r>
        <w:rPr>
          <w:rFonts w:ascii="宋体" w:hAnsi="宋体"/>
          <w:b/>
          <w:bCs/>
          <w:color w:val="000000"/>
          <w:sz w:val="22"/>
          <w:szCs w:val="22"/>
        </w:rPr>
        <w:t>（十五）微波消解仪</w:t>
      </w:r>
    </w:p>
    <w:p>
      <w:pPr>
        <w:snapToGrid w:val="0"/>
        <w:spacing w:line="360" w:lineRule="exact"/>
        <w:rPr>
          <w:rFonts w:ascii="宋体" w:hAnsi="宋体"/>
          <w:sz w:val="22"/>
          <w:szCs w:val="22"/>
        </w:rPr>
      </w:pPr>
      <w:r>
        <w:rPr>
          <w:rFonts w:ascii="宋体" w:hAnsi="宋体"/>
          <w:b/>
          <w:bCs/>
          <w:sz w:val="22"/>
          <w:szCs w:val="22"/>
        </w:rPr>
        <w:t>1、 工作条件</w:t>
      </w:r>
    </w:p>
    <w:p>
      <w:pPr>
        <w:snapToGrid w:val="0"/>
        <w:spacing w:line="360" w:lineRule="exact"/>
        <w:rPr>
          <w:rFonts w:ascii="宋体" w:hAnsi="宋体"/>
          <w:sz w:val="22"/>
          <w:szCs w:val="22"/>
        </w:rPr>
      </w:pPr>
      <w:r>
        <w:rPr>
          <w:rFonts w:ascii="宋体" w:hAnsi="宋体"/>
          <w:sz w:val="22"/>
          <w:szCs w:val="22"/>
        </w:rPr>
        <w:t>1.1 电源要求：220V （±10%），50/60 Hz。5000VA。</w:t>
      </w:r>
    </w:p>
    <w:p>
      <w:pPr>
        <w:snapToGrid w:val="0"/>
        <w:spacing w:line="360" w:lineRule="exact"/>
        <w:rPr>
          <w:rFonts w:ascii="宋体" w:hAnsi="宋体"/>
          <w:sz w:val="22"/>
          <w:szCs w:val="22"/>
        </w:rPr>
      </w:pPr>
      <w:r>
        <w:rPr>
          <w:rFonts w:ascii="宋体" w:hAnsi="宋体"/>
          <w:sz w:val="22"/>
          <w:szCs w:val="22"/>
        </w:rPr>
        <w:t>1.2 环境温度：0℃～50℃。</w:t>
      </w:r>
    </w:p>
    <w:p>
      <w:pPr>
        <w:snapToGrid w:val="0"/>
        <w:spacing w:line="360" w:lineRule="exact"/>
        <w:rPr>
          <w:rFonts w:ascii="宋体" w:hAnsi="宋体"/>
          <w:sz w:val="22"/>
          <w:szCs w:val="22"/>
        </w:rPr>
      </w:pPr>
      <w:r>
        <w:rPr>
          <w:rFonts w:ascii="宋体" w:hAnsi="宋体"/>
          <w:sz w:val="22"/>
          <w:szCs w:val="22"/>
        </w:rPr>
        <w:t>1.3 相对湿度：20～80%。</w:t>
      </w:r>
    </w:p>
    <w:p>
      <w:pPr>
        <w:snapToGrid w:val="0"/>
        <w:spacing w:line="360" w:lineRule="exact"/>
        <w:rPr>
          <w:rFonts w:ascii="宋体" w:hAnsi="宋体"/>
          <w:sz w:val="22"/>
          <w:szCs w:val="22"/>
        </w:rPr>
      </w:pPr>
      <w:r>
        <w:rPr>
          <w:rFonts w:ascii="宋体" w:hAnsi="宋体"/>
          <w:b/>
          <w:bCs/>
          <w:sz w:val="22"/>
          <w:szCs w:val="22"/>
        </w:rPr>
        <w:t>2、 仪器配置</w:t>
      </w:r>
    </w:p>
    <w:tbl>
      <w:tblPr>
        <w:tblStyle w:val="4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Calibri" w:hAnsi="Calibri"/>
                <w:sz w:val="22"/>
                <w:szCs w:val="22"/>
              </w:rPr>
              <w:t>1、</w:t>
            </w:r>
            <w:r>
              <w:rPr>
                <w:rFonts w:ascii="Calibri" w:hAnsi="Calibri"/>
                <w:sz w:val="22"/>
                <w:szCs w:val="22"/>
              </w:rPr>
              <w:t>含全套安全装置的微波消解萃取系统主机</w:t>
            </w:r>
            <w:r>
              <w:rPr>
                <w:rFonts w:hint="eastAsia" w:ascii="Calibri" w:hAnsi="Calibri"/>
                <w:sz w:val="22"/>
                <w:szCs w:val="22"/>
              </w:rPr>
              <w:t xml:space="preserve">   </w:t>
            </w:r>
          </w:p>
        </w:tc>
        <w:tc>
          <w:tcPr>
            <w:tcW w:w="3863" w:type="dxa"/>
          </w:tcPr>
          <w:p>
            <w:pPr>
              <w:spacing w:line="360" w:lineRule="exact"/>
              <w:rPr>
                <w:rFonts w:ascii="Calibri" w:hAnsi="Calibri"/>
                <w:sz w:val="22"/>
                <w:szCs w:val="22"/>
              </w:rPr>
            </w:pPr>
            <w:r>
              <w:rPr>
                <w:rFonts w:hint="eastAsia" w:ascii="Calibri" w:hAnsi="Calibri"/>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2、红外全罐温度控制系统</w:t>
            </w:r>
          </w:p>
        </w:tc>
        <w:tc>
          <w:tcPr>
            <w:tcW w:w="3863" w:type="dxa"/>
          </w:tcPr>
          <w:p>
            <w:pPr>
              <w:spacing w:line="360" w:lineRule="exact"/>
              <w:rPr>
                <w:rFonts w:ascii="Calibri" w:hAnsi="Calibri"/>
                <w:sz w:val="22"/>
                <w:szCs w:val="22"/>
              </w:rPr>
            </w:pPr>
            <w:r>
              <w:rPr>
                <w:rFonts w:hint="eastAsia" w:ascii="Calibri" w:hAnsi="Calibri"/>
                <w:sz w:val="22"/>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3、≥40位）高通量样品罐转子</w:t>
            </w:r>
          </w:p>
        </w:tc>
        <w:tc>
          <w:tcPr>
            <w:tcW w:w="3863" w:type="dxa"/>
          </w:tcPr>
          <w:p>
            <w:pPr>
              <w:spacing w:line="360" w:lineRule="exact"/>
              <w:rPr>
                <w:rFonts w:ascii="Calibri" w:hAnsi="Calibri"/>
                <w:sz w:val="22"/>
                <w:szCs w:val="22"/>
              </w:rPr>
            </w:pPr>
            <w:r>
              <w:rPr>
                <w:rFonts w:hint="eastAsia" w:ascii="Calibri" w:hAnsi="Calibri"/>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4、防腐型一体/分离式两用控制终端</w:t>
            </w:r>
          </w:p>
        </w:tc>
        <w:tc>
          <w:tcPr>
            <w:tcW w:w="3863" w:type="dxa"/>
          </w:tcPr>
          <w:p>
            <w:pPr>
              <w:spacing w:line="360" w:lineRule="exact"/>
              <w:rPr>
                <w:rFonts w:ascii="Calibri" w:hAnsi="Calibri"/>
                <w:sz w:val="22"/>
                <w:szCs w:val="22"/>
              </w:rPr>
            </w:pPr>
            <w:r>
              <w:rPr>
                <w:rFonts w:hint="eastAsia" w:ascii="Calibri" w:hAnsi="Calibri"/>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5、</w:t>
            </w:r>
            <w:r>
              <w:rPr>
                <w:rFonts w:ascii="Calibri" w:hAnsi="Calibri"/>
                <w:sz w:val="22"/>
                <w:szCs w:val="22"/>
              </w:rPr>
              <w:t>与转盘位数匹配的高</w:t>
            </w:r>
            <w:r>
              <w:rPr>
                <w:rFonts w:hint="eastAsia" w:ascii="Calibri" w:hAnsi="Calibri"/>
                <w:sz w:val="22"/>
                <w:szCs w:val="22"/>
              </w:rPr>
              <w:t>通量</w:t>
            </w:r>
            <w:r>
              <w:rPr>
                <w:rFonts w:ascii="Calibri" w:hAnsi="Calibri"/>
                <w:sz w:val="22"/>
                <w:szCs w:val="22"/>
              </w:rPr>
              <w:t>消解反应罐（体积≥55mL，含内罐、弹片、盖子）</w:t>
            </w:r>
          </w:p>
        </w:tc>
        <w:tc>
          <w:tcPr>
            <w:tcW w:w="3863" w:type="dxa"/>
          </w:tcPr>
          <w:p>
            <w:pPr>
              <w:spacing w:line="360" w:lineRule="exact"/>
              <w:rPr>
                <w:rFonts w:ascii="Calibri" w:hAnsi="Calibri"/>
                <w:sz w:val="22"/>
                <w:szCs w:val="22"/>
              </w:rPr>
            </w:pPr>
            <w:r>
              <w:rPr>
                <w:rFonts w:hint="eastAsia" w:ascii="Calibri" w:hAnsi="Calibri"/>
                <w:sz w:val="22"/>
                <w:szCs w:val="22"/>
              </w:rPr>
              <w:t>60套</w:t>
            </w:r>
          </w:p>
          <w:p>
            <w:pPr>
              <w:spacing w:line="3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6、</w:t>
            </w:r>
            <w:r>
              <w:rPr>
                <w:rFonts w:ascii="Calibri" w:hAnsi="Calibri"/>
                <w:sz w:val="22"/>
                <w:szCs w:val="22"/>
              </w:rPr>
              <w:t>与转盘位数匹配的高</w:t>
            </w:r>
            <w:r>
              <w:rPr>
                <w:rFonts w:hint="eastAsia" w:ascii="Calibri" w:hAnsi="Calibri"/>
                <w:sz w:val="22"/>
                <w:szCs w:val="22"/>
              </w:rPr>
              <w:t>通量</w:t>
            </w:r>
            <w:r>
              <w:rPr>
                <w:rFonts w:ascii="Calibri" w:hAnsi="Calibri"/>
                <w:sz w:val="22"/>
                <w:szCs w:val="22"/>
              </w:rPr>
              <w:t>消解反应</w:t>
            </w:r>
            <w:r>
              <w:rPr>
                <w:rFonts w:hint="eastAsia" w:ascii="Calibri" w:hAnsi="Calibri"/>
                <w:sz w:val="22"/>
                <w:szCs w:val="22"/>
              </w:rPr>
              <w:t>外</w:t>
            </w:r>
            <w:r>
              <w:rPr>
                <w:rFonts w:ascii="Calibri" w:hAnsi="Calibri"/>
                <w:sz w:val="22"/>
                <w:szCs w:val="22"/>
              </w:rPr>
              <w:t>罐</w:t>
            </w:r>
          </w:p>
        </w:tc>
        <w:tc>
          <w:tcPr>
            <w:tcW w:w="3863" w:type="dxa"/>
          </w:tcPr>
          <w:p>
            <w:pPr>
              <w:spacing w:line="360" w:lineRule="exact"/>
              <w:rPr>
                <w:rFonts w:ascii="Calibri" w:hAnsi="Calibri"/>
                <w:sz w:val="22"/>
                <w:szCs w:val="22"/>
              </w:rPr>
            </w:pPr>
            <w:r>
              <w:rPr>
                <w:rFonts w:hint="eastAsia" w:ascii="Calibri" w:hAnsi="Calibri"/>
                <w:sz w:val="22"/>
                <w:szCs w:val="22"/>
              </w:rPr>
              <w:t>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7、电动旋盖器</w:t>
            </w:r>
          </w:p>
        </w:tc>
        <w:tc>
          <w:tcPr>
            <w:tcW w:w="3863" w:type="dxa"/>
          </w:tcPr>
          <w:p>
            <w:pPr>
              <w:spacing w:line="360" w:lineRule="exact"/>
              <w:rPr>
                <w:rFonts w:ascii="Calibri" w:hAnsi="Calibri"/>
                <w:sz w:val="22"/>
                <w:szCs w:val="22"/>
              </w:rPr>
            </w:pPr>
            <w:r>
              <w:rPr>
                <w:rFonts w:hint="eastAsia" w:ascii="Calibri" w:hAnsi="Calibri"/>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8、</w:t>
            </w:r>
            <w:r>
              <w:rPr>
                <w:rFonts w:hint="eastAsia" w:ascii="宋体" w:hAnsi="宋体" w:cs="宋体"/>
                <w:color w:val="000000"/>
                <w:sz w:val="22"/>
                <w:szCs w:val="22"/>
              </w:rPr>
              <w:t>预处理及赶酸装置（≥40位）</w:t>
            </w:r>
          </w:p>
        </w:tc>
        <w:tc>
          <w:tcPr>
            <w:tcW w:w="3863" w:type="dxa"/>
          </w:tcPr>
          <w:p>
            <w:pPr>
              <w:spacing w:line="360" w:lineRule="exact"/>
              <w:rPr>
                <w:rFonts w:ascii="Calibri" w:hAnsi="Calibri"/>
                <w:sz w:val="22"/>
                <w:szCs w:val="22"/>
              </w:rPr>
            </w:pPr>
            <w:r>
              <w:rPr>
                <w:rFonts w:hint="eastAsia" w:ascii="Calibri" w:hAnsi="Calibri"/>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9、（≥12位）高压样品罐转子</w:t>
            </w:r>
          </w:p>
        </w:tc>
        <w:tc>
          <w:tcPr>
            <w:tcW w:w="3863" w:type="dxa"/>
          </w:tcPr>
          <w:p>
            <w:pPr>
              <w:spacing w:line="360" w:lineRule="exact"/>
              <w:rPr>
                <w:rFonts w:ascii="Calibri" w:hAnsi="Calibri"/>
                <w:sz w:val="22"/>
                <w:szCs w:val="22"/>
              </w:rPr>
            </w:pPr>
            <w:r>
              <w:rPr>
                <w:rFonts w:hint="eastAsia" w:ascii="Calibri" w:hAnsi="Calibri"/>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10、</w:t>
            </w:r>
            <w:r>
              <w:rPr>
                <w:rFonts w:ascii="Calibri" w:hAnsi="Calibri"/>
                <w:sz w:val="22"/>
                <w:szCs w:val="22"/>
              </w:rPr>
              <w:t>与转盘位数匹配的高</w:t>
            </w:r>
            <w:r>
              <w:rPr>
                <w:rFonts w:hint="eastAsia" w:ascii="Calibri" w:hAnsi="Calibri"/>
                <w:sz w:val="22"/>
                <w:szCs w:val="22"/>
              </w:rPr>
              <w:t>压</w:t>
            </w:r>
            <w:r>
              <w:rPr>
                <w:rFonts w:ascii="Calibri" w:hAnsi="Calibri"/>
                <w:sz w:val="22"/>
                <w:szCs w:val="22"/>
              </w:rPr>
              <w:t>消解反应罐（体积≥</w:t>
            </w:r>
            <w:r>
              <w:rPr>
                <w:rFonts w:hint="eastAsia" w:ascii="Calibri" w:hAnsi="Calibri"/>
                <w:sz w:val="22"/>
                <w:szCs w:val="22"/>
              </w:rPr>
              <w:t>100</w:t>
            </w:r>
            <w:r>
              <w:rPr>
                <w:rFonts w:ascii="Calibri" w:hAnsi="Calibri"/>
                <w:sz w:val="22"/>
                <w:szCs w:val="22"/>
              </w:rPr>
              <w:t>mL，含内罐、弹片、盖子）</w:t>
            </w:r>
          </w:p>
        </w:tc>
        <w:tc>
          <w:tcPr>
            <w:tcW w:w="3863" w:type="dxa"/>
          </w:tcPr>
          <w:p>
            <w:pPr>
              <w:spacing w:line="360" w:lineRule="exact"/>
              <w:rPr>
                <w:rFonts w:ascii="Calibri" w:hAnsi="Calibri"/>
                <w:sz w:val="22"/>
                <w:szCs w:val="22"/>
              </w:rPr>
            </w:pPr>
            <w:r>
              <w:rPr>
                <w:rFonts w:hint="eastAsia" w:ascii="Calibri" w:hAnsi="Calibri"/>
                <w:sz w:val="22"/>
                <w:szCs w:val="22"/>
              </w:rPr>
              <w:t>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11、</w:t>
            </w:r>
            <w:r>
              <w:rPr>
                <w:rFonts w:ascii="Calibri" w:hAnsi="Calibri"/>
                <w:sz w:val="22"/>
                <w:szCs w:val="22"/>
              </w:rPr>
              <w:t>与转盘位数匹配的高</w:t>
            </w:r>
            <w:r>
              <w:rPr>
                <w:rFonts w:hint="eastAsia" w:ascii="Calibri" w:hAnsi="Calibri"/>
                <w:sz w:val="22"/>
                <w:szCs w:val="22"/>
              </w:rPr>
              <w:t>压</w:t>
            </w:r>
            <w:r>
              <w:rPr>
                <w:rFonts w:ascii="Calibri" w:hAnsi="Calibri"/>
                <w:sz w:val="22"/>
                <w:szCs w:val="22"/>
              </w:rPr>
              <w:t>消解反应</w:t>
            </w:r>
            <w:r>
              <w:rPr>
                <w:rFonts w:hint="eastAsia" w:ascii="Calibri" w:hAnsi="Calibri"/>
                <w:sz w:val="22"/>
                <w:szCs w:val="22"/>
              </w:rPr>
              <w:t>外</w:t>
            </w:r>
            <w:r>
              <w:rPr>
                <w:rFonts w:ascii="Calibri" w:hAnsi="Calibri"/>
                <w:sz w:val="22"/>
                <w:szCs w:val="22"/>
              </w:rPr>
              <w:t>罐</w:t>
            </w:r>
          </w:p>
        </w:tc>
        <w:tc>
          <w:tcPr>
            <w:tcW w:w="3863" w:type="dxa"/>
          </w:tcPr>
          <w:p>
            <w:pPr>
              <w:spacing w:line="360" w:lineRule="exact"/>
              <w:rPr>
                <w:rFonts w:ascii="Calibri" w:hAnsi="Calibri"/>
                <w:sz w:val="22"/>
                <w:szCs w:val="22"/>
              </w:rPr>
            </w:pPr>
            <w:r>
              <w:rPr>
                <w:rFonts w:hint="eastAsia" w:ascii="Calibri" w:hAnsi="Calibri"/>
                <w:sz w:val="22"/>
                <w:szCs w:val="22"/>
              </w:rPr>
              <w:t>15套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spacing w:line="360" w:lineRule="exact"/>
              <w:rPr>
                <w:rFonts w:ascii="宋体" w:hAnsi="宋体"/>
                <w:sz w:val="22"/>
                <w:szCs w:val="22"/>
              </w:rPr>
            </w:pPr>
            <w:r>
              <w:rPr>
                <w:rFonts w:hint="eastAsia" w:ascii="宋体" w:hAnsi="宋体"/>
                <w:sz w:val="22"/>
                <w:szCs w:val="22"/>
              </w:rPr>
              <w:t>12、</w:t>
            </w:r>
            <w:r>
              <w:rPr>
                <w:rFonts w:hint="eastAsia" w:ascii="宋体" w:hAnsi="宋体" w:cs="宋体"/>
                <w:color w:val="000000"/>
                <w:sz w:val="22"/>
                <w:szCs w:val="22"/>
              </w:rPr>
              <w:t>预处理及赶酸装置（≥12位）</w:t>
            </w:r>
          </w:p>
        </w:tc>
        <w:tc>
          <w:tcPr>
            <w:tcW w:w="3863" w:type="dxa"/>
          </w:tcPr>
          <w:p>
            <w:pPr>
              <w:spacing w:line="360" w:lineRule="exact"/>
              <w:rPr>
                <w:rFonts w:ascii="Calibri" w:hAnsi="Calibri"/>
                <w:sz w:val="22"/>
                <w:szCs w:val="22"/>
              </w:rPr>
            </w:pPr>
            <w:r>
              <w:rPr>
                <w:rFonts w:hint="eastAsia" w:ascii="Calibri" w:hAnsi="Calibri"/>
                <w:sz w:val="22"/>
                <w:szCs w:val="22"/>
              </w:rPr>
              <w:t>1套</w:t>
            </w:r>
          </w:p>
        </w:tc>
      </w:tr>
    </w:tbl>
    <w:p>
      <w:pPr>
        <w:snapToGrid w:val="0"/>
        <w:spacing w:line="360" w:lineRule="exact"/>
        <w:rPr>
          <w:rFonts w:ascii="宋体" w:hAnsi="宋体"/>
          <w:sz w:val="22"/>
          <w:szCs w:val="22"/>
        </w:rPr>
      </w:pPr>
      <w:r>
        <w:rPr>
          <w:rFonts w:ascii="宋体" w:hAnsi="宋体"/>
          <w:b/>
          <w:bCs/>
          <w:sz w:val="22"/>
          <w:szCs w:val="22"/>
        </w:rPr>
        <w:t>3、技术指标</w:t>
      </w:r>
    </w:p>
    <w:p>
      <w:pPr>
        <w:snapToGrid w:val="0"/>
        <w:spacing w:line="360" w:lineRule="exact"/>
        <w:rPr>
          <w:rFonts w:ascii="宋体" w:hAnsi="宋体"/>
          <w:sz w:val="22"/>
          <w:szCs w:val="22"/>
        </w:rPr>
      </w:pPr>
      <w:r>
        <w:rPr>
          <w:rFonts w:ascii="宋体" w:hAnsi="宋体"/>
          <w:b/>
          <w:bCs/>
          <w:sz w:val="22"/>
          <w:szCs w:val="22"/>
        </w:rPr>
        <w:t>3.1 硬件部分</w:t>
      </w:r>
    </w:p>
    <w:p>
      <w:pPr>
        <w:snapToGrid w:val="0"/>
        <w:spacing w:line="360" w:lineRule="exact"/>
        <w:rPr>
          <w:rFonts w:ascii="宋体" w:hAnsi="宋体"/>
          <w:sz w:val="22"/>
          <w:szCs w:val="22"/>
        </w:rPr>
      </w:pPr>
      <w:r>
        <w:rPr>
          <w:rFonts w:ascii="宋体" w:hAnsi="宋体"/>
          <w:sz w:val="22"/>
          <w:szCs w:val="22"/>
        </w:rPr>
        <w:t>3.1.1采用双磁控管技术，微波输出功率≥1800w。双磁控管终身保修。</w:t>
      </w:r>
    </w:p>
    <w:p>
      <w:pPr>
        <w:snapToGrid w:val="0"/>
        <w:spacing w:line="360" w:lineRule="exact"/>
        <w:rPr>
          <w:rFonts w:ascii="宋体" w:hAnsi="宋体"/>
          <w:sz w:val="22"/>
          <w:szCs w:val="22"/>
        </w:rPr>
      </w:pPr>
      <w:r>
        <w:rPr>
          <w:rFonts w:ascii="宋体" w:hAnsi="宋体"/>
          <w:b/>
          <w:bCs/>
          <w:sz w:val="22"/>
          <w:szCs w:val="22"/>
        </w:rPr>
        <w:t>▲</w:t>
      </w:r>
      <w:r>
        <w:rPr>
          <w:rFonts w:ascii="宋体" w:hAnsi="宋体"/>
          <w:sz w:val="22"/>
          <w:szCs w:val="22"/>
        </w:rPr>
        <w:t>3.1.2为确保腔体内微波能量均匀，要求微波至少从腔体内两个不同的维度输出微波。</w:t>
      </w:r>
    </w:p>
    <w:p>
      <w:pPr>
        <w:snapToGrid w:val="0"/>
        <w:spacing w:line="360" w:lineRule="exact"/>
        <w:rPr>
          <w:rFonts w:ascii="宋体" w:hAnsi="宋体"/>
          <w:sz w:val="22"/>
          <w:szCs w:val="22"/>
        </w:rPr>
      </w:pPr>
      <w:r>
        <w:rPr>
          <w:rFonts w:ascii="宋体" w:hAnsi="宋体"/>
          <w:sz w:val="22"/>
          <w:szCs w:val="22"/>
        </w:rPr>
        <w:t>3.1.3为了直接简便观测到腔体内转盘的运行情况，要求仪器在腔体门上配有防微波泄漏措施、防爆的可视窗。</w:t>
      </w:r>
    </w:p>
    <w:p>
      <w:pPr>
        <w:snapToGrid w:val="0"/>
        <w:spacing w:line="360" w:lineRule="exact"/>
        <w:rPr>
          <w:rFonts w:ascii="宋体" w:hAnsi="宋体"/>
          <w:sz w:val="22"/>
          <w:szCs w:val="22"/>
        </w:rPr>
      </w:pPr>
      <w:r>
        <w:rPr>
          <w:rFonts w:ascii="宋体" w:hAnsi="宋体"/>
          <w:sz w:val="22"/>
          <w:szCs w:val="22"/>
        </w:rPr>
        <w:t>3.1.4腔体内具有多层PTFE涂层，具有≥5年的防腐质量保证。</w:t>
      </w:r>
    </w:p>
    <w:p>
      <w:pPr>
        <w:snapToGrid w:val="0"/>
        <w:spacing w:line="360" w:lineRule="exact"/>
        <w:rPr>
          <w:rFonts w:ascii="宋体" w:hAnsi="宋体"/>
          <w:sz w:val="22"/>
          <w:szCs w:val="22"/>
        </w:rPr>
      </w:pPr>
      <w:r>
        <w:rPr>
          <w:rFonts w:ascii="宋体" w:hAnsi="宋体"/>
          <w:sz w:val="22"/>
          <w:szCs w:val="22"/>
        </w:rPr>
        <w:t>3.1.5所有电路板免费保修10年。</w:t>
      </w:r>
    </w:p>
    <w:p>
      <w:pPr>
        <w:snapToGrid w:val="0"/>
        <w:spacing w:line="360" w:lineRule="exact"/>
        <w:rPr>
          <w:rFonts w:ascii="宋体" w:hAnsi="宋体"/>
          <w:sz w:val="22"/>
          <w:szCs w:val="22"/>
        </w:rPr>
      </w:pPr>
      <w:r>
        <w:rPr>
          <w:rFonts w:ascii="宋体" w:hAnsi="宋体"/>
          <w:b/>
          <w:bCs/>
          <w:sz w:val="22"/>
          <w:szCs w:val="22"/>
        </w:rPr>
        <w:t>3.2控制系统</w:t>
      </w:r>
    </w:p>
    <w:p>
      <w:pPr>
        <w:snapToGrid w:val="0"/>
        <w:spacing w:line="360" w:lineRule="exact"/>
        <w:rPr>
          <w:rFonts w:ascii="宋体" w:hAnsi="宋体"/>
          <w:sz w:val="22"/>
          <w:szCs w:val="22"/>
        </w:rPr>
      </w:pPr>
      <w:r>
        <w:rPr>
          <w:rFonts w:ascii="宋体" w:hAnsi="宋体"/>
          <w:sz w:val="22"/>
          <w:szCs w:val="22"/>
        </w:rPr>
        <w:t>3.2.1智能化控制终端：防腐触摸式设计，可进行一键智能操作，根据所选样品类型仪器可自动匹配消解程序和温度、压力、时间等消解参数。</w:t>
      </w:r>
    </w:p>
    <w:p>
      <w:pPr>
        <w:snapToGrid w:val="0"/>
        <w:spacing w:line="360" w:lineRule="exact"/>
        <w:rPr>
          <w:rFonts w:ascii="宋体" w:hAnsi="宋体"/>
          <w:sz w:val="22"/>
          <w:szCs w:val="22"/>
        </w:rPr>
      </w:pPr>
      <w:r>
        <w:rPr>
          <w:rFonts w:ascii="宋体" w:hAnsi="宋体"/>
          <w:sz w:val="22"/>
        </w:rPr>
        <w:t>★</w:t>
      </w:r>
      <w:r>
        <w:rPr>
          <w:rFonts w:ascii="宋体" w:hAnsi="宋体"/>
          <w:sz w:val="22"/>
          <w:szCs w:val="22"/>
        </w:rPr>
        <w:t>3.2.2全自动消解罐识别系统：可自动监测消解罐的类型、数量、所处的位置，全自动调节微波输出功率的大小，确保每次试验的重现性。</w:t>
      </w:r>
    </w:p>
    <w:p>
      <w:pPr>
        <w:snapToGrid w:val="0"/>
        <w:spacing w:line="360" w:lineRule="exact"/>
        <w:rPr>
          <w:rFonts w:ascii="宋体" w:hAnsi="宋体"/>
          <w:sz w:val="22"/>
          <w:szCs w:val="22"/>
        </w:rPr>
      </w:pPr>
      <w:r>
        <w:rPr>
          <w:rFonts w:ascii="宋体" w:hAnsi="宋体"/>
          <w:sz w:val="22"/>
          <w:szCs w:val="22"/>
        </w:rPr>
        <w:t>3.2.3自动落锁系统，确保操作人员安全。</w:t>
      </w:r>
    </w:p>
    <w:p>
      <w:pPr>
        <w:snapToGrid w:val="0"/>
        <w:spacing w:line="360" w:lineRule="exact"/>
        <w:rPr>
          <w:rFonts w:ascii="宋体" w:hAnsi="宋体"/>
          <w:sz w:val="22"/>
          <w:szCs w:val="22"/>
        </w:rPr>
      </w:pPr>
      <w:r>
        <w:rPr>
          <w:rFonts w:ascii="宋体" w:hAnsi="宋体"/>
          <w:sz w:val="22"/>
          <w:szCs w:val="22"/>
        </w:rPr>
        <w:t>3.2.4多语言操作界面，含中文操作界面。</w:t>
      </w:r>
    </w:p>
    <w:p>
      <w:pPr>
        <w:snapToGrid w:val="0"/>
        <w:spacing w:line="360" w:lineRule="exact"/>
        <w:rPr>
          <w:rFonts w:ascii="宋体" w:hAnsi="宋体"/>
          <w:sz w:val="22"/>
          <w:szCs w:val="22"/>
        </w:rPr>
      </w:pPr>
      <w:r>
        <w:rPr>
          <w:rFonts w:ascii="宋体" w:hAnsi="宋体"/>
          <w:b/>
          <w:bCs/>
          <w:sz w:val="22"/>
          <w:szCs w:val="22"/>
        </w:rPr>
        <w:t>3.3温度/压力控制系统</w:t>
      </w:r>
    </w:p>
    <w:p>
      <w:pPr>
        <w:snapToGrid w:val="0"/>
        <w:spacing w:line="360" w:lineRule="exact"/>
        <w:rPr>
          <w:rFonts w:ascii="宋体" w:hAnsi="宋体"/>
          <w:sz w:val="22"/>
          <w:szCs w:val="22"/>
        </w:rPr>
      </w:pPr>
      <w:r>
        <w:rPr>
          <w:rFonts w:ascii="宋体" w:hAnsi="宋体"/>
          <w:b/>
          <w:bCs/>
          <w:sz w:val="22"/>
          <w:szCs w:val="22"/>
        </w:rPr>
        <w:t>▲</w:t>
      </w:r>
      <w:r>
        <w:rPr>
          <w:rFonts w:ascii="宋体" w:hAnsi="宋体"/>
          <w:sz w:val="22"/>
          <w:szCs w:val="22"/>
        </w:rPr>
        <w:t>3.3.1传感器要求配置≥2套非接触式的红外温度传感器，测温点必须为内管底，不受液位影响并且为内管管壁的实际温度，以保证测温准确性。温度传感器需提供大于5年的免费质保。</w:t>
      </w:r>
    </w:p>
    <w:p>
      <w:pPr>
        <w:snapToGrid w:val="0"/>
        <w:spacing w:line="360" w:lineRule="exact"/>
        <w:rPr>
          <w:rFonts w:ascii="宋体" w:hAnsi="宋体"/>
          <w:sz w:val="22"/>
          <w:szCs w:val="22"/>
        </w:rPr>
      </w:pPr>
      <w:r>
        <w:rPr>
          <w:rFonts w:ascii="宋体" w:hAnsi="宋体"/>
          <w:sz w:val="22"/>
          <w:szCs w:val="22"/>
        </w:rPr>
        <w:t>3.3.2测温精度±1℃，测温范围：常温-300℃</w:t>
      </w:r>
    </w:p>
    <w:p>
      <w:pPr>
        <w:snapToGrid w:val="0"/>
        <w:spacing w:line="360" w:lineRule="exact"/>
        <w:rPr>
          <w:rFonts w:ascii="宋体" w:hAnsi="宋体"/>
          <w:sz w:val="22"/>
          <w:szCs w:val="22"/>
        </w:rPr>
      </w:pPr>
      <w:r>
        <w:rPr>
          <w:rFonts w:ascii="宋体" w:hAnsi="宋体"/>
          <w:b/>
          <w:bCs/>
          <w:sz w:val="22"/>
          <w:szCs w:val="22"/>
        </w:rPr>
        <w:t>3.4高通量样品罐转子</w:t>
      </w:r>
    </w:p>
    <w:p>
      <w:pPr>
        <w:snapToGrid w:val="0"/>
        <w:spacing w:line="360" w:lineRule="exact"/>
        <w:rPr>
          <w:rFonts w:ascii="宋体" w:hAnsi="宋体"/>
          <w:sz w:val="22"/>
          <w:szCs w:val="22"/>
        </w:rPr>
      </w:pPr>
      <w:r>
        <w:rPr>
          <w:rFonts w:ascii="宋体" w:hAnsi="宋体"/>
          <w:sz w:val="22"/>
          <w:szCs w:val="22"/>
        </w:rPr>
        <w:t>3.4.1反应容器最高耐压：≥120bar</w:t>
      </w:r>
    </w:p>
    <w:p>
      <w:pPr>
        <w:snapToGrid w:val="0"/>
        <w:spacing w:line="360" w:lineRule="exact"/>
        <w:rPr>
          <w:rFonts w:ascii="宋体" w:hAnsi="宋体"/>
          <w:sz w:val="22"/>
          <w:szCs w:val="22"/>
        </w:rPr>
      </w:pPr>
      <w:r>
        <w:rPr>
          <w:rFonts w:ascii="宋体" w:hAnsi="宋体"/>
          <w:sz w:val="22"/>
          <w:szCs w:val="22"/>
        </w:rPr>
        <w:t>3.4.3反应容器最高耐温：≥300℃</w:t>
      </w:r>
    </w:p>
    <w:p>
      <w:pPr>
        <w:snapToGrid w:val="0"/>
        <w:spacing w:line="360" w:lineRule="exact"/>
        <w:rPr>
          <w:rFonts w:ascii="宋体" w:hAnsi="宋体"/>
          <w:sz w:val="22"/>
          <w:szCs w:val="22"/>
        </w:rPr>
      </w:pPr>
      <w:r>
        <w:rPr>
          <w:rFonts w:ascii="宋体" w:hAnsi="宋体"/>
          <w:sz w:val="22"/>
          <w:szCs w:val="22"/>
        </w:rPr>
        <w:t>3.4.5反应容器体积：≥55ml，同时批处理量≥40个</w:t>
      </w:r>
    </w:p>
    <w:p>
      <w:pPr>
        <w:snapToGrid w:val="0"/>
        <w:spacing w:line="360" w:lineRule="exact"/>
        <w:rPr>
          <w:rFonts w:ascii="宋体" w:hAnsi="宋体"/>
          <w:sz w:val="22"/>
          <w:szCs w:val="22"/>
        </w:rPr>
      </w:pPr>
      <w:r>
        <w:rPr>
          <w:rFonts w:ascii="宋体" w:hAnsi="宋体"/>
          <w:sz w:val="22"/>
          <w:szCs w:val="22"/>
        </w:rPr>
        <w:t>3.4.6 内罐材质：TFM</w:t>
      </w:r>
    </w:p>
    <w:p>
      <w:pPr>
        <w:snapToGrid w:val="0"/>
        <w:spacing w:line="360" w:lineRule="exact"/>
        <w:rPr>
          <w:rFonts w:ascii="宋体" w:hAnsi="宋体"/>
          <w:sz w:val="22"/>
          <w:szCs w:val="22"/>
        </w:rPr>
      </w:pPr>
      <w:r>
        <w:rPr>
          <w:rFonts w:ascii="宋体" w:hAnsi="宋体"/>
          <w:sz w:val="22"/>
          <w:szCs w:val="22"/>
        </w:rPr>
        <w:t>3.4.7外罐材质：纤维复合，确保5年免费保换。</w:t>
      </w:r>
    </w:p>
    <w:p>
      <w:pPr>
        <w:snapToGrid w:val="0"/>
        <w:spacing w:line="360" w:lineRule="exact"/>
        <w:rPr>
          <w:rFonts w:ascii="宋体" w:hAnsi="宋体"/>
          <w:sz w:val="22"/>
          <w:szCs w:val="22"/>
        </w:rPr>
      </w:pPr>
      <w:r>
        <w:rPr>
          <w:rFonts w:ascii="宋体" w:hAnsi="宋体"/>
          <w:b/>
          <w:bCs/>
          <w:sz w:val="22"/>
          <w:szCs w:val="22"/>
        </w:rPr>
        <w:t>3.5高压样品罐转子</w:t>
      </w:r>
    </w:p>
    <w:p>
      <w:pPr>
        <w:snapToGrid w:val="0"/>
        <w:spacing w:line="360" w:lineRule="exact"/>
        <w:rPr>
          <w:rFonts w:ascii="宋体" w:hAnsi="宋体"/>
          <w:sz w:val="22"/>
          <w:szCs w:val="22"/>
        </w:rPr>
      </w:pPr>
      <w:r>
        <w:rPr>
          <w:rFonts w:ascii="宋体" w:hAnsi="宋体"/>
          <w:sz w:val="22"/>
          <w:szCs w:val="22"/>
        </w:rPr>
        <w:t>3.5.1反应容器最高耐压：≥150bar</w:t>
      </w:r>
    </w:p>
    <w:p>
      <w:pPr>
        <w:snapToGrid w:val="0"/>
        <w:spacing w:line="360" w:lineRule="exact"/>
        <w:rPr>
          <w:rFonts w:ascii="宋体" w:hAnsi="宋体"/>
          <w:sz w:val="22"/>
          <w:szCs w:val="22"/>
        </w:rPr>
      </w:pPr>
      <w:r>
        <w:rPr>
          <w:rFonts w:ascii="宋体" w:hAnsi="宋体"/>
          <w:sz w:val="22"/>
          <w:szCs w:val="22"/>
        </w:rPr>
        <w:t xml:space="preserve"> 3.5.2 反应容器最高耐温：≥300℃</w:t>
      </w:r>
    </w:p>
    <w:p>
      <w:pPr>
        <w:snapToGrid w:val="0"/>
        <w:spacing w:line="360" w:lineRule="exact"/>
        <w:rPr>
          <w:rFonts w:ascii="宋体" w:hAnsi="宋体"/>
          <w:sz w:val="22"/>
          <w:szCs w:val="22"/>
        </w:rPr>
      </w:pPr>
      <w:r>
        <w:rPr>
          <w:rFonts w:ascii="宋体" w:hAnsi="宋体"/>
          <w:sz w:val="22"/>
          <w:szCs w:val="22"/>
        </w:rPr>
        <w:t>3.5.3 反应容器体积：≥100ml，同时批处理量≥12个</w:t>
      </w:r>
    </w:p>
    <w:p>
      <w:pPr>
        <w:snapToGrid w:val="0"/>
        <w:spacing w:line="360" w:lineRule="exact"/>
        <w:rPr>
          <w:rFonts w:ascii="宋体" w:hAnsi="宋体"/>
          <w:sz w:val="22"/>
          <w:szCs w:val="22"/>
        </w:rPr>
      </w:pPr>
      <w:r>
        <w:rPr>
          <w:rFonts w:ascii="宋体" w:hAnsi="宋体"/>
          <w:sz w:val="22"/>
          <w:szCs w:val="22"/>
        </w:rPr>
        <w:t>3.5.4内罐材质：TFM</w:t>
      </w:r>
    </w:p>
    <w:p>
      <w:pPr>
        <w:snapToGrid w:val="0"/>
        <w:spacing w:line="360" w:lineRule="exact"/>
        <w:rPr>
          <w:rFonts w:ascii="宋体" w:hAnsi="宋体"/>
          <w:sz w:val="22"/>
          <w:szCs w:val="22"/>
        </w:rPr>
      </w:pPr>
      <w:r>
        <w:rPr>
          <w:rFonts w:ascii="宋体" w:hAnsi="宋体"/>
          <w:sz w:val="22"/>
          <w:szCs w:val="22"/>
        </w:rPr>
        <w:t>3.5.5外罐材质：纤维复合材料，防爆、耐高温高压，确保5年免费保换。</w:t>
      </w:r>
    </w:p>
    <w:p>
      <w:pPr>
        <w:snapToGrid w:val="0"/>
        <w:spacing w:line="360" w:lineRule="exact"/>
        <w:rPr>
          <w:rFonts w:ascii="宋体" w:hAnsi="宋体"/>
          <w:sz w:val="22"/>
          <w:szCs w:val="22"/>
        </w:rPr>
      </w:pPr>
    </w:p>
    <w:p>
      <w:pPr>
        <w:snapToGrid w:val="0"/>
        <w:spacing w:line="360" w:lineRule="exact"/>
        <w:rPr>
          <w:rFonts w:ascii="宋体" w:hAnsi="宋体"/>
          <w:sz w:val="22"/>
          <w:szCs w:val="22"/>
        </w:rPr>
      </w:pPr>
      <w:r>
        <w:rPr>
          <w:rFonts w:ascii="宋体" w:hAnsi="宋体"/>
          <w:b/>
          <w:bCs/>
          <w:color w:val="000000"/>
          <w:sz w:val="22"/>
          <w:szCs w:val="22"/>
        </w:rPr>
        <w:t>三、仪器设备的商务要求</w:t>
      </w:r>
    </w:p>
    <w:p>
      <w:pPr>
        <w:snapToGrid w:val="0"/>
        <w:spacing w:line="360" w:lineRule="exact"/>
        <w:rPr>
          <w:rFonts w:ascii="宋体" w:hAnsi="宋体"/>
          <w:sz w:val="22"/>
          <w:szCs w:val="22"/>
        </w:rPr>
      </w:pPr>
      <w:r>
        <w:rPr>
          <w:rFonts w:ascii="宋体" w:hAnsi="宋体"/>
          <w:b/>
          <w:bCs/>
          <w:sz w:val="22"/>
          <w:szCs w:val="22"/>
        </w:rPr>
        <w:t>1、交货地点</w:t>
      </w:r>
    </w:p>
    <w:p>
      <w:pPr>
        <w:snapToGrid w:val="0"/>
        <w:spacing w:line="360" w:lineRule="exact"/>
        <w:rPr>
          <w:rFonts w:ascii="宋体" w:hAnsi="宋体"/>
          <w:sz w:val="22"/>
          <w:szCs w:val="22"/>
        </w:rPr>
      </w:pPr>
      <w:r>
        <w:rPr>
          <w:rFonts w:ascii="宋体" w:hAnsi="宋体"/>
          <w:sz w:val="22"/>
          <w:szCs w:val="22"/>
        </w:rPr>
        <w:t>交货地点：采购人指定地点</w:t>
      </w:r>
    </w:p>
    <w:p>
      <w:pPr>
        <w:snapToGrid w:val="0"/>
        <w:spacing w:line="360" w:lineRule="exact"/>
        <w:rPr>
          <w:rFonts w:ascii="宋体" w:hAnsi="宋体"/>
          <w:sz w:val="22"/>
          <w:szCs w:val="22"/>
        </w:rPr>
      </w:pPr>
      <w:r>
        <w:rPr>
          <w:rFonts w:ascii="宋体" w:hAnsi="宋体"/>
          <w:b/>
          <w:bCs/>
          <w:sz w:val="22"/>
          <w:szCs w:val="22"/>
        </w:rPr>
        <w:t>2、 包装要求</w:t>
      </w:r>
    </w:p>
    <w:p>
      <w:pPr>
        <w:snapToGrid w:val="0"/>
        <w:spacing w:line="360" w:lineRule="exact"/>
        <w:rPr>
          <w:rFonts w:ascii="宋体" w:hAnsi="宋体"/>
          <w:sz w:val="22"/>
          <w:szCs w:val="22"/>
        </w:rPr>
      </w:pPr>
      <w:r>
        <w:rPr>
          <w:rFonts w:ascii="宋体" w:hAnsi="宋体"/>
          <w:sz w:val="22"/>
          <w:szCs w:val="22"/>
        </w:rPr>
        <w:t>2.1 中标人运输的所有货物要符合有关标准规定的具有适合长途运输、多次搬运和装卸的坚固包装。包装应按设备特点，按需要分别加上防潮、防雹、防锈、防腐蚀的保护措施，以保证货物在没有任何损坏和腐蚀的情况下安全运抵采购人实验室；</w:t>
      </w:r>
    </w:p>
    <w:p>
      <w:pPr>
        <w:snapToGrid w:val="0"/>
        <w:spacing w:line="360" w:lineRule="exact"/>
        <w:rPr>
          <w:rFonts w:ascii="宋体" w:hAnsi="宋体"/>
          <w:sz w:val="22"/>
          <w:szCs w:val="22"/>
        </w:rPr>
      </w:pPr>
      <w:r>
        <w:rPr>
          <w:rFonts w:ascii="宋体" w:hAnsi="宋体"/>
          <w:sz w:val="22"/>
          <w:szCs w:val="22"/>
        </w:rPr>
        <w:t>2.2 每件包装箱内，应附有装箱单、合格证、产品出厂质量合格证明书、技术说明；</w:t>
      </w:r>
    </w:p>
    <w:p>
      <w:pPr>
        <w:snapToGrid w:val="0"/>
        <w:spacing w:line="360" w:lineRule="exact"/>
        <w:rPr>
          <w:rFonts w:ascii="宋体" w:hAnsi="宋体"/>
          <w:sz w:val="22"/>
          <w:szCs w:val="22"/>
        </w:rPr>
      </w:pPr>
      <w:r>
        <w:rPr>
          <w:rFonts w:ascii="宋体" w:hAnsi="宋体"/>
          <w:sz w:val="22"/>
          <w:szCs w:val="22"/>
        </w:rPr>
        <w:t>2.3 凡由于中标人在合同供货设备就位前使货物遭到损坏或丢失时，中标人均应负责及时修理、更换或赔偿；</w:t>
      </w:r>
    </w:p>
    <w:p>
      <w:pPr>
        <w:snapToGrid w:val="0"/>
        <w:spacing w:line="360" w:lineRule="exact"/>
        <w:rPr>
          <w:rFonts w:ascii="宋体" w:hAnsi="宋体"/>
          <w:sz w:val="22"/>
          <w:szCs w:val="22"/>
        </w:rPr>
      </w:pPr>
      <w:r>
        <w:rPr>
          <w:rFonts w:ascii="宋体" w:hAnsi="宋体"/>
          <w:b/>
          <w:bCs/>
          <w:sz w:val="22"/>
          <w:szCs w:val="22"/>
        </w:rPr>
        <w:t>3、发运货物时随机技术资料要求：</w:t>
      </w:r>
    </w:p>
    <w:p>
      <w:pPr>
        <w:snapToGrid w:val="0"/>
        <w:spacing w:line="360" w:lineRule="exact"/>
        <w:rPr>
          <w:rFonts w:ascii="宋体" w:hAnsi="宋体"/>
          <w:sz w:val="22"/>
          <w:szCs w:val="22"/>
        </w:rPr>
      </w:pPr>
      <w:r>
        <w:rPr>
          <w:rFonts w:ascii="宋体" w:hAnsi="宋体"/>
          <w:sz w:val="22"/>
          <w:szCs w:val="22"/>
        </w:rPr>
        <w:t>3.1 中文版的操作手册、使用说明、维修保养手册；</w:t>
      </w:r>
    </w:p>
    <w:p>
      <w:pPr>
        <w:snapToGrid w:val="0"/>
        <w:spacing w:line="360" w:lineRule="exact"/>
        <w:rPr>
          <w:rFonts w:ascii="宋体" w:hAnsi="宋体"/>
          <w:sz w:val="22"/>
          <w:szCs w:val="22"/>
        </w:rPr>
      </w:pPr>
      <w:r>
        <w:rPr>
          <w:rFonts w:ascii="宋体" w:hAnsi="宋体"/>
          <w:sz w:val="22"/>
          <w:szCs w:val="22"/>
        </w:rPr>
        <w:t>3.2 备品备件清单（含规格型号和制造厂家）；</w:t>
      </w:r>
    </w:p>
    <w:p>
      <w:pPr>
        <w:snapToGrid w:val="0"/>
        <w:spacing w:line="360" w:lineRule="exact"/>
        <w:rPr>
          <w:rFonts w:ascii="宋体" w:hAnsi="宋体"/>
          <w:sz w:val="22"/>
          <w:szCs w:val="22"/>
        </w:rPr>
      </w:pPr>
      <w:r>
        <w:rPr>
          <w:rFonts w:ascii="宋体" w:hAnsi="宋体"/>
          <w:sz w:val="22"/>
          <w:szCs w:val="22"/>
        </w:rPr>
        <w:t>3.3 设备出厂检验报告及合格证；</w:t>
      </w:r>
    </w:p>
    <w:p>
      <w:pPr>
        <w:snapToGrid w:val="0"/>
        <w:spacing w:line="360" w:lineRule="exact"/>
        <w:rPr>
          <w:rFonts w:ascii="宋体" w:hAnsi="宋体"/>
          <w:sz w:val="22"/>
          <w:szCs w:val="22"/>
        </w:rPr>
      </w:pPr>
      <w:r>
        <w:rPr>
          <w:rFonts w:ascii="宋体" w:hAnsi="宋体"/>
          <w:sz w:val="22"/>
          <w:szCs w:val="22"/>
        </w:rPr>
        <w:t>3.4 符合国家规定的验收标准、厂方标准及验收手册；</w:t>
      </w:r>
    </w:p>
    <w:p>
      <w:pPr>
        <w:snapToGrid w:val="0"/>
        <w:spacing w:line="360" w:lineRule="exact"/>
        <w:rPr>
          <w:rFonts w:ascii="宋体" w:hAnsi="宋体"/>
          <w:sz w:val="22"/>
          <w:szCs w:val="22"/>
        </w:rPr>
      </w:pPr>
      <w:r>
        <w:rPr>
          <w:rFonts w:ascii="宋体" w:hAnsi="宋体"/>
          <w:sz w:val="22"/>
          <w:szCs w:val="22"/>
        </w:rPr>
        <w:t>3.5 中国质监部门出具的产品合格证书或报告。</w:t>
      </w:r>
    </w:p>
    <w:p>
      <w:pPr>
        <w:snapToGrid w:val="0"/>
        <w:spacing w:line="360" w:lineRule="exact"/>
        <w:rPr>
          <w:rFonts w:ascii="宋体" w:hAnsi="宋体"/>
          <w:sz w:val="22"/>
          <w:szCs w:val="22"/>
        </w:rPr>
      </w:pPr>
      <w:r>
        <w:rPr>
          <w:rFonts w:ascii="宋体" w:hAnsi="宋体"/>
          <w:b/>
          <w:bCs/>
          <w:sz w:val="22"/>
          <w:szCs w:val="22"/>
        </w:rPr>
        <w:t>4、技术培训</w:t>
      </w:r>
    </w:p>
    <w:p>
      <w:pPr>
        <w:snapToGrid w:val="0"/>
        <w:spacing w:line="360" w:lineRule="exact"/>
        <w:rPr>
          <w:rFonts w:ascii="宋体" w:hAnsi="宋体"/>
          <w:sz w:val="22"/>
          <w:szCs w:val="22"/>
        </w:rPr>
      </w:pPr>
      <w:r>
        <w:rPr>
          <w:rFonts w:ascii="宋体" w:hAnsi="宋体"/>
          <w:sz w:val="22"/>
          <w:szCs w:val="22"/>
        </w:rPr>
        <w:t>4.1 中标人每台设备免费为采购人现场培训4名以上操作人员直至掌握为止；</w:t>
      </w:r>
    </w:p>
    <w:p>
      <w:pPr>
        <w:snapToGrid w:val="0"/>
        <w:spacing w:line="360" w:lineRule="exact"/>
        <w:rPr>
          <w:rFonts w:ascii="宋体" w:hAnsi="宋体"/>
          <w:sz w:val="22"/>
          <w:szCs w:val="22"/>
        </w:rPr>
      </w:pPr>
      <w:r>
        <w:rPr>
          <w:rFonts w:ascii="宋体" w:hAnsi="宋体"/>
          <w:sz w:val="22"/>
          <w:szCs w:val="22"/>
        </w:rPr>
        <w:t>4.2 流动注射仪应提供完整的培训计划和方案，除现场培训外，提供4名操作人员的</w:t>
      </w:r>
      <w:r>
        <w:rPr>
          <w:rFonts w:hint="eastAsia" w:ascii="宋体" w:hAnsi="宋体"/>
          <w:sz w:val="22"/>
          <w:szCs w:val="22"/>
        </w:rPr>
        <w:t>外出</w:t>
      </w:r>
      <w:r>
        <w:rPr>
          <w:rFonts w:ascii="宋体" w:hAnsi="宋体"/>
          <w:sz w:val="22"/>
          <w:szCs w:val="22"/>
        </w:rPr>
        <w:t>培训机会，培训内容包括设备的操作、日常维修、简单故障的识别及排除等</w:t>
      </w:r>
      <w:r>
        <w:rPr>
          <w:rFonts w:hint="eastAsia" w:ascii="宋体" w:hAnsi="宋体"/>
          <w:sz w:val="22"/>
          <w:szCs w:val="22"/>
        </w:rPr>
        <w:t>，使培训人员</w:t>
      </w:r>
      <w:r>
        <w:rPr>
          <w:rFonts w:ascii="宋体" w:hAnsi="宋体"/>
          <w:color w:val="000000"/>
          <w:sz w:val="22"/>
          <w:szCs w:val="22"/>
        </w:rPr>
        <w:t>达到能独立、熟练操作的程度，培训时间应不少于</w:t>
      </w:r>
      <w:r>
        <w:rPr>
          <w:rFonts w:hint="eastAsia" w:ascii="宋体" w:hAnsi="宋体"/>
          <w:color w:val="000000"/>
          <w:sz w:val="22"/>
          <w:szCs w:val="22"/>
        </w:rPr>
        <w:t>3</w:t>
      </w:r>
      <w:r>
        <w:rPr>
          <w:rFonts w:ascii="宋体" w:hAnsi="宋体"/>
          <w:color w:val="000000"/>
          <w:sz w:val="22"/>
          <w:szCs w:val="22"/>
        </w:rPr>
        <w:t>天</w:t>
      </w:r>
      <w:r>
        <w:rPr>
          <w:rFonts w:hint="eastAsia" w:ascii="宋体" w:hAnsi="宋体"/>
          <w:color w:val="000000"/>
          <w:sz w:val="22"/>
          <w:szCs w:val="22"/>
        </w:rPr>
        <w:t>。</w:t>
      </w:r>
      <w:r>
        <w:rPr>
          <w:rFonts w:ascii="宋体" w:hAnsi="宋体"/>
          <w:sz w:val="22"/>
          <w:szCs w:val="22"/>
        </w:rPr>
        <w:t>培训费用（含交通、住宿、培训费）由中标人支付。</w:t>
      </w:r>
    </w:p>
    <w:p>
      <w:pPr>
        <w:snapToGrid w:val="0"/>
        <w:spacing w:line="360" w:lineRule="exact"/>
        <w:rPr>
          <w:rFonts w:ascii="宋体" w:hAnsi="宋体"/>
          <w:sz w:val="22"/>
          <w:szCs w:val="22"/>
        </w:rPr>
      </w:pPr>
      <w:r>
        <w:rPr>
          <w:rFonts w:ascii="宋体" w:hAnsi="宋体"/>
          <w:b/>
          <w:bCs/>
          <w:sz w:val="22"/>
          <w:szCs w:val="22"/>
        </w:rPr>
        <w:t>5、安装调试</w:t>
      </w:r>
    </w:p>
    <w:p>
      <w:pPr>
        <w:snapToGrid w:val="0"/>
        <w:spacing w:line="360" w:lineRule="exact"/>
        <w:rPr>
          <w:rFonts w:ascii="宋体" w:hAnsi="宋体"/>
          <w:sz w:val="22"/>
          <w:szCs w:val="22"/>
        </w:rPr>
      </w:pPr>
      <w:r>
        <w:rPr>
          <w:rFonts w:ascii="宋体" w:hAnsi="宋体"/>
          <w:color w:val="000000"/>
          <w:sz w:val="22"/>
          <w:szCs w:val="22"/>
        </w:rPr>
        <w:t>5.1 合同生效后10个工作日内，</w:t>
      </w:r>
      <w:r>
        <w:rPr>
          <w:rFonts w:ascii="宋体" w:hAnsi="宋体"/>
          <w:sz w:val="22"/>
          <w:szCs w:val="22"/>
        </w:rPr>
        <w:t>中标人应提供安装条件，否则由此造成的延期由中标人负责；</w:t>
      </w:r>
    </w:p>
    <w:p>
      <w:pPr>
        <w:snapToGrid w:val="0"/>
        <w:spacing w:line="360" w:lineRule="exact"/>
        <w:rPr>
          <w:rFonts w:ascii="宋体" w:hAnsi="宋体"/>
          <w:sz w:val="22"/>
          <w:szCs w:val="22"/>
        </w:rPr>
      </w:pPr>
      <w:r>
        <w:rPr>
          <w:rFonts w:ascii="宋体" w:hAnsi="宋体"/>
          <w:sz w:val="22"/>
          <w:szCs w:val="22"/>
        </w:rPr>
        <w:t xml:space="preserve">5.2 </w:t>
      </w:r>
      <w:r>
        <w:rPr>
          <w:rFonts w:ascii="宋体" w:hAnsi="宋体"/>
          <w:color w:val="000000"/>
          <w:sz w:val="22"/>
          <w:szCs w:val="22"/>
        </w:rPr>
        <w:t>设备到达采购人实验室后，中标人应在72小时内派技术人员到达现场，在双方人员在场的情况下，开箱清点货物，组织安装、调试并对安装调试错误所导致的设备损坏承担全部赔偿责任，并承担因此发生的一切费用。</w:t>
      </w:r>
    </w:p>
    <w:p>
      <w:pPr>
        <w:snapToGrid w:val="0"/>
        <w:spacing w:line="360" w:lineRule="exact"/>
        <w:rPr>
          <w:rFonts w:ascii="宋体" w:hAnsi="宋体"/>
          <w:sz w:val="22"/>
          <w:szCs w:val="22"/>
        </w:rPr>
      </w:pPr>
      <w:r>
        <w:rPr>
          <w:rFonts w:ascii="宋体" w:hAnsi="宋体"/>
          <w:b/>
          <w:bCs/>
          <w:sz w:val="22"/>
          <w:szCs w:val="22"/>
        </w:rPr>
        <w:t>6、验收方式</w:t>
      </w:r>
    </w:p>
    <w:p>
      <w:pPr>
        <w:snapToGrid w:val="0"/>
        <w:spacing w:line="360" w:lineRule="exact"/>
        <w:rPr>
          <w:rFonts w:ascii="宋体" w:hAnsi="宋体"/>
          <w:sz w:val="22"/>
          <w:szCs w:val="22"/>
        </w:rPr>
      </w:pPr>
      <w:r>
        <w:rPr>
          <w:rFonts w:ascii="宋体" w:hAnsi="宋体"/>
          <w:sz w:val="22"/>
          <w:szCs w:val="22"/>
        </w:rPr>
        <w:t>6.1 设备到货并经中标人技术人员安装后，按合同技术要求进行质量验收，验收的一切费用由中标人承担；</w:t>
      </w:r>
    </w:p>
    <w:p>
      <w:pPr>
        <w:snapToGrid w:val="0"/>
        <w:spacing w:line="360" w:lineRule="exact"/>
        <w:rPr>
          <w:rFonts w:ascii="宋体" w:hAnsi="宋体"/>
          <w:sz w:val="22"/>
          <w:szCs w:val="22"/>
        </w:rPr>
      </w:pPr>
      <w:r>
        <w:rPr>
          <w:rFonts w:ascii="宋体" w:hAnsi="宋体"/>
          <w:sz w:val="22"/>
          <w:szCs w:val="22"/>
        </w:rPr>
        <w:t>6.2 只有当下列条件也满足时，设备验收合格：</w:t>
      </w:r>
    </w:p>
    <w:p>
      <w:pPr>
        <w:snapToGrid w:val="0"/>
        <w:spacing w:line="360" w:lineRule="exact"/>
        <w:rPr>
          <w:rFonts w:ascii="宋体" w:hAnsi="宋体"/>
          <w:sz w:val="22"/>
          <w:szCs w:val="22"/>
        </w:rPr>
      </w:pPr>
      <w:r>
        <w:rPr>
          <w:rFonts w:ascii="宋体" w:hAnsi="宋体"/>
          <w:sz w:val="22"/>
          <w:szCs w:val="22"/>
        </w:rPr>
        <w:t>6.2.1 设备技术参数与该技术标书一致，试运行期间性能指标达到或超过规定的标准；</w:t>
      </w:r>
    </w:p>
    <w:p>
      <w:pPr>
        <w:snapToGrid w:val="0"/>
        <w:spacing w:line="360" w:lineRule="exact"/>
        <w:rPr>
          <w:rFonts w:ascii="宋体" w:hAnsi="宋体"/>
          <w:sz w:val="22"/>
          <w:szCs w:val="22"/>
        </w:rPr>
      </w:pPr>
      <w:r>
        <w:rPr>
          <w:rFonts w:ascii="宋体" w:hAnsi="宋体"/>
          <w:sz w:val="22"/>
          <w:szCs w:val="22"/>
        </w:rPr>
        <w:t>6.2.2 在性能测试和试运行期间所暴露的问题已获得令采购人完全满意的解决；</w:t>
      </w:r>
    </w:p>
    <w:p>
      <w:pPr>
        <w:snapToGrid w:val="0"/>
        <w:spacing w:line="360" w:lineRule="exact"/>
        <w:rPr>
          <w:rFonts w:ascii="宋体" w:hAnsi="宋体"/>
          <w:sz w:val="22"/>
          <w:szCs w:val="22"/>
        </w:rPr>
      </w:pPr>
      <w:r>
        <w:rPr>
          <w:rFonts w:ascii="宋体" w:hAnsi="宋体"/>
          <w:sz w:val="22"/>
          <w:szCs w:val="22"/>
        </w:rPr>
        <w:t>6.2.3 技术规范要求中提到的技术资料、工具、备件等已经按规定的数量移交完毕；</w:t>
      </w:r>
    </w:p>
    <w:p>
      <w:pPr>
        <w:snapToGrid w:val="0"/>
        <w:spacing w:line="360" w:lineRule="exact"/>
        <w:rPr>
          <w:rFonts w:ascii="宋体" w:hAnsi="宋体"/>
          <w:sz w:val="22"/>
          <w:szCs w:val="22"/>
        </w:rPr>
      </w:pPr>
      <w:r>
        <w:rPr>
          <w:rFonts w:ascii="宋体" w:hAnsi="宋体"/>
          <w:sz w:val="22"/>
          <w:szCs w:val="22"/>
        </w:rPr>
        <w:t>6.2.4 设备验收合格后双方签定书面文件认可；</w:t>
      </w:r>
    </w:p>
    <w:p>
      <w:pPr>
        <w:snapToGrid w:val="0"/>
        <w:spacing w:line="360" w:lineRule="exact"/>
        <w:rPr>
          <w:rFonts w:ascii="宋体" w:hAnsi="宋体"/>
          <w:sz w:val="22"/>
          <w:szCs w:val="22"/>
        </w:rPr>
      </w:pPr>
      <w:r>
        <w:rPr>
          <w:rFonts w:ascii="宋体" w:hAnsi="宋体"/>
          <w:sz w:val="22"/>
          <w:szCs w:val="22"/>
        </w:rPr>
        <w:t>6.3 当出现不合格产品时，供应商要无条件更换合格产品，不接受任何形式的降格处理；</w:t>
      </w:r>
    </w:p>
    <w:p>
      <w:pPr>
        <w:snapToGrid w:val="0"/>
        <w:spacing w:line="360" w:lineRule="exact"/>
        <w:rPr>
          <w:rFonts w:ascii="宋体" w:hAnsi="宋体"/>
          <w:sz w:val="22"/>
          <w:szCs w:val="22"/>
        </w:rPr>
      </w:pPr>
      <w:r>
        <w:rPr>
          <w:rFonts w:ascii="宋体" w:hAnsi="宋体"/>
          <w:sz w:val="22"/>
          <w:szCs w:val="22"/>
        </w:rPr>
        <w:t>6.4 中标人交付的货物不符合招标文件规定的，采购人有权拒收；</w:t>
      </w:r>
    </w:p>
    <w:p>
      <w:pPr>
        <w:snapToGrid w:val="0"/>
        <w:spacing w:line="360" w:lineRule="exact"/>
        <w:rPr>
          <w:rFonts w:ascii="宋体" w:hAnsi="宋体"/>
          <w:sz w:val="22"/>
          <w:szCs w:val="22"/>
        </w:rPr>
      </w:pPr>
      <w:r>
        <w:rPr>
          <w:rFonts w:ascii="宋体" w:hAnsi="宋体"/>
          <w:sz w:val="22"/>
          <w:szCs w:val="22"/>
        </w:rPr>
        <w:t>6.5 由于中标人原因在货到后1个月内未能验收完毕的，视同中标人交付的货物不符合合同的规定。</w:t>
      </w:r>
    </w:p>
    <w:p>
      <w:pPr>
        <w:snapToGrid w:val="0"/>
        <w:spacing w:line="360" w:lineRule="exact"/>
        <w:rPr>
          <w:rFonts w:ascii="宋体" w:hAnsi="宋体"/>
          <w:sz w:val="22"/>
          <w:szCs w:val="22"/>
        </w:rPr>
      </w:pPr>
      <w:r>
        <w:rPr>
          <w:rFonts w:ascii="宋体" w:hAnsi="宋体"/>
          <w:b/>
          <w:bCs/>
          <w:color w:val="000000"/>
          <w:sz w:val="22"/>
          <w:szCs w:val="22"/>
        </w:rPr>
        <w:t>7、仪器检定</w:t>
      </w:r>
    </w:p>
    <w:p>
      <w:pPr>
        <w:snapToGrid w:val="0"/>
        <w:spacing w:line="360" w:lineRule="exact"/>
        <w:rPr>
          <w:rFonts w:ascii="宋体" w:hAnsi="宋体"/>
          <w:sz w:val="22"/>
          <w:szCs w:val="22"/>
        </w:rPr>
      </w:pPr>
      <w:r>
        <w:rPr>
          <w:rFonts w:ascii="宋体" w:hAnsi="宋体"/>
          <w:sz w:val="22"/>
          <w:szCs w:val="22"/>
        </w:rPr>
        <w:t>仪器设备验收合格后，</w:t>
      </w:r>
      <w:r>
        <w:rPr>
          <w:rFonts w:ascii="宋体" w:hAnsi="宋体"/>
          <w:color w:val="000000"/>
          <w:sz w:val="22"/>
          <w:szCs w:val="22"/>
        </w:rPr>
        <w:t>若该仪器设备需要进行计量检定的，由中标人按要求完成中标仪器设备的第一次计量检定并由其承担检定费用</w:t>
      </w:r>
      <w:r>
        <w:rPr>
          <w:rFonts w:ascii="宋体" w:hAnsi="宋体"/>
          <w:sz w:val="22"/>
          <w:szCs w:val="22"/>
        </w:rPr>
        <w:t>。</w:t>
      </w:r>
    </w:p>
    <w:p>
      <w:pPr>
        <w:snapToGrid w:val="0"/>
        <w:spacing w:line="360" w:lineRule="exact"/>
        <w:rPr>
          <w:rFonts w:ascii="宋体" w:hAnsi="宋体"/>
          <w:sz w:val="22"/>
          <w:szCs w:val="22"/>
        </w:rPr>
      </w:pPr>
      <w:r>
        <w:rPr>
          <w:rFonts w:ascii="宋体" w:hAnsi="宋体"/>
          <w:b/>
          <w:bCs/>
          <w:sz w:val="22"/>
          <w:szCs w:val="22"/>
        </w:rPr>
        <w:t>8、售后服务要求：</w:t>
      </w:r>
    </w:p>
    <w:p>
      <w:pPr>
        <w:snapToGrid w:val="0"/>
        <w:spacing w:line="360" w:lineRule="exact"/>
        <w:rPr>
          <w:rFonts w:ascii="宋体" w:hAnsi="宋体"/>
          <w:sz w:val="22"/>
          <w:szCs w:val="22"/>
        </w:rPr>
      </w:pPr>
      <w:r>
        <w:rPr>
          <w:rFonts w:ascii="宋体" w:hAnsi="宋体"/>
          <w:sz w:val="22"/>
          <w:szCs w:val="22"/>
        </w:rPr>
        <w:t>8.1 流动注射仪、分液漏斗振荡器质保期3年；微波消解仪、分光光度计质保期2年；其他设备质保期1年，自设备验收合格之日起算；</w:t>
      </w:r>
    </w:p>
    <w:p>
      <w:pPr>
        <w:snapToGrid w:val="0"/>
        <w:spacing w:line="360" w:lineRule="exact"/>
        <w:rPr>
          <w:rFonts w:ascii="宋体" w:hAnsi="宋体"/>
          <w:sz w:val="22"/>
          <w:szCs w:val="22"/>
        </w:rPr>
      </w:pPr>
      <w:r>
        <w:rPr>
          <w:rFonts w:ascii="宋体" w:hAnsi="宋体"/>
          <w:sz w:val="22"/>
          <w:szCs w:val="22"/>
        </w:rPr>
        <w:t>8.2 在质保期内，如发现故障无法修复或一个故障出现三次，中标人应无条件更换相同品牌的新机器；</w:t>
      </w:r>
    </w:p>
    <w:p>
      <w:pPr>
        <w:snapToGrid w:val="0"/>
        <w:spacing w:line="360" w:lineRule="exact"/>
        <w:rPr>
          <w:rFonts w:ascii="宋体" w:hAnsi="宋体"/>
          <w:sz w:val="22"/>
          <w:szCs w:val="22"/>
        </w:rPr>
      </w:pPr>
      <w:r>
        <w:rPr>
          <w:rFonts w:ascii="宋体" w:hAnsi="宋体"/>
          <w:sz w:val="22"/>
          <w:szCs w:val="22"/>
        </w:rPr>
        <w:t>8.3 保修期内所更换零部件由中标人免费并及时提供，中标人技术服务人员的一切费用全部自理；</w:t>
      </w:r>
    </w:p>
    <w:p>
      <w:pPr>
        <w:snapToGrid w:val="0"/>
        <w:spacing w:line="360" w:lineRule="exact"/>
        <w:rPr>
          <w:rFonts w:ascii="宋体" w:hAnsi="宋体"/>
          <w:sz w:val="22"/>
          <w:szCs w:val="22"/>
        </w:rPr>
      </w:pPr>
      <w:r>
        <w:rPr>
          <w:rFonts w:ascii="宋体" w:hAnsi="宋体"/>
          <w:sz w:val="22"/>
          <w:szCs w:val="22"/>
        </w:rPr>
        <w:t>8.4 中</w:t>
      </w:r>
      <w:r>
        <w:rPr>
          <w:rFonts w:ascii="宋体" w:hAnsi="宋体"/>
          <w:color w:val="000000"/>
          <w:sz w:val="22"/>
          <w:szCs w:val="22"/>
        </w:rPr>
        <w:t>标人承诺负责设备、系统的终身维修服务。质保期结束后，供应商将继续对用户提供周到的售后服务，供应商在使用方提出问题后一日内给予答复，并在48小时内派人到现进行仪器故障的维修</w:t>
      </w:r>
      <w:r>
        <w:rPr>
          <w:rFonts w:ascii="宋体" w:hAnsi="宋体"/>
          <w:sz w:val="22"/>
          <w:szCs w:val="22"/>
        </w:rPr>
        <w:t>。</w:t>
      </w:r>
    </w:p>
    <w:p>
      <w:pPr>
        <w:snapToGrid w:val="0"/>
        <w:spacing w:line="360" w:lineRule="exact"/>
        <w:jc w:val="left"/>
        <w:rPr>
          <w:rFonts w:ascii="宋体" w:hAnsi="宋体"/>
          <w:sz w:val="22"/>
          <w:szCs w:val="22"/>
        </w:rPr>
      </w:pPr>
      <w:r>
        <w:rPr>
          <w:rFonts w:ascii="宋体" w:hAnsi="宋体"/>
          <w:sz w:val="22"/>
          <w:szCs w:val="22"/>
        </w:rPr>
        <w:t>注：投标人所投计算机、显示器必须为财政部、国家发展改革委公布的最新一期政府强制采购节能产品清单中的产品（须在投标文件中提供公开网址链接及名单截图）。</w:t>
      </w:r>
    </w:p>
    <w:p>
      <w:pPr>
        <w:snapToGrid w:val="0"/>
        <w:spacing w:line="360" w:lineRule="exact"/>
        <w:rPr>
          <w:rFonts w:ascii="宋体" w:hAnsi="宋体"/>
          <w:sz w:val="22"/>
          <w:szCs w:val="22"/>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spacing w:before="50" w:after="50" w:line="600" w:lineRule="exact"/>
        <w:rPr>
          <w:rFonts w:ascii="宋体" w:hAnsi="宋体"/>
          <w:sz w:val="24"/>
          <w:szCs w:val="24"/>
        </w:rPr>
      </w:pPr>
    </w:p>
    <w:p>
      <w:pPr>
        <w:pStyle w:val="3"/>
        <w:spacing w:before="0" w:after="0" w:line="400" w:lineRule="exact"/>
        <w:ind w:left="241" w:leftChars="115"/>
        <w:rPr>
          <w:rFonts w:ascii="宋体" w:hAnsi="宋体"/>
          <w:spacing w:val="20"/>
          <w:sz w:val="32"/>
          <w:szCs w:val="32"/>
        </w:rPr>
      </w:pPr>
      <w:bookmarkStart w:id="72" w:name="_Toc417050357"/>
      <w:bookmarkStart w:id="73" w:name="_Toc8904110"/>
      <w:r>
        <w:rPr>
          <w:rFonts w:hint="eastAsia" w:ascii="宋体" w:hAnsi="宋体"/>
          <w:spacing w:val="20"/>
          <w:sz w:val="32"/>
          <w:szCs w:val="32"/>
        </w:rPr>
        <w:t>第五部分  投标文件格式</w:t>
      </w:r>
      <w:bookmarkEnd w:id="72"/>
      <w:bookmarkEnd w:id="73"/>
    </w:p>
    <w:p>
      <w:pPr>
        <w:pStyle w:val="109"/>
        <w:ind w:firstLine="0"/>
        <w:jc w:val="left"/>
        <w:rPr>
          <w:rFonts w:ascii="宋体" w:hAnsi="宋体" w:eastAsia="宋体"/>
          <w:sz w:val="24"/>
          <w:szCs w:val="24"/>
        </w:rPr>
      </w:pPr>
    </w:p>
    <w:p>
      <w:pPr>
        <w:pStyle w:val="109"/>
        <w:spacing w:afterLines="200" w:line="480" w:lineRule="exact"/>
        <w:ind w:firstLine="0"/>
        <w:jc w:val="center"/>
        <w:rPr>
          <w:rFonts w:ascii="宋体" w:hAnsi="宋体" w:eastAsia="宋体"/>
          <w:sz w:val="24"/>
          <w:szCs w:val="24"/>
        </w:rPr>
      </w:pPr>
      <w:r>
        <w:rPr>
          <w:rFonts w:ascii="宋体" w:hAnsi="宋体" w:eastAsia="宋体"/>
          <w:sz w:val="24"/>
          <w:szCs w:val="24"/>
        </w:rPr>
        <w:br w:type="page"/>
      </w:r>
      <w:r>
        <w:rPr>
          <w:rFonts w:ascii="宋体" w:hAnsi="宋体" w:eastAsia="宋体"/>
          <w:sz w:val="24"/>
          <w:szCs w:val="24"/>
        </w:rPr>
        <w:t>评分标准索引表</w:t>
      </w:r>
    </w:p>
    <w:tbl>
      <w:tblPr>
        <w:tblStyle w:val="4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340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704" w:type="dxa"/>
            <w:shd w:val="clear" w:color="auto" w:fill="auto"/>
            <w:vAlign w:val="center"/>
          </w:tcPr>
          <w:p>
            <w:pPr>
              <w:autoSpaceDE w:val="0"/>
              <w:autoSpaceDN w:val="0"/>
              <w:adjustRightInd w:val="0"/>
              <w:jc w:val="center"/>
              <w:rPr>
                <w:rFonts w:ascii="仿宋" w:hAnsi="仿宋" w:eastAsia="仿宋" w:cs="宋体"/>
                <w:sz w:val="24"/>
                <w:szCs w:val="24"/>
              </w:rPr>
            </w:pPr>
            <w:r>
              <w:rPr>
                <w:rFonts w:hint="eastAsia" w:ascii="仿宋" w:hAnsi="仿宋" w:eastAsia="仿宋" w:cs="宋体"/>
                <w:sz w:val="24"/>
                <w:szCs w:val="24"/>
              </w:rPr>
              <w:t>序号</w:t>
            </w:r>
          </w:p>
        </w:tc>
        <w:tc>
          <w:tcPr>
            <w:tcW w:w="1704" w:type="dxa"/>
            <w:shd w:val="clear" w:color="auto" w:fill="auto"/>
            <w:vAlign w:val="center"/>
          </w:tcPr>
          <w:p>
            <w:pPr>
              <w:autoSpaceDE w:val="0"/>
              <w:autoSpaceDN w:val="0"/>
              <w:adjustRightInd w:val="0"/>
              <w:jc w:val="center"/>
              <w:rPr>
                <w:rFonts w:ascii="仿宋" w:hAnsi="仿宋" w:eastAsia="仿宋" w:cs="宋体"/>
                <w:sz w:val="24"/>
                <w:szCs w:val="24"/>
              </w:rPr>
            </w:pPr>
            <w:r>
              <w:rPr>
                <w:rFonts w:hint="eastAsia" w:ascii="仿宋" w:hAnsi="仿宋" w:eastAsia="仿宋" w:cs="宋体"/>
                <w:sz w:val="24"/>
                <w:szCs w:val="24"/>
              </w:rPr>
              <w:t>评分内容</w:t>
            </w:r>
          </w:p>
        </w:tc>
        <w:tc>
          <w:tcPr>
            <w:tcW w:w="3409" w:type="dxa"/>
            <w:shd w:val="clear" w:color="auto" w:fill="auto"/>
            <w:vAlign w:val="center"/>
          </w:tcPr>
          <w:p>
            <w:pPr>
              <w:autoSpaceDE w:val="0"/>
              <w:autoSpaceDN w:val="0"/>
              <w:adjustRightInd w:val="0"/>
              <w:jc w:val="center"/>
              <w:rPr>
                <w:rFonts w:ascii="仿宋" w:hAnsi="仿宋" w:eastAsia="仿宋" w:cs="宋体"/>
                <w:sz w:val="24"/>
                <w:szCs w:val="24"/>
              </w:rPr>
            </w:pPr>
            <w:r>
              <w:rPr>
                <w:rFonts w:hint="eastAsia" w:ascii="仿宋" w:hAnsi="仿宋" w:eastAsia="仿宋" w:cs="宋体"/>
                <w:sz w:val="24"/>
                <w:szCs w:val="24"/>
              </w:rPr>
              <w:t>评审标准</w:t>
            </w:r>
          </w:p>
        </w:tc>
        <w:tc>
          <w:tcPr>
            <w:tcW w:w="1705" w:type="dxa"/>
            <w:shd w:val="clear" w:color="auto" w:fill="auto"/>
            <w:vAlign w:val="center"/>
          </w:tcPr>
          <w:p>
            <w:pPr>
              <w:autoSpaceDE w:val="0"/>
              <w:autoSpaceDN w:val="0"/>
              <w:adjustRightInd w:val="0"/>
              <w:jc w:val="center"/>
              <w:rPr>
                <w:rFonts w:ascii="仿宋" w:hAnsi="仿宋" w:eastAsia="仿宋" w:cs="宋体"/>
                <w:sz w:val="24"/>
                <w:szCs w:val="24"/>
              </w:rPr>
            </w:pPr>
            <w:r>
              <w:rPr>
                <w:rFonts w:hint="eastAsia" w:ascii="仿宋" w:hAnsi="仿宋" w:eastAsia="仿宋" w:cs="宋体"/>
                <w:sz w:val="24"/>
                <w:szCs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8522" w:type="dxa"/>
            <w:gridSpan w:val="4"/>
            <w:shd w:val="clear" w:color="auto" w:fill="auto"/>
            <w:vAlign w:val="center"/>
          </w:tcPr>
          <w:p>
            <w:pPr>
              <w:autoSpaceDE w:val="0"/>
              <w:autoSpaceDN w:val="0"/>
              <w:adjustRightInd w:val="0"/>
              <w:jc w:val="center"/>
              <w:rPr>
                <w:rFonts w:ascii="仿宋" w:hAnsi="仿宋" w:eastAsia="仿宋" w:cs="宋体"/>
                <w:sz w:val="24"/>
                <w:szCs w:val="24"/>
              </w:rPr>
            </w:pPr>
            <w:r>
              <w:rPr>
                <w:rFonts w:hint="eastAsia" w:ascii="仿宋" w:hAnsi="仿宋" w:eastAsia="仿宋" w:cs="宋体"/>
                <w:sz w:val="24"/>
                <w:szCs w:val="24"/>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3409"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5" w:type="dxa"/>
            <w:shd w:val="clear" w:color="auto" w:fill="auto"/>
            <w:vAlign w:val="center"/>
          </w:tcPr>
          <w:p>
            <w:pPr>
              <w:autoSpaceDE w:val="0"/>
              <w:autoSpaceDN w:val="0"/>
              <w:adjustRightInd w:val="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3409"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5" w:type="dxa"/>
            <w:shd w:val="clear" w:color="auto" w:fill="auto"/>
            <w:vAlign w:val="center"/>
          </w:tcPr>
          <w:p>
            <w:pPr>
              <w:autoSpaceDE w:val="0"/>
              <w:autoSpaceDN w:val="0"/>
              <w:adjustRightInd w:val="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3409"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5" w:type="dxa"/>
            <w:shd w:val="clear" w:color="auto" w:fill="auto"/>
            <w:vAlign w:val="center"/>
          </w:tcPr>
          <w:p>
            <w:pPr>
              <w:autoSpaceDE w:val="0"/>
              <w:autoSpaceDN w:val="0"/>
              <w:adjustRightInd w:val="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8522" w:type="dxa"/>
            <w:gridSpan w:val="4"/>
            <w:shd w:val="clear" w:color="auto" w:fill="auto"/>
            <w:vAlign w:val="center"/>
          </w:tcPr>
          <w:p>
            <w:pPr>
              <w:autoSpaceDE w:val="0"/>
              <w:autoSpaceDN w:val="0"/>
              <w:adjustRightInd w:val="0"/>
              <w:jc w:val="center"/>
              <w:rPr>
                <w:rFonts w:ascii="仿宋" w:hAnsi="仿宋" w:eastAsia="仿宋" w:cs="宋体"/>
                <w:sz w:val="24"/>
                <w:szCs w:val="24"/>
              </w:rPr>
            </w:pPr>
            <w:r>
              <w:rPr>
                <w:rFonts w:hint="eastAsia" w:ascii="仿宋" w:hAnsi="仿宋" w:eastAsia="仿宋" w:cs="宋体"/>
                <w:sz w:val="24"/>
                <w:szCs w:val="24"/>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3409"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5" w:type="dxa"/>
            <w:shd w:val="clear" w:color="auto" w:fill="auto"/>
            <w:vAlign w:val="center"/>
          </w:tcPr>
          <w:p>
            <w:pPr>
              <w:autoSpaceDE w:val="0"/>
              <w:autoSpaceDN w:val="0"/>
              <w:adjustRightInd w:val="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3409"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5" w:type="dxa"/>
            <w:shd w:val="clear" w:color="auto" w:fill="auto"/>
            <w:vAlign w:val="center"/>
          </w:tcPr>
          <w:p>
            <w:pPr>
              <w:autoSpaceDE w:val="0"/>
              <w:autoSpaceDN w:val="0"/>
              <w:adjustRightInd w:val="0"/>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4" w:type="dxa"/>
            <w:shd w:val="clear" w:color="auto" w:fill="auto"/>
            <w:vAlign w:val="center"/>
          </w:tcPr>
          <w:p>
            <w:pPr>
              <w:autoSpaceDE w:val="0"/>
              <w:autoSpaceDN w:val="0"/>
              <w:adjustRightInd w:val="0"/>
              <w:jc w:val="center"/>
              <w:rPr>
                <w:rFonts w:ascii="仿宋" w:hAnsi="仿宋" w:eastAsia="仿宋" w:cs="宋体"/>
                <w:sz w:val="24"/>
                <w:szCs w:val="24"/>
              </w:rPr>
            </w:pPr>
          </w:p>
        </w:tc>
        <w:tc>
          <w:tcPr>
            <w:tcW w:w="3409" w:type="dxa"/>
            <w:shd w:val="clear" w:color="auto" w:fill="auto"/>
            <w:vAlign w:val="center"/>
          </w:tcPr>
          <w:p>
            <w:pPr>
              <w:autoSpaceDE w:val="0"/>
              <w:autoSpaceDN w:val="0"/>
              <w:adjustRightInd w:val="0"/>
              <w:jc w:val="center"/>
              <w:rPr>
                <w:rFonts w:ascii="仿宋" w:hAnsi="仿宋" w:eastAsia="仿宋" w:cs="宋体"/>
                <w:sz w:val="24"/>
                <w:szCs w:val="24"/>
              </w:rPr>
            </w:pPr>
          </w:p>
        </w:tc>
        <w:tc>
          <w:tcPr>
            <w:tcW w:w="1705" w:type="dxa"/>
            <w:shd w:val="clear" w:color="auto" w:fill="auto"/>
            <w:vAlign w:val="center"/>
          </w:tcPr>
          <w:p>
            <w:pPr>
              <w:autoSpaceDE w:val="0"/>
              <w:autoSpaceDN w:val="0"/>
              <w:adjustRightInd w:val="0"/>
              <w:jc w:val="center"/>
              <w:rPr>
                <w:rFonts w:ascii="仿宋" w:hAnsi="仿宋" w:eastAsia="仿宋" w:cs="宋体"/>
                <w:sz w:val="24"/>
                <w:szCs w:val="24"/>
              </w:rPr>
            </w:pPr>
          </w:p>
        </w:tc>
      </w:tr>
    </w:tbl>
    <w:p>
      <w:pPr>
        <w:pStyle w:val="18"/>
        <w:jc w:val="center"/>
        <w:rPr>
          <w:sz w:val="24"/>
        </w:rPr>
      </w:pPr>
    </w:p>
    <w:p>
      <w:pPr>
        <w:pStyle w:val="118"/>
        <w:ind w:firstLine="2164" w:firstLineChars="902"/>
        <w:rPr>
          <w:rFonts w:ascii="宋体" w:eastAsia="宋体"/>
          <w:sz w:val="24"/>
          <w:szCs w:val="24"/>
        </w:rPr>
        <w:sectPr>
          <w:footerReference r:id="rId7" w:type="first"/>
          <w:footerReference r:id="rId5" w:type="default"/>
          <w:footerReference r:id="rId6" w:type="even"/>
          <w:pgSz w:w="11907" w:h="16840"/>
          <w:pgMar w:top="1729" w:right="1531" w:bottom="1712" w:left="1531" w:header="1135" w:footer="794" w:gutter="0"/>
          <w:cols w:space="720" w:num="1"/>
          <w:docGrid w:linePitch="523" w:charSpace="0"/>
        </w:sectPr>
      </w:pPr>
    </w:p>
    <w:p>
      <w:pPr>
        <w:pStyle w:val="4"/>
        <w:rPr>
          <w:rFonts w:ascii="宋体" w:hAnsi="宋体" w:eastAsia="宋体"/>
          <w:sz w:val="24"/>
          <w:szCs w:val="24"/>
        </w:rPr>
      </w:pPr>
      <w:bookmarkStart w:id="74" w:name="_Toc210188793"/>
      <w:bookmarkStart w:id="75" w:name="_Toc88985366"/>
      <w:bookmarkStart w:id="76" w:name="_Toc417050358"/>
      <w:bookmarkStart w:id="77" w:name="_Toc8904111"/>
      <w:r>
        <w:rPr>
          <w:rFonts w:hint="eastAsia" w:ascii="宋体" w:hAnsi="宋体" w:eastAsia="宋体"/>
          <w:sz w:val="24"/>
          <w:szCs w:val="24"/>
        </w:rPr>
        <w:t>一、</w:t>
      </w:r>
      <w:bookmarkEnd w:id="74"/>
      <w:bookmarkEnd w:id="75"/>
      <w:r>
        <w:rPr>
          <w:rFonts w:hint="eastAsia" w:ascii="宋体" w:hAnsi="宋体" w:eastAsia="宋体"/>
          <w:sz w:val="24"/>
          <w:szCs w:val="24"/>
        </w:rPr>
        <w:t>价格文件</w:t>
      </w:r>
      <w:bookmarkEnd w:id="76"/>
      <w:bookmarkEnd w:id="77"/>
    </w:p>
    <w:p>
      <w:pPr>
        <w:pStyle w:val="95"/>
        <w:spacing w:afterLines="300"/>
        <w:jc w:val="center"/>
        <w:rPr>
          <w:color w:val="auto"/>
          <w:sz w:val="24"/>
          <w:szCs w:val="24"/>
        </w:rPr>
      </w:pPr>
      <w:bookmarkStart w:id="78" w:name="_Toc8904112"/>
      <w:bookmarkStart w:id="79" w:name="_Toc417050360"/>
      <w:r>
        <w:rPr>
          <w:rFonts w:hint="eastAsia"/>
          <w:color w:val="auto"/>
          <w:sz w:val="24"/>
          <w:szCs w:val="24"/>
        </w:rPr>
        <w:t>（一）开标一览表（报价总表）</w:t>
      </w:r>
      <w:bookmarkEnd w:id="78"/>
    </w:p>
    <w:tbl>
      <w:tblPr>
        <w:tblStyle w:val="43"/>
        <w:tblW w:w="153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6"/>
        <w:gridCol w:w="2825"/>
        <w:gridCol w:w="2277"/>
        <w:gridCol w:w="3402"/>
        <w:gridCol w:w="1985"/>
        <w:gridCol w:w="1701"/>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9"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500" w:lineRule="exact"/>
              <w:ind w:firstLine="0"/>
              <w:jc w:val="center"/>
              <w:rPr>
                <w:rFonts w:ascii="宋体" w:hAnsi="宋体" w:eastAsia="宋体"/>
                <w:sz w:val="24"/>
                <w:szCs w:val="24"/>
              </w:rPr>
            </w:pPr>
            <w:r>
              <w:rPr>
                <w:rFonts w:hint="eastAsia" w:ascii="宋体" w:hAnsi="宋体" w:eastAsia="宋体"/>
                <w:sz w:val="24"/>
                <w:szCs w:val="24"/>
              </w:rPr>
              <w:t>包号</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500" w:lineRule="exact"/>
              <w:ind w:firstLine="0"/>
              <w:jc w:val="center"/>
              <w:rPr>
                <w:rFonts w:ascii="宋体" w:hAnsi="宋体" w:eastAsia="宋体"/>
                <w:sz w:val="24"/>
                <w:szCs w:val="24"/>
              </w:rPr>
            </w:pPr>
            <w:r>
              <w:rPr>
                <w:rFonts w:hint="eastAsia" w:ascii="宋体" w:hAnsi="宋体" w:eastAsia="宋体"/>
                <w:sz w:val="24"/>
                <w:szCs w:val="24"/>
              </w:rPr>
              <w:t>项目名称</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500" w:lineRule="exact"/>
              <w:ind w:firstLine="0"/>
              <w:jc w:val="center"/>
              <w:rPr>
                <w:rFonts w:ascii="宋体" w:hAnsi="宋体" w:eastAsia="宋体"/>
                <w:sz w:val="24"/>
                <w:szCs w:val="24"/>
              </w:rPr>
            </w:pPr>
            <w:r>
              <w:rPr>
                <w:rFonts w:hint="eastAsia" w:ascii="宋体" w:hAnsi="宋体" w:eastAsia="宋体"/>
                <w:sz w:val="24"/>
                <w:szCs w:val="24"/>
              </w:rPr>
              <w:t>总报价（元）</w:t>
            </w:r>
          </w:p>
        </w:tc>
        <w:tc>
          <w:tcPr>
            <w:tcW w:w="1985"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500" w:lineRule="exact"/>
              <w:ind w:firstLine="0"/>
              <w:jc w:val="center"/>
              <w:rPr>
                <w:rFonts w:ascii="宋体" w:hAnsi="宋体" w:eastAsia="宋体"/>
                <w:sz w:val="24"/>
                <w:szCs w:val="24"/>
              </w:rPr>
            </w:pPr>
            <w:r>
              <w:rPr>
                <w:rFonts w:hint="eastAsia" w:ascii="宋体" w:hAnsi="宋体" w:eastAsia="宋体"/>
                <w:sz w:val="24"/>
                <w:szCs w:val="24"/>
              </w:rPr>
              <w:t>供货期</w:t>
            </w:r>
          </w:p>
        </w:tc>
        <w:tc>
          <w:tcPr>
            <w:tcW w:w="1701"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500" w:lineRule="exact"/>
              <w:ind w:firstLine="0"/>
              <w:jc w:val="center"/>
              <w:rPr>
                <w:rFonts w:ascii="宋体" w:hAnsi="宋体" w:eastAsia="宋体"/>
                <w:sz w:val="24"/>
                <w:szCs w:val="24"/>
              </w:rPr>
            </w:pPr>
            <w:r>
              <w:rPr>
                <w:rFonts w:hint="eastAsia" w:ascii="宋体" w:hAnsi="宋体" w:eastAsia="宋体"/>
                <w:sz w:val="24"/>
                <w:szCs w:val="24"/>
              </w:rPr>
              <w:t>质保期</w:t>
            </w:r>
          </w:p>
        </w:tc>
        <w:tc>
          <w:tcPr>
            <w:tcW w:w="1843"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500" w:lineRule="exact"/>
              <w:ind w:firstLine="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600" w:lineRule="exact"/>
              <w:ind w:firstLine="0"/>
              <w:jc w:val="center"/>
              <w:rPr>
                <w:rFonts w:ascii="宋体" w:hAnsi="宋体" w:eastAsia="宋体"/>
                <w:sz w:val="24"/>
                <w:szCs w:val="24"/>
              </w:rPr>
            </w:pPr>
            <w:r>
              <w:rPr>
                <w:rFonts w:hint="eastAsia" w:ascii="宋体" w:hAnsi="宋体" w:eastAsia="宋体"/>
                <w:sz w:val="24"/>
                <w:szCs w:val="24"/>
              </w:rPr>
              <w:t>A</w:t>
            </w:r>
          </w:p>
        </w:tc>
        <w:tc>
          <w:tcPr>
            <w:tcW w:w="5102" w:type="dxa"/>
            <w:gridSpan w:val="2"/>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400" w:lineRule="exact"/>
              <w:ind w:firstLine="0"/>
              <w:jc w:val="center"/>
              <w:rPr>
                <w:rFonts w:ascii="宋体" w:hAnsi="宋体" w:eastAsia="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600" w:lineRule="exact"/>
              <w:ind w:firstLine="0"/>
              <w:jc w:val="center"/>
              <w:rPr>
                <w:rFonts w:ascii="宋体" w:hAnsi="宋体" w:eastAsia="宋体"/>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600" w:lineRule="exact"/>
              <w:ind w:firstLine="0"/>
              <w:jc w:val="center"/>
              <w:rPr>
                <w:rFonts w:ascii="宋体" w:hAnsi="宋体" w:eastAsia="宋体"/>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600" w:lineRule="exact"/>
              <w:ind w:firstLine="0"/>
              <w:jc w:val="center"/>
              <w:rPr>
                <w:rFonts w:ascii="宋体" w:hAnsi="宋体" w:eastAsia="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600" w:lineRule="exact"/>
              <w:ind w:firstLine="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6" w:hRule="atLeast"/>
          <w:jc w:val="center"/>
        </w:trPr>
        <w:tc>
          <w:tcPr>
            <w:tcW w:w="4101" w:type="dxa"/>
            <w:gridSpan w:val="2"/>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600" w:lineRule="exact"/>
              <w:ind w:firstLine="0"/>
              <w:jc w:val="center"/>
              <w:rPr>
                <w:rFonts w:ascii="宋体" w:hAnsi="宋体" w:eastAsia="宋体"/>
                <w:sz w:val="24"/>
                <w:szCs w:val="24"/>
              </w:rPr>
            </w:pPr>
            <w:r>
              <w:rPr>
                <w:rFonts w:hint="eastAsia" w:ascii="宋体" w:hAnsi="宋体" w:eastAsia="宋体"/>
                <w:sz w:val="24"/>
                <w:szCs w:val="24"/>
              </w:rPr>
              <w:t>总报价大写金额</w:t>
            </w:r>
          </w:p>
        </w:tc>
        <w:tc>
          <w:tcPr>
            <w:tcW w:w="11208" w:type="dxa"/>
            <w:gridSpan w:val="5"/>
            <w:tcBorders>
              <w:top w:val="single" w:color="auto" w:sz="4" w:space="0"/>
              <w:left w:val="single" w:color="auto" w:sz="4" w:space="0"/>
              <w:bottom w:val="single" w:color="auto" w:sz="4" w:space="0"/>
              <w:right w:val="single" w:color="auto" w:sz="4" w:space="0"/>
            </w:tcBorders>
            <w:vAlign w:val="center"/>
          </w:tcPr>
          <w:p>
            <w:pPr>
              <w:pStyle w:val="109"/>
              <w:widowControl w:val="0"/>
              <w:overflowPunct w:val="0"/>
              <w:adjustRightInd w:val="0"/>
              <w:spacing w:line="600" w:lineRule="exact"/>
              <w:ind w:firstLine="0"/>
              <w:rPr>
                <w:rFonts w:ascii="宋体" w:hAnsi="宋体" w:eastAsia="宋体"/>
                <w:sz w:val="24"/>
                <w:szCs w:val="24"/>
              </w:rPr>
            </w:pPr>
          </w:p>
        </w:tc>
      </w:tr>
    </w:tbl>
    <w:p>
      <w:pPr>
        <w:overflowPunct w:val="0"/>
        <w:adjustRightInd w:val="0"/>
        <w:spacing w:line="600" w:lineRule="exact"/>
        <w:rPr>
          <w:rFonts w:ascii="宋体" w:hAnsi="宋体"/>
          <w:sz w:val="24"/>
          <w:szCs w:val="24"/>
        </w:rPr>
      </w:pPr>
      <w:r>
        <w:rPr>
          <w:rFonts w:hint="eastAsia" w:ascii="宋体" w:hAnsi="宋体"/>
          <w:sz w:val="24"/>
          <w:szCs w:val="24"/>
        </w:rPr>
        <w:t>注：投标总报价超过采购预算或最高限价的按照无效投标处理。</w:t>
      </w:r>
    </w:p>
    <w:p>
      <w:pPr>
        <w:overflowPunct w:val="0"/>
        <w:adjustRightInd w:val="0"/>
        <w:spacing w:line="600" w:lineRule="exact"/>
        <w:rPr>
          <w:rFonts w:ascii="宋体" w:hAnsi="宋体"/>
          <w:sz w:val="24"/>
          <w:szCs w:val="24"/>
        </w:rPr>
      </w:pPr>
      <w:r>
        <w:rPr>
          <w:rFonts w:hint="eastAsia" w:ascii="宋体" w:hAnsi="宋体"/>
          <w:sz w:val="24"/>
          <w:szCs w:val="24"/>
        </w:rPr>
        <w:t>供应商名称（盖公章）：</w:t>
      </w:r>
    </w:p>
    <w:p>
      <w:pPr>
        <w:pStyle w:val="87"/>
        <w:ind w:firstLine="0" w:firstLineChars="0"/>
        <w:rPr>
          <w:rFonts w:ascii="宋体" w:eastAsia="宋体"/>
          <w:sz w:val="24"/>
          <w:szCs w:val="24"/>
        </w:rPr>
        <w:sectPr>
          <w:pgSz w:w="16840" w:h="11907" w:orient="landscape"/>
          <w:pgMar w:top="1531" w:right="2041" w:bottom="1531" w:left="1713" w:header="993" w:footer="1474" w:gutter="0"/>
          <w:paperSrc w:first="15" w:other="15"/>
          <w:cols w:space="720" w:num="1"/>
          <w:docGrid w:linePitch="523" w:charSpace="0"/>
        </w:sectPr>
      </w:pPr>
      <w:r>
        <w:rPr>
          <w:rFonts w:hint="eastAsia" w:ascii="宋体" w:eastAsia="宋体"/>
          <w:sz w:val="24"/>
          <w:szCs w:val="24"/>
        </w:rPr>
        <w:t>日期：</w:t>
      </w:r>
    </w:p>
    <w:p>
      <w:pPr>
        <w:pStyle w:val="95"/>
        <w:jc w:val="center"/>
        <w:rPr>
          <w:color w:val="auto"/>
          <w:sz w:val="24"/>
          <w:szCs w:val="24"/>
        </w:rPr>
      </w:pPr>
      <w:bookmarkStart w:id="80" w:name="_Toc8904113"/>
      <w:r>
        <w:rPr>
          <w:rFonts w:hint="eastAsia"/>
          <w:color w:val="auto"/>
          <w:sz w:val="24"/>
          <w:szCs w:val="24"/>
        </w:rPr>
        <w:t>（二）</w:t>
      </w:r>
      <w:bookmarkEnd w:id="79"/>
      <w:r>
        <w:rPr>
          <w:rFonts w:hint="eastAsia"/>
          <w:color w:val="auto"/>
          <w:sz w:val="24"/>
          <w:szCs w:val="24"/>
        </w:rPr>
        <w:t>报价明细表</w:t>
      </w:r>
      <w:bookmarkEnd w:id="80"/>
    </w:p>
    <w:tbl>
      <w:tblPr>
        <w:tblStyle w:val="43"/>
        <w:tblW w:w="918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980"/>
        <w:gridCol w:w="723"/>
        <w:gridCol w:w="1626"/>
        <w:gridCol w:w="1080"/>
        <w:gridCol w:w="900"/>
        <w:gridCol w:w="813"/>
        <w:gridCol w:w="13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r>
              <w:rPr>
                <w:rFonts w:hint="eastAsia"/>
              </w:rPr>
              <w:t>序号</w:t>
            </w:r>
          </w:p>
        </w:tc>
        <w:tc>
          <w:tcPr>
            <w:tcW w:w="1980" w:type="dxa"/>
            <w:vAlign w:val="center"/>
          </w:tcPr>
          <w:p>
            <w:pPr>
              <w:jc w:val="center"/>
            </w:pPr>
            <w:r>
              <w:rPr>
                <w:rFonts w:hint="eastAsia"/>
              </w:rPr>
              <w:t>货物/服务名称</w:t>
            </w:r>
          </w:p>
        </w:tc>
        <w:tc>
          <w:tcPr>
            <w:tcW w:w="723" w:type="dxa"/>
            <w:vAlign w:val="center"/>
          </w:tcPr>
          <w:p>
            <w:pPr>
              <w:jc w:val="center"/>
            </w:pPr>
            <w:r>
              <w:rPr>
                <w:rFonts w:hint="eastAsia"/>
              </w:rPr>
              <w:t>单位</w:t>
            </w:r>
          </w:p>
        </w:tc>
        <w:tc>
          <w:tcPr>
            <w:tcW w:w="1626" w:type="dxa"/>
            <w:vAlign w:val="center"/>
          </w:tcPr>
          <w:p>
            <w:pPr>
              <w:jc w:val="center"/>
            </w:pPr>
            <w:r>
              <w:rPr>
                <w:rFonts w:hint="eastAsia"/>
              </w:rPr>
              <w:t>计算依据（选填）</w:t>
            </w:r>
          </w:p>
        </w:tc>
        <w:tc>
          <w:tcPr>
            <w:tcW w:w="1080" w:type="dxa"/>
            <w:vAlign w:val="center"/>
          </w:tcPr>
          <w:p>
            <w:pPr>
              <w:jc w:val="center"/>
            </w:pPr>
            <w:r>
              <w:rPr>
                <w:rFonts w:hint="eastAsia"/>
              </w:rPr>
              <w:t>单价（元）</w:t>
            </w:r>
          </w:p>
        </w:tc>
        <w:tc>
          <w:tcPr>
            <w:tcW w:w="900" w:type="dxa"/>
            <w:vAlign w:val="center"/>
          </w:tcPr>
          <w:p>
            <w:pPr>
              <w:jc w:val="center"/>
            </w:pPr>
            <w:r>
              <w:rPr>
                <w:rFonts w:hint="eastAsia"/>
              </w:rPr>
              <w:t>数量</w:t>
            </w:r>
          </w:p>
        </w:tc>
        <w:tc>
          <w:tcPr>
            <w:tcW w:w="813" w:type="dxa"/>
            <w:vAlign w:val="center"/>
          </w:tcPr>
          <w:p>
            <w:pPr>
              <w:jc w:val="center"/>
            </w:pPr>
            <w:r>
              <w:rPr>
                <w:rFonts w:hint="eastAsia"/>
              </w:rPr>
              <w:t>小计</w:t>
            </w:r>
          </w:p>
        </w:tc>
        <w:tc>
          <w:tcPr>
            <w:tcW w:w="1391" w:type="dxa"/>
            <w:vAlign w:val="center"/>
          </w:tcPr>
          <w:p>
            <w:pPr>
              <w:jc w:val="center"/>
            </w:pPr>
            <w:r>
              <w:rPr>
                <w:rFonts w:hint="eastAsia"/>
              </w:rPr>
              <w:t>是否属于小型或微型企业产品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p>
        </w:tc>
        <w:tc>
          <w:tcPr>
            <w:tcW w:w="1980" w:type="dxa"/>
            <w:vAlign w:val="center"/>
          </w:tcPr>
          <w:p>
            <w:pPr>
              <w:jc w:val="center"/>
            </w:pPr>
          </w:p>
        </w:tc>
        <w:tc>
          <w:tcPr>
            <w:tcW w:w="723" w:type="dxa"/>
            <w:vAlign w:val="center"/>
          </w:tcPr>
          <w:p>
            <w:pPr>
              <w:jc w:val="center"/>
            </w:pPr>
          </w:p>
        </w:tc>
        <w:tc>
          <w:tcPr>
            <w:tcW w:w="1626" w:type="dxa"/>
            <w:vAlign w:val="center"/>
          </w:tcPr>
          <w:p>
            <w:pPr>
              <w:jc w:val="center"/>
            </w:pPr>
          </w:p>
        </w:tc>
        <w:tc>
          <w:tcPr>
            <w:tcW w:w="1080" w:type="dxa"/>
            <w:vAlign w:val="center"/>
          </w:tcPr>
          <w:p>
            <w:pPr>
              <w:jc w:val="center"/>
            </w:pPr>
          </w:p>
        </w:tc>
        <w:tc>
          <w:tcPr>
            <w:tcW w:w="900" w:type="dxa"/>
            <w:vAlign w:val="center"/>
          </w:tcPr>
          <w:p>
            <w:pPr>
              <w:jc w:val="center"/>
            </w:pPr>
          </w:p>
        </w:tc>
        <w:tc>
          <w:tcPr>
            <w:tcW w:w="813" w:type="dxa"/>
            <w:vAlign w:val="center"/>
          </w:tcPr>
          <w:p>
            <w:pPr>
              <w:jc w:val="center"/>
            </w:pPr>
          </w:p>
        </w:tc>
        <w:tc>
          <w:tcPr>
            <w:tcW w:w="13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p>
        </w:tc>
        <w:tc>
          <w:tcPr>
            <w:tcW w:w="1980" w:type="dxa"/>
            <w:vAlign w:val="center"/>
          </w:tcPr>
          <w:p>
            <w:pPr>
              <w:jc w:val="center"/>
            </w:pPr>
          </w:p>
        </w:tc>
        <w:tc>
          <w:tcPr>
            <w:tcW w:w="723" w:type="dxa"/>
            <w:vAlign w:val="center"/>
          </w:tcPr>
          <w:p>
            <w:pPr>
              <w:jc w:val="center"/>
            </w:pPr>
          </w:p>
        </w:tc>
        <w:tc>
          <w:tcPr>
            <w:tcW w:w="1626" w:type="dxa"/>
            <w:vAlign w:val="center"/>
          </w:tcPr>
          <w:p>
            <w:pPr>
              <w:jc w:val="center"/>
            </w:pPr>
          </w:p>
        </w:tc>
        <w:tc>
          <w:tcPr>
            <w:tcW w:w="1080" w:type="dxa"/>
            <w:vAlign w:val="center"/>
          </w:tcPr>
          <w:p>
            <w:pPr>
              <w:jc w:val="center"/>
            </w:pPr>
          </w:p>
        </w:tc>
        <w:tc>
          <w:tcPr>
            <w:tcW w:w="900" w:type="dxa"/>
            <w:vAlign w:val="center"/>
          </w:tcPr>
          <w:p>
            <w:pPr>
              <w:jc w:val="center"/>
            </w:pPr>
          </w:p>
        </w:tc>
        <w:tc>
          <w:tcPr>
            <w:tcW w:w="813" w:type="dxa"/>
            <w:vAlign w:val="center"/>
          </w:tcPr>
          <w:p>
            <w:pPr>
              <w:jc w:val="center"/>
            </w:pPr>
          </w:p>
        </w:tc>
        <w:tc>
          <w:tcPr>
            <w:tcW w:w="13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p>
        </w:tc>
        <w:tc>
          <w:tcPr>
            <w:tcW w:w="1980" w:type="dxa"/>
            <w:vAlign w:val="center"/>
          </w:tcPr>
          <w:p>
            <w:pPr>
              <w:jc w:val="center"/>
            </w:pPr>
          </w:p>
        </w:tc>
        <w:tc>
          <w:tcPr>
            <w:tcW w:w="723" w:type="dxa"/>
            <w:vAlign w:val="center"/>
          </w:tcPr>
          <w:p>
            <w:pPr>
              <w:jc w:val="center"/>
            </w:pPr>
          </w:p>
        </w:tc>
        <w:tc>
          <w:tcPr>
            <w:tcW w:w="1626" w:type="dxa"/>
            <w:vAlign w:val="center"/>
          </w:tcPr>
          <w:p>
            <w:pPr>
              <w:jc w:val="center"/>
            </w:pPr>
          </w:p>
        </w:tc>
        <w:tc>
          <w:tcPr>
            <w:tcW w:w="1080" w:type="dxa"/>
            <w:vAlign w:val="center"/>
          </w:tcPr>
          <w:p>
            <w:pPr>
              <w:jc w:val="center"/>
            </w:pPr>
          </w:p>
        </w:tc>
        <w:tc>
          <w:tcPr>
            <w:tcW w:w="900" w:type="dxa"/>
            <w:vAlign w:val="center"/>
          </w:tcPr>
          <w:p>
            <w:pPr>
              <w:jc w:val="center"/>
            </w:pPr>
          </w:p>
        </w:tc>
        <w:tc>
          <w:tcPr>
            <w:tcW w:w="813" w:type="dxa"/>
            <w:vAlign w:val="center"/>
          </w:tcPr>
          <w:p>
            <w:pPr>
              <w:jc w:val="center"/>
            </w:pPr>
          </w:p>
        </w:tc>
        <w:tc>
          <w:tcPr>
            <w:tcW w:w="13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p>
        </w:tc>
        <w:tc>
          <w:tcPr>
            <w:tcW w:w="1980" w:type="dxa"/>
            <w:vAlign w:val="center"/>
          </w:tcPr>
          <w:p>
            <w:pPr>
              <w:jc w:val="center"/>
            </w:pPr>
          </w:p>
        </w:tc>
        <w:tc>
          <w:tcPr>
            <w:tcW w:w="723" w:type="dxa"/>
            <w:vAlign w:val="center"/>
          </w:tcPr>
          <w:p>
            <w:pPr>
              <w:jc w:val="center"/>
            </w:pPr>
          </w:p>
        </w:tc>
        <w:tc>
          <w:tcPr>
            <w:tcW w:w="1626" w:type="dxa"/>
            <w:vAlign w:val="center"/>
          </w:tcPr>
          <w:p>
            <w:pPr>
              <w:jc w:val="center"/>
            </w:pPr>
          </w:p>
        </w:tc>
        <w:tc>
          <w:tcPr>
            <w:tcW w:w="1080" w:type="dxa"/>
            <w:vAlign w:val="center"/>
          </w:tcPr>
          <w:p>
            <w:pPr>
              <w:jc w:val="center"/>
            </w:pPr>
          </w:p>
        </w:tc>
        <w:tc>
          <w:tcPr>
            <w:tcW w:w="900" w:type="dxa"/>
            <w:vAlign w:val="center"/>
          </w:tcPr>
          <w:p>
            <w:pPr>
              <w:jc w:val="center"/>
            </w:pPr>
          </w:p>
        </w:tc>
        <w:tc>
          <w:tcPr>
            <w:tcW w:w="813" w:type="dxa"/>
            <w:vAlign w:val="center"/>
          </w:tcPr>
          <w:p>
            <w:pPr>
              <w:jc w:val="center"/>
            </w:pPr>
          </w:p>
        </w:tc>
        <w:tc>
          <w:tcPr>
            <w:tcW w:w="13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p>
        </w:tc>
        <w:tc>
          <w:tcPr>
            <w:tcW w:w="1980" w:type="dxa"/>
            <w:vAlign w:val="center"/>
          </w:tcPr>
          <w:p>
            <w:pPr>
              <w:jc w:val="center"/>
            </w:pPr>
          </w:p>
        </w:tc>
        <w:tc>
          <w:tcPr>
            <w:tcW w:w="723" w:type="dxa"/>
            <w:vAlign w:val="center"/>
          </w:tcPr>
          <w:p>
            <w:pPr>
              <w:jc w:val="center"/>
            </w:pPr>
          </w:p>
        </w:tc>
        <w:tc>
          <w:tcPr>
            <w:tcW w:w="1626" w:type="dxa"/>
            <w:vAlign w:val="center"/>
          </w:tcPr>
          <w:p>
            <w:pPr>
              <w:jc w:val="center"/>
            </w:pPr>
          </w:p>
        </w:tc>
        <w:tc>
          <w:tcPr>
            <w:tcW w:w="1080" w:type="dxa"/>
            <w:vAlign w:val="center"/>
          </w:tcPr>
          <w:p>
            <w:pPr>
              <w:jc w:val="center"/>
            </w:pPr>
          </w:p>
        </w:tc>
        <w:tc>
          <w:tcPr>
            <w:tcW w:w="900" w:type="dxa"/>
            <w:vAlign w:val="center"/>
          </w:tcPr>
          <w:p>
            <w:pPr>
              <w:jc w:val="center"/>
            </w:pPr>
          </w:p>
        </w:tc>
        <w:tc>
          <w:tcPr>
            <w:tcW w:w="813" w:type="dxa"/>
            <w:vAlign w:val="center"/>
          </w:tcPr>
          <w:p>
            <w:pPr>
              <w:jc w:val="center"/>
            </w:pPr>
          </w:p>
        </w:tc>
        <w:tc>
          <w:tcPr>
            <w:tcW w:w="13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p>
        </w:tc>
        <w:tc>
          <w:tcPr>
            <w:tcW w:w="1980" w:type="dxa"/>
            <w:vAlign w:val="center"/>
          </w:tcPr>
          <w:p>
            <w:pPr>
              <w:jc w:val="center"/>
            </w:pPr>
          </w:p>
        </w:tc>
        <w:tc>
          <w:tcPr>
            <w:tcW w:w="723" w:type="dxa"/>
            <w:vAlign w:val="center"/>
          </w:tcPr>
          <w:p>
            <w:pPr>
              <w:jc w:val="center"/>
            </w:pPr>
          </w:p>
        </w:tc>
        <w:tc>
          <w:tcPr>
            <w:tcW w:w="1626" w:type="dxa"/>
            <w:vAlign w:val="center"/>
          </w:tcPr>
          <w:p>
            <w:pPr>
              <w:jc w:val="center"/>
            </w:pPr>
          </w:p>
        </w:tc>
        <w:tc>
          <w:tcPr>
            <w:tcW w:w="1080" w:type="dxa"/>
            <w:vAlign w:val="center"/>
          </w:tcPr>
          <w:p>
            <w:pPr>
              <w:jc w:val="center"/>
            </w:pPr>
          </w:p>
        </w:tc>
        <w:tc>
          <w:tcPr>
            <w:tcW w:w="900" w:type="dxa"/>
            <w:vAlign w:val="center"/>
          </w:tcPr>
          <w:p>
            <w:pPr>
              <w:jc w:val="center"/>
            </w:pPr>
          </w:p>
        </w:tc>
        <w:tc>
          <w:tcPr>
            <w:tcW w:w="813" w:type="dxa"/>
            <w:vAlign w:val="center"/>
          </w:tcPr>
          <w:p>
            <w:pPr>
              <w:jc w:val="center"/>
            </w:pPr>
          </w:p>
        </w:tc>
        <w:tc>
          <w:tcPr>
            <w:tcW w:w="13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675" w:type="dxa"/>
            <w:vAlign w:val="center"/>
          </w:tcPr>
          <w:p>
            <w:pPr>
              <w:jc w:val="center"/>
            </w:pPr>
          </w:p>
        </w:tc>
        <w:tc>
          <w:tcPr>
            <w:tcW w:w="1980" w:type="dxa"/>
            <w:vAlign w:val="center"/>
          </w:tcPr>
          <w:p>
            <w:pPr>
              <w:jc w:val="center"/>
            </w:pPr>
          </w:p>
        </w:tc>
        <w:tc>
          <w:tcPr>
            <w:tcW w:w="723" w:type="dxa"/>
            <w:vAlign w:val="center"/>
          </w:tcPr>
          <w:p>
            <w:pPr>
              <w:jc w:val="center"/>
            </w:pPr>
          </w:p>
        </w:tc>
        <w:tc>
          <w:tcPr>
            <w:tcW w:w="1626" w:type="dxa"/>
            <w:vAlign w:val="center"/>
          </w:tcPr>
          <w:p>
            <w:pPr>
              <w:jc w:val="center"/>
            </w:pPr>
          </w:p>
        </w:tc>
        <w:tc>
          <w:tcPr>
            <w:tcW w:w="1080" w:type="dxa"/>
            <w:vAlign w:val="center"/>
          </w:tcPr>
          <w:p>
            <w:pPr>
              <w:jc w:val="center"/>
            </w:pPr>
          </w:p>
        </w:tc>
        <w:tc>
          <w:tcPr>
            <w:tcW w:w="900" w:type="dxa"/>
            <w:vAlign w:val="center"/>
          </w:tcPr>
          <w:p>
            <w:pPr>
              <w:jc w:val="center"/>
            </w:pPr>
          </w:p>
        </w:tc>
        <w:tc>
          <w:tcPr>
            <w:tcW w:w="813" w:type="dxa"/>
            <w:vAlign w:val="center"/>
          </w:tcPr>
          <w:p>
            <w:pPr>
              <w:jc w:val="center"/>
            </w:pPr>
          </w:p>
        </w:tc>
        <w:tc>
          <w:tcPr>
            <w:tcW w:w="139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378" w:type="dxa"/>
            <w:gridSpan w:val="3"/>
            <w:vAlign w:val="center"/>
          </w:tcPr>
          <w:p>
            <w:pPr>
              <w:jc w:val="center"/>
            </w:pPr>
            <w:r>
              <w:rPr>
                <w:rFonts w:hint="eastAsia"/>
              </w:rPr>
              <w:t>小型或微型企业产品报价合计</w:t>
            </w:r>
          </w:p>
        </w:tc>
        <w:tc>
          <w:tcPr>
            <w:tcW w:w="581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378" w:type="dxa"/>
            <w:gridSpan w:val="3"/>
            <w:vAlign w:val="center"/>
          </w:tcPr>
          <w:p>
            <w:pPr>
              <w:jc w:val="center"/>
            </w:pPr>
            <w:r>
              <w:t>投标总价</w:t>
            </w:r>
          </w:p>
        </w:tc>
        <w:tc>
          <w:tcPr>
            <w:tcW w:w="581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61" w:hRule="atLeast"/>
          <w:jc w:val="center"/>
        </w:trPr>
        <w:tc>
          <w:tcPr>
            <w:tcW w:w="9188" w:type="dxa"/>
            <w:gridSpan w:val="8"/>
          </w:tcPr>
          <w:p>
            <w:r>
              <w:rPr>
                <w:rFonts w:hint="eastAsia"/>
              </w:rPr>
              <w:t>报价依据和说明（选填，可另附页）：</w:t>
            </w:r>
          </w:p>
        </w:tc>
      </w:tr>
    </w:tbl>
    <w:p>
      <w:pPr>
        <w:overflowPunct w:val="0"/>
        <w:adjustRightInd w:val="0"/>
        <w:spacing w:line="500" w:lineRule="exact"/>
        <w:rPr>
          <w:rFonts w:ascii="宋体" w:hAnsi="宋体"/>
          <w:sz w:val="24"/>
          <w:szCs w:val="24"/>
        </w:rPr>
      </w:pPr>
    </w:p>
    <w:p>
      <w:pPr>
        <w:overflowPunct w:val="0"/>
        <w:adjustRightInd w:val="0"/>
        <w:spacing w:line="500" w:lineRule="exact"/>
        <w:rPr>
          <w:rFonts w:ascii="宋体" w:hAnsi="宋体"/>
          <w:sz w:val="24"/>
          <w:szCs w:val="24"/>
        </w:rPr>
      </w:pPr>
      <w:r>
        <w:rPr>
          <w:rFonts w:hint="eastAsia" w:ascii="宋体" w:hAnsi="宋体"/>
          <w:sz w:val="24"/>
          <w:szCs w:val="24"/>
        </w:rPr>
        <w:t>注：1.此表乃报价总表的明细表。</w:t>
      </w:r>
    </w:p>
    <w:p>
      <w:pPr>
        <w:overflowPunct w:val="0"/>
        <w:adjustRightInd w:val="0"/>
        <w:spacing w:line="500" w:lineRule="exact"/>
        <w:rPr>
          <w:rFonts w:ascii="宋体" w:hAnsi="宋体"/>
          <w:sz w:val="24"/>
          <w:szCs w:val="24"/>
        </w:rPr>
      </w:pPr>
      <w:r>
        <w:rPr>
          <w:rFonts w:hint="eastAsia" w:ascii="宋体" w:hAnsi="宋体"/>
          <w:sz w:val="24"/>
          <w:szCs w:val="24"/>
        </w:rPr>
        <w:t>2.如果单价和总价不符时，以单价为准，修正总价。</w:t>
      </w:r>
    </w:p>
    <w:p>
      <w:pPr>
        <w:overflowPunct w:val="0"/>
        <w:adjustRightInd w:val="0"/>
        <w:spacing w:line="500" w:lineRule="exact"/>
        <w:rPr>
          <w:rFonts w:ascii="宋体" w:hAnsi="宋体"/>
          <w:sz w:val="24"/>
          <w:szCs w:val="24"/>
        </w:rPr>
      </w:pPr>
      <w:r>
        <w:rPr>
          <w:rFonts w:hint="eastAsia" w:ascii="宋体" w:hAnsi="宋体"/>
          <w:sz w:val="24"/>
          <w:szCs w:val="24"/>
        </w:rPr>
        <w:t>3.货物/服务制造商为小型或微型企业时才需要填“是否属于小型或微型企业产品”栏，填写内容为“是”或“否”。</w:t>
      </w: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r>
        <w:rPr>
          <w:rFonts w:hint="eastAsia" w:ascii="宋体" w:hAnsi="宋体"/>
          <w:sz w:val="24"/>
          <w:szCs w:val="24"/>
        </w:rPr>
        <w:t>供应商名称（盖公章）：</w:t>
      </w:r>
    </w:p>
    <w:p>
      <w:pPr>
        <w:pStyle w:val="18"/>
        <w:spacing w:after="0" w:line="560" w:lineRule="exact"/>
        <w:rPr>
          <w:rFonts w:ascii="宋体" w:hAnsi="宋体"/>
          <w:sz w:val="24"/>
          <w:szCs w:val="24"/>
        </w:rPr>
      </w:pPr>
      <w:r>
        <w:rPr>
          <w:rFonts w:hint="eastAsia" w:ascii="宋体" w:hAnsi="宋体"/>
          <w:sz w:val="24"/>
          <w:szCs w:val="24"/>
        </w:rPr>
        <w:t>日期：</w:t>
      </w:r>
    </w:p>
    <w:p>
      <w:pPr>
        <w:pStyle w:val="95"/>
        <w:jc w:val="center"/>
        <w:rPr>
          <w:color w:val="auto"/>
          <w:sz w:val="24"/>
          <w:szCs w:val="24"/>
        </w:rPr>
        <w:sectPr>
          <w:pgSz w:w="11907" w:h="16840"/>
          <w:pgMar w:top="1729" w:right="1531" w:bottom="1712" w:left="1531" w:header="1135" w:footer="1474" w:gutter="0"/>
          <w:paperSrc w:first="15" w:other="15"/>
          <w:cols w:space="720" w:num="1"/>
          <w:docGrid w:linePitch="523" w:charSpace="0"/>
        </w:sectPr>
      </w:pPr>
    </w:p>
    <w:p>
      <w:pPr>
        <w:pStyle w:val="4"/>
        <w:rPr>
          <w:rFonts w:ascii="宋体" w:hAnsi="宋体" w:eastAsia="宋体"/>
          <w:b w:val="0"/>
          <w:sz w:val="24"/>
          <w:szCs w:val="24"/>
        </w:rPr>
      </w:pPr>
      <w:bookmarkStart w:id="81" w:name="_Toc417050361"/>
      <w:bookmarkStart w:id="82" w:name="_Toc8904114"/>
      <w:r>
        <w:rPr>
          <w:rFonts w:hint="eastAsia" w:ascii="宋体" w:hAnsi="宋体" w:eastAsia="宋体"/>
          <w:sz w:val="24"/>
          <w:szCs w:val="24"/>
        </w:rPr>
        <w:t>二、商务文件</w:t>
      </w:r>
      <w:bookmarkEnd w:id="81"/>
      <w:bookmarkEnd w:id="82"/>
    </w:p>
    <w:p>
      <w:pPr>
        <w:pStyle w:val="95"/>
        <w:spacing w:before="0" w:after="0" w:line="560" w:lineRule="exact"/>
        <w:jc w:val="center"/>
        <w:rPr>
          <w:color w:val="auto"/>
          <w:sz w:val="24"/>
          <w:szCs w:val="24"/>
        </w:rPr>
      </w:pPr>
      <w:bookmarkStart w:id="83" w:name="_Toc8904115"/>
      <w:bookmarkStart w:id="84" w:name="_Toc417050362"/>
      <w:r>
        <w:rPr>
          <w:rFonts w:hint="eastAsia"/>
          <w:color w:val="auto"/>
          <w:sz w:val="24"/>
          <w:szCs w:val="24"/>
        </w:rPr>
        <w:t>（一）投标函</w:t>
      </w:r>
      <w:bookmarkEnd w:id="83"/>
      <w:bookmarkEnd w:id="84"/>
    </w:p>
    <w:p>
      <w:pPr>
        <w:pStyle w:val="87"/>
        <w:spacing w:line="560" w:lineRule="exact"/>
        <w:ind w:firstLine="0" w:firstLineChars="0"/>
        <w:rPr>
          <w:rFonts w:ascii="宋体" w:eastAsia="宋体"/>
          <w:sz w:val="24"/>
          <w:szCs w:val="24"/>
        </w:rPr>
      </w:pPr>
      <w:r>
        <w:rPr>
          <w:rFonts w:hint="eastAsia" w:ascii="宋体" w:eastAsia="宋体"/>
          <w:sz w:val="24"/>
          <w:szCs w:val="24"/>
        </w:rPr>
        <w:t>致：东莞市达盛招标代理有限公司</w:t>
      </w:r>
    </w:p>
    <w:p>
      <w:pPr>
        <w:pStyle w:val="87"/>
        <w:wordWrap w:val="0"/>
        <w:spacing w:line="560" w:lineRule="exact"/>
        <w:ind w:firstLine="494"/>
        <w:rPr>
          <w:rFonts w:ascii="宋体" w:eastAsia="宋体"/>
          <w:sz w:val="24"/>
          <w:szCs w:val="24"/>
        </w:rPr>
      </w:pPr>
      <w:r>
        <w:rPr>
          <w:rFonts w:hint="eastAsia" w:ascii="宋体" w:eastAsia="宋体"/>
          <w:sz w:val="24"/>
          <w:szCs w:val="24"/>
        </w:rPr>
        <w:t>我方确认收到贵方提供的</w:t>
      </w:r>
      <w:r>
        <w:rPr>
          <w:rFonts w:hint="eastAsia" w:ascii="宋体" w:eastAsia="宋体"/>
          <w:sz w:val="24"/>
          <w:szCs w:val="24"/>
          <w:u w:val="single"/>
        </w:rPr>
        <w:t xml:space="preserve">　　     </w:t>
      </w:r>
      <w:r>
        <w:rPr>
          <w:rFonts w:hint="eastAsia" w:ascii="宋体" w:eastAsia="宋体"/>
          <w:sz w:val="24"/>
          <w:szCs w:val="24"/>
        </w:rPr>
        <w:t>采购项目 （采购编号：</w:t>
      </w:r>
      <w:r>
        <w:rPr>
          <w:rFonts w:hint="eastAsia" w:ascii="宋体" w:eastAsia="宋体"/>
          <w:sz w:val="24"/>
          <w:szCs w:val="24"/>
          <w:u w:val="single"/>
        </w:rPr>
        <w:t>　　</w:t>
      </w:r>
      <w:r>
        <w:rPr>
          <w:rFonts w:hint="eastAsia" w:ascii="宋体" w:eastAsia="宋体"/>
          <w:sz w:val="24"/>
          <w:szCs w:val="24"/>
        </w:rPr>
        <w:t>） 招标的相关服务的招标文件的全部内容。本公司：</w:t>
      </w:r>
      <w:r>
        <w:rPr>
          <w:rFonts w:hint="eastAsia" w:ascii="宋体" w:eastAsia="宋体"/>
          <w:sz w:val="24"/>
          <w:szCs w:val="24"/>
          <w:u w:val="single"/>
        </w:rPr>
        <w:t xml:space="preserve">        </w:t>
      </w:r>
      <w:r>
        <w:rPr>
          <w:rFonts w:hint="eastAsia" w:ascii="宋体" w:eastAsia="宋体"/>
          <w:sz w:val="24"/>
          <w:szCs w:val="24"/>
        </w:rPr>
        <w:t>（供应商名称）作为供应商正式委托</w:t>
      </w:r>
      <w:r>
        <w:rPr>
          <w:rFonts w:hint="eastAsia" w:ascii="宋体" w:eastAsia="宋体"/>
          <w:sz w:val="24"/>
          <w:szCs w:val="24"/>
          <w:u w:val="single"/>
        </w:rPr>
        <w:t>　　　　</w:t>
      </w:r>
      <w:r>
        <w:rPr>
          <w:rFonts w:hint="eastAsia" w:ascii="宋体" w:eastAsia="宋体"/>
          <w:sz w:val="24"/>
          <w:szCs w:val="24"/>
        </w:rPr>
        <w:t>（授权代表全名，职务）代表本公司进行有关本项目投标的一切事宜。</w:t>
      </w:r>
    </w:p>
    <w:p>
      <w:pPr>
        <w:pStyle w:val="22"/>
        <w:spacing w:line="560" w:lineRule="exact"/>
        <w:ind w:firstLine="480" w:firstLineChars="200"/>
        <w:rPr>
          <w:rFonts w:hAnsi="宋体"/>
          <w:sz w:val="24"/>
          <w:szCs w:val="24"/>
        </w:rPr>
      </w:pPr>
      <w:r>
        <w:rPr>
          <w:rFonts w:hint="eastAsia" w:hAnsi="宋体"/>
          <w:sz w:val="24"/>
          <w:szCs w:val="24"/>
        </w:rPr>
        <w:t>本公司在参与投标前已详细研究了招标文件的所有内容，包括澄清、修改文件（如果有）和所有已提供的参考资料以及有关附件，本公司完全明白并认为此招标文件没有倾向性，也不存在排斥潜在供应商的内容，本公司同意招标文件的相关条款，放弃对招标文件提出误解和质疑的一切权力。</w:t>
      </w:r>
    </w:p>
    <w:p>
      <w:pPr>
        <w:pStyle w:val="87"/>
        <w:spacing w:line="560" w:lineRule="exact"/>
        <w:ind w:firstLine="494"/>
        <w:rPr>
          <w:rFonts w:ascii="宋体" w:eastAsia="宋体"/>
          <w:sz w:val="24"/>
          <w:szCs w:val="24"/>
        </w:rPr>
      </w:pPr>
      <w:r>
        <w:rPr>
          <w:rFonts w:hint="eastAsia" w:ascii="宋体" w:eastAsia="宋体"/>
          <w:sz w:val="24"/>
          <w:szCs w:val="24"/>
        </w:rPr>
        <w:t>在此提交的投标文件，正本</w:t>
      </w:r>
      <w:r>
        <w:rPr>
          <w:rFonts w:hint="eastAsia" w:ascii="宋体" w:eastAsia="宋体"/>
          <w:sz w:val="24"/>
          <w:szCs w:val="24"/>
          <w:u w:val="single"/>
        </w:rPr>
        <w:t xml:space="preserve">  </w:t>
      </w:r>
      <w:r>
        <w:rPr>
          <w:rFonts w:hint="eastAsia" w:ascii="宋体" w:eastAsia="宋体"/>
          <w:sz w:val="24"/>
          <w:szCs w:val="24"/>
        </w:rPr>
        <w:t>套、副本</w:t>
      </w:r>
      <w:r>
        <w:rPr>
          <w:rFonts w:hint="eastAsia" w:ascii="宋体" w:eastAsia="宋体"/>
          <w:sz w:val="24"/>
          <w:szCs w:val="24"/>
          <w:u w:val="single"/>
        </w:rPr>
        <w:t xml:space="preserve">  </w:t>
      </w:r>
      <w:r>
        <w:rPr>
          <w:rFonts w:hint="eastAsia" w:ascii="宋体" w:eastAsia="宋体"/>
          <w:sz w:val="24"/>
          <w:szCs w:val="24"/>
        </w:rPr>
        <w:t>套和唱标信封</w:t>
      </w:r>
      <w:r>
        <w:rPr>
          <w:rFonts w:hint="eastAsia" w:ascii="宋体" w:eastAsia="宋体"/>
          <w:sz w:val="24"/>
          <w:szCs w:val="24"/>
          <w:u w:val="single"/>
        </w:rPr>
        <w:t xml:space="preserve">  </w:t>
      </w:r>
      <w:r>
        <w:rPr>
          <w:rFonts w:hint="eastAsia" w:ascii="宋体" w:eastAsia="宋体"/>
          <w:sz w:val="24"/>
          <w:szCs w:val="24"/>
        </w:rPr>
        <w:t>份。</w:t>
      </w:r>
    </w:p>
    <w:p>
      <w:pPr>
        <w:pStyle w:val="22"/>
        <w:spacing w:line="560" w:lineRule="exact"/>
        <w:ind w:firstLine="480" w:firstLineChars="200"/>
        <w:rPr>
          <w:rFonts w:hAnsi="宋体"/>
          <w:sz w:val="24"/>
          <w:szCs w:val="24"/>
        </w:rPr>
      </w:pPr>
      <w:r>
        <w:rPr>
          <w:rFonts w:hint="eastAsia" w:hAnsi="宋体"/>
          <w:sz w:val="24"/>
          <w:szCs w:val="24"/>
        </w:rPr>
        <w:t>本公司已完全明白招标文件的所有条款要求，并申明如下：</w:t>
      </w:r>
    </w:p>
    <w:p>
      <w:pPr>
        <w:pStyle w:val="22"/>
        <w:spacing w:line="560" w:lineRule="exact"/>
        <w:ind w:firstLine="480" w:firstLineChars="200"/>
        <w:rPr>
          <w:rFonts w:hAnsi="宋体"/>
          <w:sz w:val="24"/>
          <w:szCs w:val="24"/>
        </w:rPr>
      </w:pPr>
      <w:r>
        <w:rPr>
          <w:rFonts w:hint="eastAsia" w:hAnsi="宋体"/>
          <w:sz w:val="24"/>
          <w:szCs w:val="24"/>
        </w:rPr>
        <w:t>1、按招标文件提供的全部相关服务的投标总报价详见《开标一览表》。</w:t>
      </w:r>
    </w:p>
    <w:p>
      <w:pPr>
        <w:pStyle w:val="22"/>
        <w:spacing w:line="560" w:lineRule="exact"/>
        <w:ind w:firstLine="480" w:firstLineChars="200"/>
        <w:rPr>
          <w:rFonts w:hAnsi="宋体"/>
          <w:sz w:val="24"/>
          <w:szCs w:val="24"/>
        </w:rPr>
      </w:pPr>
      <w:r>
        <w:rPr>
          <w:rFonts w:hint="eastAsia" w:hAnsi="宋体"/>
          <w:sz w:val="24"/>
          <w:szCs w:val="24"/>
        </w:rPr>
        <w:t>2、本投标文件的有效期为投标截止时间起90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pPr>
        <w:pStyle w:val="22"/>
        <w:spacing w:line="560" w:lineRule="exact"/>
        <w:ind w:firstLine="480" w:firstLineChars="200"/>
        <w:rPr>
          <w:rFonts w:hAnsi="宋体"/>
          <w:sz w:val="24"/>
          <w:szCs w:val="24"/>
        </w:rPr>
      </w:pPr>
      <w:r>
        <w:rPr>
          <w:rFonts w:hint="eastAsia" w:hAnsi="宋体"/>
          <w:sz w:val="24"/>
          <w:szCs w:val="24"/>
        </w:rPr>
        <w:t>3、本公司明白并同意，在规定的开标日之后，投标有效期之内撤回投标或中标后不按规定与采购人签订合同或不提交履约保证金, 则贵方将不予退还投标保证金。</w:t>
      </w:r>
    </w:p>
    <w:p>
      <w:pPr>
        <w:pStyle w:val="22"/>
        <w:spacing w:line="560" w:lineRule="exact"/>
        <w:ind w:firstLine="480" w:firstLineChars="200"/>
        <w:rPr>
          <w:rFonts w:hAnsi="宋体"/>
          <w:sz w:val="24"/>
          <w:szCs w:val="24"/>
        </w:rPr>
      </w:pPr>
      <w:r>
        <w:rPr>
          <w:rFonts w:hint="eastAsia" w:hAnsi="宋体"/>
          <w:sz w:val="24"/>
          <w:szCs w:val="24"/>
        </w:rPr>
        <w:t>4、本公司同意按照贵方可能提出的要求而提供与投标有关的任何其它数据、信息或资料。</w:t>
      </w:r>
    </w:p>
    <w:p>
      <w:pPr>
        <w:pStyle w:val="22"/>
        <w:spacing w:line="560" w:lineRule="exact"/>
        <w:ind w:firstLine="480" w:firstLineChars="200"/>
        <w:rPr>
          <w:rFonts w:hAnsi="宋体"/>
          <w:sz w:val="24"/>
          <w:szCs w:val="24"/>
        </w:rPr>
      </w:pPr>
      <w:r>
        <w:rPr>
          <w:rFonts w:hint="eastAsia" w:hAnsi="宋体"/>
          <w:sz w:val="24"/>
          <w:szCs w:val="24"/>
        </w:rPr>
        <w:t>5、本公司理解贵方不一定接受最低投标价或贵方可能收到的投标。</w:t>
      </w:r>
    </w:p>
    <w:p>
      <w:pPr>
        <w:pStyle w:val="22"/>
        <w:spacing w:line="560" w:lineRule="exact"/>
        <w:ind w:firstLine="480" w:firstLineChars="200"/>
        <w:rPr>
          <w:rFonts w:hAnsi="宋体"/>
          <w:sz w:val="24"/>
          <w:szCs w:val="24"/>
        </w:rPr>
      </w:pPr>
      <w:r>
        <w:rPr>
          <w:rFonts w:hint="eastAsia" w:hAnsi="宋体"/>
          <w:sz w:val="24"/>
          <w:szCs w:val="24"/>
        </w:rPr>
        <w:t>6、本公司如果中标，将保证履行招标文件及其澄清、修改文件（如果有）中的全部责任和义务，按质、按量、按期完成《用户需求书》及《合同书》中的全部任务。</w:t>
      </w:r>
    </w:p>
    <w:p>
      <w:pPr>
        <w:pStyle w:val="22"/>
        <w:tabs>
          <w:tab w:val="left" w:pos="9360"/>
        </w:tabs>
        <w:spacing w:line="560" w:lineRule="exact"/>
        <w:ind w:firstLine="480" w:firstLineChars="200"/>
        <w:rPr>
          <w:rFonts w:hAnsi="宋体"/>
          <w:sz w:val="24"/>
          <w:szCs w:val="24"/>
        </w:rPr>
      </w:pPr>
      <w:r>
        <w:rPr>
          <w:rFonts w:hint="eastAsia" w:hAnsi="宋体"/>
          <w:sz w:val="24"/>
          <w:szCs w:val="24"/>
        </w:rPr>
        <w:t>7、本公司作为</w:t>
      </w:r>
      <w:r>
        <w:rPr>
          <w:rFonts w:hint="eastAsia" w:hAnsi="宋体"/>
          <w:sz w:val="24"/>
          <w:szCs w:val="24"/>
          <w:u w:val="single"/>
        </w:rPr>
        <w:t xml:space="preserve">   （制造商/代理商/供应商）   </w:t>
      </w:r>
      <w:r>
        <w:rPr>
          <w:rFonts w:hint="eastAsia" w:hAnsi="宋体"/>
          <w:sz w:val="24"/>
          <w:szCs w:val="24"/>
        </w:rPr>
        <w:t>是在法律、财务和运作上独立于采购人、贵方的供应商，在此保证所提交的所有文件和全部说明是真实的和正确的。</w:t>
      </w:r>
    </w:p>
    <w:p>
      <w:pPr>
        <w:spacing w:line="560" w:lineRule="exact"/>
        <w:ind w:firstLine="410" w:firstLineChars="171"/>
        <w:rPr>
          <w:rFonts w:ascii="宋体" w:hAnsi="宋体"/>
          <w:sz w:val="24"/>
          <w:szCs w:val="24"/>
        </w:rPr>
      </w:pPr>
      <w:r>
        <w:rPr>
          <w:rFonts w:hint="eastAsia" w:ascii="宋体" w:hAnsi="宋体"/>
          <w:sz w:val="24"/>
          <w:szCs w:val="24"/>
        </w:rPr>
        <w:t xml:space="preserve">8、本公司投标报价已包含应向知识产权所有权人支付的所有相关税费，并保证采购人在中国使用本公司提供的货物或服务时，如有第三方提出侵犯其知识产权主张的，责任由本公司承担。 </w:t>
      </w:r>
    </w:p>
    <w:p>
      <w:pPr>
        <w:spacing w:line="560" w:lineRule="exact"/>
        <w:ind w:firstLine="410" w:firstLineChars="171"/>
        <w:rPr>
          <w:rFonts w:ascii="宋体" w:hAnsi="宋体"/>
          <w:sz w:val="24"/>
          <w:szCs w:val="24"/>
        </w:rPr>
      </w:pPr>
      <w:r>
        <w:rPr>
          <w:rFonts w:hint="eastAsia" w:ascii="宋体" w:hAnsi="宋体"/>
          <w:sz w:val="24"/>
          <w:szCs w:val="24"/>
        </w:rPr>
        <w:t>9、本公司具备《中华人民共和国政府采购法》第二十二条规定的条件。</w:t>
      </w:r>
    </w:p>
    <w:p>
      <w:pPr>
        <w:pStyle w:val="22"/>
        <w:spacing w:line="560" w:lineRule="exact"/>
        <w:ind w:firstLine="480" w:firstLineChars="200"/>
        <w:rPr>
          <w:rFonts w:hAnsi="宋体"/>
          <w:sz w:val="24"/>
          <w:szCs w:val="24"/>
        </w:rPr>
      </w:pPr>
      <w:r>
        <w:rPr>
          <w:rFonts w:hint="eastAsia" w:hAnsi="宋体"/>
          <w:sz w:val="24"/>
          <w:szCs w:val="24"/>
        </w:rPr>
        <w:t>10、本公司对在本函及投标文件中所作的所有承诺承担法律责任。</w:t>
      </w:r>
    </w:p>
    <w:p>
      <w:pPr>
        <w:pStyle w:val="87"/>
        <w:spacing w:line="560" w:lineRule="exact"/>
        <w:ind w:firstLine="494"/>
        <w:rPr>
          <w:rFonts w:ascii="宋体" w:eastAsia="宋体"/>
          <w:sz w:val="24"/>
          <w:szCs w:val="24"/>
        </w:rPr>
      </w:pPr>
      <w:r>
        <w:rPr>
          <w:rFonts w:hint="eastAsia" w:ascii="宋体" w:eastAsia="宋体"/>
          <w:sz w:val="24"/>
          <w:szCs w:val="24"/>
        </w:rPr>
        <w:t>11、所有与本次采购有关的函件请发往下列地址：</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地  　址：　　　　　　　　　　　邮政编码：</w:t>
      </w:r>
    </w:p>
    <w:p>
      <w:pPr>
        <w:spacing w:line="560" w:lineRule="exact"/>
        <w:rPr>
          <w:rFonts w:ascii="宋体" w:hAnsi="宋体"/>
          <w:sz w:val="24"/>
          <w:szCs w:val="24"/>
        </w:rPr>
      </w:pPr>
      <w:r>
        <w:rPr>
          <w:rFonts w:hint="eastAsia" w:ascii="宋体" w:hAnsi="宋体"/>
          <w:sz w:val="24"/>
          <w:szCs w:val="24"/>
        </w:rPr>
        <w:t>联系人：                        联系电话：</w:t>
      </w:r>
    </w:p>
    <w:p>
      <w:pPr>
        <w:spacing w:line="560" w:lineRule="exact"/>
        <w:rPr>
          <w:rFonts w:ascii="宋体" w:hAnsi="宋体"/>
          <w:sz w:val="24"/>
          <w:szCs w:val="24"/>
        </w:rPr>
      </w:pPr>
      <w:r>
        <w:rPr>
          <w:rFonts w:hint="eastAsia" w:ascii="宋体" w:hAnsi="宋体"/>
          <w:sz w:val="24"/>
          <w:szCs w:val="24"/>
        </w:rPr>
        <w:t>供应商名称（盖公章）：</w:t>
      </w:r>
    </w:p>
    <w:p>
      <w:pPr>
        <w:pStyle w:val="18"/>
        <w:spacing w:after="0" w:line="560" w:lineRule="exact"/>
        <w:rPr>
          <w:rFonts w:ascii="宋体" w:hAnsi="宋体"/>
          <w:sz w:val="24"/>
          <w:szCs w:val="24"/>
        </w:rPr>
      </w:pPr>
      <w:r>
        <w:rPr>
          <w:rFonts w:hint="eastAsia" w:ascii="宋体" w:hAnsi="宋体"/>
          <w:sz w:val="24"/>
          <w:szCs w:val="24"/>
        </w:rPr>
        <w:t>日期：</w:t>
      </w:r>
    </w:p>
    <w:p>
      <w:pPr>
        <w:pStyle w:val="18"/>
        <w:spacing w:after="0" w:line="560" w:lineRule="exact"/>
        <w:rPr>
          <w:rFonts w:ascii="宋体" w:hAnsi="宋体"/>
          <w:sz w:val="24"/>
          <w:szCs w:val="24"/>
        </w:rPr>
      </w:pPr>
    </w:p>
    <w:p>
      <w:pPr>
        <w:pStyle w:val="18"/>
        <w:spacing w:after="0" w:line="560" w:lineRule="exact"/>
        <w:rPr>
          <w:rFonts w:ascii="宋体" w:hAnsi="宋体"/>
          <w:sz w:val="24"/>
          <w:szCs w:val="24"/>
        </w:rPr>
      </w:pPr>
    </w:p>
    <w:p>
      <w:pPr>
        <w:pStyle w:val="18"/>
        <w:spacing w:after="0" w:line="560" w:lineRule="exact"/>
        <w:rPr>
          <w:rFonts w:ascii="宋体" w:hAnsi="宋体"/>
          <w:sz w:val="24"/>
          <w:szCs w:val="24"/>
        </w:rPr>
      </w:pPr>
    </w:p>
    <w:p>
      <w:pPr>
        <w:pStyle w:val="18"/>
        <w:spacing w:after="0" w:line="560" w:lineRule="exact"/>
        <w:rPr>
          <w:rFonts w:ascii="宋体" w:hAnsi="宋体"/>
          <w:sz w:val="24"/>
          <w:szCs w:val="24"/>
        </w:rPr>
      </w:pPr>
    </w:p>
    <w:p>
      <w:pPr>
        <w:pStyle w:val="18"/>
        <w:spacing w:after="0" w:line="560" w:lineRule="exact"/>
        <w:rPr>
          <w:rFonts w:ascii="宋体" w:hAnsi="宋体"/>
          <w:sz w:val="24"/>
          <w:szCs w:val="24"/>
        </w:rPr>
      </w:pPr>
    </w:p>
    <w:p>
      <w:pPr>
        <w:pStyle w:val="18"/>
        <w:spacing w:after="0" w:line="560" w:lineRule="exact"/>
        <w:rPr>
          <w:rFonts w:ascii="宋体" w:hAnsi="宋体"/>
          <w:sz w:val="24"/>
          <w:szCs w:val="24"/>
        </w:rPr>
      </w:pPr>
    </w:p>
    <w:p>
      <w:pPr>
        <w:pStyle w:val="18"/>
        <w:spacing w:after="0" w:line="560" w:lineRule="exact"/>
        <w:rPr>
          <w:rFonts w:ascii="宋体" w:hAnsi="宋体"/>
          <w:sz w:val="24"/>
          <w:szCs w:val="24"/>
        </w:rPr>
      </w:pPr>
    </w:p>
    <w:p>
      <w:pPr>
        <w:pStyle w:val="95"/>
        <w:jc w:val="center"/>
        <w:rPr>
          <w:color w:val="auto"/>
          <w:sz w:val="24"/>
          <w:szCs w:val="24"/>
        </w:rPr>
      </w:pPr>
      <w:bookmarkStart w:id="85" w:name="_Toc417050363"/>
      <w:bookmarkStart w:id="86" w:name="_Toc8904116"/>
      <w:bookmarkStart w:id="87" w:name="_Toc210188796"/>
      <w:bookmarkStart w:id="88" w:name="_Toc88985367"/>
      <w:r>
        <w:rPr>
          <w:rFonts w:hint="eastAsia"/>
          <w:color w:val="auto"/>
          <w:sz w:val="24"/>
          <w:szCs w:val="24"/>
        </w:rPr>
        <w:t>（二）资格证明文件</w:t>
      </w:r>
      <w:bookmarkEnd w:id="85"/>
      <w:bookmarkEnd w:id="86"/>
    </w:p>
    <w:p>
      <w:pPr>
        <w:pStyle w:val="95"/>
        <w:jc w:val="center"/>
        <w:rPr>
          <w:color w:val="auto"/>
          <w:sz w:val="24"/>
          <w:szCs w:val="24"/>
        </w:rPr>
      </w:pPr>
      <w:bookmarkStart w:id="89" w:name="_Toc417050364"/>
      <w:bookmarkStart w:id="90" w:name="_Toc8904117"/>
      <w:r>
        <w:rPr>
          <w:rFonts w:hint="eastAsia"/>
          <w:color w:val="auto"/>
          <w:sz w:val="24"/>
          <w:szCs w:val="24"/>
        </w:rPr>
        <w:t>1.供应商资格声明函</w:t>
      </w:r>
      <w:bookmarkEnd w:id="89"/>
      <w:bookmarkEnd w:id="90"/>
    </w:p>
    <w:p>
      <w:pPr>
        <w:spacing w:line="600" w:lineRule="exact"/>
        <w:rPr>
          <w:rFonts w:ascii="宋体" w:hAnsi="宋体"/>
          <w:sz w:val="24"/>
          <w:szCs w:val="24"/>
        </w:rPr>
      </w:pPr>
      <w:r>
        <w:rPr>
          <w:rFonts w:hint="eastAsia" w:ascii="宋体" w:hAnsi="宋体"/>
          <w:sz w:val="24"/>
          <w:szCs w:val="24"/>
        </w:rPr>
        <w:t>致：东莞市达盛招标代理有限公司</w:t>
      </w:r>
    </w:p>
    <w:p>
      <w:pPr>
        <w:spacing w:line="600" w:lineRule="exact"/>
        <w:rPr>
          <w:rFonts w:ascii="宋体" w:hAnsi="宋体"/>
          <w:sz w:val="24"/>
          <w:szCs w:val="24"/>
        </w:rPr>
      </w:pPr>
      <w:r>
        <w:rPr>
          <w:rFonts w:hint="eastAsia" w:ascii="宋体" w:hAnsi="宋体"/>
          <w:sz w:val="24"/>
          <w:szCs w:val="24"/>
        </w:rPr>
        <w:t xml:space="preserve">    本公司参加</w:t>
      </w:r>
      <w:r>
        <w:rPr>
          <w:rFonts w:hint="eastAsia" w:ascii="宋体" w:hAnsi="宋体"/>
          <w:sz w:val="24"/>
          <w:szCs w:val="24"/>
          <w:u w:val="single"/>
        </w:rPr>
        <w:t xml:space="preserve">          </w:t>
      </w:r>
      <w:r>
        <w:rPr>
          <w:rFonts w:hint="eastAsia" w:ascii="宋体" w:hAnsi="宋体"/>
          <w:sz w:val="24"/>
          <w:szCs w:val="24"/>
        </w:rPr>
        <w:t>采购项目（采购编号：</w:t>
      </w:r>
      <w:r>
        <w:rPr>
          <w:rFonts w:hint="eastAsia" w:ascii="宋体" w:hAnsi="宋体"/>
          <w:sz w:val="24"/>
          <w:szCs w:val="24"/>
          <w:u w:val="single"/>
        </w:rPr>
        <w:t>　　　　</w:t>
      </w:r>
      <w:r>
        <w:rPr>
          <w:rFonts w:hint="eastAsia" w:ascii="宋体" w:hAnsi="宋体"/>
          <w:sz w:val="24"/>
          <w:szCs w:val="24"/>
        </w:rPr>
        <w:t>）的政府采购活动，并声明：</w:t>
      </w:r>
    </w:p>
    <w:p>
      <w:pPr>
        <w:spacing w:line="600" w:lineRule="exact"/>
        <w:ind w:firstLine="570"/>
        <w:rPr>
          <w:rFonts w:ascii="宋体" w:hAnsi="宋体"/>
          <w:sz w:val="24"/>
          <w:szCs w:val="24"/>
        </w:rPr>
      </w:pPr>
      <w:r>
        <w:rPr>
          <w:rFonts w:hint="eastAsia" w:ascii="宋体" w:hAnsi="宋体"/>
          <w:sz w:val="24"/>
          <w:szCs w:val="24"/>
        </w:rPr>
        <w:t>本公司具备《中华人民共和国政府采购法》第二十二条资格条件，已清楚招标文件所有要求及有关规定；并承诺参加本次政府采购活动中，如有违法、违规、弄虚作假行为，所造成的损失、不良后果及法律责任，一律由本公司承担。</w:t>
      </w:r>
    </w:p>
    <w:p>
      <w:pPr>
        <w:spacing w:line="600" w:lineRule="exact"/>
        <w:ind w:firstLine="570"/>
        <w:rPr>
          <w:rFonts w:ascii="宋体" w:hAnsi="宋体"/>
          <w:sz w:val="24"/>
          <w:szCs w:val="24"/>
        </w:rPr>
      </w:pPr>
      <w:r>
        <w:rPr>
          <w:rFonts w:hint="eastAsia" w:ascii="宋体" w:hAnsi="宋体"/>
          <w:sz w:val="24"/>
          <w:szCs w:val="24"/>
        </w:rPr>
        <w:t>特此声明！</w:t>
      </w:r>
    </w:p>
    <w:p>
      <w:pPr>
        <w:pStyle w:val="87"/>
        <w:ind w:firstLine="494"/>
        <w:rPr>
          <w:rFonts w:ascii="宋体" w:eastAsia="宋体"/>
          <w:sz w:val="24"/>
          <w:szCs w:val="24"/>
        </w:rPr>
      </w:pPr>
      <w:r>
        <w:rPr>
          <w:rFonts w:ascii="宋体" w:eastAsia="宋体"/>
          <w:sz w:val="24"/>
          <w:szCs w:val="24"/>
        </w:rPr>
        <w:cr/>
      </w:r>
    </w:p>
    <w:p>
      <w:pPr>
        <w:pStyle w:val="87"/>
        <w:ind w:firstLine="494"/>
        <w:rPr>
          <w:rFonts w:ascii="宋体" w:eastAsia="宋体"/>
          <w:sz w:val="24"/>
          <w:szCs w:val="24"/>
        </w:rPr>
      </w:pPr>
    </w:p>
    <w:p>
      <w:pPr>
        <w:pStyle w:val="87"/>
        <w:ind w:firstLine="496"/>
        <w:rPr>
          <w:rFonts w:ascii="宋体" w:eastAsia="宋体"/>
          <w:b/>
          <w:sz w:val="24"/>
          <w:szCs w:val="24"/>
        </w:rPr>
      </w:pPr>
    </w:p>
    <w:p>
      <w:pPr>
        <w:spacing w:line="600" w:lineRule="exact"/>
        <w:ind w:right="560"/>
        <w:rPr>
          <w:rFonts w:ascii="宋体" w:hAnsi="宋体"/>
          <w:sz w:val="24"/>
          <w:szCs w:val="24"/>
        </w:rPr>
      </w:pPr>
      <w:r>
        <w:rPr>
          <w:rFonts w:hint="eastAsia" w:ascii="宋体" w:hAnsi="宋体"/>
          <w:sz w:val="24"/>
          <w:szCs w:val="24"/>
        </w:rPr>
        <w:t>供应商名称（盖公章）：</w:t>
      </w:r>
    </w:p>
    <w:p>
      <w:pPr>
        <w:spacing w:line="600" w:lineRule="exact"/>
        <w:ind w:right="560"/>
        <w:rPr>
          <w:rFonts w:ascii="宋体" w:hAnsi="宋体"/>
          <w:sz w:val="24"/>
          <w:szCs w:val="24"/>
        </w:rPr>
      </w:pPr>
      <w:r>
        <w:rPr>
          <w:rFonts w:hint="eastAsia" w:ascii="宋体" w:hAnsi="宋体"/>
          <w:sz w:val="24"/>
          <w:szCs w:val="24"/>
        </w:rPr>
        <w:t>日期：</w:t>
      </w: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pStyle w:val="95"/>
        <w:jc w:val="center"/>
        <w:rPr>
          <w:color w:val="auto"/>
          <w:sz w:val="24"/>
          <w:szCs w:val="24"/>
        </w:rPr>
      </w:pPr>
      <w:bookmarkStart w:id="91" w:name="_Toc8904118"/>
      <w:bookmarkStart w:id="92" w:name="_Toc417050365"/>
      <w:r>
        <w:rPr>
          <w:rFonts w:hint="eastAsia"/>
          <w:color w:val="auto"/>
          <w:sz w:val="24"/>
          <w:szCs w:val="24"/>
        </w:rPr>
        <w:t>2.在经营活动中没有重大违法记录的书面声明</w:t>
      </w:r>
      <w:bookmarkEnd w:id="91"/>
      <w:bookmarkEnd w:id="92"/>
    </w:p>
    <w:p>
      <w:pPr>
        <w:pStyle w:val="151"/>
        <w:shd w:val="clear" w:color="auto" w:fill="FFFFFF"/>
        <w:spacing w:before="0" w:beforeAutospacing="0" w:after="0" w:afterAutospacing="0" w:line="600" w:lineRule="exact"/>
      </w:pPr>
    </w:p>
    <w:p>
      <w:pPr>
        <w:pStyle w:val="151"/>
        <w:shd w:val="clear" w:color="auto" w:fill="FFFFFF"/>
        <w:spacing w:before="0" w:beforeAutospacing="0" w:after="0" w:afterAutospacing="0" w:line="600" w:lineRule="exact"/>
      </w:pPr>
      <w:r>
        <w:rPr>
          <w:rFonts w:hint="eastAsia"/>
        </w:rPr>
        <w:t>致：东莞市达盛招标代理有限公司</w:t>
      </w:r>
    </w:p>
    <w:p>
      <w:pPr>
        <w:wordWrap w:val="0"/>
        <w:spacing w:line="600" w:lineRule="exact"/>
        <w:rPr>
          <w:rFonts w:ascii="宋体" w:hAnsi="宋体"/>
          <w:sz w:val="24"/>
          <w:szCs w:val="24"/>
        </w:rPr>
      </w:pPr>
      <w:r>
        <w:rPr>
          <w:rFonts w:hint="eastAsia" w:ascii="宋体" w:hAnsi="宋体"/>
          <w:sz w:val="24"/>
          <w:szCs w:val="24"/>
        </w:rPr>
        <w:t xml:space="preserve">   本公司参加</w:t>
      </w:r>
      <w:r>
        <w:rPr>
          <w:rFonts w:hint="eastAsia" w:ascii="宋体" w:hAnsi="宋体"/>
          <w:sz w:val="24"/>
          <w:szCs w:val="24"/>
          <w:u w:val="single"/>
        </w:rPr>
        <w:t xml:space="preserve">          </w:t>
      </w:r>
      <w:r>
        <w:rPr>
          <w:rFonts w:hint="eastAsia" w:ascii="宋体" w:hAnsi="宋体"/>
          <w:sz w:val="24"/>
          <w:szCs w:val="24"/>
        </w:rPr>
        <w:t>采购项目（采购编号：</w:t>
      </w:r>
      <w:r>
        <w:rPr>
          <w:rFonts w:hint="eastAsia" w:ascii="宋体" w:hAnsi="宋体"/>
          <w:sz w:val="24"/>
          <w:szCs w:val="24"/>
          <w:u w:val="single"/>
        </w:rPr>
        <w:t>　　　　</w:t>
      </w:r>
      <w:r>
        <w:rPr>
          <w:rFonts w:hint="eastAsia" w:ascii="宋体" w:hAnsi="宋体"/>
          <w:sz w:val="24"/>
          <w:szCs w:val="24"/>
        </w:rPr>
        <w:t>）的政府采购活动，并声明：</w:t>
      </w:r>
    </w:p>
    <w:p>
      <w:pPr>
        <w:pStyle w:val="151"/>
        <w:shd w:val="clear" w:color="auto" w:fill="FFFFFF"/>
        <w:wordWrap w:val="0"/>
        <w:spacing w:before="0" w:beforeAutospacing="0" w:after="0" w:afterAutospacing="0" w:line="600" w:lineRule="exact"/>
        <w:ind w:firstLine="480" w:firstLineChars="200"/>
        <w:rPr>
          <w:spacing w:val="29"/>
        </w:rPr>
      </w:pPr>
      <w:r>
        <w:rPr>
          <w:rFonts w:hint="eastAsia"/>
        </w:rPr>
        <w:t>本公司</w:t>
      </w:r>
      <w:r>
        <w:rPr>
          <w:rFonts w:hint="eastAsia"/>
          <w:spacing w:val="29"/>
        </w:rPr>
        <w:t>参加本采购项目政府采购前3年内在经营活动中没有因违法经营受到刑事处罚或者责令停产停业、吊销许可证或者执照、较大数额罚款等行政处罚。</w:t>
      </w:r>
    </w:p>
    <w:p>
      <w:pPr>
        <w:pStyle w:val="151"/>
        <w:shd w:val="clear" w:color="auto" w:fill="FFFFFF"/>
        <w:wordWrap w:val="0"/>
        <w:spacing w:before="0" w:beforeAutospacing="0" w:after="0" w:afterAutospacing="0" w:line="600" w:lineRule="exact"/>
      </w:pPr>
      <w:r>
        <w:rPr>
          <w:rFonts w:hint="eastAsia"/>
        </w:rPr>
        <w:t>    特此声明！</w:t>
      </w:r>
    </w:p>
    <w:p>
      <w:pPr>
        <w:pStyle w:val="151"/>
        <w:shd w:val="clear" w:color="auto" w:fill="FFFFFF"/>
        <w:spacing w:before="0" w:beforeAutospacing="0" w:after="0" w:afterAutospacing="0" w:line="600" w:lineRule="exact"/>
      </w:pPr>
    </w:p>
    <w:p>
      <w:pPr>
        <w:pStyle w:val="151"/>
        <w:shd w:val="clear" w:color="auto" w:fill="FFFFFF"/>
        <w:spacing w:before="0" w:beforeAutospacing="0" w:after="0" w:afterAutospacing="0" w:line="600" w:lineRule="exact"/>
      </w:pPr>
    </w:p>
    <w:p>
      <w:pPr>
        <w:spacing w:line="600" w:lineRule="exact"/>
        <w:ind w:right="560"/>
        <w:rPr>
          <w:rFonts w:ascii="宋体" w:hAnsi="宋体"/>
          <w:sz w:val="24"/>
          <w:szCs w:val="24"/>
        </w:rPr>
      </w:pPr>
      <w:r>
        <w:rPr>
          <w:rFonts w:hint="eastAsia" w:ascii="宋体" w:hAnsi="宋体"/>
          <w:sz w:val="24"/>
          <w:szCs w:val="24"/>
        </w:rPr>
        <w:t>供应商名称（盖公章）：</w:t>
      </w:r>
    </w:p>
    <w:p>
      <w:pPr>
        <w:spacing w:line="600" w:lineRule="exact"/>
        <w:ind w:right="560"/>
        <w:rPr>
          <w:rFonts w:ascii="宋体" w:hAnsi="宋体"/>
          <w:sz w:val="24"/>
          <w:szCs w:val="24"/>
        </w:rPr>
      </w:pPr>
      <w:r>
        <w:rPr>
          <w:rFonts w:hint="eastAsia" w:ascii="宋体" w:hAnsi="宋体"/>
          <w:sz w:val="24"/>
          <w:szCs w:val="24"/>
        </w:rPr>
        <w:t>日期：</w:t>
      </w:r>
    </w:p>
    <w:p>
      <w:pPr>
        <w:pStyle w:val="95"/>
        <w:jc w:val="left"/>
        <w:rPr>
          <w:color w:val="auto"/>
          <w:sz w:val="24"/>
          <w:szCs w:val="24"/>
        </w:rPr>
      </w:pPr>
      <w:bookmarkStart w:id="93" w:name="_Toc417050366"/>
      <w:r>
        <w:rPr>
          <w:color w:val="auto"/>
          <w:sz w:val="24"/>
          <w:szCs w:val="24"/>
        </w:rPr>
        <w:br w:type="page"/>
      </w:r>
      <w:bookmarkStart w:id="94" w:name="_Toc8904119"/>
      <w:r>
        <w:rPr>
          <w:rFonts w:hint="eastAsia"/>
          <w:color w:val="auto"/>
          <w:sz w:val="24"/>
          <w:szCs w:val="24"/>
        </w:rPr>
        <w:t>3.供应商法人或其他组织的营业执照等证明文件，或自然人的身份证</w:t>
      </w:r>
      <w:bookmarkEnd w:id="93"/>
      <w:bookmarkEnd w:id="94"/>
    </w:p>
    <w:p>
      <w:pPr>
        <w:pStyle w:val="87"/>
        <w:ind w:firstLine="0" w:firstLineChars="0"/>
        <w:rPr>
          <w:rFonts w:ascii="宋体" w:eastAsia="宋体"/>
          <w:sz w:val="24"/>
          <w:szCs w:val="24"/>
        </w:rPr>
      </w:pPr>
      <w:r>
        <w:rPr>
          <w:rFonts w:hint="eastAsia" w:ascii="宋体" w:eastAsia="宋体"/>
          <w:sz w:val="24"/>
          <w:szCs w:val="24"/>
        </w:rPr>
        <w:t>3.1提供《营业执照》或《事业单位法人证书》、《税务登记证》、《组织机构代码证》复印件，如“三证合一”的营业执照，则不需要提供税务登记证和组织机构代码证。</w:t>
      </w:r>
    </w:p>
    <w:p>
      <w:pPr>
        <w:pStyle w:val="87"/>
        <w:ind w:firstLine="0" w:firstLineChars="0"/>
        <w:rPr>
          <w:rFonts w:ascii="宋体" w:eastAsia="宋体"/>
          <w:sz w:val="24"/>
          <w:szCs w:val="24"/>
        </w:rPr>
      </w:pPr>
      <w:r>
        <w:rPr>
          <w:rFonts w:hint="eastAsia" w:ascii="宋体" w:eastAsia="宋体"/>
          <w:sz w:val="24"/>
          <w:szCs w:val="24"/>
        </w:rPr>
        <w:t>3.2提供自然人的身份证复印件（如自然人参加政府采购活动的话）。</w:t>
      </w:r>
    </w:p>
    <w:p>
      <w:pPr>
        <w:pStyle w:val="95"/>
        <w:jc w:val="left"/>
        <w:rPr>
          <w:color w:val="auto"/>
          <w:sz w:val="24"/>
          <w:szCs w:val="24"/>
        </w:rPr>
      </w:pPr>
      <w:bookmarkStart w:id="95" w:name="_Toc8904120"/>
      <w:bookmarkStart w:id="96" w:name="_Toc417050368"/>
      <w:r>
        <w:rPr>
          <w:rFonts w:hint="eastAsia"/>
          <w:color w:val="auto"/>
          <w:sz w:val="24"/>
          <w:szCs w:val="24"/>
        </w:rPr>
        <w:t>4.供应商资格要求的证明材料</w:t>
      </w:r>
      <w:bookmarkEnd w:id="95"/>
      <w:bookmarkEnd w:id="96"/>
    </w:p>
    <w:p>
      <w:pPr>
        <w:pStyle w:val="87"/>
        <w:ind w:firstLine="480" w:firstLineChars="200"/>
        <w:rPr>
          <w:rFonts w:ascii="宋体" w:eastAsia="宋体"/>
          <w:sz w:val="24"/>
          <w:szCs w:val="24"/>
        </w:rPr>
      </w:pPr>
      <w:r>
        <w:rPr>
          <w:rFonts w:hint="eastAsia" w:ascii="宋体" w:eastAsia="宋体"/>
          <w:sz w:val="24"/>
          <w:szCs w:val="24"/>
        </w:rPr>
        <w:t>请按照供应商的资格条件相关条款提供证明材料复印件。</w:t>
      </w:r>
    </w:p>
    <w:p>
      <w:pPr>
        <w:pStyle w:val="87"/>
        <w:ind w:firstLine="0" w:firstLineChars="0"/>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spacing w:line="600" w:lineRule="exact"/>
        <w:ind w:right="560"/>
        <w:rPr>
          <w:rFonts w:ascii="宋体" w:hAnsi="宋体"/>
          <w:sz w:val="24"/>
          <w:szCs w:val="24"/>
        </w:rPr>
      </w:pPr>
    </w:p>
    <w:p>
      <w:pPr>
        <w:pStyle w:val="95"/>
        <w:jc w:val="center"/>
        <w:rPr>
          <w:color w:val="auto"/>
          <w:sz w:val="24"/>
          <w:szCs w:val="24"/>
        </w:rPr>
      </w:pPr>
      <w:bookmarkStart w:id="97" w:name="_Toc417050370"/>
      <w:bookmarkStart w:id="98" w:name="_Toc8904121"/>
      <w:r>
        <w:rPr>
          <w:rFonts w:hint="eastAsia"/>
          <w:color w:val="auto"/>
          <w:sz w:val="24"/>
          <w:szCs w:val="24"/>
        </w:rPr>
        <w:t>5.法定代表人身份证明书</w:t>
      </w:r>
      <w:bookmarkEnd w:id="87"/>
      <w:bookmarkEnd w:id="88"/>
      <w:bookmarkEnd w:id="97"/>
      <w:bookmarkEnd w:id="98"/>
    </w:p>
    <w:p>
      <w:pPr>
        <w:spacing w:line="600" w:lineRule="exact"/>
        <w:rPr>
          <w:rFonts w:ascii="宋体" w:hAnsi="宋体"/>
          <w:sz w:val="24"/>
          <w:szCs w:val="24"/>
        </w:rPr>
      </w:pPr>
    </w:p>
    <w:p>
      <w:pPr>
        <w:spacing w:line="600" w:lineRule="exact"/>
        <w:rPr>
          <w:rFonts w:ascii="宋体" w:hAnsi="宋体"/>
          <w:sz w:val="24"/>
          <w:szCs w:val="24"/>
        </w:rPr>
      </w:pPr>
      <w:r>
        <w:rPr>
          <w:rFonts w:hint="eastAsia" w:ascii="宋体" w:hAnsi="宋体"/>
          <w:sz w:val="24"/>
          <w:szCs w:val="24"/>
        </w:rPr>
        <w:t>致：东莞市达盛招标代理有限公司</w:t>
      </w:r>
    </w:p>
    <w:p>
      <w:pPr>
        <w:pStyle w:val="87"/>
        <w:ind w:firstLine="494"/>
        <w:rPr>
          <w:rFonts w:ascii="宋体" w:eastAsia="宋体"/>
          <w:sz w:val="24"/>
          <w:szCs w:val="24"/>
        </w:rPr>
      </w:pPr>
      <w:r>
        <w:rPr>
          <w:rFonts w:hint="eastAsia" w:ascii="宋体" w:eastAsia="宋体"/>
          <w:sz w:val="24"/>
          <w:szCs w:val="24"/>
        </w:rPr>
        <w:t>本证明书声明：注册于</w:t>
      </w:r>
      <w:r>
        <w:rPr>
          <w:rFonts w:hint="eastAsia" w:ascii="宋体" w:eastAsia="宋体"/>
          <w:sz w:val="24"/>
          <w:szCs w:val="24"/>
          <w:u w:val="single"/>
        </w:rPr>
        <w:t xml:space="preserve">         </w:t>
      </w:r>
      <w:r>
        <w:rPr>
          <w:rFonts w:hint="eastAsia" w:ascii="宋体" w:eastAsia="宋体"/>
          <w:sz w:val="24"/>
          <w:szCs w:val="24"/>
        </w:rPr>
        <w:t>（国家名称）的</w:t>
      </w:r>
      <w:r>
        <w:rPr>
          <w:rFonts w:hint="eastAsia" w:ascii="宋体" w:eastAsia="宋体"/>
          <w:sz w:val="24"/>
          <w:szCs w:val="24"/>
          <w:u w:val="single"/>
        </w:rPr>
        <w:t>　           　</w:t>
      </w:r>
      <w:r>
        <w:rPr>
          <w:rFonts w:hint="eastAsia" w:ascii="宋体" w:eastAsia="宋体"/>
          <w:sz w:val="24"/>
          <w:szCs w:val="24"/>
        </w:rPr>
        <w:t>（供应商名称）在下面签字的</w:t>
      </w:r>
      <w:r>
        <w:rPr>
          <w:rFonts w:hint="eastAsia" w:ascii="宋体" w:eastAsia="宋体"/>
          <w:sz w:val="24"/>
          <w:szCs w:val="24"/>
          <w:u w:val="single"/>
        </w:rPr>
        <w:t>　　　　　</w:t>
      </w:r>
      <w:r>
        <w:rPr>
          <w:rFonts w:hint="eastAsia" w:ascii="宋体" w:eastAsia="宋体"/>
          <w:sz w:val="24"/>
          <w:szCs w:val="24"/>
        </w:rPr>
        <w:t>（法定代表人姓名、职务）为本公司的合法代表人</w:t>
      </w:r>
      <w:r>
        <w:rPr>
          <w:rFonts w:hint="eastAsia" w:ascii="宋体" w:eastAsia="宋体"/>
          <w:b/>
          <w:sz w:val="24"/>
          <w:szCs w:val="24"/>
        </w:rPr>
        <w:t>（须提供法定代表人身份证复印件）。</w:t>
      </w:r>
    </w:p>
    <w:p>
      <w:pPr>
        <w:spacing w:line="600" w:lineRule="exact"/>
        <w:ind w:firstLine="480" w:firstLineChars="200"/>
        <w:rPr>
          <w:rFonts w:ascii="宋体" w:hAnsi="宋体"/>
          <w:sz w:val="24"/>
          <w:szCs w:val="24"/>
        </w:rPr>
      </w:pPr>
      <w:r>
        <w:rPr>
          <w:rFonts w:hint="eastAsia" w:ascii="宋体" w:hAnsi="宋体"/>
          <w:sz w:val="24"/>
          <w:szCs w:val="24"/>
        </w:rPr>
        <w:t>特此证明。</w:t>
      </w:r>
    </w:p>
    <w:p>
      <w:pPr>
        <w:spacing w:line="600" w:lineRule="exact"/>
        <w:rPr>
          <w:rFonts w:ascii="宋体" w:hAnsi="宋体"/>
          <w:sz w:val="24"/>
          <w:szCs w:val="24"/>
        </w:rPr>
      </w:pPr>
    </w:p>
    <w:tbl>
      <w:tblPr>
        <w:tblStyle w:val="43"/>
        <w:tblpPr w:leftFromText="180" w:rightFromText="180" w:vertAnchor="text" w:horzAnchor="margin" w:tblpXSpec="center" w:tblpY="366"/>
        <w:tblW w:w="4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trPr>
        <w:tc>
          <w:tcPr>
            <w:tcW w:w="4991" w:type="dxa"/>
          </w:tcPr>
          <w:p>
            <w:pPr>
              <w:autoSpaceDE w:val="0"/>
              <w:autoSpaceDN w:val="0"/>
              <w:adjustRightInd w:val="0"/>
              <w:spacing w:line="600" w:lineRule="exact"/>
              <w:jc w:val="center"/>
              <w:rPr>
                <w:rFonts w:ascii="宋体" w:hAnsi="宋体"/>
                <w:sz w:val="24"/>
                <w:szCs w:val="24"/>
              </w:rPr>
            </w:pPr>
            <w:r>
              <w:rPr>
                <w:rFonts w:hint="eastAsia" w:ascii="宋体" w:hAnsi="宋体"/>
                <w:sz w:val="24"/>
                <w:szCs w:val="24"/>
              </w:rPr>
              <w:t>法定代表人身份证复印件（正、反面）粘贴处</w:t>
            </w:r>
          </w:p>
        </w:tc>
      </w:tr>
    </w:tbl>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p>
    <w:p>
      <w:pPr>
        <w:spacing w:line="600" w:lineRule="exact"/>
        <w:rPr>
          <w:rFonts w:ascii="宋体" w:hAnsi="宋体"/>
          <w:sz w:val="24"/>
          <w:szCs w:val="24"/>
        </w:rPr>
      </w:pPr>
      <w:r>
        <w:rPr>
          <w:rFonts w:hint="eastAsia" w:ascii="宋体" w:hAnsi="宋体"/>
          <w:sz w:val="24"/>
          <w:szCs w:val="24"/>
        </w:rPr>
        <w:t>供应商名称（盖公章）：</w:t>
      </w:r>
    </w:p>
    <w:p>
      <w:pPr>
        <w:spacing w:line="600" w:lineRule="exact"/>
        <w:rPr>
          <w:rFonts w:ascii="宋体" w:hAnsi="宋体"/>
          <w:sz w:val="24"/>
          <w:szCs w:val="24"/>
        </w:rPr>
      </w:pPr>
      <w:r>
        <w:rPr>
          <w:rFonts w:hint="eastAsia" w:ascii="宋体" w:hAnsi="宋体"/>
          <w:sz w:val="24"/>
          <w:szCs w:val="24"/>
        </w:rPr>
        <w:t>法定代表人（签名或盖私章）：</w:t>
      </w:r>
    </w:p>
    <w:p>
      <w:pPr>
        <w:spacing w:line="600" w:lineRule="exact"/>
        <w:ind w:right="560"/>
        <w:rPr>
          <w:rFonts w:ascii="宋体" w:hAnsi="宋体"/>
          <w:sz w:val="24"/>
          <w:szCs w:val="24"/>
        </w:rPr>
      </w:pPr>
      <w:r>
        <w:rPr>
          <w:rFonts w:hint="eastAsia" w:ascii="宋体" w:hAnsi="宋体"/>
          <w:sz w:val="24"/>
          <w:szCs w:val="24"/>
        </w:rPr>
        <w:t>日期：</w:t>
      </w:r>
    </w:p>
    <w:p>
      <w:pPr>
        <w:pStyle w:val="87"/>
        <w:ind w:firstLine="0" w:firstLineChars="0"/>
        <w:rPr>
          <w:rFonts w:ascii="宋体" w:eastAsia="宋体"/>
          <w:sz w:val="24"/>
          <w:szCs w:val="24"/>
        </w:rPr>
      </w:pPr>
    </w:p>
    <w:p>
      <w:pPr>
        <w:pStyle w:val="87"/>
        <w:ind w:firstLine="0" w:firstLineChars="0"/>
        <w:rPr>
          <w:rFonts w:ascii="宋体" w:eastAsia="宋体"/>
          <w:sz w:val="24"/>
          <w:szCs w:val="24"/>
        </w:rPr>
      </w:pPr>
    </w:p>
    <w:p>
      <w:pPr>
        <w:pStyle w:val="87"/>
        <w:ind w:firstLine="0" w:firstLineChars="0"/>
        <w:rPr>
          <w:rFonts w:ascii="宋体" w:eastAsia="宋体"/>
          <w:sz w:val="24"/>
          <w:szCs w:val="24"/>
        </w:rPr>
      </w:pPr>
    </w:p>
    <w:p>
      <w:pPr>
        <w:pStyle w:val="87"/>
        <w:ind w:firstLine="0" w:firstLineChars="0"/>
        <w:rPr>
          <w:rFonts w:ascii="宋体" w:eastAsia="宋体"/>
          <w:sz w:val="24"/>
          <w:szCs w:val="24"/>
        </w:rPr>
      </w:pPr>
    </w:p>
    <w:p>
      <w:pPr>
        <w:pStyle w:val="95"/>
        <w:jc w:val="center"/>
        <w:rPr>
          <w:color w:val="auto"/>
          <w:sz w:val="24"/>
          <w:szCs w:val="24"/>
        </w:rPr>
      </w:pPr>
      <w:bookmarkStart w:id="99" w:name="_Toc8904122"/>
      <w:bookmarkStart w:id="100" w:name="_Toc88985368"/>
      <w:bookmarkStart w:id="101" w:name="_Toc417050371"/>
      <w:bookmarkStart w:id="102" w:name="_Toc210188797"/>
      <w:r>
        <w:rPr>
          <w:rFonts w:hint="eastAsia"/>
          <w:color w:val="auto"/>
          <w:sz w:val="24"/>
          <w:szCs w:val="24"/>
        </w:rPr>
        <w:t>6.法定代表人授权委托书</w:t>
      </w:r>
      <w:bookmarkEnd w:id="99"/>
      <w:bookmarkEnd w:id="100"/>
      <w:bookmarkEnd w:id="101"/>
      <w:bookmarkEnd w:id="102"/>
    </w:p>
    <w:p>
      <w:pPr>
        <w:rPr>
          <w:rFonts w:ascii="宋体" w:hAnsi="宋体"/>
          <w:sz w:val="24"/>
          <w:szCs w:val="24"/>
        </w:rPr>
      </w:pPr>
    </w:p>
    <w:p>
      <w:pPr>
        <w:rPr>
          <w:rFonts w:ascii="宋体" w:hAnsi="宋体"/>
          <w:sz w:val="24"/>
          <w:szCs w:val="24"/>
        </w:rPr>
      </w:pPr>
      <w:r>
        <w:rPr>
          <w:rFonts w:hint="eastAsia" w:ascii="宋体" w:hAnsi="宋体"/>
          <w:sz w:val="24"/>
          <w:szCs w:val="24"/>
        </w:rPr>
        <w:t>致：东莞市达盛招标代理有限公司</w:t>
      </w:r>
    </w:p>
    <w:p>
      <w:pPr>
        <w:pStyle w:val="87"/>
        <w:ind w:firstLine="494"/>
        <w:rPr>
          <w:rFonts w:ascii="宋体" w:eastAsia="宋体"/>
          <w:sz w:val="24"/>
          <w:szCs w:val="24"/>
        </w:rPr>
      </w:pPr>
      <w:r>
        <w:rPr>
          <w:rFonts w:hint="eastAsia" w:ascii="宋体" w:eastAsia="宋体"/>
          <w:sz w:val="24"/>
          <w:szCs w:val="24"/>
        </w:rPr>
        <w:t>本委托书声明：在下面签字的</w:t>
      </w:r>
      <w:r>
        <w:rPr>
          <w:rFonts w:hint="eastAsia" w:ascii="宋体" w:eastAsia="宋体"/>
          <w:sz w:val="24"/>
          <w:szCs w:val="24"/>
          <w:u w:val="single"/>
        </w:rPr>
        <w:t xml:space="preserve">           </w:t>
      </w:r>
      <w:r>
        <w:rPr>
          <w:rFonts w:hint="eastAsia" w:ascii="宋体" w:eastAsia="宋体"/>
          <w:sz w:val="24"/>
          <w:szCs w:val="24"/>
        </w:rPr>
        <w:t>（法定代表人姓名、职务）代表</w:t>
      </w:r>
      <w:r>
        <w:rPr>
          <w:rFonts w:hint="eastAsia" w:ascii="宋体" w:eastAsia="宋体"/>
          <w:sz w:val="24"/>
          <w:szCs w:val="24"/>
          <w:u w:val="single"/>
        </w:rPr>
        <w:t xml:space="preserve">             </w:t>
      </w:r>
      <w:r>
        <w:rPr>
          <w:rFonts w:hint="eastAsia" w:ascii="宋体" w:eastAsia="宋体"/>
          <w:sz w:val="24"/>
          <w:szCs w:val="24"/>
        </w:rPr>
        <w:t>（供应商名称）委托在下面签字的</w:t>
      </w:r>
      <w:r>
        <w:rPr>
          <w:rFonts w:hint="eastAsia" w:ascii="宋体" w:eastAsia="宋体"/>
          <w:sz w:val="24"/>
          <w:szCs w:val="24"/>
          <w:u w:val="single"/>
        </w:rPr>
        <w:t xml:space="preserve">          </w:t>
      </w:r>
      <w:r>
        <w:rPr>
          <w:rFonts w:hint="eastAsia" w:ascii="宋体" w:eastAsia="宋体"/>
          <w:sz w:val="24"/>
          <w:szCs w:val="24"/>
        </w:rPr>
        <w:t>（授权代表的姓名、职务）为本公司的合法代表人，就</w:t>
      </w:r>
      <w:r>
        <w:rPr>
          <w:rFonts w:hint="eastAsia" w:ascii="宋体" w:eastAsia="宋体"/>
          <w:sz w:val="24"/>
          <w:szCs w:val="24"/>
          <w:u w:val="single"/>
        </w:rPr>
        <w:t xml:space="preserve">                     </w:t>
      </w:r>
      <w:r>
        <w:rPr>
          <w:rFonts w:hint="eastAsia" w:ascii="宋体" w:eastAsia="宋体"/>
          <w:sz w:val="24"/>
          <w:szCs w:val="24"/>
        </w:rPr>
        <w:t>采购项目（采购编号：</w:t>
      </w:r>
      <w:r>
        <w:rPr>
          <w:rFonts w:hint="eastAsia" w:ascii="宋体" w:eastAsia="宋体"/>
          <w:sz w:val="24"/>
          <w:szCs w:val="24"/>
          <w:u w:val="single"/>
        </w:rPr>
        <w:t xml:space="preserve">          </w:t>
      </w:r>
      <w:r>
        <w:rPr>
          <w:rFonts w:hint="eastAsia" w:ascii="宋体" w:eastAsia="宋体"/>
          <w:sz w:val="24"/>
          <w:szCs w:val="24"/>
        </w:rPr>
        <w:t>）投标的相关服务的投标和合同的执行，以本公司的名义处理一切与之有关的事宜（</w:t>
      </w:r>
      <w:r>
        <w:rPr>
          <w:rFonts w:hint="eastAsia" w:ascii="宋体" w:eastAsia="宋体"/>
          <w:b/>
          <w:sz w:val="24"/>
          <w:szCs w:val="24"/>
        </w:rPr>
        <w:t>须提供授权代表身份证复印件</w:t>
      </w:r>
      <w:r>
        <w:rPr>
          <w:rFonts w:hint="eastAsia" w:ascii="宋体" w:eastAsia="宋体"/>
          <w:sz w:val="24"/>
          <w:szCs w:val="24"/>
        </w:rPr>
        <w:t>）。</w:t>
      </w:r>
    </w:p>
    <w:p>
      <w:pPr>
        <w:pStyle w:val="87"/>
        <w:ind w:firstLine="494"/>
        <w:rPr>
          <w:rFonts w:ascii="宋体" w:eastAsia="宋体"/>
          <w:sz w:val="24"/>
          <w:szCs w:val="24"/>
        </w:rPr>
      </w:pPr>
      <w:r>
        <w:rPr>
          <w:rFonts w:hint="eastAsia" w:ascii="宋体" w:eastAsia="宋体"/>
          <w:sz w:val="24"/>
          <w:szCs w:val="24"/>
        </w:rPr>
        <w:t>本委托书于</w:t>
      </w:r>
      <w:r>
        <w:rPr>
          <w:rFonts w:hint="eastAsia" w:ascii="宋体" w:eastAsia="宋体"/>
          <w:sz w:val="24"/>
          <w:szCs w:val="24"/>
          <w:u w:val="single"/>
        </w:rPr>
        <w:t xml:space="preserve">　  </w:t>
      </w:r>
      <w:r>
        <w:rPr>
          <w:rFonts w:hint="eastAsia" w:ascii="宋体" w:eastAsia="宋体"/>
          <w:sz w:val="24"/>
          <w:szCs w:val="24"/>
        </w:rPr>
        <w:t>年</w:t>
      </w:r>
      <w:r>
        <w:rPr>
          <w:rFonts w:hint="eastAsia" w:ascii="宋体" w:eastAsia="宋体"/>
          <w:sz w:val="24"/>
          <w:szCs w:val="24"/>
          <w:u w:val="single"/>
        </w:rPr>
        <w:t>　</w:t>
      </w:r>
      <w:r>
        <w:rPr>
          <w:rFonts w:hint="eastAsia" w:ascii="宋体" w:eastAsia="宋体"/>
          <w:sz w:val="24"/>
          <w:szCs w:val="24"/>
        </w:rPr>
        <w:t>月</w:t>
      </w:r>
      <w:r>
        <w:rPr>
          <w:rFonts w:hint="eastAsia" w:ascii="宋体" w:eastAsia="宋体"/>
          <w:sz w:val="24"/>
          <w:szCs w:val="24"/>
          <w:u w:val="single"/>
        </w:rPr>
        <w:t>　</w:t>
      </w:r>
      <w:r>
        <w:rPr>
          <w:rFonts w:hint="eastAsia" w:ascii="宋体" w:eastAsia="宋体"/>
          <w:sz w:val="24"/>
          <w:szCs w:val="24"/>
        </w:rPr>
        <w:t>日签字生效。</w:t>
      </w:r>
    </w:p>
    <w:p>
      <w:pPr>
        <w:pStyle w:val="87"/>
        <w:ind w:firstLine="494"/>
        <w:rPr>
          <w:rFonts w:ascii="宋体" w:eastAsia="宋体"/>
          <w:sz w:val="24"/>
          <w:szCs w:val="24"/>
        </w:rPr>
      </w:pPr>
    </w:p>
    <w:tbl>
      <w:tblPr>
        <w:tblStyle w:val="43"/>
        <w:tblpPr w:leftFromText="180" w:rightFromText="180" w:vertAnchor="text" w:horzAnchor="margin" w:tblpXSpec="center" w:tblpY="366"/>
        <w:tblW w:w="4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07" w:hRule="atLeast"/>
        </w:trPr>
        <w:tc>
          <w:tcPr>
            <w:tcW w:w="4991" w:type="dxa"/>
          </w:tcPr>
          <w:p>
            <w:pPr>
              <w:autoSpaceDE w:val="0"/>
              <w:autoSpaceDN w:val="0"/>
              <w:adjustRightInd w:val="0"/>
              <w:spacing w:line="600" w:lineRule="exact"/>
              <w:jc w:val="center"/>
              <w:rPr>
                <w:rFonts w:ascii="宋体" w:hAnsi="宋体"/>
                <w:sz w:val="24"/>
                <w:szCs w:val="24"/>
              </w:rPr>
            </w:pPr>
            <w:r>
              <w:rPr>
                <w:rFonts w:hint="eastAsia" w:ascii="宋体" w:hAnsi="宋体"/>
                <w:sz w:val="24"/>
                <w:szCs w:val="24"/>
              </w:rPr>
              <w:t>授权代表身份证复印件（正、反面）粘贴处</w:t>
            </w:r>
          </w:p>
        </w:tc>
      </w:tr>
    </w:tbl>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r>
        <w:rPr>
          <w:rFonts w:hint="eastAsia" w:ascii="宋体" w:eastAsia="宋体"/>
          <w:sz w:val="24"/>
          <w:szCs w:val="24"/>
        </w:rPr>
        <w:t>供应商名称（盖公章）：</w:t>
      </w:r>
    </w:p>
    <w:p>
      <w:pPr>
        <w:pStyle w:val="87"/>
        <w:ind w:firstLine="494"/>
        <w:rPr>
          <w:rFonts w:ascii="宋体" w:eastAsia="宋体"/>
          <w:sz w:val="24"/>
          <w:szCs w:val="24"/>
        </w:rPr>
      </w:pPr>
      <w:r>
        <w:rPr>
          <w:rFonts w:hint="eastAsia" w:ascii="宋体" w:eastAsia="宋体"/>
          <w:sz w:val="24"/>
          <w:szCs w:val="24"/>
        </w:rPr>
        <w:t>法定代表人（签名或盖私章）：</w:t>
      </w:r>
    </w:p>
    <w:p>
      <w:pPr>
        <w:pStyle w:val="87"/>
        <w:ind w:firstLine="494"/>
        <w:rPr>
          <w:rFonts w:ascii="宋体" w:eastAsia="宋体"/>
          <w:sz w:val="24"/>
          <w:szCs w:val="24"/>
        </w:rPr>
      </w:pPr>
      <w:r>
        <w:rPr>
          <w:rFonts w:hint="eastAsia" w:ascii="宋体" w:eastAsia="宋体"/>
          <w:sz w:val="24"/>
          <w:szCs w:val="24"/>
        </w:rPr>
        <w:t>授权代表（签名或盖私章）：</w:t>
      </w:r>
    </w:p>
    <w:p>
      <w:pPr>
        <w:spacing w:line="600" w:lineRule="exact"/>
        <w:ind w:right="560" w:firstLine="480" w:firstLineChars="200"/>
        <w:rPr>
          <w:rFonts w:ascii="宋体" w:hAnsi="宋体"/>
          <w:sz w:val="24"/>
          <w:szCs w:val="24"/>
        </w:rPr>
      </w:pPr>
      <w:r>
        <w:rPr>
          <w:rFonts w:hint="eastAsia" w:ascii="宋体" w:hAnsi="宋体"/>
          <w:sz w:val="24"/>
          <w:szCs w:val="24"/>
        </w:rPr>
        <w:t>日期：</w:t>
      </w:r>
    </w:p>
    <w:p>
      <w:pPr>
        <w:pStyle w:val="95"/>
        <w:jc w:val="center"/>
        <w:rPr>
          <w:color w:val="auto"/>
          <w:sz w:val="24"/>
          <w:szCs w:val="24"/>
        </w:rPr>
      </w:pPr>
      <w:bookmarkStart w:id="103" w:name="_Toc417050372"/>
      <w:bookmarkStart w:id="104" w:name="_Toc8904123"/>
      <w:bookmarkStart w:id="105" w:name="_Toc88985370"/>
      <w:bookmarkStart w:id="106" w:name="_Toc210188799"/>
      <w:r>
        <w:rPr>
          <w:rFonts w:hint="eastAsia"/>
          <w:color w:val="auto"/>
          <w:sz w:val="24"/>
          <w:szCs w:val="24"/>
        </w:rPr>
        <w:t>（三）业绩表</w:t>
      </w:r>
      <w:bookmarkEnd w:id="103"/>
      <w:bookmarkEnd w:id="104"/>
    </w:p>
    <w:tbl>
      <w:tblPr>
        <w:tblStyle w:val="43"/>
        <w:tblW w:w="9196" w:type="dxa"/>
        <w:jc w:val="center"/>
        <w:tblInd w:w="2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3"/>
        <w:gridCol w:w="1701"/>
        <w:gridCol w:w="2268"/>
        <w:gridCol w:w="2835"/>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5"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使用单位名称</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合同名称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起止时间/合同签订时间</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p>
        </w:tc>
      </w:tr>
    </w:tbl>
    <w:p>
      <w:pPr>
        <w:pStyle w:val="87"/>
        <w:ind w:firstLine="120" w:firstLineChars="50"/>
        <w:rPr>
          <w:rFonts w:ascii="宋体" w:eastAsia="宋体"/>
          <w:b/>
          <w:sz w:val="24"/>
          <w:szCs w:val="24"/>
        </w:rPr>
      </w:pPr>
      <w:r>
        <w:rPr>
          <w:rFonts w:hint="eastAsia" w:ascii="宋体" w:eastAsia="宋体"/>
          <w:b/>
          <w:sz w:val="24"/>
          <w:szCs w:val="24"/>
        </w:rPr>
        <w:t>注：请按照评审要求提供相关业绩明材料。</w:t>
      </w:r>
    </w:p>
    <w:p>
      <w:pPr>
        <w:pStyle w:val="87"/>
        <w:ind w:firstLine="0" w:firstLineChars="0"/>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r>
        <w:rPr>
          <w:rFonts w:hint="eastAsia" w:ascii="宋体" w:eastAsia="宋体"/>
          <w:sz w:val="24"/>
          <w:szCs w:val="24"/>
        </w:rPr>
        <w:t>供应商名称（盖公章）：</w:t>
      </w:r>
    </w:p>
    <w:p>
      <w:pPr>
        <w:spacing w:line="600" w:lineRule="exact"/>
        <w:ind w:right="560" w:firstLine="480" w:firstLineChars="200"/>
        <w:rPr>
          <w:rFonts w:ascii="宋体" w:hAnsi="宋体"/>
          <w:sz w:val="24"/>
          <w:szCs w:val="24"/>
        </w:rPr>
      </w:pPr>
      <w:r>
        <w:rPr>
          <w:rFonts w:hint="eastAsia" w:ascii="宋体" w:hAnsi="宋体"/>
          <w:sz w:val="24"/>
          <w:szCs w:val="24"/>
        </w:rPr>
        <w:t>日期：</w:t>
      </w:r>
    </w:p>
    <w:p>
      <w:pPr>
        <w:pStyle w:val="87"/>
        <w:ind w:firstLine="494"/>
        <w:rPr>
          <w:rFonts w:ascii="宋体" w:eastAsia="宋体"/>
          <w:sz w:val="24"/>
          <w:szCs w:val="24"/>
        </w:rPr>
      </w:pPr>
    </w:p>
    <w:p>
      <w:pPr>
        <w:pStyle w:val="87"/>
        <w:ind w:firstLine="494"/>
        <w:rPr>
          <w:rFonts w:ascii="宋体" w:eastAsia="宋体"/>
          <w:sz w:val="24"/>
          <w:szCs w:val="24"/>
        </w:rPr>
      </w:pPr>
    </w:p>
    <w:p>
      <w:pPr>
        <w:pStyle w:val="95"/>
        <w:spacing w:after="0"/>
        <w:jc w:val="center"/>
        <w:rPr>
          <w:color w:val="auto"/>
          <w:sz w:val="24"/>
          <w:szCs w:val="24"/>
        </w:rPr>
      </w:pPr>
      <w:bookmarkStart w:id="107" w:name="_Toc8904124"/>
      <w:bookmarkStart w:id="108" w:name="_Toc417050374"/>
      <w:r>
        <w:rPr>
          <w:rFonts w:hint="eastAsia"/>
          <w:color w:val="auto"/>
          <w:sz w:val="24"/>
          <w:szCs w:val="24"/>
        </w:rPr>
        <w:t>（四）政府采购政策执行情况表（节能产品、环境标志产品价格扣除）</w:t>
      </w:r>
      <w:bookmarkEnd w:id="107"/>
    </w:p>
    <w:p>
      <w:pPr>
        <w:spacing w:afterLines="200" w:line="360" w:lineRule="exact"/>
        <w:jc w:val="center"/>
        <w:rPr>
          <w:sz w:val="24"/>
          <w:szCs w:val="24"/>
        </w:rPr>
      </w:pPr>
      <w:r>
        <w:rPr>
          <w:rFonts w:hint="eastAsia" w:ascii="黑体" w:hAnsi="黑体" w:eastAsia="黑体"/>
          <w:sz w:val="24"/>
          <w:szCs w:val="24"/>
        </w:rPr>
        <w:t>（由供应商根据需要选用）</w:t>
      </w:r>
    </w:p>
    <w:tbl>
      <w:tblPr>
        <w:tblStyle w:val="43"/>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15"/>
        <w:gridCol w:w="1343"/>
        <w:gridCol w:w="2335"/>
        <w:gridCol w:w="1276"/>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07" w:type="dxa"/>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类别</w:t>
            </w:r>
          </w:p>
        </w:tc>
        <w:tc>
          <w:tcPr>
            <w:tcW w:w="2015" w:type="dxa"/>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投标产品</w:t>
            </w:r>
          </w:p>
        </w:tc>
        <w:tc>
          <w:tcPr>
            <w:tcW w:w="1343" w:type="dxa"/>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制造商</w:t>
            </w:r>
          </w:p>
        </w:tc>
        <w:tc>
          <w:tcPr>
            <w:tcW w:w="2335" w:type="dxa"/>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认证证书编号</w:t>
            </w:r>
          </w:p>
        </w:tc>
        <w:tc>
          <w:tcPr>
            <w:tcW w:w="1276" w:type="dxa"/>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金额</w:t>
            </w:r>
          </w:p>
        </w:tc>
        <w:tc>
          <w:tcPr>
            <w:tcW w:w="1243" w:type="dxa"/>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金额占投标总报价比重（累计</w:t>
            </w:r>
            <w:r>
              <w:rPr>
                <w:rFonts w:ascii="宋体" w:hAnsi="宋体"/>
                <w:sz w:val="24"/>
                <w:szCs w:val="21"/>
                <w:lang w:val="en-GB"/>
              </w:rPr>
              <w:t xml:space="preserve"> %</w:t>
            </w:r>
            <w:r>
              <w:rPr>
                <w:rFonts w:hint="eastAsia" w:ascii="宋体" w:hAnsi="宋体"/>
                <w:sz w:val="24"/>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07" w:type="dxa"/>
            <w:vMerge w:val="restart"/>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节能产品（非强制采购）</w:t>
            </w:r>
          </w:p>
        </w:tc>
        <w:tc>
          <w:tcPr>
            <w:tcW w:w="2015" w:type="dxa"/>
            <w:vAlign w:val="center"/>
          </w:tcPr>
          <w:p>
            <w:pPr>
              <w:tabs>
                <w:tab w:val="left" w:pos="1260"/>
              </w:tabs>
              <w:jc w:val="center"/>
              <w:rPr>
                <w:rFonts w:ascii="宋体"/>
                <w:sz w:val="24"/>
                <w:szCs w:val="21"/>
                <w:lang w:val="en-GB"/>
              </w:rPr>
            </w:pPr>
          </w:p>
        </w:tc>
        <w:tc>
          <w:tcPr>
            <w:tcW w:w="1343" w:type="dxa"/>
            <w:vAlign w:val="center"/>
          </w:tcPr>
          <w:p>
            <w:pPr>
              <w:tabs>
                <w:tab w:val="left" w:pos="1260"/>
              </w:tabs>
              <w:jc w:val="center"/>
              <w:rPr>
                <w:rFonts w:ascii="宋体"/>
                <w:sz w:val="24"/>
                <w:szCs w:val="21"/>
                <w:lang w:val="en-GB"/>
              </w:rPr>
            </w:pPr>
          </w:p>
        </w:tc>
        <w:tc>
          <w:tcPr>
            <w:tcW w:w="2335" w:type="dxa"/>
            <w:vAlign w:val="center"/>
          </w:tcPr>
          <w:p>
            <w:pPr>
              <w:tabs>
                <w:tab w:val="left" w:pos="1260"/>
              </w:tabs>
              <w:jc w:val="center"/>
              <w:rPr>
                <w:rFonts w:ascii="宋体"/>
                <w:sz w:val="24"/>
                <w:szCs w:val="21"/>
                <w:lang w:val="en-GB"/>
              </w:rPr>
            </w:pPr>
          </w:p>
        </w:tc>
        <w:tc>
          <w:tcPr>
            <w:tcW w:w="1276" w:type="dxa"/>
            <w:vAlign w:val="center"/>
          </w:tcPr>
          <w:p>
            <w:pPr>
              <w:tabs>
                <w:tab w:val="left" w:pos="1260"/>
              </w:tabs>
              <w:jc w:val="center"/>
              <w:rPr>
                <w:rFonts w:ascii="宋体"/>
                <w:sz w:val="24"/>
                <w:szCs w:val="21"/>
                <w:lang w:val="en-GB"/>
              </w:rPr>
            </w:pPr>
          </w:p>
        </w:tc>
        <w:tc>
          <w:tcPr>
            <w:tcW w:w="1243" w:type="dxa"/>
            <w:vMerge w:val="restart"/>
            <w:vAlign w:val="center"/>
          </w:tcPr>
          <w:p>
            <w:pPr>
              <w:tabs>
                <w:tab w:val="left" w:pos="1260"/>
              </w:tabs>
              <w:jc w:val="center"/>
              <w:rPr>
                <w:rFonts w:ascii="宋体"/>
                <w:sz w:val="24"/>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07" w:type="dxa"/>
            <w:vMerge w:val="continue"/>
            <w:vAlign w:val="center"/>
          </w:tcPr>
          <w:p>
            <w:pPr>
              <w:tabs>
                <w:tab w:val="left" w:pos="1260"/>
              </w:tabs>
              <w:ind w:left="-86" w:leftChars="-41" w:right="-71" w:rightChars="-34"/>
              <w:jc w:val="center"/>
              <w:rPr>
                <w:rFonts w:ascii="宋体" w:hAnsi="宋体"/>
                <w:sz w:val="24"/>
                <w:szCs w:val="21"/>
                <w:lang w:val="en-GB"/>
              </w:rPr>
            </w:pPr>
          </w:p>
        </w:tc>
        <w:tc>
          <w:tcPr>
            <w:tcW w:w="2015" w:type="dxa"/>
            <w:vAlign w:val="center"/>
          </w:tcPr>
          <w:p>
            <w:pPr>
              <w:tabs>
                <w:tab w:val="left" w:pos="1260"/>
              </w:tabs>
              <w:jc w:val="center"/>
              <w:rPr>
                <w:rFonts w:ascii="宋体"/>
                <w:sz w:val="24"/>
                <w:szCs w:val="21"/>
                <w:lang w:val="en-GB"/>
              </w:rPr>
            </w:pPr>
          </w:p>
        </w:tc>
        <w:tc>
          <w:tcPr>
            <w:tcW w:w="1343" w:type="dxa"/>
            <w:vAlign w:val="center"/>
          </w:tcPr>
          <w:p>
            <w:pPr>
              <w:tabs>
                <w:tab w:val="left" w:pos="1260"/>
              </w:tabs>
              <w:jc w:val="center"/>
              <w:rPr>
                <w:rFonts w:ascii="宋体"/>
                <w:sz w:val="24"/>
                <w:szCs w:val="21"/>
                <w:lang w:val="en-GB"/>
              </w:rPr>
            </w:pPr>
          </w:p>
        </w:tc>
        <w:tc>
          <w:tcPr>
            <w:tcW w:w="2335" w:type="dxa"/>
            <w:vAlign w:val="center"/>
          </w:tcPr>
          <w:p>
            <w:pPr>
              <w:tabs>
                <w:tab w:val="left" w:pos="1260"/>
              </w:tabs>
              <w:jc w:val="center"/>
              <w:rPr>
                <w:rFonts w:ascii="宋体"/>
                <w:sz w:val="24"/>
                <w:szCs w:val="21"/>
                <w:lang w:val="en-GB"/>
              </w:rPr>
            </w:pPr>
          </w:p>
        </w:tc>
        <w:tc>
          <w:tcPr>
            <w:tcW w:w="1276" w:type="dxa"/>
            <w:vAlign w:val="center"/>
          </w:tcPr>
          <w:p>
            <w:pPr>
              <w:tabs>
                <w:tab w:val="left" w:pos="1260"/>
              </w:tabs>
              <w:jc w:val="center"/>
              <w:rPr>
                <w:rFonts w:ascii="宋体"/>
                <w:sz w:val="24"/>
                <w:szCs w:val="21"/>
                <w:lang w:val="en-GB"/>
              </w:rPr>
            </w:pPr>
          </w:p>
        </w:tc>
        <w:tc>
          <w:tcPr>
            <w:tcW w:w="1243" w:type="dxa"/>
            <w:vMerge w:val="continue"/>
            <w:vAlign w:val="center"/>
          </w:tcPr>
          <w:p>
            <w:pPr>
              <w:tabs>
                <w:tab w:val="left" w:pos="1260"/>
              </w:tabs>
              <w:jc w:val="center"/>
              <w:rPr>
                <w:rFonts w:ascii="宋体"/>
                <w:sz w:val="24"/>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007" w:type="dxa"/>
            <w:vMerge w:val="continue"/>
            <w:vAlign w:val="center"/>
          </w:tcPr>
          <w:p>
            <w:pPr>
              <w:tabs>
                <w:tab w:val="left" w:pos="1260"/>
              </w:tabs>
              <w:jc w:val="center"/>
              <w:rPr>
                <w:rFonts w:ascii="宋体"/>
                <w:sz w:val="24"/>
                <w:szCs w:val="21"/>
                <w:lang w:val="en-GB"/>
              </w:rPr>
            </w:pPr>
          </w:p>
        </w:tc>
        <w:tc>
          <w:tcPr>
            <w:tcW w:w="5693" w:type="dxa"/>
            <w:gridSpan w:val="3"/>
            <w:vAlign w:val="center"/>
          </w:tcPr>
          <w:p>
            <w:pPr>
              <w:tabs>
                <w:tab w:val="left" w:pos="1260"/>
              </w:tabs>
              <w:jc w:val="center"/>
              <w:rPr>
                <w:rFonts w:ascii="宋体"/>
                <w:sz w:val="24"/>
                <w:szCs w:val="21"/>
                <w:lang w:val="en-GB"/>
              </w:rPr>
            </w:pPr>
            <w:r>
              <w:rPr>
                <w:rFonts w:hint="eastAsia" w:ascii="宋体" w:hAnsi="宋体"/>
                <w:sz w:val="24"/>
                <w:szCs w:val="21"/>
                <w:lang w:val="en-GB"/>
              </w:rPr>
              <w:t>合计</w:t>
            </w:r>
          </w:p>
        </w:tc>
        <w:tc>
          <w:tcPr>
            <w:tcW w:w="1276" w:type="dxa"/>
            <w:vAlign w:val="center"/>
          </w:tcPr>
          <w:p>
            <w:pPr>
              <w:tabs>
                <w:tab w:val="left" w:pos="1260"/>
              </w:tabs>
              <w:jc w:val="center"/>
              <w:rPr>
                <w:rFonts w:ascii="宋体"/>
                <w:sz w:val="24"/>
                <w:szCs w:val="21"/>
                <w:lang w:val="en-GB"/>
              </w:rPr>
            </w:pPr>
          </w:p>
        </w:tc>
        <w:tc>
          <w:tcPr>
            <w:tcW w:w="1243" w:type="dxa"/>
            <w:vMerge w:val="continue"/>
            <w:vAlign w:val="center"/>
          </w:tcPr>
          <w:p>
            <w:pPr>
              <w:tabs>
                <w:tab w:val="left" w:pos="1260"/>
              </w:tabs>
              <w:jc w:val="center"/>
              <w:rPr>
                <w:rFonts w:ascii="宋体"/>
                <w:sz w:val="24"/>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07" w:type="dxa"/>
            <w:vMerge w:val="restart"/>
            <w:vAlign w:val="center"/>
          </w:tcPr>
          <w:p>
            <w:pPr>
              <w:tabs>
                <w:tab w:val="left" w:pos="1260"/>
              </w:tabs>
              <w:ind w:left="-86" w:leftChars="-41" w:right="-71" w:rightChars="-34"/>
              <w:jc w:val="center"/>
              <w:rPr>
                <w:rFonts w:ascii="宋体"/>
                <w:sz w:val="24"/>
                <w:szCs w:val="21"/>
                <w:lang w:val="en-GB"/>
              </w:rPr>
            </w:pPr>
            <w:r>
              <w:rPr>
                <w:rFonts w:hint="eastAsia" w:ascii="宋体" w:hAnsi="宋体"/>
                <w:sz w:val="24"/>
                <w:szCs w:val="21"/>
                <w:lang w:val="en-GB"/>
              </w:rPr>
              <w:t>环境标志产品</w:t>
            </w:r>
          </w:p>
        </w:tc>
        <w:tc>
          <w:tcPr>
            <w:tcW w:w="2015" w:type="dxa"/>
            <w:vAlign w:val="center"/>
          </w:tcPr>
          <w:p>
            <w:pPr>
              <w:tabs>
                <w:tab w:val="left" w:pos="1260"/>
              </w:tabs>
              <w:jc w:val="center"/>
              <w:rPr>
                <w:rFonts w:ascii="宋体"/>
                <w:sz w:val="24"/>
                <w:szCs w:val="21"/>
                <w:lang w:val="en-GB"/>
              </w:rPr>
            </w:pPr>
          </w:p>
        </w:tc>
        <w:tc>
          <w:tcPr>
            <w:tcW w:w="1343" w:type="dxa"/>
            <w:vAlign w:val="center"/>
          </w:tcPr>
          <w:p>
            <w:pPr>
              <w:tabs>
                <w:tab w:val="left" w:pos="1260"/>
              </w:tabs>
              <w:jc w:val="center"/>
              <w:rPr>
                <w:rFonts w:ascii="宋体"/>
                <w:sz w:val="24"/>
                <w:szCs w:val="21"/>
                <w:lang w:val="en-GB"/>
              </w:rPr>
            </w:pPr>
          </w:p>
        </w:tc>
        <w:tc>
          <w:tcPr>
            <w:tcW w:w="2335" w:type="dxa"/>
            <w:vAlign w:val="center"/>
          </w:tcPr>
          <w:p>
            <w:pPr>
              <w:tabs>
                <w:tab w:val="left" w:pos="1260"/>
              </w:tabs>
              <w:jc w:val="center"/>
              <w:rPr>
                <w:rFonts w:ascii="宋体"/>
                <w:sz w:val="24"/>
                <w:szCs w:val="21"/>
                <w:lang w:val="en-GB"/>
              </w:rPr>
            </w:pPr>
          </w:p>
        </w:tc>
        <w:tc>
          <w:tcPr>
            <w:tcW w:w="1276" w:type="dxa"/>
            <w:vAlign w:val="center"/>
          </w:tcPr>
          <w:p>
            <w:pPr>
              <w:tabs>
                <w:tab w:val="left" w:pos="1260"/>
              </w:tabs>
              <w:jc w:val="center"/>
              <w:rPr>
                <w:rFonts w:ascii="宋体"/>
                <w:sz w:val="24"/>
                <w:szCs w:val="21"/>
                <w:lang w:val="en-GB"/>
              </w:rPr>
            </w:pPr>
          </w:p>
        </w:tc>
        <w:tc>
          <w:tcPr>
            <w:tcW w:w="1243" w:type="dxa"/>
            <w:vMerge w:val="restart"/>
            <w:vAlign w:val="center"/>
          </w:tcPr>
          <w:p>
            <w:pPr>
              <w:tabs>
                <w:tab w:val="left" w:pos="1260"/>
              </w:tabs>
              <w:jc w:val="center"/>
              <w:rPr>
                <w:rFonts w:ascii="宋体"/>
                <w:sz w:val="24"/>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07" w:type="dxa"/>
            <w:vMerge w:val="continue"/>
            <w:vAlign w:val="center"/>
          </w:tcPr>
          <w:p>
            <w:pPr>
              <w:tabs>
                <w:tab w:val="left" w:pos="1260"/>
              </w:tabs>
              <w:ind w:left="-86" w:leftChars="-41" w:right="-71" w:rightChars="-34"/>
              <w:jc w:val="center"/>
              <w:rPr>
                <w:rFonts w:ascii="宋体" w:hAnsi="宋体"/>
                <w:sz w:val="24"/>
                <w:szCs w:val="21"/>
                <w:lang w:val="en-GB"/>
              </w:rPr>
            </w:pPr>
          </w:p>
        </w:tc>
        <w:tc>
          <w:tcPr>
            <w:tcW w:w="2015" w:type="dxa"/>
            <w:vAlign w:val="center"/>
          </w:tcPr>
          <w:p>
            <w:pPr>
              <w:tabs>
                <w:tab w:val="left" w:pos="1260"/>
              </w:tabs>
              <w:jc w:val="center"/>
              <w:rPr>
                <w:rFonts w:ascii="宋体"/>
                <w:sz w:val="24"/>
                <w:szCs w:val="21"/>
                <w:lang w:val="en-GB"/>
              </w:rPr>
            </w:pPr>
          </w:p>
        </w:tc>
        <w:tc>
          <w:tcPr>
            <w:tcW w:w="1343" w:type="dxa"/>
            <w:vAlign w:val="center"/>
          </w:tcPr>
          <w:p>
            <w:pPr>
              <w:tabs>
                <w:tab w:val="left" w:pos="1260"/>
              </w:tabs>
              <w:jc w:val="center"/>
              <w:rPr>
                <w:rFonts w:ascii="宋体"/>
                <w:sz w:val="24"/>
                <w:szCs w:val="21"/>
                <w:lang w:val="en-GB"/>
              </w:rPr>
            </w:pPr>
          </w:p>
        </w:tc>
        <w:tc>
          <w:tcPr>
            <w:tcW w:w="2335" w:type="dxa"/>
            <w:vAlign w:val="center"/>
          </w:tcPr>
          <w:p>
            <w:pPr>
              <w:tabs>
                <w:tab w:val="left" w:pos="1260"/>
              </w:tabs>
              <w:jc w:val="center"/>
              <w:rPr>
                <w:rFonts w:ascii="宋体"/>
                <w:sz w:val="24"/>
                <w:szCs w:val="21"/>
                <w:lang w:val="en-GB"/>
              </w:rPr>
            </w:pPr>
          </w:p>
        </w:tc>
        <w:tc>
          <w:tcPr>
            <w:tcW w:w="1276" w:type="dxa"/>
            <w:vAlign w:val="center"/>
          </w:tcPr>
          <w:p>
            <w:pPr>
              <w:tabs>
                <w:tab w:val="left" w:pos="1260"/>
              </w:tabs>
              <w:jc w:val="center"/>
              <w:rPr>
                <w:rFonts w:ascii="宋体"/>
                <w:sz w:val="24"/>
                <w:szCs w:val="21"/>
                <w:lang w:val="en-GB"/>
              </w:rPr>
            </w:pPr>
          </w:p>
        </w:tc>
        <w:tc>
          <w:tcPr>
            <w:tcW w:w="1243" w:type="dxa"/>
            <w:vMerge w:val="continue"/>
            <w:vAlign w:val="center"/>
          </w:tcPr>
          <w:p>
            <w:pPr>
              <w:tabs>
                <w:tab w:val="left" w:pos="1260"/>
              </w:tabs>
              <w:jc w:val="center"/>
              <w:rPr>
                <w:rFonts w:ascii="宋体"/>
                <w:sz w:val="24"/>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007" w:type="dxa"/>
            <w:vMerge w:val="continue"/>
            <w:vAlign w:val="center"/>
          </w:tcPr>
          <w:p>
            <w:pPr>
              <w:tabs>
                <w:tab w:val="left" w:pos="1260"/>
              </w:tabs>
              <w:ind w:left="-86" w:leftChars="-41" w:right="-71" w:rightChars="-34"/>
              <w:jc w:val="center"/>
              <w:rPr>
                <w:rFonts w:ascii="宋体"/>
                <w:sz w:val="24"/>
                <w:szCs w:val="21"/>
                <w:lang w:val="en-GB"/>
              </w:rPr>
            </w:pPr>
          </w:p>
        </w:tc>
        <w:tc>
          <w:tcPr>
            <w:tcW w:w="5693" w:type="dxa"/>
            <w:gridSpan w:val="3"/>
            <w:vAlign w:val="center"/>
          </w:tcPr>
          <w:p>
            <w:pPr>
              <w:tabs>
                <w:tab w:val="left" w:pos="1260"/>
              </w:tabs>
              <w:jc w:val="center"/>
              <w:rPr>
                <w:rFonts w:ascii="宋体"/>
                <w:sz w:val="24"/>
                <w:szCs w:val="21"/>
                <w:lang w:val="en-GB"/>
              </w:rPr>
            </w:pPr>
            <w:r>
              <w:rPr>
                <w:rFonts w:hint="eastAsia" w:ascii="宋体" w:hAnsi="宋体"/>
                <w:sz w:val="24"/>
                <w:szCs w:val="21"/>
                <w:lang w:val="en-GB"/>
              </w:rPr>
              <w:t>合计</w:t>
            </w:r>
          </w:p>
        </w:tc>
        <w:tc>
          <w:tcPr>
            <w:tcW w:w="1276" w:type="dxa"/>
            <w:vAlign w:val="center"/>
          </w:tcPr>
          <w:p>
            <w:pPr>
              <w:tabs>
                <w:tab w:val="left" w:pos="1260"/>
              </w:tabs>
              <w:jc w:val="center"/>
              <w:rPr>
                <w:rFonts w:ascii="宋体"/>
                <w:sz w:val="24"/>
                <w:szCs w:val="21"/>
                <w:lang w:val="en-GB"/>
              </w:rPr>
            </w:pPr>
          </w:p>
        </w:tc>
        <w:tc>
          <w:tcPr>
            <w:tcW w:w="1243" w:type="dxa"/>
            <w:vMerge w:val="continue"/>
            <w:vAlign w:val="center"/>
          </w:tcPr>
          <w:p>
            <w:pPr>
              <w:tabs>
                <w:tab w:val="left" w:pos="1260"/>
              </w:tabs>
              <w:jc w:val="center"/>
              <w:rPr>
                <w:rFonts w:ascii="宋体"/>
                <w:sz w:val="24"/>
                <w:szCs w:val="21"/>
                <w:lang w:val="en-GB"/>
              </w:rPr>
            </w:pPr>
          </w:p>
        </w:tc>
      </w:tr>
    </w:tbl>
    <w:p>
      <w:pPr>
        <w:spacing w:line="500" w:lineRule="exact"/>
        <w:rPr>
          <w:rFonts w:ascii="宋体"/>
          <w:sz w:val="24"/>
          <w:szCs w:val="21"/>
          <w:lang w:val="en-GB"/>
        </w:rPr>
      </w:pPr>
      <w:r>
        <w:rPr>
          <w:rFonts w:hint="eastAsia" w:ascii="宋体" w:hAnsi="宋体"/>
          <w:sz w:val="24"/>
          <w:szCs w:val="21"/>
          <w:lang w:val="en-GB"/>
        </w:rPr>
        <w:t>注：</w:t>
      </w:r>
    </w:p>
    <w:p>
      <w:pPr>
        <w:spacing w:line="500" w:lineRule="exact"/>
        <w:rPr>
          <w:rFonts w:ascii="宋体"/>
          <w:sz w:val="24"/>
          <w:szCs w:val="21"/>
          <w:lang w:val="en-GB"/>
        </w:rPr>
      </w:pPr>
      <w:r>
        <w:rPr>
          <w:rFonts w:ascii="宋体" w:hAnsi="宋体"/>
          <w:sz w:val="24"/>
          <w:szCs w:val="21"/>
          <w:lang w:val="en-GB"/>
        </w:rPr>
        <w:t>1.</w:t>
      </w:r>
      <w:r>
        <w:rPr>
          <w:rFonts w:hint="eastAsia" w:ascii="宋体" w:hAnsi="宋体"/>
          <w:sz w:val="24"/>
          <w:szCs w:val="21"/>
          <w:lang w:val="en-GB"/>
        </w:rPr>
        <w:t>节能产品（非强制采购）是纳入财政部</w:t>
      </w:r>
      <w:r>
        <w:rPr>
          <w:rFonts w:ascii="宋体" w:hAnsi="宋体"/>
          <w:sz w:val="24"/>
          <w:szCs w:val="21"/>
          <w:lang w:val="en-GB"/>
        </w:rPr>
        <w:t xml:space="preserve"> </w:t>
      </w:r>
      <w:r>
        <w:rPr>
          <w:rFonts w:hint="eastAsia" w:ascii="宋体" w:hAnsi="宋体"/>
          <w:sz w:val="24"/>
          <w:szCs w:val="21"/>
          <w:lang w:val="en-GB"/>
        </w:rPr>
        <w:t>发展改革委颁布最新一期《节能产品政府采购品目清单》的，须同时提供投标产品所在清单页并对相关品目作圈记、处于有效期之内的节能产品认证证书复印件加盖投标人公章。</w:t>
      </w:r>
    </w:p>
    <w:p>
      <w:pPr>
        <w:spacing w:line="500" w:lineRule="exact"/>
        <w:rPr>
          <w:rFonts w:ascii="宋体" w:hAnsi="宋体"/>
          <w:sz w:val="24"/>
          <w:szCs w:val="21"/>
          <w:lang w:val="en-GB"/>
        </w:rPr>
      </w:pPr>
      <w:r>
        <w:rPr>
          <w:rFonts w:ascii="宋体" w:hAnsi="宋体"/>
          <w:sz w:val="24"/>
          <w:szCs w:val="21"/>
          <w:lang w:val="en-GB"/>
        </w:rPr>
        <w:t>2.</w:t>
      </w:r>
      <w:r>
        <w:rPr>
          <w:rFonts w:hint="eastAsia" w:ascii="宋体" w:hAnsi="宋体"/>
          <w:sz w:val="24"/>
          <w:szCs w:val="21"/>
          <w:lang w:val="en-GB"/>
        </w:rPr>
        <w:t>环境标志产品是纳入财政部 生态环境部颁布最新一期《环境标志产品政府采购品目清单》的，须同时提供投标产品所在清单页并对相关品目作圈记、处于有效期之内的环境标志产品认证证书复印件加盖投标人公章。</w:t>
      </w:r>
    </w:p>
    <w:p>
      <w:pPr>
        <w:spacing w:line="500" w:lineRule="exact"/>
        <w:rPr>
          <w:rFonts w:ascii="宋体" w:hAnsi="宋体"/>
          <w:szCs w:val="21"/>
          <w:lang w:val="en-GB"/>
        </w:rPr>
      </w:pPr>
    </w:p>
    <w:p>
      <w:pPr>
        <w:pStyle w:val="87"/>
        <w:ind w:firstLine="0" w:firstLineChars="0"/>
        <w:rPr>
          <w:rFonts w:ascii="宋体" w:eastAsia="宋体"/>
          <w:sz w:val="24"/>
          <w:szCs w:val="24"/>
        </w:rPr>
      </w:pPr>
      <w:r>
        <w:rPr>
          <w:rFonts w:hint="eastAsia" w:ascii="宋体" w:eastAsia="宋体"/>
          <w:sz w:val="24"/>
          <w:szCs w:val="24"/>
        </w:rPr>
        <w:t>供应商名称（盖公章）：</w:t>
      </w:r>
    </w:p>
    <w:p>
      <w:pPr>
        <w:pStyle w:val="87"/>
        <w:ind w:firstLine="0" w:firstLineChars="0"/>
        <w:rPr>
          <w:rFonts w:ascii="宋体" w:eastAsia="宋体"/>
          <w:sz w:val="24"/>
          <w:szCs w:val="24"/>
        </w:rPr>
      </w:pPr>
      <w:r>
        <w:rPr>
          <w:rFonts w:hint="eastAsia" w:ascii="宋体" w:eastAsia="宋体"/>
          <w:sz w:val="24"/>
          <w:szCs w:val="24"/>
        </w:rPr>
        <w:t>日      期：</w:t>
      </w:r>
    </w:p>
    <w:p>
      <w:pPr>
        <w:pStyle w:val="87"/>
        <w:ind w:firstLine="0" w:firstLineChars="0"/>
        <w:rPr>
          <w:rFonts w:ascii="宋体" w:eastAsia="宋体"/>
          <w:sz w:val="24"/>
          <w:szCs w:val="24"/>
        </w:rPr>
      </w:pPr>
    </w:p>
    <w:p>
      <w:pPr>
        <w:pStyle w:val="87"/>
        <w:ind w:firstLine="0" w:firstLineChars="0"/>
        <w:rPr>
          <w:rFonts w:ascii="宋体" w:eastAsia="宋体"/>
          <w:sz w:val="24"/>
          <w:szCs w:val="24"/>
        </w:rPr>
      </w:pPr>
    </w:p>
    <w:p>
      <w:pPr>
        <w:pStyle w:val="95"/>
        <w:jc w:val="center"/>
        <w:rPr>
          <w:color w:val="auto"/>
          <w:sz w:val="24"/>
          <w:szCs w:val="24"/>
        </w:rPr>
      </w:pPr>
      <w:r>
        <w:rPr>
          <w:color w:val="auto"/>
          <w:sz w:val="24"/>
          <w:szCs w:val="24"/>
        </w:rPr>
        <w:br w:type="page"/>
      </w:r>
      <w:bookmarkStart w:id="109" w:name="_Toc8904125"/>
      <w:r>
        <w:rPr>
          <w:rFonts w:hint="eastAsia"/>
          <w:color w:val="auto"/>
          <w:sz w:val="24"/>
          <w:szCs w:val="24"/>
        </w:rPr>
        <w:t>（五）合同条款偏离表</w:t>
      </w:r>
      <w:bookmarkEnd w:id="109"/>
    </w:p>
    <w:tbl>
      <w:tblPr>
        <w:tblStyle w:val="43"/>
        <w:tblW w:w="8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20"/>
        <w:gridCol w:w="2520"/>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400" w:lineRule="exact"/>
              <w:jc w:val="center"/>
              <w:rPr>
                <w:rFonts w:hAnsi="宋体"/>
                <w:sz w:val="24"/>
                <w:szCs w:val="24"/>
              </w:rPr>
            </w:pPr>
            <w:r>
              <w:rPr>
                <w:rFonts w:hint="eastAsia" w:hAnsi="宋体"/>
                <w:sz w:val="24"/>
                <w:szCs w:val="24"/>
              </w:rPr>
              <w:t>序号</w:t>
            </w:r>
          </w:p>
        </w:tc>
        <w:tc>
          <w:tcPr>
            <w:tcW w:w="2420" w:type="dxa"/>
            <w:vAlign w:val="center"/>
          </w:tcPr>
          <w:p>
            <w:pPr>
              <w:spacing w:line="400" w:lineRule="exact"/>
              <w:jc w:val="center"/>
              <w:rPr>
                <w:rFonts w:hAnsi="宋体"/>
                <w:sz w:val="24"/>
                <w:szCs w:val="24"/>
              </w:rPr>
            </w:pPr>
            <w:r>
              <w:rPr>
                <w:rFonts w:hint="eastAsia" w:hAnsi="宋体"/>
                <w:sz w:val="24"/>
                <w:szCs w:val="24"/>
              </w:rPr>
              <w:t>招标文件合同条款</w:t>
            </w:r>
          </w:p>
        </w:tc>
        <w:tc>
          <w:tcPr>
            <w:tcW w:w="2520" w:type="dxa"/>
            <w:vAlign w:val="center"/>
          </w:tcPr>
          <w:p>
            <w:pPr>
              <w:spacing w:line="400" w:lineRule="exact"/>
              <w:jc w:val="center"/>
              <w:rPr>
                <w:rFonts w:hAnsi="宋体"/>
                <w:sz w:val="24"/>
                <w:szCs w:val="24"/>
              </w:rPr>
            </w:pPr>
            <w:r>
              <w:rPr>
                <w:rFonts w:hint="eastAsia" w:hAnsi="宋体"/>
                <w:sz w:val="24"/>
                <w:szCs w:val="24"/>
              </w:rPr>
              <w:t>投标文件合同条款</w:t>
            </w:r>
          </w:p>
        </w:tc>
        <w:tc>
          <w:tcPr>
            <w:tcW w:w="1195" w:type="dxa"/>
            <w:vAlign w:val="center"/>
          </w:tcPr>
          <w:p>
            <w:pPr>
              <w:spacing w:line="400" w:lineRule="exact"/>
              <w:jc w:val="center"/>
              <w:rPr>
                <w:rFonts w:hAnsi="宋体"/>
                <w:sz w:val="24"/>
                <w:szCs w:val="24"/>
              </w:rPr>
            </w:pPr>
            <w:r>
              <w:rPr>
                <w:rFonts w:hint="eastAsia" w:hAnsi="宋体"/>
                <w:sz w:val="24"/>
                <w:szCs w:val="24"/>
              </w:rPr>
              <w:t>偏离情况</w:t>
            </w:r>
          </w:p>
        </w:tc>
        <w:tc>
          <w:tcPr>
            <w:tcW w:w="1195" w:type="dxa"/>
            <w:vAlign w:val="center"/>
          </w:tcPr>
          <w:p>
            <w:pPr>
              <w:spacing w:line="400" w:lineRule="exact"/>
              <w:jc w:val="center"/>
              <w:rPr>
                <w:rFonts w:hAnsi="宋体"/>
                <w:sz w:val="24"/>
                <w:szCs w:val="24"/>
              </w:rPr>
            </w:pPr>
            <w:r>
              <w:rPr>
                <w:rFonts w:hint="eastAsia" w:hAnsi="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360" w:lineRule="auto"/>
              <w:rPr>
                <w:rFonts w:hAnsi="宋体"/>
                <w:sz w:val="24"/>
                <w:szCs w:val="24"/>
              </w:rPr>
            </w:pPr>
          </w:p>
        </w:tc>
        <w:tc>
          <w:tcPr>
            <w:tcW w:w="2420" w:type="dxa"/>
          </w:tcPr>
          <w:p>
            <w:pPr>
              <w:spacing w:line="360" w:lineRule="auto"/>
              <w:rPr>
                <w:rFonts w:hAnsi="宋体"/>
                <w:sz w:val="24"/>
                <w:szCs w:val="24"/>
              </w:rPr>
            </w:pPr>
          </w:p>
        </w:tc>
        <w:tc>
          <w:tcPr>
            <w:tcW w:w="2520" w:type="dxa"/>
          </w:tcPr>
          <w:p>
            <w:pPr>
              <w:spacing w:line="360" w:lineRule="auto"/>
              <w:rPr>
                <w:rFonts w:hAnsi="宋体"/>
                <w:sz w:val="24"/>
                <w:szCs w:val="24"/>
              </w:rPr>
            </w:pPr>
          </w:p>
        </w:tc>
        <w:tc>
          <w:tcPr>
            <w:tcW w:w="1195" w:type="dxa"/>
            <w:vAlign w:val="center"/>
          </w:tcPr>
          <w:p>
            <w:pPr>
              <w:spacing w:line="360" w:lineRule="auto"/>
              <w:jc w:val="center"/>
              <w:rPr>
                <w:rFonts w:hAnsi="宋体"/>
                <w:sz w:val="24"/>
                <w:szCs w:val="24"/>
              </w:rPr>
            </w:pPr>
          </w:p>
        </w:tc>
        <w:tc>
          <w:tcPr>
            <w:tcW w:w="1195" w:type="dxa"/>
          </w:tcPr>
          <w:p>
            <w:pPr>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360" w:lineRule="auto"/>
              <w:rPr>
                <w:rFonts w:hAnsi="宋体"/>
                <w:sz w:val="24"/>
                <w:szCs w:val="24"/>
              </w:rPr>
            </w:pPr>
          </w:p>
        </w:tc>
        <w:tc>
          <w:tcPr>
            <w:tcW w:w="2420" w:type="dxa"/>
          </w:tcPr>
          <w:p>
            <w:pPr>
              <w:spacing w:line="360" w:lineRule="auto"/>
              <w:rPr>
                <w:rFonts w:hAnsi="宋体"/>
                <w:sz w:val="24"/>
                <w:szCs w:val="24"/>
              </w:rPr>
            </w:pPr>
          </w:p>
        </w:tc>
        <w:tc>
          <w:tcPr>
            <w:tcW w:w="2520" w:type="dxa"/>
          </w:tcPr>
          <w:p>
            <w:pPr>
              <w:spacing w:line="360" w:lineRule="auto"/>
              <w:rPr>
                <w:rFonts w:hAnsi="宋体"/>
                <w:sz w:val="24"/>
                <w:szCs w:val="24"/>
              </w:rPr>
            </w:pPr>
          </w:p>
        </w:tc>
        <w:tc>
          <w:tcPr>
            <w:tcW w:w="1195" w:type="dxa"/>
            <w:vAlign w:val="center"/>
          </w:tcPr>
          <w:p>
            <w:pPr>
              <w:spacing w:line="360" w:lineRule="auto"/>
              <w:jc w:val="center"/>
              <w:rPr>
                <w:rFonts w:hAnsi="宋体"/>
                <w:sz w:val="24"/>
                <w:szCs w:val="24"/>
              </w:rPr>
            </w:pPr>
          </w:p>
        </w:tc>
        <w:tc>
          <w:tcPr>
            <w:tcW w:w="1195" w:type="dxa"/>
          </w:tcPr>
          <w:p>
            <w:pPr>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360" w:lineRule="auto"/>
              <w:rPr>
                <w:rFonts w:hAnsi="宋体"/>
                <w:sz w:val="24"/>
                <w:szCs w:val="24"/>
              </w:rPr>
            </w:pPr>
          </w:p>
        </w:tc>
        <w:tc>
          <w:tcPr>
            <w:tcW w:w="2420" w:type="dxa"/>
          </w:tcPr>
          <w:p>
            <w:pPr>
              <w:spacing w:line="360" w:lineRule="auto"/>
              <w:rPr>
                <w:rFonts w:hAnsi="宋体"/>
                <w:sz w:val="24"/>
                <w:szCs w:val="24"/>
              </w:rPr>
            </w:pPr>
          </w:p>
        </w:tc>
        <w:tc>
          <w:tcPr>
            <w:tcW w:w="2520" w:type="dxa"/>
          </w:tcPr>
          <w:p>
            <w:pPr>
              <w:spacing w:line="360" w:lineRule="auto"/>
              <w:rPr>
                <w:rFonts w:hAnsi="宋体"/>
                <w:sz w:val="24"/>
                <w:szCs w:val="24"/>
              </w:rPr>
            </w:pPr>
          </w:p>
        </w:tc>
        <w:tc>
          <w:tcPr>
            <w:tcW w:w="1195" w:type="dxa"/>
            <w:vAlign w:val="center"/>
          </w:tcPr>
          <w:p>
            <w:pPr>
              <w:spacing w:line="360" w:lineRule="auto"/>
              <w:jc w:val="center"/>
              <w:rPr>
                <w:rFonts w:hAnsi="宋体"/>
                <w:sz w:val="24"/>
                <w:szCs w:val="24"/>
              </w:rPr>
            </w:pPr>
          </w:p>
        </w:tc>
        <w:tc>
          <w:tcPr>
            <w:tcW w:w="1195" w:type="dxa"/>
          </w:tcPr>
          <w:p>
            <w:pPr>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360" w:lineRule="auto"/>
              <w:rPr>
                <w:rFonts w:hAnsi="宋体"/>
                <w:sz w:val="24"/>
                <w:szCs w:val="24"/>
              </w:rPr>
            </w:pPr>
          </w:p>
        </w:tc>
        <w:tc>
          <w:tcPr>
            <w:tcW w:w="2420" w:type="dxa"/>
          </w:tcPr>
          <w:p>
            <w:pPr>
              <w:pStyle w:val="40"/>
              <w:spacing w:line="360" w:lineRule="auto"/>
            </w:pPr>
          </w:p>
        </w:tc>
        <w:tc>
          <w:tcPr>
            <w:tcW w:w="2520" w:type="dxa"/>
          </w:tcPr>
          <w:p>
            <w:pPr>
              <w:spacing w:line="360" w:lineRule="auto"/>
              <w:rPr>
                <w:rFonts w:hAnsi="宋体"/>
                <w:sz w:val="24"/>
                <w:szCs w:val="24"/>
              </w:rPr>
            </w:pPr>
          </w:p>
        </w:tc>
        <w:tc>
          <w:tcPr>
            <w:tcW w:w="1195" w:type="dxa"/>
            <w:vAlign w:val="center"/>
          </w:tcPr>
          <w:p>
            <w:pPr>
              <w:spacing w:line="360" w:lineRule="auto"/>
              <w:jc w:val="center"/>
              <w:rPr>
                <w:rFonts w:hAnsi="宋体"/>
                <w:sz w:val="24"/>
                <w:szCs w:val="24"/>
              </w:rPr>
            </w:pPr>
          </w:p>
        </w:tc>
        <w:tc>
          <w:tcPr>
            <w:tcW w:w="1195" w:type="dxa"/>
          </w:tcPr>
          <w:p>
            <w:pPr>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360" w:lineRule="auto"/>
              <w:rPr>
                <w:rFonts w:hAnsi="宋体"/>
                <w:sz w:val="24"/>
                <w:szCs w:val="24"/>
              </w:rPr>
            </w:pPr>
          </w:p>
        </w:tc>
        <w:tc>
          <w:tcPr>
            <w:tcW w:w="2420" w:type="dxa"/>
          </w:tcPr>
          <w:p>
            <w:pPr>
              <w:spacing w:line="360" w:lineRule="auto"/>
              <w:rPr>
                <w:rFonts w:hAnsi="宋体"/>
                <w:sz w:val="24"/>
                <w:szCs w:val="24"/>
              </w:rPr>
            </w:pPr>
          </w:p>
        </w:tc>
        <w:tc>
          <w:tcPr>
            <w:tcW w:w="2520" w:type="dxa"/>
          </w:tcPr>
          <w:p>
            <w:pPr>
              <w:spacing w:line="360" w:lineRule="auto"/>
              <w:rPr>
                <w:rFonts w:hAnsi="宋体"/>
                <w:sz w:val="24"/>
                <w:szCs w:val="24"/>
              </w:rPr>
            </w:pPr>
          </w:p>
        </w:tc>
        <w:tc>
          <w:tcPr>
            <w:tcW w:w="1195" w:type="dxa"/>
            <w:vAlign w:val="center"/>
          </w:tcPr>
          <w:p>
            <w:pPr>
              <w:spacing w:line="360" w:lineRule="auto"/>
              <w:jc w:val="center"/>
              <w:rPr>
                <w:rFonts w:hAnsi="宋体"/>
                <w:sz w:val="24"/>
                <w:szCs w:val="24"/>
              </w:rPr>
            </w:pPr>
          </w:p>
        </w:tc>
        <w:tc>
          <w:tcPr>
            <w:tcW w:w="1195" w:type="dxa"/>
          </w:tcPr>
          <w:p>
            <w:pPr>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360" w:lineRule="auto"/>
              <w:rPr>
                <w:rFonts w:hAnsi="宋体"/>
                <w:sz w:val="24"/>
                <w:szCs w:val="24"/>
              </w:rPr>
            </w:pPr>
          </w:p>
        </w:tc>
        <w:tc>
          <w:tcPr>
            <w:tcW w:w="2420" w:type="dxa"/>
          </w:tcPr>
          <w:p>
            <w:pPr>
              <w:spacing w:line="360" w:lineRule="auto"/>
              <w:rPr>
                <w:rFonts w:hAnsi="宋体"/>
                <w:sz w:val="24"/>
                <w:szCs w:val="24"/>
              </w:rPr>
            </w:pPr>
          </w:p>
        </w:tc>
        <w:tc>
          <w:tcPr>
            <w:tcW w:w="2520" w:type="dxa"/>
          </w:tcPr>
          <w:p>
            <w:pPr>
              <w:spacing w:line="360" w:lineRule="auto"/>
              <w:rPr>
                <w:rFonts w:hAnsi="宋体"/>
                <w:sz w:val="24"/>
                <w:szCs w:val="24"/>
              </w:rPr>
            </w:pPr>
          </w:p>
        </w:tc>
        <w:tc>
          <w:tcPr>
            <w:tcW w:w="1195" w:type="dxa"/>
            <w:vAlign w:val="center"/>
          </w:tcPr>
          <w:p>
            <w:pPr>
              <w:spacing w:line="360" w:lineRule="auto"/>
              <w:jc w:val="center"/>
              <w:rPr>
                <w:rFonts w:hAnsi="宋体"/>
                <w:sz w:val="24"/>
                <w:szCs w:val="24"/>
              </w:rPr>
            </w:pPr>
          </w:p>
        </w:tc>
        <w:tc>
          <w:tcPr>
            <w:tcW w:w="1195" w:type="dxa"/>
          </w:tcPr>
          <w:p>
            <w:pPr>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tcPr>
          <w:p>
            <w:pPr>
              <w:spacing w:line="360" w:lineRule="auto"/>
              <w:rPr>
                <w:rFonts w:hAnsi="宋体"/>
                <w:sz w:val="24"/>
                <w:szCs w:val="24"/>
              </w:rPr>
            </w:pPr>
          </w:p>
        </w:tc>
        <w:tc>
          <w:tcPr>
            <w:tcW w:w="2420" w:type="dxa"/>
          </w:tcPr>
          <w:p>
            <w:pPr>
              <w:spacing w:line="360" w:lineRule="auto"/>
              <w:rPr>
                <w:rFonts w:hAnsi="宋体"/>
                <w:sz w:val="24"/>
                <w:szCs w:val="24"/>
              </w:rPr>
            </w:pPr>
          </w:p>
        </w:tc>
        <w:tc>
          <w:tcPr>
            <w:tcW w:w="2520" w:type="dxa"/>
          </w:tcPr>
          <w:p>
            <w:pPr>
              <w:spacing w:line="360" w:lineRule="auto"/>
              <w:rPr>
                <w:rFonts w:hAnsi="宋体"/>
                <w:sz w:val="24"/>
                <w:szCs w:val="24"/>
              </w:rPr>
            </w:pPr>
          </w:p>
        </w:tc>
        <w:tc>
          <w:tcPr>
            <w:tcW w:w="1195" w:type="dxa"/>
            <w:vAlign w:val="center"/>
          </w:tcPr>
          <w:p>
            <w:pPr>
              <w:spacing w:line="360" w:lineRule="auto"/>
              <w:jc w:val="center"/>
              <w:rPr>
                <w:rFonts w:hAnsi="宋体"/>
                <w:sz w:val="24"/>
                <w:szCs w:val="24"/>
              </w:rPr>
            </w:pPr>
          </w:p>
        </w:tc>
        <w:tc>
          <w:tcPr>
            <w:tcW w:w="1195" w:type="dxa"/>
          </w:tcPr>
          <w:p>
            <w:pPr>
              <w:spacing w:line="360" w:lineRule="auto"/>
              <w:rPr>
                <w:rFonts w:hAnsi="宋体"/>
                <w:sz w:val="24"/>
                <w:szCs w:val="24"/>
              </w:rPr>
            </w:pPr>
          </w:p>
        </w:tc>
      </w:tr>
    </w:tbl>
    <w:p>
      <w:pPr>
        <w:spacing w:line="500" w:lineRule="exact"/>
        <w:rPr>
          <w:rFonts w:ascii="宋体" w:hAnsi="宋体"/>
          <w:sz w:val="24"/>
          <w:szCs w:val="21"/>
          <w:lang w:val="en-GB"/>
        </w:rPr>
      </w:pPr>
      <w:r>
        <w:rPr>
          <w:rFonts w:hint="eastAsia" w:ascii="宋体" w:hAnsi="宋体"/>
          <w:sz w:val="24"/>
          <w:szCs w:val="21"/>
          <w:lang w:val="en-GB"/>
        </w:rPr>
        <w:t>注：1）投标人应对照招标文件“合同条款”，如实地说明对招标文件“合同条款”内容的响应情况。</w:t>
      </w:r>
    </w:p>
    <w:p>
      <w:pPr>
        <w:spacing w:line="500" w:lineRule="exact"/>
        <w:rPr>
          <w:rFonts w:ascii="宋体" w:hAnsi="宋体"/>
          <w:sz w:val="24"/>
          <w:szCs w:val="21"/>
          <w:lang w:val="en-GB"/>
        </w:rPr>
      </w:pPr>
      <w:r>
        <w:rPr>
          <w:rFonts w:hint="eastAsia" w:ascii="宋体" w:hAnsi="宋体"/>
          <w:sz w:val="24"/>
          <w:szCs w:val="21"/>
          <w:lang w:val="en-GB"/>
        </w:rPr>
        <w:t>2）如有偏离，应在“偏离情况”栏内注明“有”，并在“说明”栏内予以说明，如投标人偏离内容较多可另附页说明。如无偏离，应在“偏离情况”栏内注明“无”。</w:t>
      </w:r>
    </w:p>
    <w:p>
      <w:pPr>
        <w:spacing w:line="500" w:lineRule="exact"/>
        <w:rPr>
          <w:rFonts w:ascii="宋体" w:hAnsi="宋体"/>
          <w:sz w:val="24"/>
          <w:szCs w:val="21"/>
          <w:lang w:val="en-GB"/>
        </w:rPr>
      </w:pPr>
      <w:r>
        <w:rPr>
          <w:rFonts w:hint="eastAsia" w:ascii="宋体" w:hAnsi="宋体"/>
          <w:sz w:val="24"/>
          <w:szCs w:val="21"/>
          <w:lang w:val="en-GB"/>
        </w:rPr>
        <w:t>3）如投标人对“合同条款”全部响应的，也可以在表格下面用文字总括性的说明。</w:t>
      </w:r>
    </w:p>
    <w:p>
      <w:pPr>
        <w:spacing w:line="500" w:lineRule="exact"/>
        <w:rPr>
          <w:rFonts w:ascii="宋体" w:hAnsi="宋体"/>
          <w:sz w:val="24"/>
          <w:szCs w:val="21"/>
          <w:lang w:val="en-GB"/>
        </w:rPr>
      </w:pPr>
    </w:p>
    <w:p>
      <w:pPr>
        <w:spacing w:line="500" w:lineRule="exact"/>
        <w:rPr>
          <w:rFonts w:ascii="宋体" w:hAnsi="宋体"/>
          <w:sz w:val="24"/>
          <w:szCs w:val="21"/>
          <w:lang w:val="en-GB"/>
        </w:rPr>
      </w:pPr>
    </w:p>
    <w:p>
      <w:pPr>
        <w:spacing w:line="500" w:lineRule="exact"/>
        <w:rPr>
          <w:rFonts w:ascii="宋体" w:hAnsi="宋体"/>
          <w:sz w:val="24"/>
          <w:szCs w:val="21"/>
          <w:lang w:val="en-GB"/>
        </w:rPr>
      </w:pPr>
    </w:p>
    <w:p>
      <w:pPr>
        <w:spacing w:line="500" w:lineRule="exact"/>
        <w:rPr>
          <w:rFonts w:ascii="宋体" w:hAnsi="宋体"/>
          <w:sz w:val="24"/>
          <w:szCs w:val="21"/>
          <w:lang w:val="en-GB"/>
        </w:rPr>
      </w:pPr>
      <w:r>
        <w:rPr>
          <w:rFonts w:hint="eastAsia" w:ascii="宋体" w:hAnsi="宋体"/>
          <w:sz w:val="24"/>
          <w:szCs w:val="21"/>
          <w:lang w:val="en-GB"/>
        </w:rPr>
        <w:t>供应商名称（盖公章）：</w:t>
      </w:r>
    </w:p>
    <w:p>
      <w:pPr>
        <w:spacing w:line="500" w:lineRule="exact"/>
        <w:rPr>
          <w:rFonts w:ascii="宋体" w:hAnsi="宋体"/>
          <w:sz w:val="24"/>
          <w:szCs w:val="21"/>
          <w:lang w:val="en-GB"/>
        </w:rPr>
      </w:pPr>
      <w:r>
        <w:rPr>
          <w:rFonts w:hint="eastAsia" w:ascii="宋体" w:hAnsi="宋体"/>
          <w:sz w:val="24"/>
          <w:szCs w:val="21"/>
          <w:lang w:val="en-GB"/>
        </w:rPr>
        <w:t>日      期：</w:t>
      </w:r>
    </w:p>
    <w:p>
      <w:pPr>
        <w:pStyle w:val="95"/>
        <w:jc w:val="center"/>
        <w:rPr>
          <w:color w:val="auto"/>
          <w:sz w:val="24"/>
          <w:szCs w:val="24"/>
        </w:rPr>
      </w:pPr>
      <w:r>
        <w:rPr>
          <w:color w:val="auto"/>
          <w:sz w:val="24"/>
          <w:szCs w:val="24"/>
          <w:lang w:val="en-GB"/>
        </w:rPr>
        <w:br w:type="page"/>
      </w:r>
      <w:bookmarkStart w:id="110" w:name="_Toc8904126"/>
      <w:r>
        <w:rPr>
          <w:rFonts w:hint="eastAsia"/>
          <w:color w:val="auto"/>
          <w:sz w:val="24"/>
          <w:szCs w:val="24"/>
        </w:rPr>
        <w:t>（六）其他证明文件</w:t>
      </w:r>
      <w:bookmarkEnd w:id="108"/>
      <w:bookmarkEnd w:id="110"/>
    </w:p>
    <w:p>
      <w:pPr>
        <w:spacing w:line="600" w:lineRule="exact"/>
        <w:rPr>
          <w:rFonts w:ascii="宋体" w:hAnsi="宋体"/>
          <w:sz w:val="24"/>
          <w:szCs w:val="24"/>
        </w:rPr>
      </w:pPr>
      <w:r>
        <w:rPr>
          <w:rFonts w:hint="eastAsia" w:ascii="宋体" w:hAnsi="宋体"/>
          <w:sz w:val="24"/>
          <w:szCs w:val="24"/>
        </w:rPr>
        <w:t>供应商认为需要提供的其他证明文件：（格式自定）</w:t>
      </w:r>
    </w:p>
    <w:p>
      <w:pPr>
        <w:spacing w:line="600" w:lineRule="exact"/>
        <w:rPr>
          <w:rFonts w:ascii="宋体" w:hAnsi="宋体"/>
          <w:sz w:val="24"/>
          <w:szCs w:val="24"/>
        </w:rPr>
      </w:pPr>
      <w:r>
        <w:rPr>
          <w:rFonts w:hint="eastAsia" w:ascii="宋体" w:hAnsi="宋体"/>
          <w:sz w:val="24"/>
          <w:szCs w:val="24"/>
        </w:rPr>
        <w:t>1)供应商基本情况、公司简介、获奖情况和有关资质等；</w:t>
      </w:r>
    </w:p>
    <w:p>
      <w:pPr>
        <w:pStyle w:val="87"/>
        <w:ind w:firstLine="0" w:firstLineChars="0"/>
        <w:rPr>
          <w:rFonts w:ascii="宋体" w:eastAsia="宋体"/>
          <w:sz w:val="24"/>
          <w:szCs w:val="24"/>
        </w:rPr>
      </w:pPr>
      <w:r>
        <w:rPr>
          <w:rFonts w:hint="eastAsia" w:ascii="宋体"/>
          <w:sz w:val="24"/>
          <w:szCs w:val="24"/>
        </w:rPr>
        <w:t>2)</w:t>
      </w:r>
      <w:r>
        <w:rPr>
          <w:rFonts w:hint="eastAsia" w:ascii="宋体" w:eastAsia="宋体"/>
          <w:sz w:val="24"/>
          <w:szCs w:val="24"/>
        </w:rPr>
        <w:t>提供履行本项目合同所需的设备和专业技术能力的证明材料；</w:t>
      </w:r>
    </w:p>
    <w:p>
      <w:pPr>
        <w:pStyle w:val="87"/>
        <w:ind w:firstLine="0" w:firstLineChars="0"/>
        <w:rPr>
          <w:rFonts w:ascii="宋体" w:eastAsia="宋体"/>
          <w:sz w:val="24"/>
          <w:szCs w:val="24"/>
        </w:rPr>
      </w:pPr>
      <w:r>
        <w:rPr>
          <w:rFonts w:hint="eastAsia" w:ascii="宋体"/>
          <w:sz w:val="24"/>
          <w:szCs w:val="24"/>
        </w:rPr>
        <w:t>3)</w:t>
      </w:r>
      <w:r>
        <w:rPr>
          <w:rFonts w:hint="eastAsia" w:ascii="宋体" w:eastAsia="宋体"/>
          <w:sz w:val="24"/>
          <w:szCs w:val="24"/>
        </w:rPr>
        <w:t>提供依法缴纳税收和社会保障资金的相关材料；</w:t>
      </w:r>
    </w:p>
    <w:p>
      <w:pPr>
        <w:pStyle w:val="87"/>
        <w:ind w:firstLine="0" w:firstLineChars="0"/>
        <w:rPr>
          <w:rFonts w:ascii="宋体" w:eastAsia="宋体"/>
          <w:sz w:val="24"/>
          <w:szCs w:val="24"/>
        </w:rPr>
      </w:pPr>
      <w:r>
        <w:rPr>
          <w:rFonts w:hint="eastAsia" w:ascii="宋体"/>
          <w:sz w:val="24"/>
          <w:szCs w:val="24"/>
        </w:rPr>
        <w:t>4)</w:t>
      </w:r>
      <w:r>
        <w:rPr>
          <w:rFonts w:hint="eastAsia" w:ascii="宋体" w:eastAsia="宋体"/>
          <w:sz w:val="24"/>
          <w:szCs w:val="24"/>
        </w:rPr>
        <w:t>供应商财务状况报告；</w:t>
      </w:r>
    </w:p>
    <w:p>
      <w:pPr>
        <w:spacing w:line="600" w:lineRule="exact"/>
        <w:rPr>
          <w:rFonts w:ascii="宋体" w:hAnsi="宋体"/>
          <w:sz w:val="24"/>
          <w:szCs w:val="24"/>
        </w:rPr>
      </w:pPr>
      <w:r>
        <w:rPr>
          <w:rFonts w:hint="eastAsia" w:ascii="宋体" w:hAnsi="宋体"/>
          <w:sz w:val="24"/>
          <w:szCs w:val="24"/>
        </w:rPr>
        <w:t>5)供应商认为需要提供与本项目有关的其他证明材料。</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bookmarkEnd w:id="105"/>
    <w:bookmarkEnd w:id="106"/>
    <w:p>
      <w:pPr>
        <w:pStyle w:val="4"/>
        <w:rPr>
          <w:rFonts w:ascii="宋体" w:hAnsi="宋体" w:eastAsia="宋体"/>
          <w:sz w:val="24"/>
          <w:szCs w:val="24"/>
        </w:rPr>
      </w:pPr>
      <w:bookmarkStart w:id="111" w:name="_Toc417050375"/>
      <w:bookmarkStart w:id="112" w:name="_Toc8904127"/>
      <w:bookmarkStart w:id="113" w:name="_Toc226862180"/>
      <w:bookmarkStart w:id="114" w:name="_Toc222651010"/>
      <w:r>
        <w:rPr>
          <w:rFonts w:hint="eastAsia" w:ascii="宋体" w:hAnsi="宋体" w:eastAsia="宋体"/>
          <w:sz w:val="24"/>
          <w:szCs w:val="24"/>
        </w:rPr>
        <w:t>三、技术文件</w:t>
      </w:r>
      <w:bookmarkEnd w:id="111"/>
      <w:bookmarkEnd w:id="112"/>
    </w:p>
    <w:bookmarkEnd w:id="113"/>
    <w:bookmarkEnd w:id="114"/>
    <w:p>
      <w:pPr>
        <w:pStyle w:val="95"/>
        <w:spacing w:after="0"/>
        <w:jc w:val="center"/>
        <w:rPr>
          <w:color w:val="auto"/>
          <w:sz w:val="24"/>
          <w:szCs w:val="24"/>
        </w:rPr>
      </w:pPr>
      <w:bookmarkStart w:id="115" w:name="_Toc417050376"/>
      <w:bookmarkStart w:id="116" w:name="_Toc8904128"/>
      <w:r>
        <w:rPr>
          <w:rFonts w:hint="eastAsia"/>
          <w:color w:val="auto"/>
          <w:sz w:val="24"/>
          <w:szCs w:val="24"/>
        </w:rPr>
        <w:t>（一）</w:t>
      </w:r>
      <w:bookmarkEnd w:id="115"/>
      <w:r>
        <w:rPr>
          <w:rFonts w:hint="eastAsia"/>
          <w:color w:val="auto"/>
          <w:sz w:val="24"/>
          <w:szCs w:val="24"/>
        </w:rPr>
        <w:t>小型或微型企业声明函</w:t>
      </w:r>
      <w:bookmarkEnd w:id="116"/>
    </w:p>
    <w:p>
      <w:pPr>
        <w:spacing w:afterLines="150" w:line="360" w:lineRule="exact"/>
        <w:jc w:val="center"/>
        <w:rPr>
          <w:rFonts w:ascii="黑体" w:hAnsi="黑体" w:eastAsia="黑体"/>
          <w:sz w:val="24"/>
          <w:szCs w:val="24"/>
        </w:rPr>
      </w:pPr>
      <w:r>
        <w:rPr>
          <w:rFonts w:hint="eastAsia" w:ascii="黑体" w:hAnsi="黑体" w:eastAsia="黑体"/>
          <w:sz w:val="24"/>
          <w:szCs w:val="24"/>
        </w:rPr>
        <w:t>（由供应商根据需要选用）</w:t>
      </w:r>
    </w:p>
    <w:p>
      <w:pPr>
        <w:spacing w:line="560" w:lineRule="exact"/>
        <w:ind w:firstLine="480" w:firstLineChars="200"/>
        <w:rPr>
          <w:rFonts w:ascii="宋体" w:hAnsi="宋体"/>
          <w:sz w:val="24"/>
          <w:szCs w:val="24"/>
        </w:rPr>
      </w:pPr>
      <w:r>
        <w:rPr>
          <w:rFonts w:hint="eastAsia" w:ascii="宋体" w:hAnsi="宋体"/>
          <w:sz w:val="24"/>
          <w:szCs w:val="24"/>
        </w:rPr>
        <w:t>本公司郑重声明，根据《政府采购促进中小企业发展暂行办法》（财库[2011]181号）的规定，本公司为</w:t>
      </w:r>
      <w:r>
        <w:rPr>
          <w:rFonts w:hint="eastAsia" w:ascii="宋体" w:hAnsi="宋体"/>
          <w:sz w:val="24"/>
          <w:szCs w:val="24"/>
          <w:u w:val="single"/>
        </w:rPr>
        <w:t>　（请填写：小型、微型）　</w:t>
      </w:r>
      <w:r>
        <w:rPr>
          <w:rFonts w:hint="eastAsia" w:ascii="宋体" w:hAnsi="宋体"/>
          <w:sz w:val="24"/>
          <w:szCs w:val="24"/>
        </w:rPr>
        <w:t>企业。即，本公司同时满足以下件：</w:t>
      </w:r>
    </w:p>
    <w:p>
      <w:pPr>
        <w:spacing w:line="560" w:lineRule="exact"/>
        <w:ind w:firstLine="480" w:firstLineChars="200"/>
        <w:rPr>
          <w:rFonts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szCs w:val="24"/>
          <w:u w:val="single"/>
        </w:rPr>
        <w:t>　（请填写：小型、微型）　</w:t>
      </w:r>
      <w:r>
        <w:rPr>
          <w:rFonts w:hint="eastAsia" w:ascii="宋体" w:hAnsi="宋体"/>
          <w:sz w:val="24"/>
          <w:szCs w:val="24"/>
        </w:rPr>
        <w:t>企业。</w:t>
      </w:r>
    </w:p>
    <w:p>
      <w:pPr>
        <w:spacing w:line="560" w:lineRule="exact"/>
        <w:ind w:firstLine="480" w:firstLineChars="200"/>
        <w:rPr>
          <w:rFonts w:ascii="宋体" w:hAnsi="宋体"/>
          <w:sz w:val="24"/>
          <w:szCs w:val="24"/>
        </w:rPr>
      </w:pPr>
      <w:r>
        <w:rPr>
          <w:rFonts w:hint="eastAsia" w:ascii="宋体" w:hAnsi="宋体"/>
          <w:sz w:val="24"/>
          <w:szCs w:val="24"/>
        </w:rPr>
        <w:t>2、本公司参加</w:t>
      </w:r>
      <w:r>
        <w:rPr>
          <w:rFonts w:hint="eastAsia" w:ascii="宋体" w:hAnsi="宋体"/>
          <w:sz w:val="24"/>
          <w:szCs w:val="24"/>
          <w:u w:val="single"/>
        </w:rPr>
        <w:t>　　（采购人）　　</w:t>
      </w:r>
      <w:r>
        <w:rPr>
          <w:rFonts w:hint="eastAsia" w:ascii="宋体" w:hAnsi="宋体"/>
          <w:sz w:val="24"/>
          <w:szCs w:val="24"/>
        </w:rPr>
        <w:t>的</w:t>
      </w:r>
      <w:r>
        <w:rPr>
          <w:rFonts w:hint="eastAsia" w:ascii="宋体" w:hAnsi="宋体"/>
          <w:sz w:val="24"/>
          <w:szCs w:val="24"/>
          <w:u w:val="single"/>
        </w:rPr>
        <w:t>　　（采购项目）　　</w:t>
      </w:r>
      <w:r>
        <w:rPr>
          <w:rFonts w:hint="eastAsia" w:ascii="宋体" w:hAnsi="宋体"/>
          <w:sz w:val="24"/>
          <w:szCs w:val="24"/>
        </w:rPr>
        <w:t>采购活动提供本企业制造的货物，由本企业承担工程、提供服务，或者提供其他</w:t>
      </w:r>
      <w:r>
        <w:rPr>
          <w:rFonts w:hint="eastAsia" w:ascii="宋体" w:hAnsi="宋体"/>
          <w:sz w:val="24"/>
          <w:szCs w:val="24"/>
          <w:u w:val="single"/>
        </w:rPr>
        <w:t>　（请填写：小型、微型）　</w:t>
      </w:r>
      <w:r>
        <w:rPr>
          <w:rFonts w:hint="eastAsia" w:ascii="宋体" w:hAnsi="宋体"/>
          <w:sz w:val="24"/>
          <w:szCs w:val="24"/>
        </w:rPr>
        <w:t>企业制造的货物。本条所称货物不包括使用大型企业注册商标的货物。</w:t>
      </w:r>
    </w:p>
    <w:p>
      <w:pPr>
        <w:spacing w:line="560" w:lineRule="exact"/>
        <w:ind w:firstLine="480" w:firstLineChars="200"/>
        <w:rPr>
          <w:rFonts w:ascii="宋体" w:hAnsi="宋体"/>
          <w:sz w:val="24"/>
          <w:szCs w:val="24"/>
        </w:rPr>
      </w:pPr>
      <w:r>
        <w:rPr>
          <w:rFonts w:hint="eastAsia" w:ascii="宋体" w:hAnsi="宋体"/>
          <w:sz w:val="24"/>
          <w:szCs w:val="24"/>
        </w:rPr>
        <w:t>3、如本公司参与联合体投标时，将承担联合体合同投标总金额</w:t>
      </w:r>
      <w:r>
        <w:rPr>
          <w:rFonts w:hint="eastAsia" w:ascii="宋体" w:hAnsi="宋体"/>
          <w:sz w:val="24"/>
          <w:szCs w:val="24"/>
          <w:u w:val="single"/>
        </w:rPr>
        <w:t>　</w:t>
      </w:r>
      <w:r>
        <w:rPr>
          <w:rFonts w:hint="eastAsia" w:ascii="宋体" w:hAnsi="宋体"/>
          <w:sz w:val="24"/>
          <w:szCs w:val="24"/>
        </w:rPr>
        <w:t>%的工作内容</w:t>
      </w:r>
      <w:r>
        <w:rPr>
          <w:rFonts w:hint="eastAsia" w:ascii="宋体" w:hAnsi="宋体"/>
          <w:b/>
          <w:sz w:val="24"/>
          <w:szCs w:val="24"/>
        </w:rPr>
        <w:t>（联合体成员中有小型、微型企业时适用）</w:t>
      </w:r>
      <w:r>
        <w:rPr>
          <w:rFonts w:hint="eastAsia" w:ascii="宋体" w:hAnsi="宋体"/>
          <w:sz w:val="24"/>
          <w:szCs w:val="24"/>
        </w:rPr>
        <w:t>。</w:t>
      </w:r>
    </w:p>
    <w:p>
      <w:pPr>
        <w:spacing w:line="560" w:lineRule="exact"/>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pStyle w:val="87"/>
        <w:spacing w:line="560" w:lineRule="exact"/>
        <w:ind w:firstLine="0" w:firstLineChars="0"/>
        <w:rPr>
          <w:rFonts w:ascii="宋体" w:eastAsia="宋体"/>
          <w:sz w:val="24"/>
          <w:szCs w:val="24"/>
        </w:rPr>
      </w:pPr>
      <w:r>
        <w:rPr>
          <w:rFonts w:hint="eastAsia" w:ascii="宋体" w:eastAsia="宋体"/>
          <w:sz w:val="24"/>
          <w:szCs w:val="24"/>
        </w:rPr>
        <w:t>[</w:t>
      </w:r>
      <w:r>
        <w:rPr>
          <w:rFonts w:hint="eastAsia" w:ascii="宋体" w:eastAsia="宋体"/>
          <w:b/>
          <w:sz w:val="24"/>
          <w:szCs w:val="24"/>
        </w:rPr>
        <w:t>注：</w:t>
      </w:r>
      <w:r>
        <w:rPr>
          <w:rFonts w:hint="eastAsia" w:ascii="宋体" w:eastAsia="宋体"/>
          <w:sz w:val="24"/>
          <w:szCs w:val="24"/>
        </w:rPr>
        <w:t>小型或微型企业投标时须提交本函并注明企业类型；监狱企业投标时须提交本函和由省级以上监狱管理局、戒毒管理局(含新疆生产建设兵团)出具的监狱企业证明件]</w:t>
      </w:r>
    </w:p>
    <w:p>
      <w:pPr>
        <w:pStyle w:val="87"/>
        <w:spacing w:line="510" w:lineRule="exact"/>
        <w:ind w:firstLine="0" w:firstLineChars="0"/>
        <w:rPr>
          <w:rFonts w:ascii="宋体" w:eastAsia="宋体"/>
          <w:sz w:val="24"/>
          <w:szCs w:val="24"/>
        </w:rPr>
      </w:pPr>
    </w:p>
    <w:p>
      <w:pPr>
        <w:pStyle w:val="87"/>
        <w:ind w:firstLine="0" w:firstLineChars="0"/>
        <w:rPr>
          <w:rFonts w:ascii="宋体" w:eastAsia="宋体"/>
          <w:sz w:val="24"/>
          <w:szCs w:val="24"/>
        </w:rPr>
      </w:pPr>
      <w:r>
        <w:rPr>
          <w:rFonts w:hint="eastAsia" w:ascii="宋体" w:eastAsia="宋体"/>
          <w:sz w:val="24"/>
          <w:szCs w:val="24"/>
        </w:rPr>
        <w:t>供应商名称（盖公章）：</w:t>
      </w:r>
    </w:p>
    <w:p>
      <w:pPr>
        <w:pStyle w:val="87"/>
        <w:ind w:firstLine="0" w:firstLineChars="0"/>
        <w:rPr>
          <w:rFonts w:ascii="宋体" w:eastAsia="宋体"/>
          <w:sz w:val="24"/>
          <w:szCs w:val="24"/>
        </w:rPr>
      </w:pPr>
      <w:r>
        <w:rPr>
          <w:rFonts w:hint="eastAsia" w:ascii="宋体" w:eastAsia="宋体"/>
          <w:sz w:val="24"/>
          <w:szCs w:val="24"/>
        </w:rPr>
        <w:t>日      期：</w:t>
      </w:r>
    </w:p>
    <w:p>
      <w:pPr>
        <w:pStyle w:val="87"/>
        <w:ind w:firstLine="0" w:firstLineChars="0"/>
        <w:rPr>
          <w:rFonts w:ascii="宋体" w:eastAsia="宋体"/>
          <w:sz w:val="24"/>
          <w:szCs w:val="24"/>
        </w:rPr>
      </w:pPr>
    </w:p>
    <w:p>
      <w:pPr>
        <w:pStyle w:val="95"/>
        <w:spacing w:after="0"/>
        <w:jc w:val="center"/>
        <w:rPr>
          <w:color w:val="auto"/>
          <w:sz w:val="24"/>
          <w:szCs w:val="24"/>
        </w:rPr>
      </w:pPr>
      <w:bookmarkStart w:id="117" w:name="_Toc8904129"/>
      <w:r>
        <w:rPr>
          <w:rFonts w:hint="eastAsia"/>
          <w:color w:val="auto"/>
          <w:sz w:val="24"/>
          <w:szCs w:val="24"/>
        </w:rPr>
        <w:t>（二）残疾人福利性单位声明函</w:t>
      </w:r>
      <w:bookmarkEnd w:id="117"/>
    </w:p>
    <w:p>
      <w:pPr>
        <w:spacing w:afterLines="200" w:line="360" w:lineRule="exact"/>
        <w:jc w:val="center"/>
        <w:rPr>
          <w:rFonts w:ascii="黑体" w:hAnsi="黑体" w:eastAsia="黑体"/>
          <w:sz w:val="24"/>
          <w:szCs w:val="24"/>
        </w:rPr>
      </w:pPr>
      <w:r>
        <w:rPr>
          <w:rFonts w:hint="eastAsia" w:ascii="黑体" w:hAnsi="黑体" w:eastAsia="黑体"/>
          <w:sz w:val="24"/>
          <w:szCs w:val="24"/>
        </w:rPr>
        <w:t>（由供应商根据需要选用）</w:t>
      </w:r>
    </w:p>
    <w:p>
      <w:pPr>
        <w:widowControl/>
        <w:wordWrap w:val="0"/>
        <w:adjustRightInd w:val="0"/>
        <w:snapToGrid w:val="0"/>
        <w:spacing w:line="600" w:lineRule="exact"/>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kern w:val="0"/>
          <w:sz w:val="24"/>
          <w:szCs w:val="24"/>
          <w:u w:val="single"/>
        </w:rPr>
        <w:t xml:space="preserve">         （采购人名称）        </w:t>
      </w:r>
      <w:r>
        <w:rPr>
          <w:rFonts w:hint="eastAsia" w:ascii="宋体" w:hAnsi="宋体" w:cs="宋体"/>
          <w:kern w:val="0"/>
          <w:sz w:val="24"/>
          <w:szCs w:val="24"/>
          <w:lang w:val="zh-CN"/>
        </w:rPr>
        <w:t>单位的</w:t>
      </w:r>
      <w:r>
        <w:rPr>
          <w:rFonts w:hint="eastAsia" w:ascii="宋体" w:hAnsi="宋体" w:cs="宋体"/>
          <w:kern w:val="0"/>
          <w:sz w:val="24"/>
          <w:szCs w:val="24"/>
          <w:u w:val="single"/>
        </w:rPr>
        <w:t xml:space="preserve">              </w:t>
      </w:r>
      <w:r>
        <w:rPr>
          <w:rFonts w:hint="eastAsia" w:ascii="宋体" w:hAnsi="宋体" w:cs="宋体"/>
          <w:kern w:val="0"/>
          <w:sz w:val="24"/>
          <w:szCs w:val="24"/>
          <w:lang w:val="zh-CN"/>
        </w:rPr>
        <w:t>项目采购活动提供本单位制造的货物（由本单位承担工程/提供服务），或者提供其他残疾人福利性单位制造的货物（不包括使用非残疾人福利性单位注册商标的货物）。</w:t>
      </w:r>
    </w:p>
    <w:p>
      <w:pPr>
        <w:widowControl/>
        <w:wordWrap w:val="0"/>
        <w:adjustRightInd w:val="0"/>
        <w:snapToGrid w:val="0"/>
        <w:spacing w:line="600" w:lineRule="exact"/>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本单位对上述声明的真实性负责。如有虚假，将依法承担相应责任。</w:t>
      </w:r>
    </w:p>
    <w:p>
      <w:pPr>
        <w:widowControl/>
        <w:wordWrap w:val="0"/>
        <w:adjustRightInd w:val="0"/>
        <w:snapToGrid w:val="0"/>
        <w:spacing w:line="600" w:lineRule="exact"/>
        <w:jc w:val="left"/>
        <w:rPr>
          <w:rFonts w:ascii="宋体" w:hAnsi="宋体" w:cs="宋体"/>
          <w:kern w:val="0"/>
          <w:sz w:val="24"/>
          <w:szCs w:val="24"/>
          <w:lang w:val="zh-CN"/>
        </w:rPr>
      </w:pPr>
    </w:p>
    <w:p>
      <w:pPr>
        <w:widowControl/>
        <w:wordWrap w:val="0"/>
        <w:adjustRightInd w:val="0"/>
        <w:snapToGrid w:val="0"/>
        <w:spacing w:line="600" w:lineRule="exact"/>
        <w:ind w:firstLine="5668" w:firstLineChars="2362"/>
        <w:jc w:val="left"/>
        <w:rPr>
          <w:rFonts w:ascii="宋体" w:hAnsi="宋体" w:cs="宋体"/>
          <w:kern w:val="0"/>
          <w:sz w:val="24"/>
          <w:szCs w:val="24"/>
          <w:lang w:val="zh-CN"/>
        </w:rPr>
      </w:pPr>
      <w:r>
        <w:rPr>
          <w:rFonts w:hint="eastAsia" w:ascii="宋体" w:hAnsi="宋体" w:cs="宋体"/>
          <w:kern w:val="0"/>
          <w:sz w:val="24"/>
          <w:szCs w:val="24"/>
          <w:lang w:val="zh-CN"/>
        </w:rPr>
        <w:t>单位名称（盖章）：</w:t>
      </w:r>
    </w:p>
    <w:p>
      <w:pPr>
        <w:widowControl/>
        <w:wordWrap w:val="0"/>
        <w:adjustRightInd w:val="0"/>
        <w:snapToGrid w:val="0"/>
        <w:spacing w:line="600" w:lineRule="exact"/>
        <w:ind w:firstLine="5668" w:firstLineChars="2362"/>
        <w:jc w:val="left"/>
        <w:rPr>
          <w:rFonts w:ascii="宋体" w:hAnsi="宋体" w:cs="宋体"/>
          <w:kern w:val="0"/>
          <w:sz w:val="24"/>
          <w:szCs w:val="24"/>
          <w:lang w:val="zh-CN"/>
        </w:rPr>
      </w:pPr>
      <w:r>
        <w:rPr>
          <w:rFonts w:hint="eastAsia" w:ascii="宋体" w:hAnsi="宋体" w:cs="宋体"/>
          <w:kern w:val="0"/>
          <w:sz w:val="24"/>
          <w:szCs w:val="24"/>
          <w:lang w:val="zh-CN"/>
        </w:rPr>
        <w:t>日  期：</w:t>
      </w:r>
    </w:p>
    <w:p>
      <w:pPr>
        <w:widowControl/>
        <w:wordWrap w:val="0"/>
        <w:adjustRightInd w:val="0"/>
        <w:snapToGrid w:val="0"/>
        <w:spacing w:line="600" w:lineRule="exact"/>
        <w:jc w:val="left"/>
        <w:rPr>
          <w:rFonts w:ascii="宋体" w:hAnsi="宋体" w:cs="宋体"/>
          <w:kern w:val="0"/>
          <w:sz w:val="24"/>
          <w:szCs w:val="24"/>
          <w:lang w:val="zh-CN"/>
        </w:rPr>
      </w:pPr>
    </w:p>
    <w:p>
      <w:pPr>
        <w:widowControl/>
        <w:wordWrap w:val="0"/>
        <w:adjustRightInd w:val="0"/>
        <w:snapToGrid w:val="0"/>
        <w:spacing w:line="600" w:lineRule="exact"/>
        <w:jc w:val="left"/>
        <w:rPr>
          <w:rFonts w:ascii="宋体" w:hAnsi="宋体" w:cs="宋体"/>
          <w:kern w:val="0"/>
          <w:sz w:val="24"/>
          <w:szCs w:val="24"/>
          <w:lang w:val="zh-CN"/>
        </w:rPr>
      </w:pPr>
      <w:r>
        <w:rPr>
          <w:rFonts w:hint="eastAsia" w:ascii="宋体" w:hAnsi="宋体" w:cs="宋体"/>
          <w:kern w:val="0"/>
          <w:sz w:val="24"/>
          <w:szCs w:val="24"/>
          <w:lang w:val="zh-CN"/>
        </w:rPr>
        <w:t>注：（1）符合《财政部 民政部 中国残疾人联合会关于促进残疾人就业政府采购政的通知》（财库〔2017〕 141号）规定条件的残疾人福利性单位应当提供《残疾人福利性单位声明函》。</w:t>
      </w:r>
    </w:p>
    <w:p>
      <w:pPr>
        <w:widowControl/>
        <w:wordWrap w:val="0"/>
        <w:adjustRightInd w:val="0"/>
        <w:snapToGrid w:val="0"/>
        <w:spacing w:line="600" w:lineRule="exact"/>
        <w:jc w:val="left"/>
        <w:rPr>
          <w:rFonts w:ascii="宋体" w:hAnsi="宋体" w:cs="宋体"/>
          <w:kern w:val="0"/>
          <w:sz w:val="24"/>
          <w:szCs w:val="24"/>
          <w:lang w:val="zh-CN"/>
        </w:rPr>
      </w:pPr>
      <w:r>
        <w:rPr>
          <w:rFonts w:hint="eastAsia" w:ascii="宋体" w:hAnsi="宋体" w:cs="宋体"/>
          <w:kern w:val="0"/>
          <w:sz w:val="24"/>
          <w:szCs w:val="24"/>
          <w:lang w:val="zh-CN"/>
        </w:rPr>
        <w:t>（2）中标人为残疾人福利性单位的，采购代理机构将随中标结果同时公告其《残疾人福利性单位声明函》，接受社会监督。</w:t>
      </w:r>
    </w:p>
    <w:p>
      <w:pPr>
        <w:widowControl/>
        <w:wordWrap w:val="0"/>
        <w:adjustRightInd w:val="0"/>
        <w:snapToGrid w:val="0"/>
        <w:spacing w:line="600" w:lineRule="exact"/>
        <w:jc w:val="left"/>
        <w:rPr>
          <w:rFonts w:ascii="宋体" w:hAnsi="宋体" w:cs="宋体"/>
          <w:kern w:val="0"/>
          <w:sz w:val="24"/>
          <w:szCs w:val="24"/>
          <w:lang w:val="zh-CN"/>
        </w:rPr>
      </w:pPr>
      <w:r>
        <w:rPr>
          <w:rFonts w:hint="eastAsia" w:ascii="宋体" w:hAnsi="宋体" w:cs="宋体"/>
          <w:kern w:val="0"/>
          <w:sz w:val="24"/>
          <w:szCs w:val="24"/>
          <w:lang w:val="zh-CN"/>
        </w:rPr>
        <w:t>（3）投标人提供的《残疾人福利性单位声明函》与事实不符的，依照《政府采购法》第七十七条第一款的规定追究法律责任。</w:t>
      </w:r>
    </w:p>
    <w:p>
      <w:pPr>
        <w:widowControl/>
        <w:wordWrap w:val="0"/>
        <w:adjustRightInd w:val="0"/>
        <w:snapToGrid w:val="0"/>
        <w:spacing w:line="600" w:lineRule="exact"/>
        <w:jc w:val="left"/>
        <w:rPr>
          <w:rFonts w:ascii="宋体" w:hAnsi="宋体" w:cs="宋体"/>
          <w:kern w:val="0"/>
          <w:sz w:val="24"/>
          <w:szCs w:val="24"/>
          <w:lang w:val="zh-CN"/>
        </w:rPr>
      </w:pPr>
      <w:r>
        <w:rPr>
          <w:rFonts w:hint="eastAsia" w:ascii="宋体" w:hAnsi="宋体" w:cs="宋体"/>
          <w:kern w:val="0"/>
          <w:sz w:val="24"/>
          <w:szCs w:val="24"/>
          <w:lang w:val="zh-CN"/>
        </w:rPr>
        <w:t>（4）投标人同时为小型、微型企业、监狱企业、残疾人福利性单位任意两种或以上情况的，评审中只进行一次价格扣除，不再重复享受价格扣除评审政策。</w:t>
      </w:r>
    </w:p>
    <w:p>
      <w:pPr>
        <w:pStyle w:val="95"/>
        <w:jc w:val="center"/>
        <w:rPr>
          <w:color w:val="auto"/>
          <w:sz w:val="24"/>
          <w:szCs w:val="24"/>
        </w:rPr>
      </w:pPr>
      <w:bookmarkStart w:id="118" w:name="_Toc8904130"/>
      <w:bookmarkStart w:id="119" w:name="_Toc417050378"/>
      <w:r>
        <w:rPr>
          <w:rFonts w:hint="eastAsia"/>
          <w:color w:val="auto"/>
          <w:sz w:val="24"/>
          <w:szCs w:val="24"/>
        </w:rPr>
        <w:t>（三）投标响应与用户需求书差异一览表</w:t>
      </w:r>
      <w:bookmarkEnd w:id="118"/>
      <w:bookmarkEnd w:id="119"/>
    </w:p>
    <w:p>
      <w:pPr>
        <w:pStyle w:val="25"/>
        <w:spacing w:afterLines="150" w:line="500" w:lineRule="exact"/>
        <w:ind w:firstLine="418"/>
        <w:rPr>
          <w:rFonts w:ascii="宋体" w:hAnsi="宋体" w:eastAsia="宋体"/>
          <w:sz w:val="24"/>
          <w:szCs w:val="24"/>
        </w:rPr>
      </w:pPr>
      <w:r>
        <w:rPr>
          <w:rFonts w:hint="eastAsia" w:ascii="宋体" w:hAnsi="宋体" w:eastAsia="宋体"/>
          <w:sz w:val="24"/>
          <w:szCs w:val="24"/>
        </w:rPr>
        <w:t>供应商应按照招标文件要求，如实地说明对招标文件用户需求书的响应情况。对响应有偏离的，则在本表中写明实际偏离的具体内容。</w:t>
      </w:r>
    </w:p>
    <w:tbl>
      <w:tblPr>
        <w:tblStyle w:val="43"/>
        <w:tblW w:w="8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357"/>
        <w:gridCol w:w="254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22" w:type="dxa"/>
            <w:vAlign w:val="center"/>
          </w:tcPr>
          <w:p>
            <w:pPr>
              <w:jc w:val="center"/>
              <w:rPr>
                <w:rFonts w:ascii="宋体" w:hAnsi="宋体"/>
                <w:sz w:val="24"/>
                <w:szCs w:val="24"/>
              </w:rPr>
            </w:pPr>
            <w:r>
              <w:rPr>
                <w:rFonts w:hint="eastAsia" w:ascii="宋体" w:hAnsi="宋体"/>
                <w:sz w:val="24"/>
                <w:szCs w:val="24"/>
              </w:rPr>
              <w:t>序号</w:t>
            </w:r>
          </w:p>
        </w:tc>
        <w:tc>
          <w:tcPr>
            <w:tcW w:w="2357" w:type="dxa"/>
            <w:vAlign w:val="center"/>
          </w:tcPr>
          <w:p>
            <w:pPr>
              <w:jc w:val="center"/>
              <w:rPr>
                <w:rFonts w:ascii="宋体" w:hAnsi="宋体"/>
                <w:sz w:val="24"/>
                <w:szCs w:val="24"/>
              </w:rPr>
            </w:pPr>
            <w:r>
              <w:rPr>
                <w:rFonts w:ascii="宋体" w:hAnsi="宋体"/>
                <w:sz w:val="24"/>
                <w:szCs w:val="24"/>
              </w:rPr>
              <w:t>招标文件内容</w:t>
            </w:r>
          </w:p>
        </w:tc>
        <w:tc>
          <w:tcPr>
            <w:tcW w:w="2544" w:type="dxa"/>
            <w:vAlign w:val="center"/>
          </w:tcPr>
          <w:p>
            <w:pPr>
              <w:jc w:val="center"/>
              <w:rPr>
                <w:rFonts w:ascii="宋体" w:hAnsi="宋体"/>
                <w:sz w:val="24"/>
                <w:szCs w:val="24"/>
              </w:rPr>
            </w:pPr>
            <w:r>
              <w:rPr>
                <w:rFonts w:hint="eastAsia" w:ascii="宋体" w:hAnsi="宋体"/>
                <w:sz w:val="24"/>
                <w:szCs w:val="24"/>
              </w:rPr>
              <w:t>投标文件内容</w:t>
            </w:r>
          </w:p>
        </w:tc>
        <w:tc>
          <w:tcPr>
            <w:tcW w:w="1276" w:type="dxa"/>
            <w:vAlign w:val="center"/>
          </w:tcPr>
          <w:p>
            <w:pPr>
              <w:jc w:val="center"/>
              <w:rPr>
                <w:rFonts w:ascii="宋体" w:hAnsi="宋体"/>
                <w:sz w:val="24"/>
                <w:szCs w:val="24"/>
              </w:rPr>
            </w:pPr>
            <w:r>
              <w:rPr>
                <w:rFonts w:hint="eastAsia" w:ascii="宋体" w:hAnsi="宋体"/>
                <w:sz w:val="24"/>
                <w:szCs w:val="24"/>
              </w:rPr>
              <w:t>偏离情况</w:t>
            </w:r>
          </w:p>
        </w:tc>
        <w:tc>
          <w:tcPr>
            <w:tcW w:w="1276" w:type="dxa"/>
            <w:vAlign w:val="center"/>
          </w:tcPr>
          <w:p>
            <w:pPr>
              <w:jc w:val="center"/>
              <w:rPr>
                <w:rFonts w:ascii="宋体" w:hAnsi="宋体"/>
                <w:sz w:val="24"/>
                <w:szCs w:val="24"/>
              </w:rPr>
            </w:pPr>
            <w:r>
              <w:rPr>
                <w:rFonts w:hint="eastAsia" w:ascii="宋体" w:hAnsi="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22" w:type="dxa"/>
            <w:vAlign w:val="center"/>
          </w:tcPr>
          <w:p>
            <w:pPr>
              <w:jc w:val="center"/>
              <w:rPr>
                <w:rFonts w:ascii="宋体" w:hAnsi="宋体"/>
                <w:sz w:val="24"/>
                <w:szCs w:val="24"/>
              </w:rPr>
            </w:pPr>
          </w:p>
        </w:tc>
        <w:tc>
          <w:tcPr>
            <w:tcW w:w="2357" w:type="dxa"/>
            <w:vAlign w:val="center"/>
          </w:tcPr>
          <w:p>
            <w:pPr>
              <w:jc w:val="center"/>
              <w:rPr>
                <w:rFonts w:ascii="宋体" w:hAnsi="宋体"/>
                <w:sz w:val="24"/>
                <w:szCs w:val="24"/>
              </w:rPr>
            </w:pPr>
          </w:p>
        </w:tc>
        <w:tc>
          <w:tcPr>
            <w:tcW w:w="2544"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22" w:type="dxa"/>
            <w:vAlign w:val="center"/>
          </w:tcPr>
          <w:p>
            <w:pPr>
              <w:jc w:val="center"/>
              <w:rPr>
                <w:rFonts w:ascii="宋体" w:hAnsi="宋体"/>
                <w:sz w:val="24"/>
                <w:szCs w:val="24"/>
              </w:rPr>
            </w:pPr>
          </w:p>
        </w:tc>
        <w:tc>
          <w:tcPr>
            <w:tcW w:w="2357" w:type="dxa"/>
            <w:vAlign w:val="center"/>
          </w:tcPr>
          <w:p>
            <w:pPr>
              <w:jc w:val="center"/>
              <w:rPr>
                <w:rFonts w:ascii="宋体" w:hAnsi="宋体"/>
                <w:sz w:val="24"/>
                <w:szCs w:val="24"/>
              </w:rPr>
            </w:pPr>
          </w:p>
        </w:tc>
        <w:tc>
          <w:tcPr>
            <w:tcW w:w="2544"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22" w:type="dxa"/>
            <w:vAlign w:val="center"/>
          </w:tcPr>
          <w:p>
            <w:pPr>
              <w:jc w:val="center"/>
              <w:rPr>
                <w:rFonts w:ascii="宋体" w:hAnsi="宋体"/>
                <w:sz w:val="24"/>
                <w:szCs w:val="24"/>
              </w:rPr>
            </w:pPr>
          </w:p>
        </w:tc>
        <w:tc>
          <w:tcPr>
            <w:tcW w:w="2357" w:type="dxa"/>
            <w:vAlign w:val="center"/>
          </w:tcPr>
          <w:p>
            <w:pPr>
              <w:jc w:val="center"/>
              <w:rPr>
                <w:rFonts w:ascii="宋体" w:hAnsi="宋体"/>
                <w:sz w:val="24"/>
                <w:szCs w:val="24"/>
              </w:rPr>
            </w:pPr>
          </w:p>
        </w:tc>
        <w:tc>
          <w:tcPr>
            <w:tcW w:w="2544"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22" w:type="dxa"/>
            <w:vAlign w:val="center"/>
          </w:tcPr>
          <w:p>
            <w:pPr>
              <w:jc w:val="center"/>
              <w:rPr>
                <w:rFonts w:ascii="宋体" w:hAnsi="宋体"/>
                <w:sz w:val="24"/>
                <w:szCs w:val="24"/>
              </w:rPr>
            </w:pPr>
          </w:p>
        </w:tc>
        <w:tc>
          <w:tcPr>
            <w:tcW w:w="2357" w:type="dxa"/>
            <w:vAlign w:val="center"/>
          </w:tcPr>
          <w:p>
            <w:pPr>
              <w:jc w:val="center"/>
              <w:rPr>
                <w:rFonts w:ascii="宋体" w:hAnsi="宋体"/>
                <w:sz w:val="24"/>
                <w:szCs w:val="24"/>
              </w:rPr>
            </w:pPr>
          </w:p>
        </w:tc>
        <w:tc>
          <w:tcPr>
            <w:tcW w:w="2544"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22" w:type="dxa"/>
            <w:vAlign w:val="center"/>
          </w:tcPr>
          <w:p>
            <w:pPr>
              <w:jc w:val="center"/>
              <w:rPr>
                <w:rFonts w:ascii="宋体" w:hAnsi="宋体"/>
                <w:sz w:val="24"/>
                <w:szCs w:val="24"/>
              </w:rPr>
            </w:pPr>
          </w:p>
        </w:tc>
        <w:tc>
          <w:tcPr>
            <w:tcW w:w="2357" w:type="dxa"/>
            <w:vAlign w:val="center"/>
          </w:tcPr>
          <w:p>
            <w:pPr>
              <w:jc w:val="center"/>
              <w:rPr>
                <w:rFonts w:ascii="宋体" w:hAnsi="宋体"/>
                <w:sz w:val="24"/>
                <w:szCs w:val="24"/>
              </w:rPr>
            </w:pPr>
          </w:p>
        </w:tc>
        <w:tc>
          <w:tcPr>
            <w:tcW w:w="2544"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22" w:type="dxa"/>
            <w:vAlign w:val="center"/>
          </w:tcPr>
          <w:p>
            <w:pPr>
              <w:jc w:val="center"/>
              <w:rPr>
                <w:rFonts w:ascii="宋体" w:hAnsi="宋体"/>
                <w:sz w:val="24"/>
                <w:szCs w:val="24"/>
              </w:rPr>
            </w:pPr>
          </w:p>
        </w:tc>
        <w:tc>
          <w:tcPr>
            <w:tcW w:w="2357" w:type="dxa"/>
            <w:vAlign w:val="center"/>
          </w:tcPr>
          <w:p>
            <w:pPr>
              <w:jc w:val="center"/>
              <w:rPr>
                <w:rFonts w:ascii="宋体" w:hAnsi="宋体"/>
                <w:sz w:val="24"/>
                <w:szCs w:val="24"/>
              </w:rPr>
            </w:pPr>
          </w:p>
        </w:tc>
        <w:tc>
          <w:tcPr>
            <w:tcW w:w="2544"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c>
          <w:tcPr>
            <w:tcW w:w="1276" w:type="dxa"/>
            <w:vAlign w:val="center"/>
          </w:tcPr>
          <w:p>
            <w:pPr>
              <w:jc w:val="center"/>
              <w:rPr>
                <w:rFonts w:ascii="宋体" w:hAnsi="宋体"/>
                <w:sz w:val="24"/>
                <w:szCs w:val="24"/>
              </w:rPr>
            </w:pPr>
          </w:p>
        </w:tc>
      </w:tr>
    </w:tbl>
    <w:p>
      <w:pPr>
        <w:pStyle w:val="25"/>
        <w:spacing w:line="420" w:lineRule="exact"/>
        <w:ind w:firstLine="418"/>
        <w:rPr>
          <w:rFonts w:ascii="宋体" w:hAnsi="宋体" w:eastAsia="宋体"/>
          <w:sz w:val="24"/>
          <w:szCs w:val="24"/>
        </w:rPr>
      </w:pPr>
      <w:r>
        <w:rPr>
          <w:rFonts w:hint="eastAsia" w:ascii="宋体" w:hAnsi="宋体" w:eastAsia="宋体"/>
          <w:sz w:val="24"/>
          <w:szCs w:val="24"/>
        </w:rPr>
        <w:t>注：</w:t>
      </w:r>
    </w:p>
    <w:p>
      <w:pPr>
        <w:spacing w:line="600" w:lineRule="exact"/>
        <w:ind w:right="560" w:firstLine="480" w:firstLineChars="200"/>
        <w:rPr>
          <w:rFonts w:ascii="宋体" w:hAnsi="宋体"/>
          <w:sz w:val="24"/>
          <w:szCs w:val="24"/>
        </w:rPr>
      </w:pPr>
      <w:r>
        <w:rPr>
          <w:rFonts w:hint="eastAsia" w:ascii="宋体" w:hAnsi="宋体"/>
          <w:sz w:val="24"/>
          <w:szCs w:val="24"/>
        </w:rPr>
        <w:t>1.供应商应在“偏离情况”栏内注明“正”、“负”或“无”。</w:t>
      </w:r>
    </w:p>
    <w:p>
      <w:pPr>
        <w:spacing w:line="600" w:lineRule="exact"/>
        <w:ind w:right="560" w:firstLine="480" w:firstLineChars="200"/>
        <w:rPr>
          <w:rFonts w:ascii="宋体" w:hAnsi="宋体"/>
          <w:sz w:val="24"/>
          <w:szCs w:val="24"/>
        </w:rPr>
      </w:pPr>
      <w:r>
        <w:rPr>
          <w:rFonts w:hint="eastAsia" w:ascii="宋体" w:hAnsi="宋体"/>
          <w:sz w:val="24"/>
          <w:szCs w:val="24"/>
        </w:rPr>
        <w:t>2.如有偏离（“正”或“负”），应在“说明”栏内予以说明。</w:t>
      </w:r>
    </w:p>
    <w:p>
      <w:pPr>
        <w:spacing w:line="600" w:lineRule="exact"/>
        <w:ind w:right="560" w:firstLine="480" w:firstLineChars="200"/>
        <w:rPr>
          <w:rFonts w:ascii="宋体" w:hAnsi="宋体"/>
          <w:sz w:val="24"/>
          <w:szCs w:val="24"/>
        </w:rPr>
      </w:pPr>
      <w:r>
        <w:rPr>
          <w:rFonts w:hint="eastAsia" w:ascii="宋体" w:hAnsi="宋体"/>
          <w:sz w:val="24"/>
          <w:szCs w:val="24"/>
        </w:rPr>
        <w:t>3.用户需求书若有要求提供相关证明资料的，供应商应当提供，否则视为负偏离。</w:t>
      </w:r>
    </w:p>
    <w:p>
      <w:pPr>
        <w:spacing w:line="600" w:lineRule="exact"/>
        <w:ind w:right="560" w:firstLine="480" w:firstLineChars="200"/>
        <w:rPr>
          <w:rFonts w:ascii="宋体" w:hAnsi="宋体"/>
          <w:sz w:val="24"/>
          <w:szCs w:val="24"/>
        </w:rPr>
      </w:pPr>
      <w:r>
        <w:rPr>
          <w:rFonts w:hint="eastAsia" w:ascii="宋体" w:hAnsi="宋体"/>
          <w:sz w:val="24"/>
          <w:szCs w:val="24"/>
        </w:rPr>
        <w:t>4.如投标人对“用户需求书”全部响应无偏离的，也可以在下方用文字总括性的说明。</w:t>
      </w:r>
    </w:p>
    <w:p>
      <w:pPr>
        <w:spacing w:line="600" w:lineRule="exact"/>
        <w:ind w:right="560" w:firstLine="480" w:firstLineChars="200"/>
        <w:rPr>
          <w:rFonts w:ascii="宋体" w:hAnsi="宋体"/>
          <w:sz w:val="24"/>
          <w:szCs w:val="24"/>
        </w:rPr>
      </w:pPr>
    </w:p>
    <w:p>
      <w:pPr>
        <w:pStyle w:val="87"/>
        <w:ind w:firstLine="494"/>
        <w:rPr>
          <w:rFonts w:ascii="宋体" w:eastAsia="宋体"/>
          <w:sz w:val="24"/>
          <w:szCs w:val="24"/>
        </w:rPr>
      </w:pPr>
      <w:r>
        <w:rPr>
          <w:rFonts w:hint="eastAsia" w:ascii="宋体" w:eastAsia="宋体"/>
          <w:sz w:val="24"/>
          <w:szCs w:val="24"/>
        </w:rPr>
        <w:t>供应商名称（盖公章）：</w:t>
      </w:r>
    </w:p>
    <w:p>
      <w:pPr>
        <w:spacing w:line="600" w:lineRule="exact"/>
        <w:ind w:right="560" w:firstLine="480" w:firstLineChars="200"/>
        <w:rPr>
          <w:rFonts w:ascii="宋体" w:hAnsi="宋体"/>
          <w:sz w:val="24"/>
          <w:szCs w:val="24"/>
        </w:rPr>
        <w:sectPr>
          <w:pgSz w:w="11906" w:h="16838"/>
          <w:pgMar w:top="1729" w:right="1531" w:bottom="1712" w:left="1531" w:header="1134" w:footer="992" w:gutter="0"/>
          <w:cols w:space="720" w:num="1"/>
          <w:docGrid w:type="lines" w:linePitch="312" w:charSpace="0"/>
        </w:sectPr>
      </w:pPr>
      <w:r>
        <w:rPr>
          <w:rFonts w:hint="eastAsia" w:ascii="宋体" w:hAnsi="宋体"/>
          <w:sz w:val="24"/>
          <w:szCs w:val="24"/>
        </w:rPr>
        <w:t>日期：</w:t>
      </w:r>
    </w:p>
    <w:p>
      <w:pPr>
        <w:pStyle w:val="95"/>
        <w:jc w:val="center"/>
        <w:rPr>
          <w:color w:val="auto"/>
          <w:sz w:val="24"/>
          <w:szCs w:val="24"/>
        </w:rPr>
      </w:pPr>
      <w:bookmarkStart w:id="120" w:name="_Toc8904131"/>
      <w:bookmarkStart w:id="121" w:name="_Toc417050377"/>
      <w:r>
        <w:rPr>
          <w:rFonts w:hint="eastAsia"/>
          <w:color w:val="auto"/>
          <w:sz w:val="24"/>
          <w:szCs w:val="24"/>
        </w:rPr>
        <w:t>（四）投标技术服务方案</w:t>
      </w:r>
      <w:bookmarkEnd w:id="120"/>
      <w:bookmarkEnd w:id="121"/>
    </w:p>
    <w:p>
      <w:pPr>
        <w:pStyle w:val="95"/>
        <w:jc w:val="center"/>
        <w:rPr>
          <w:color w:val="auto"/>
          <w:sz w:val="24"/>
          <w:szCs w:val="24"/>
        </w:rPr>
      </w:pPr>
      <w:bookmarkStart w:id="122" w:name="_Toc8904132"/>
      <w:r>
        <w:rPr>
          <w:rFonts w:hint="eastAsia"/>
          <w:color w:val="auto"/>
          <w:sz w:val="24"/>
          <w:szCs w:val="24"/>
        </w:rPr>
        <w:t>1.投标技术服务方案</w:t>
      </w:r>
      <w:bookmarkEnd w:id="122"/>
    </w:p>
    <w:p>
      <w:pPr>
        <w:pStyle w:val="25"/>
        <w:spacing w:line="600" w:lineRule="exact"/>
        <w:ind w:firstLine="0" w:firstLineChars="0"/>
        <w:rPr>
          <w:rFonts w:ascii="宋体" w:hAnsi="宋体" w:eastAsia="宋体"/>
          <w:sz w:val="24"/>
          <w:szCs w:val="24"/>
        </w:rPr>
        <w:sectPr>
          <w:pgSz w:w="11906" w:h="16838"/>
          <w:pgMar w:top="1729" w:right="1531" w:bottom="1712" w:left="1531" w:header="1134" w:footer="992" w:gutter="0"/>
          <w:cols w:space="720" w:num="1"/>
          <w:docGrid w:type="lines" w:linePitch="312" w:charSpace="0"/>
        </w:sectPr>
      </w:pPr>
      <w:r>
        <w:rPr>
          <w:rFonts w:hint="eastAsia" w:ascii="宋体" w:hAnsi="宋体" w:eastAsia="宋体"/>
          <w:sz w:val="24"/>
          <w:szCs w:val="24"/>
        </w:rPr>
        <w:t>供应商应按照用户需求书及评审标准的要求提供详细的技术、服务方案（格式自定）。</w:t>
      </w:r>
    </w:p>
    <w:p>
      <w:pPr>
        <w:pStyle w:val="95"/>
        <w:jc w:val="center"/>
        <w:rPr>
          <w:color w:val="auto"/>
          <w:sz w:val="24"/>
          <w:szCs w:val="24"/>
        </w:rPr>
      </w:pPr>
      <w:bookmarkStart w:id="123" w:name="_Toc8904133"/>
      <w:r>
        <w:rPr>
          <w:rFonts w:hint="eastAsia"/>
          <w:color w:val="auto"/>
          <w:sz w:val="24"/>
          <w:szCs w:val="24"/>
        </w:rPr>
        <w:t>2.货物配置一览表</w:t>
      </w:r>
      <w:bookmarkEnd w:id="123"/>
    </w:p>
    <w:tbl>
      <w:tblPr>
        <w:tblStyle w:val="43"/>
        <w:tblW w:w="9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080"/>
        <w:gridCol w:w="900"/>
        <w:gridCol w:w="861"/>
        <w:gridCol w:w="1213"/>
        <w:gridCol w:w="1063"/>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r>
              <w:rPr>
                <w:rFonts w:hint="eastAsia" w:ascii="宋体" w:hAnsi="宋体"/>
                <w:sz w:val="24"/>
                <w:szCs w:val="24"/>
              </w:rPr>
              <w:t>序号</w:t>
            </w:r>
          </w:p>
        </w:tc>
        <w:tc>
          <w:tcPr>
            <w:tcW w:w="2080" w:type="dxa"/>
            <w:vAlign w:val="center"/>
          </w:tcPr>
          <w:p>
            <w:pPr>
              <w:jc w:val="center"/>
              <w:rPr>
                <w:rFonts w:ascii="宋体" w:hAnsi="宋体"/>
                <w:sz w:val="24"/>
                <w:szCs w:val="24"/>
              </w:rPr>
            </w:pPr>
            <w:r>
              <w:rPr>
                <w:rFonts w:hint="eastAsia" w:ascii="宋体" w:hAnsi="宋体"/>
                <w:sz w:val="24"/>
                <w:szCs w:val="24"/>
              </w:rPr>
              <w:t>货物名称</w:t>
            </w:r>
          </w:p>
        </w:tc>
        <w:tc>
          <w:tcPr>
            <w:tcW w:w="900" w:type="dxa"/>
            <w:vAlign w:val="center"/>
          </w:tcPr>
          <w:p>
            <w:pPr>
              <w:jc w:val="center"/>
              <w:rPr>
                <w:rFonts w:ascii="宋体" w:hAnsi="宋体"/>
                <w:sz w:val="24"/>
                <w:szCs w:val="24"/>
              </w:rPr>
            </w:pPr>
            <w:r>
              <w:rPr>
                <w:rFonts w:hint="eastAsia" w:ascii="宋体" w:hAnsi="宋体"/>
                <w:sz w:val="24"/>
                <w:szCs w:val="24"/>
              </w:rPr>
              <w:t>数量</w:t>
            </w:r>
          </w:p>
        </w:tc>
        <w:tc>
          <w:tcPr>
            <w:tcW w:w="861" w:type="dxa"/>
            <w:vAlign w:val="center"/>
          </w:tcPr>
          <w:p>
            <w:pPr>
              <w:jc w:val="center"/>
              <w:rPr>
                <w:rFonts w:ascii="宋体" w:hAnsi="宋体"/>
                <w:sz w:val="24"/>
                <w:szCs w:val="24"/>
              </w:rPr>
            </w:pPr>
            <w:r>
              <w:rPr>
                <w:rFonts w:hint="eastAsia" w:ascii="宋体" w:hAnsi="宋体"/>
                <w:sz w:val="24"/>
                <w:szCs w:val="24"/>
              </w:rPr>
              <w:t>单位</w:t>
            </w:r>
          </w:p>
        </w:tc>
        <w:tc>
          <w:tcPr>
            <w:tcW w:w="1213" w:type="dxa"/>
            <w:vAlign w:val="center"/>
          </w:tcPr>
          <w:p>
            <w:pPr>
              <w:jc w:val="center"/>
              <w:rPr>
                <w:rFonts w:ascii="宋体" w:hAnsi="宋体"/>
                <w:sz w:val="24"/>
                <w:szCs w:val="24"/>
              </w:rPr>
            </w:pPr>
            <w:r>
              <w:rPr>
                <w:rFonts w:hint="eastAsia" w:ascii="宋体" w:hAnsi="宋体"/>
                <w:sz w:val="24"/>
                <w:szCs w:val="24"/>
              </w:rPr>
              <w:t>品牌</w:t>
            </w:r>
          </w:p>
        </w:tc>
        <w:tc>
          <w:tcPr>
            <w:tcW w:w="1063" w:type="dxa"/>
            <w:vAlign w:val="center"/>
          </w:tcPr>
          <w:p>
            <w:pPr>
              <w:jc w:val="center"/>
              <w:rPr>
                <w:rFonts w:ascii="宋体" w:hAnsi="宋体"/>
                <w:sz w:val="24"/>
                <w:szCs w:val="24"/>
              </w:rPr>
            </w:pPr>
            <w:r>
              <w:rPr>
                <w:rFonts w:hint="eastAsia" w:ascii="宋体" w:hAnsi="宋体"/>
                <w:sz w:val="24"/>
                <w:szCs w:val="24"/>
              </w:rPr>
              <w:t>型号</w:t>
            </w:r>
          </w:p>
          <w:p>
            <w:pPr>
              <w:jc w:val="center"/>
              <w:rPr>
                <w:rFonts w:ascii="宋体" w:hAnsi="宋体"/>
                <w:sz w:val="24"/>
                <w:szCs w:val="24"/>
              </w:rPr>
            </w:pPr>
            <w:r>
              <w:rPr>
                <w:rFonts w:hint="eastAsia" w:ascii="宋体" w:hAnsi="宋体"/>
                <w:sz w:val="24"/>
                <w:szCs w:val="24"/>
              </w:rPr>
              <w:t>（选填）</w:t>
            </w:r>
          </w:p>
        </w:tc>
        <w:tc>
          <w:tcPr>
            <w:tcW w:w="2923" w:type="dxa"/>
            <w:vAlign w:val="center"/>
          </w:tcPr>
          <w:p>
            <w:pPr>
              <w:jc w:val="center"/>
              <w:rPr>
                <w:rFonts w:ascii="宋体" w:hAnsi="宋体"/>
                <w:sz w:val="24"/>
                <w:szCs w:val="24"/>
              </w:rPr>
            </w:pPr>
            <w:r>
              <w:rPr>
                <w:rFonts w:hint="eastAsia" w:ascii="宋体" w:hAnsi="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2" w:type="dxa"/>
            <w:vAlign w:val="center"/>
          </w:tcPr>
          <w:p>
            <w:pPr>
              <w:jc w:val="center"/>
              <w:rPr>
                <w:rFonts w:ascii="宋体" w:hAnsi="宋体"/>
                <w:sz w:val="24"/>
                <w:szCs w:val="24"/>
              </w:rPr>
            </w:pPr>
          </w:p>
        </w:tc>
        <w:tc>
          <w:tcPr>
            <w:tcW w:w="2080" w:type="dxa"/>
            <w:vAlign w:val="center"/>
          </w:tcPr>
          <w:p>
            <w:pPr>
              <w:jc w:val="center"/>
              <w:rPr>
                <w:rFonts w:ascii="宋体" w:hAnsi="宋体"/>
                <w:sz w:val="24"/>
                <w:szCs w:val="24"/>
              </w:rPr>
            </w:pPr>
          </w:p>
        </w:tc>
        <w:tc>
          <w:tcPr>
            <w:tcW w:w="900" w:type="dxa"/>
            <w:vAlign w:val="center"/>
          </w:tcPr>
          <w:p>
            <w:pPr>
              <w:jc w:val="center"/>
              <w:rPr>
                <w:rFonts w:ascii="宋体" w:hAnsi="宋体"/>
                <w:sz w:val="24"/>
                <w:szCs w:val="24"/>
              </w:rPr>
            </w:pPr>
          </w:p>
        </w:tc>
        <w:tc>
          <w:tcPr>
            <w:tcW w:w="861" w:type="dxa"/>
            <w:vAlign w:val="center"/>
          </w:tcPr>
          <w:p>
            <w:pPr>
              <w:jc w:val="center"/>
              <w:rPr>
                <w:rFonts w:ascii="宋体" w:hAnsi="宋体"/>
                <w:sz w:val="24"/>
                <w:szCs w:val="24"/>
              </w:rPr>
            </w:pPr>
          </w:p>
        </w:tc>
        <w:tc>
          <w:tcPr>
            <w:tcW w:w="1213" w:type="dxa"/>
            <w:vAlign w:val="center"/>
          </w:tcPr>
          <w:p>
            <w:pPr>
              <w:jc w:val="center"/>
              <w:rPr>
                <w:rFonts w:ascii="宋体" w:hAnsi="宋体"/>
                <w:sz w:val="24"/>
                <w:szCs w:val="24"/>
              </w:rPr>
            </w:pPr>
          </w:p>
        </w:tc>
        <w:tc>
          <w:tcPr>
            <w:tcW w:w="1063" w:type="dxa"/>
            <w:vAlign w:val="center"/>
          </w:tcPr>
          <w:p>
            <w:pPr>
              <w:jc w:val="center"/>
              <w:rPr>
                <w:rFonts w:ascii="宋体" w:hAnsi="宋体"/>
                <w:sz w:val="24"/>
                <w:szCs w:val="24"/>
              </w:rPr>
            </w:pPr>
          </w:p>
        </w:tc>
        <w:tc>
          <w:tcPr>
            <w:tcW w:w="2923" w:type="dxa"/>
            <w:vAlign w:val="center"/>
          </w:tcPr>
          <w:p>
            <w:pPr>
              <w:jc w:val="center"/>
              <w:rPr>
                <w:rFonts w:ascii="宋体" w:hAnsi="宋体"/>
                <w:sz w:val="24"/>
                <w:szCs w:val="24"/>
              </w:rPr>
            </w:pPr>
          </w:p>
        </w:tc>
      </w:tr>
    </w:tbl>
    <w:p>
      <w:pPr>
        <w:pStyle w:val="87"/>
        <w:ind w:firstLine="0" w:firstLineChars="0"/>
        <w:rPr>
          <w:rFonts w:ascii="宋体" w:eastAsia="宋体"/>
          <w:sz w:val="24"/>
          <w:szCs w:val="24"/>
        </w:rPr>
      </w:pPr>
      <w:r>
        <w:rPr>
          <w:rFonts w:hint="eastAsia" w:ascii="宋体" w:eastAsia="宋体"/>
          <w:sz w:val="24"/>
          <w:szCs w:val="24"/>
        </w:rPr>
        <w:t>注：</w:t>
      </w:r>
    </w:p>
    <w:p>
      <w:pPr>
        <w:pStyle w:val="87"/>
        <w:ind w:firstLine="0" w:firstLineChars="0"/>
        <w:rPr>
          <w:rFonts w:ascii="宋体" w:eastAsia="宋体"/>
          <w:sz w:val="24"/>
          <w:szCs w:val="24"/>
        </w:rPr>
      </w:pPr>
      <w:r>
        <w:rPr>
          <w:rFonts w:hint="eastAsia" w:ascii="宋体" w:eastAsia="宋体"/>
          <w:sz w:val="24"/>
          <w:szCs w:val="24"/>
        </w:rPr>
        <w:t>1.供应商应当对照用户需求书如实清晰地列明拟提供产品的货物名称、数量、单位、品牌、型号（选填）及技术参数。</w:t>
      </w:r>
    </w:p>
    <w:p>
      <w:pPr>
        <w:pStyle w:val="87"/>
        <w:ind w:firstLine="0" w:firstLineChars="0"/>
        <w:rPr>
          <w:rFonts w:ascii="宋体" w:eastAsia="宋体"/>
          <w:sz w:val="24"/>
          <w:szCs w:val="24"/>
        </w:rPr>
      </w:pPr>
      <w:r>
        <w:rPr>
          <w:rFonts w:hint="eastAsia" w:ascii="宋体" w:eastAsia="宋体"/>
          <w:sz w:val="24"/>
          <w:szCs w:val="24"/>
        </w:rPr>
        <w:t>2.非单一产品采购项目中多家投标人提供的核心产品品牌相同的，按《政府采购货物和服务招标投标管理办法》（中华人民共和国财政部令第87号）第三十一条规定处理。</w:t>
      </w:r>
    </w:p>
    <w:p>
      <w:pPr>
        <w:pStyle w:val="87"/>
        <w:ind w:firstLine="0" w:firstLineChars="0"/>
        <w:rPr>
          <w:rFonts w:ascii="宋体" w:eastAsia="宋体"/>
          <w:sz w:val="24"/>
          <w:szCs w:val="24"/>
        </w:rPr>
      </w:pPr>
    </w:p>
    <w:p>
      <w:pPr>
        <w:pStyle w:val="87"/>
        <w:ind w:firstLine="0" w:firstLineChars="0"/>
        <w:rPr>
          <w:rFonts w:ascii="宋体" w:eastAsia="宋体"/>
          <w:sz w:val="24"/>
          <w:szCs w:val="24"/>
        </w:rPr>
      </w:pPr>
    </w:p>
    <w:p>
      <w:pPr>
        <w:pStyle w:val="87"/>
        <w:ind w:firstLine="0" w:firstLineChars="0"/>
        <w:rPr>
          <w:rFonts w:ascii="宋体" w:eastAsia="宋体"/>
          <w:sz w:val="24"/>
          <w:szCs w:val="24"/>
        </w:rPr>
      </w:pPr>
      <w:r>
        <w:rPr>
          <w:rFonts w:hint="eastAsia" w:ascii="宋体" w:eastAsia="宋体"/>
          <w:sz w:val="24"/>
          <w:szCs w:val="24"/>
        </w:rPr>
        <w:t>供应商名称（盖公章）：</w:t>
      </w:r>
    </w:p>
    <w:p>
      <w:pPr>
        <w:pStyle w:val="87"/>
        <w:ind w:firstLine="0" w:firstLineChars="0"/>
        <w:rPr>
          <w:rFonts w:ascii="宋体" w:eastAsia="宋体"/>
          <w:sz w:val="24"/>
          <w:szCs w:val="24"/>
        </w:rPr>
      </w:pPr>
      <w:r>
        <w:rPr>
          <w:rFonts w:hint="eastAsia" w:ascii="宋体" w:eastAsia="宋体"/>
          <w:sz w:val="24"/>
          <w:szCs w:val="24"/>
        </w:rPr>
        <w:t>日期：</w:t>
      </w:r>
    </w:p>
    <w:p>
      <w:pPr>
        <w:pStyle w:val="95"/>
        <w:spacing w:after="100"/>
        <w:jc w:val="center"/>
        <w:rPr>
          <w:color w:val="auto"/>
          <w:sz w:val="24"/>
          <w:szCs w:val="24"/>
        </w:rPr>
      </w:pPr>
      <w:bookmarkStart w:id="124" w:name="_Toc8904134"/>
      <w:bookmarkStart w:id="125" w:name="_Toc530555890"/>
      <w:r>
        <w:rPr>
          <w:rFonts w:hint="eastAsia"/>
          <w:color w:val="auto"/>
          <w:sz w:val="24"/>
          <w:szCs w:val="24"/>
        </w:rPr>
        <w:t>（五）重要评分条款（标记▲）响应表</w:t>
      </w:r>
      <w:bookmarkEnd w:id="124"/>
      <w:bookmarkEnd w:id="125"/>
    </w:p>
    <w:p>
      <w:pPr>
        <w:pStyle w:val="25"/>
        <w:spacing w:afterLines="200"/>
        <w:ind w:firstLine="0" w:firstLineChars="0"/>
        <w:jc w:val="center"/>
        <w:rPr>
          <w:rFonts w:ascii="仿宋" w:hAnsi="仿宋" w:eastAsia="仿宋"/>
          <w:sz w:val="24"/>
          <w:szCs w:val="24"/>
        </w:rPr>
      </w:pPr>
      <w:r>
        <w:rPr>
          <w:rFonts w:hint="eastAsia" w:ascii="仿宋" w:hAnsi="仿宋" w:eastAsia="仿宋"/>
          <w:sz w:val="24"/>
          <w:szCs w:val="24"/>
        </w:rPr>
        <w:t>（仅适用于用户需求书有标记“▲”条款的）</w:t>
      </w:r>
    </w:p>
    <w:tbl>
      <w:tblPr>
        <w:tblStyle w:val="43"/>
        <w:tblW w:w="9108" w:type="dxa"/>
        <w:jc w:val="center"/>
        <w:tblInd w:w="0" w:type="dxa"/>
        <w:tblLayout w:type="fixed"/>
        <w:tblCellMar>
          <w:top w:w="0" w:type="dxa"/>
          <w:left w:w="108" w:type="dxa"/>
          <w:bottom w:w="0" w:type="dxa"/>
          <w:right w:w="108" w:type="dxa"/>
        </w:tblCellMar>
      </w:tblPr>
      <w:tblGrid>
        <w:gridCol w:w="800"/>
        <w:gridCol w:w="3982"/>
        <w:gridCol w:w="2509"/>
        <w:gridCol w:w="861"/>
        <w:gridCol w:w="956"/>
      </w:tblGrid>
      <w:tr>
        <w:tblPrEx>
          <w:tblLayout w:type="fixed"/>
          <w:tblCellMar>
            <w:top w:w="0" w:type="dxa"/>
            <w:left w:w="108" w:type="dxa"/>
            <w:bottom w:w="0" w:type="dxa"/>
            <w:right w:w="108" w:type="dxa"/>
          </w:tblCellMar>
        </w:tblPrEx>
        <w:trPr>
          <w:trHeight w:val="81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9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招标文件重要评分条款（标记▲）</w:t>
            </w:r>
          </w:p>
        </w:tc>
        <w:tc>
          <w:tcPr>
            <w:tcW w:w="25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投标文件响应条款</w:t>
            </w:r>
          </w:p>
        </w:tc>
        <w:tc>
          <w:tcPr>
            <w:tcW w:w="8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偏离情况</w:t>
            </w:r>
          </w:p>
        </w:tc>
        <w:tc>
          <w:tcPr>
            <w:tcW w:w="9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说明</w:t>
            </w:r>
          </w:p>
        </w:tc>
      </w:tr>
      <w:tr>
        <w:tblPrEx>
          <w:tblLayout w:type="fixed"/>
          <w:tblCellMar>
            <w:top w:w="0" w:type="dxa"/>
            <w:left w:w="108" w:type="dxa"/>
            <w:bottom w:w="0" w:type="dxa"/>
            <w:right w:w="108" w:type="dxa"/>
          </w:tblCellMar>
        </w:tblPrEx>
        <w:trPr>
          <w:trHeight w:val="810" w:hRule="atLeas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9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25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86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810" w:hRule="atLeas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9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25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86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810" w:hRule="atLeas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39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25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86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810" w:hRule="atLeas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39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25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86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810" w:hRule="atLeast"/>
          <w:jc w:val="center"/>
        </w:trPr>
        <w:tc>
          <w:tcPr>
            <w:tcW w:w="8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39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25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86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9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bl>
    <w:p>
      <w:pPr>
        <w:pStyle w:val="25"/>
        <w:spacing w:line="600" w:lineRule="exact"/>
        <w:ind w:firstLine="418"/>
        <w:rPr>
          <w:rFonts w:ascii="宋体" w:hAnsi="宋体" w:eastAsia="宋体"/>
          <w:sz w:val="24"/>
          <w:szCs w:val="24"/>
        </w:rPr>
      </w:pPr>
      <w:r>
        <w:rPr>
          <w:rFonts w:hint="eastAsia" w:ascii="宋体" w:hAnsi="宋体" w:eastAsia="宋体"/>
          <w:sz w:val="24"/>
          <w:szCs w:val="24"/>
        </w:rPr>
        <w:t>注：1.供应商应逐条对照招标文件重要评分条款（标记▲），如实地说明已对相应技术参数的响应情况。</w:t>
      </w:r>
    </w:p>
    <w:p>
      <w:pPr>
        <w:pStyle w:val="25"/>
        <w:spacing w:line="600" w:lineRule="exact"/>
        <w:ind w:firstLine="418"/>
        <w:rPr>
          <w:rFonts w:ascii="宋体" w:hAnsi="宋体" w:eastAsia="宋体"/>
          <w:sz w:val="24"/>
          <w:szCs w:val="24"/>
        </w:rPr>
      </w:pPr>
      <w:r>
        <w:rPr>
          <w:rFonts w:hint="eastAsia" w:ascii="宋体" w:hAnsi="宋体" w:eastAsia="宋体"/>
          <w:sz w:val="24"/>
          <w:szCs w:val="24"/>
        </w:rPr>
        <w:t>2.如有偏离，应在“偏离情况”栏内注明“有”，并在“说明”栏内予以说明；如无偏离，应在“偏离情况”栏内注明“无”。</w:t>
      </w:r>
    </w:p>
    <w:p>
      <w:pPr>
        <w:pStyle w:val="25"/>
        <w:spacing w:line="600" w:lineRule="exact"/>
        <w:ind w:firstLine="418"/>
        <w:rPr>
          <w:rFonts w:ascii="宋体" w:hAnsi="宋体" w:eastAsia="宋体"/>
          <w:sz w:val="24"/>
          <w:szCs w:val="24"/>
        </w:rPr>
      </w:pPr>
      <w:r>
        <w:rPr>
          <w:rFonts w:hint="eastAsia" w:ascii="宋体" w:hAnsi="宋体" w:eastAsia="宋体"/>
          <w:sz w:val="24"/>
          <w:szCs w:val="24"/>
        </w:rPr>
        <w:t>3.招标文件重要评分条款（标记▲）要求提交相关证明材料的，供应商应当提供，否则视为不满足。不满足招标文件重要评分条款（标记▲）的将按评分标准进行扣分。</w:t>
      </w:r>
    </w:p>
    <w:p>
      <w:pPr>
        <w:pStyle w:val="87"/>
        <w:ind w:firstLine="494"/>
        <w:rPr>
          <w:rFonts w:ascii="宋体" w:eastAsia="宋体"/>
          <w:sz w:val="24"/>
          <w:szCs w:val="24"/>
        </w:rPr>
      </w:pPr>
    </w:p>
    <w:p>
      <w:pPr>
        <w:pStyle w:val="87"/>
        <w:ind w:firstLine="494"/>
        <w:rPr>
          <w:rFonts w:ascii="宋体" w:eastAsia="宋体"/>
          <w:sz w:val="24"/>
          <w:szCs w:val="24"/>
        </w:rPr>
      </w:pPr>
    </w:p>
    <w:p>
      <w:pPr>
        <w:pStyle w:val="87"/>
        <w:ind w:firstLine="494"/>
        <w:rPr>
          <w:rFonts w:ascii="宋体" w:eastAsia="宋体"/>
          <w:sz w:val="24"/>
          <w:szCs w:val="24"/>
        </w:rPr>
      </w:pPr>
      <w:r>
        <w:rPr>
          <w:rFonts w:hint="eastAsia" w:ascii="宋体" w:eastAsia="宋体"/>
          <w:sz w:val="24"/>
          <w:szCs w:val="24"/>
        </w:rPr>
        <w:t>供应商名称（盖公章）：</w:t>
      </w:r>
    </w:p>
    <w:p>
      <w:pPr>
        <w:pStyle w:val="87"/>
        <w:ind w:firstLine="494"/>
        <w:rPr>
          <w:rFonts w:ascii="宋体" w:eastAsia="宋体"/>
          <w:sz w:val="24"/>
          <w:szCs w:val="24"/>
        </w:rPr>
      </w:pPr>
      <w:r>
        <w:rPr>
          <w:rFonts w:hint="eastAsia" w:ascii="宋体" w:eastAsia="宋体"/>
          <w:sz w:val="24"/>
          <w:szCs w:val="24"/>
        </w:rPr>
        <w:t>日期：</w:t>
      </w:r>
    </w:p>
    <w:p>
      <w:pPr>
        <w:pStyle w:val="95"/>
        <w:spacing w:after="100"/>
        <w:jc w:val="center"/>
        <w:rPr>
          <w:color w:val="auto"/>
          <w:sz w:val="24"/>
          <w:szCs w:val="24"/>
        </w:rPr>
      </w:pPr>
      <w:r>
        <w:rPr>
          <w:color w:val="auto"/>
          <w:sz w:val="24"/>
          <w:szCs w:val="24"/>
        </w:rPr>
        <w:br w:type="page"/>
      </w:r>
      <w:bookmarkStart w:id="126" w:name="_Toc417050379"/>
      <w:bookmarkStart w:id="127" w:name="_Toc508636676"/>
      <w:bookmarkStart w:id="128" w:name="_Toc8904135"/>
      <w:r>
        <w:rPr>
          <w:rFonts w:hint="eastAsia"/>
          <w:color w:val="auto"/>
          <w:sz w:val="24"/>
          <w:szCs w:val="24"/>
        </w:rPr>
        <w:t>（六）</w:t>
      </w:r>
      <w:bookmarkEnd w:id="126"/>
      <w:r>
        <w:rPr>
          <w:rFonts w:hint="eastAsia"/>
          <w:color w:val="auto"/>
          <w:sz w:val="24"/>
          <w:szCs w:val="24"/>
        </w:rPr>
        <w:t>实质性条款（标记★）响应</w:t>
      </w:r>
      <w:bookmarkEnd w:id="127"/>
      <w:r>
        <w:rPr>
          <w:rFonts w:hint="eastAsia"/>
          <w:color w:val="auto"/>
          <w:sz w:val="24"/>
          <w:szCs w:val="24"/>
        </w:rPr>
        <w:t>承诺函</w:t>
      </w:r>
      <w:bookmarkEnd w:id="128"/>
    </w:p>
    <w:p>
      <w:pPr>
        <w:pStyle w:val="25"/>
        <w:spacing w:afterLines="200" w:line="360" w:lineRule="exact"/>
        <w:ind w:firstLine="0" w:firstLineChars="0"/>
        <w:jc w:val="center"/>
        <w:rPr>
          <w:rFonts w:ascii="仿宋" w:hAnsi="仿宋" w:eastAsia="仿宋"/>
          <w:sz w:val="24"/>
          <w:szCs w:val="24"/>
        </w:rPr>
      </w:pPr>
      <w:r>
        <w:rPr>
          <w:rFonts w:hint="eastAsia" w:ascii="仿宋" w:hAnsi="仿宋" w:eastAsia="仿宋"/>
          <w:sz w:val="24"/>
          <w:szCs w:val="24"/>
        </w:rPr>
        <w:t>（仅适用于用户需求书有标记“★”条款的）</w:t>
      </w:r>
    </w:p>
    <w:p>
      <w:pPr>
        <w:pStyle w:val="25"/>
        <w:spacing w:line="600" w:lineRule="exact"/>
        <w:ind w:firstLine="418"/>
        <w:rPr>
          <w:rFonts w:ascii="宋体" w:hAnsi="宋体" w:eastAsia="宋体"/>
          <w:sz w:val="24"/>
          <w:szCs w:val="24"/>
        </w:rPr>
      </w:pPr>
      <w:r>
        <w:rPr>
          <w:rFonts w:hint="eastAsia" w:ascii="宋体" w:hAnsi="宋体" w:eastAsia="宋体"/>
          <w:sz w:val="24"/>
          <w:szCs w:val="24"/>
        </w:rPr>
        <w:t>本单位承诺：</w:t>
      </w:r>
    </w:p>
    <w:p>
      <w:pPr>
        <w:pStyle w:val="25"/>
        <w:spacing w:line="600" w:lineRule="exact"/>
        <w:ind w:firstLine="418"/>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u w:val="single"/>
        </w:rPr>
        <w:t xml:space="preserve">                                   </w:t>
      </w:r>
    </w:p>
    <w:p>
      <w:pPr>
        <w:pStyle w:val="25"/>
        <w:spacing w:line="600" w:lineRule="exact"/>
        <w:ind w:firstLine="418"/>
        <w:rPr>
          <w:rFonts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u w:val="single"/>
        </w:rPr>
        <w:t xml:space="preserve">                                   </w:t>
      </w:r>
    </w:p>
    <w:p>
      <w:pPr>
        <w:pStyle w:val="25"/>
        <w:spacing w:line="600" w:lineRule="exact"/>
        <w:ind w:firstLine="418"/>
        <w:rPr>
          <w:rFonts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u w:val="single"/>
        </w:rPr>
        <w:t xml:space="preserve">                                   </w:t>
      </w:r>
    </w:p>
    <w:p>
      <w:pPr>
        <w:pStyle w:val="25"/>
        <w:spacing w:line="600" w:lineRule="exact"/>
        <w:ind w:firstLine="418"/>
        <w:rPr>
          <w:rFonts w:ascii="宋体" w:hAnsi="宋体" w:eastAsia="宋体"/>
          <w:sz w:val="24"/>
          <w:szCs w:val="24"/>
        </w:rPr>
      </w:pPr>
      <w:r>
        <w:rPr>
          <w:rFonts w:ascii="宋体" w:hAnsi="宋体" w:eastAsia="宋体"/>
          <w:sz w:val="24"/>
          <w:szCs w:val="24"/>
        </w:rPr>
        <w:t>…</w:t>
      </w:r>
    </w:p>
    <w:p>
      <w:pPr>
        <w:pStyle w:val="25"/>
        <w:spacing w:line="600" w:lineRule="exact"/>
        <w:ind w:firstLine="418"/>
        <w:rPr>
          <w:rFonts w:ascii="宋体" w:hAnsi="宋体" w:eastAsia="宋体"/>
          <w:sz w:val="24"/>
          <w:szCs w:val="24"/>
        </w:rPr>
      </w:pPr>
    </w:p>
    <w:p>
      <w:pPr>
        <w:pStyle w:val="25"/>
        <w:spacing w:line="600" w:lineRule="exact"/>
        <w:ind w:firstLine="418"/>
        <w:rPr>
          <w:rFonts w:ascii="宋体" w:hAnsi="宋体" w:eastAsia="宋体"/>
          <w:sz w:val="24"/>
          <w:szCs w:val="24"/>
        </w:rPr>
      </w:pPr>
    </w:p>
    <w:p>
      <w:pPr>
        <w:pStyle w:val="25"/>
        <w:spacing w:line="600" w:lineRule="exact"/>
        <w:ind w:firstLine="418"/>
        <w:rPr>
          <w:rFonts w:ascii="宋体" w:hAnsi="宋体" w:eastAsia="宋体"/>
          <w:sz w:val="24"/>
          <w:szCs w:val="24"/>
        </w:rPr>
      </w:pPr>
    </w:p>
    <w:p>
      <w:pPr>
        <w:pStyle w:val="25"/>
        <w:spacing w:line="600" w:lineRule="exact"/>
        <w:ind w:firstLine="418"/>
        <w:rPr>
          <w:rFonts w:ascii="宋体" w:hAnsi="宋体" w:eastAsia="宋体"/>
          <w:sz w:val="24"/>
          <w:szCs w:val="24"/>
        </w:rPr>
      </w:pPr>
      <w:r>
        <w:rPr>
          <w:rFonts w:hint="eastAsia" w:ascii="宋体" w:hAnsi="宋体" w:eastAsia="宋体"/>
          <w:sz w:val="24"/>
          <w:szCs w:val="24"/>
        </w:rPr>
        <w:t>注：</w:t>
      </w:r>
    </w:p>
    <w:p>
      <w:pPr>
        <w:pStyle w:val="25"/>
        <w:spacing w:line="600" w:lineRule="exact"/>
        <w:ind w:firstLine="418"/>
        <w:rPr>
          <w:rFonts w:ascii="宋体" w:hAnsi="宋体" w:eastAsia="宋体"/>
          <w:sz w:val="24"/>
          <w:szCs w:val="24"/>
        </w:rPr>
      </w:pPr>
      <w:r>
        <w:rPr>
          <w:rFonts w:hint="eastAsia" w:ascii="宋体" w:hAnsi="宋体" w:eastAsia="宋体"/>
          <w:sz w:val="24"/>
          <w:szCs w:val="24"/>
        </w:rPr>
        <w:t>1.供应商应逐条对照招标文件实质性条款（标记★），如实地说明已对招标文件实质性条款的响应情况，若发现虚假填写，按无效投标处理。</w:t>
      </w:r>
    </w:p>
    <w:p>
      <w:pPr>
        <w:pStyle w:val="25"/>
        <w:spacing w:line="600" w:lineRule="exact"/>
        <w:ind w:firstLine="418"/>
        <w:rPr>
          <w:rFonts w:ascii="宋体" w:hAnsi="宋体" w:eastAsia="宋体"/>
          <w:sz w:val="24"/>
          <w:szCs w:val="24"/>
        </w:rPr>
      </w:pPr>
      <w:r>
        <w:rPr>
          <w:rFonts w:hint="eastAsia" w:ascii="宋体" w:hAnsi="宋体" w:eastAsia="宋体"/>
          <w:sz w:val="24"/>
          <w:szCs w:val="24"/>
        </w:rPr>
        <w:t>2.用户需求书中规定的实质性条款（标记★）要求提供相关证明材料的，供应商应当提供，否则视为不满足。</w:t>
      </w:r>
    </w:p>
    <w:p>
      <w:pPr>
        <w:pStyle w:val="18"/>
        <w:overflowPunct w:val="0"/>
        <w:spacing w:line="540" w:lineRule="exact"/>
        <w:rPr>
          <w:rFonts w:ascii="宋体" w:hAnsi="宋体"/>
          <w:sz w:val="24"/>
          <w:szCs w:val="24"/>
        </w:rPr>
      </w:pPr>
      <w:r>
        <w:rPr>
          <w:rFonts w:hint="eastAsia" w:ascii="宋体" w:hAnsi="宋体"/>
          <w:sz w:val="24"/>
          <w:szCs w:val="24"/>
        </w:rPr>
        <w:t xml:space="preserve">    </w:t>
      </w:r>
    </w:p>
    <w:p>
      <w:pPr>
        <w:pStyle w:val="18"/>
        <w:overflowPunct w:val="0"/>
        <w:spacing w:line="540" w:lineRule="exact"/>
        <w:ind w:firstLine="480" w:firstLineChars="200"/>
        <w:rPr>
          <w:rFonts w:ascii="宋体" w:hAnsi="宋体"/>
          <w:sz w:val="24"/>
          <w:szCs w:val="24"/>
        </w:rPr>
      </w:pPr>
    </w:p>
    <w:p>
      <w:pPr>
        <w:pStyle w:val="18"/>
        <w:overflowPunct w:val="0"/>
        <w:spacing w:line="540" w:lineRule="exact"/>
        <w:ind w:firstLine="480" w:firstLineChars="200"/>
        <w:rPr>
          <w:rFonts w:ascii="宋体" w:hAnsi="宋体"/>
          <w:sz w:val="24"/>
          <w:szCs w:val="24"/>
        </w:rPr>
      </w:pPr>
    </w:p>
    <w:p>
      <w:pPr>
        <w:pStyle w:val="87"/>
        <w:ind w:firstLine="494"/>
        <w:rPr>
          <w:rFonts w:ascii="宋体" w:eastAsia="宋体"/>
          <w:sz w:val="24"/>
          <w:szCs w:val="24"/>
        </w:rPr>
      </w:pPr>
      <w:r>
        <w:rPr>
          <w:rFonts w:hint="eastAsia" w:ascii="宋体" w:eastAsia="宋体"/>
          <w:sz w:val="24"/>
          <w:szCs w:val="24"/>
        </w:rPr>
        <w:t>供应商名称（盖公章）：</w:t>
      </w:r>
    </w:p>
    <w:p>
      <w:pPr>
        <w:spacing w:line="600" w:lineRule="exact"/>
        <w:ind w:right="560" w:firstLine="480" w:firstLineChars="200"/>
        <w:rPr>
          <w:rFonts w:ascii="宋体" w:hAnsi="宋体"/>
          <w:sz w:val="24"/>
          <w:szCs w:val="24"/>
        </w:rPr>
      </w:pPr>
      <w:r>
        <w:rPr>
          <w:rFonts w:hint="eastAsia" w:ascii="宋体" w:hAnsi="宋体"/>
          <w:sz w:val="24"/>
          <w:szCs w:val="24"/>
        </w:rPr>
        <w:t>日期：</w:t>
      </w:r>
    </w:p>
    <w:p>
      <w:pPr>
        <w:pStyle w:val="95"/>
        <w:jc w:val="center"/>
        <w:rPr>
          <w:color w:val="auto"/>
          <w:sz w:val="24"/>
          <w:szCs w:val="24"/>
        </w:rPr>
      </w:pPr>
      <w:bookmarkStart w:id="129" w:name="_Toc8904136"/>
      <w:r>
        <w:rPr>
          <w:rFonts w:hint="eastAsia"/>
          <w:color w:val="auto"/>
          <w:sz w:val="24"/>
          <w:szCs w:val="24"/>
        </w:rPr>
        <w:t>（七）拟安排本项目技术服务人员情况表</w:t>
      </w:r>
      <w:bookmarkEnd w:id="129"/>
    </w:p>
    <w:tbl>
      <w:tblPr>
        <w:tblStyle w:val="43"/>
        <w:tblW w:w="80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8"/>
        <w:gridCol w:w="960"/>
        <w:gridCol w:w="1926"/>
        <w:gridCol w:w="1600"/>
        <w:gridCol w:w="1600"/>
        <w:gridCol w:w="1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pStyle w:val="18"/>
              <w:overflowPunct w:val="0"/>
              <w:adjustRightInd w:val="0"/>
              <w:spacing w:line="440" w:lineRule="exact"/>
              <w:rPr>
                <w:rFonts w:ascii="宋体" w:hAnsi="宋体"/>
                <w:sz w:val="24"/>
                <w:szCs w:val="24"/>
              </w:rPr>
            </w:pPr>
            <w:r>
              <w:rPr>
                <w:rFonts w:hint="eastAsia" w:ascii="宋体" w:hAnsi="宋体"/>
                <w:sz w:val="24"/>
                <w:szCs w:val="24"/>
              </w:rPr>
              <w:t>序号</w:t>
            </w:r>
          </w:p>
        </w:tc>
        <w:tc>
          <w:tcPr>
            <w:tcW w:w="960" w:type="dxa"/>
            <w:tcBorders>
              <w:top w:val="single" w:color="auto" w:sz="4" w:space="0"/>
              <w:left w:val="single" w:color="auto" w:sz="4" w:space="0"/>
              <w:bottom w:val="single" w:color="auto" w:sz="4" w:space="0"/>
              <w:right w:val="single" w:color="auto" w:sz="4" w:space="0"/>
            </w:tcBorders>
            <w:vAlign w:val="center"/>
          </w:tcPr>
          <w:p>
            <w:pPr>
              <w:pStyle w:val="18"/>
              <w:overflowPunct w:val="0"/>
              <w:adjustRightInd w:val="0"/>
              <w:spacing w:line="440" w:lineRule="exact"/>
              <w:jc w:val="center"/>
              <w:rPr>
                <w:rFonts w:ascii="宋体" w:hAnsi="宋体"/>
                <w:sz w:val="24"/>
                <w:szCs w:val="24"/>
              </w:rPr>
            </w:pPr>
            <w:r>
              <w:rPr>
                <w:rFonts w:hint="eastAsia" w:ascii="宋体" w:hAnsi="宋体"/>
                <w:sz w:val="24"/>
                <w:szCs w:val="24"/>
              </w:rPr>
              <w:t>姓名</w:t>
            </w:r>
          </w:p>
        </w:tc>
        <w:tc>
          <w:tcPr>
            <w:tcW w:w="1926" w:type="dxa"/>
            <w:tcBorders>
              <w:top w:val="single" w:color="auto" w:sz="4" w:space="0"/>
              <w:left w:val="single" w:color="auto" w:sz="4" w:space="0"/>
              <w:bottom w:val="single" w:color="auto" w:sz="4" w:space="0"/>
              <w:right w:val="single" w:color="auto" w:sz="4" w:space="0"/>
            </w:tcBorders>
            <w:vAlign w:val="center"/>
          </w:tcPr>
          <w:p>
            <w:pPr>
              <w:pStyle w:val="18"/>
              <w:overflowPunct w:val="0"/>
              <w:adjustRightInd w:val="0"/>
              <w:spacing w:line="440" w:lineRule="exact"/>
              <w:jc w:val="center"/>
              <w:rPr>
                <w:rFonts w:ascii="宋体" w:hAnsi="宋体"/>
                <w:sz w:val="24"/>
                <w:szCs w:val="24"/>
              </w:rPr>
            </w:pPr>
            <w:r>
              <w:rPr>
                <w:rFonts w:hint="eastAsia" w:ascii="宋体" w:hAnsi="宋体"/>
                <w:sz w:val="24"/>
                <w:szCs w:val="24"/>
              </w:rPr>
              <w:t>在本项目中拟担任的职务</w:t>
            </w:r>
          </w:p>
        </w:tc>
        <w:tc>
          <w:tcPr>
            <w:tcW w:w="1600" w:type="dxa"/>
            <w:tcBorders>
              <w:top w:val="single" w:color="auto" w:sz="4" w:space="0"/>
              <w:left w:val="single" w:color="auto" w:sz="4" w:space="0"/>
              <w:bottom w:val="single" w:color="auto" w:sz="4" w:space="0"/>
              <w:right w:val="single" w:color="auto" w:sz="4" w:space="0"/>
            </w:tcBorders>
            <w:vAlign w:val="center"/>
          </w:tcPr>
          <w:p>
            <w:pPr>
              <w:pStyle w:val="18"/>
              <w:overflowPunct w:val="0"/>
              <w:adjustRightInd w:val="0"/>
              <w:spacing w:line="440" w:lineRule="exact"/>
              <w:jc w:val="center"/>
              <w:rPr>
                <w:rFonts w:ascii="宋体" w:hAnsi="宋体"/>
                <w:sz w:val="24"/>
                <w:szCs w:val="24"/>
              </w:rPr>
            </w:pPr>
            <w:r>
              <w:rPr>
                <w:rFonts w:hint="eastAsia" w:ascii="宋体" w:hAnsi="宋体"/>
                <w:sz w:val="24"/>
                <w:szCs w:val="24"/>
              </w:rPr>
              <w:t>持何种    资格证件</w:t>
            </w:r>
          </w:p>
        </w:tc>
        <w:tc>
          <w:tcPr>
            <w:tcW w:w="1600" w:type="dxa"/>
            <w:tcBorders>
              <w:top w:val="single" w:color="auto" w:sz="4" w:space="0"/>
              <w:left w:val="single" w:color="auto" w:sz="4" w:space="0"/>
              <w:bottom w:val="single" w:color="auto" w:sz="4" w:space="0"/>
              <w:right w:val="single" w:color="auto" w:sz="4" w:space="0"/>
            </w:tcBorders>
            <w:vAlign w:val="center"/>
          </w:tcPr>
          <w:p>
            <w:pPr>
              <w:pStyle w:val="18"/>
              <w:overflowPunct w:val="0"/>
              <w:adjustRightInd w:val="0"/>
              <w:spacing w:line="440" w:lineRule="exact"/>
              <w:jc w:val="center"/>
              <w:rPr>
                <w:rFonts w:ascii="宋体" w:hAnsi="宋体"/>
                <w:sz w:val="24"/>
                <w:szCs w:val="24"/>
              </w:rPr>
            </w:pPr>
            <w:r>
              <w:rPr>
                <w:rFonts w:hint="eastAsia" w:ascii="宋体" w:hAnsi="宋体"/>
                <w:sz w:val="24"/>
                <w:szCs w:val="24"/>
              </w:rPr>
              <w:t>发证部门</w:t>
            </w:r>
          </w:p>
        </w:tc>
        <w:tc>
          <w:tcPr>
            <w:tcW w:w="1084" w:type="dxa"/>
            <w:tcBorders>
              <w:top w:val="single" w:color="auto" w:sz="4" w:space="0"/>
              <w:left w:val="single" w:color="auto" w:sz="4" w:space="0"/>
              <w:bottom w:val="single" w:color="auto" w:sz="4" w:space="0"/>
              <w:right w:val="single" w:color="auto" w:sz="4" w:space="0"/>
            </w:tcBorders>
            <w:vAlign w:val="center"/>
          </w:tcPr>
          <w:p>
            <w:pPr>
              <w:pStyle w:val="18"/>
              <w:overflowPunct w:val="0"/>
              <w:adjustRightInd w:val="0"/>
              <w:spacing w:line="44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1</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2</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3</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4</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5</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6</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7</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8</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9</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08"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jc w:val="center"/>
              <w:rPr>
                <w:rFonts w:ascii="宋体" w:hAnsi="宋体"/>
                <w:sz w:val="24"/>
                <w:szCs w:val="24"/>
              </w:rPr>
            </w:pPr>
            <w:r>
              <w:rPr>
                <w:rFonts w:hint="eastAsia" w:ascii="宋体" w:hAnsi="宋体"/>
                <w:sz w:val="24"/>
                <w:szCs w:val="24"/>
              </w:rPr>
              <w:t>10</w:t>
            </w:r>
          </w:p>
        </w:tc>
        <w:tc>
          <w:tcPr>
            <w:tcW w:w="96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926"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600"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c>
          <w:tcPr>
            <w:tcW w:w="1084" w:type="dxa"/>
            <w:tcBorders>
              <w:top w:val="single" w:color="auto" w:sz="4" w:space="0"/>
              <w:left w:val="single" w:color="auto" w:sz="4" w:space="0"/>
              <w:bottom w:val="single" w:color="auto" w:sz="4" w:space="0"/>
              <w:right w:val="single" w:color="auto" w:sz="4" w:space="0"/>
            </w:tcBorders>
          </w:tcPr>
          <w:p>
            <w:pPr>
              <w:pStyle w:val="18"/>
              <w:overflowPunct w:val="0"/>
              <w:adjustRightInd w:val="0"/>
              <w:spacing w:line="540" w:lineRule="exact"/>
              <w:rPr>
                <w:rFonts w:ascii="宋体" w:hAnsi="宋体"/>
                <w:sz w:val="24"/>
                <w:szCs w:val="24"/>
              </w:rPr>
            </w:pPr>
          </w:p>
        </w:tc>
      </w:tr>
    </w:tbl>
    <w:p>
      <w:pPr>
        <w:pStyle w:val="18"/>
        <w:overflowPunct w:val="0"/>
        <w:spacing w:line="540" w:lineRule="exact"/>
        <w:rPr>
          <w:rFonts w:ascii="宋体" w:hAnsi="宋体"/>
          <w:sz w:val="24"/>
          <w:szCs w:val="24"/>
        </w:rPr>
      </w:pPr>
    </w:p>
    <w:p>
      <w:pPr>
        <w:pStyle w:val="18"/>
        <w:overflowPunct w:val="0"/>
        <w:spacing w:line="540" w:lineRule="exact"/>
        <w:rPr>
          <w:rFonts w:ascii="宋体" w:hAnsi="宋体"/>
          <w:sz w:val="24"/>
          <w:szCs w:val="24"/>
        </w:rPr>
      </w:pPr>
    </w:p>
    <w:p>
      <w:pPr>
        <w:pStyle w:val="18"/>
        <w:overflowPunct w:val="0"/>
        <w:spacing w:line="540" w:lineRule="exact"/>
        <w:rPr>
          <w:rFonts w:ascii="宋体" w:hAnsi="宋体"/>
          <w:sz w:val="24"/>
          <w:szCs w:val="24"/>
        </w:rPr>
      </w:pPr>
    </w:p>
    <w:p>
      <w:pPr>
        <w:pStyle w:val="87"/>
        <w:ind w:firstLine="494"/>
        <w:rPr>
          <w:rFonts w:ascii="宋体" w:eastAsia="宋体"/>
          <w:sz w:val="24"/>
          <w:szCs w:val="24"/>
        </w:rPr>
      </w:pPr>
      <w:r>
        <w:rPr>
          <w:rFonts w:hint="eastAsia" w:ascii="宋体" w:eastAsia="宋体"/>
          <w:sz w:val="24"/>
          <w:szCs w:val="24"/>
        </w:rPr>
        <w:t>供应商名称（盖公章）：</w:t>
      </w:r>
    </w:p>
    <w:p>
      <w:pPr>
        <w:spacing w:line="600" w:lineRule="exact"/>
        <w:ind w:right="560" w:firstLine="480" w:firstLineChars="200"/>
        <w:rPr>
          <w:rFonts w:ascii="宋体" w:hAnsi="宋体"/>
          <w:sz w:val="24"/>
          <w:szCs w:val="24"/>
        </w:rPr>
      </w:pPr>
      <w:r>
        <w:rPr>
          <w:rFonts w:hint="eastAsia" w:ascii="宋体" w:hAnsi="宋体"/>
          <w:sz w:val="24"/>
          <w:szCs w:val="24"/>
        </w:rPr>
        <w:t>日期：</w:t>
      </w:r>
    </w:p>
    <w:p>
      <w:pPr>
        <w:pStyle w:val="18"/>
        <w:overflowPunct w:val="0"/>
        <w:spacing w:line="540" w:lineRule="exact"/>
        <w:rPr>
          <w:rFonts w:ascii="宋体" w:hAnsi="宋体"/>
          <w:sz w:val="24"/>
          <w:szCs w:val="24"/>
        </w:rPr>
      </w:pPr>
    </w:p>
    <w:p>
      <w:pPr>
        <w:pStyle w:val="4"/>
        <w:rPr>
          <w:rFonts w:ascii="宋体" w:hAnsi="宋体" w:eastAsia="宋体"/>
          <w:sz w:val="28"/>
          <w:szCs w:val="28"/>
        </w:rPr>
      </w:pPr>
      <w:bookmarkStart w:id="130" w:name="_Toc417050381"/>
      <w:bookmarkStart w:id="131" w:name="_Toc8904137"/>
      <w:bookmarkStart w:id="132" w:name="_Toc210188803"/>
      <w:bookmarkStart w:id="133" w:name="_Toc88985379"/>
      <w:r>
        <w:rPr>
          <w:rFonts w:hint="eastAsia" w:ascii="宋体" w:hAnsi="宋体" w:eastAsia="宋体"/>
          <w:sz w:val="28"/>
          <w:szCs w:val="28"/>
        </w:rPr>
        <w:t>四、唱标信封</w:t>
      </w:r>
      <w:bookmarkEnd w:id="130"/>
      <w:bookmarkEnd w:id="131"/>
    </w:p>
    <w:bookmarkEnd w:id="132"/>
    <w:bookmarkEnd w:id="133"/>
    <w:p>
      <w:pPr>
        <w:pStyle w:val="87"/>
        <w:ind w:firstLine="0" w:firstLineChars="0"/>
        <w:rPr>
          <w:rFonts w:ascii="宋体" w:eastAsia="宋体"/>
          <w:sz w:val="24"/>
          <w:szCs w:val="24"/>
        </w:rPr>
      </w:pPr>
      <w:r>
        <w:rPr>
          <w:rFonts w:hint="eastAsia" w:ascii="宋体" w:eastAsia="宋体"/>
          <w:sz w:val="24"/>
          <w:szCs w:val="24"/>
        </w:rPr>
        <w:t>唱标信封内装：</w:t>
      </w:r>
    </w:p>
    <w:p>
      <w:pPr>
        <w:overflowPunct w:val="0"/>
        <w:adjustRightInd w:val="0"/>
        <w:spacing w:line="600" w:lineRule="exact"/>
        <w:rPr>
          <w:rFonts w:ascii="宋体" w:hAnsi="宋体"/>
          <w:sz w:val="24"/>
          <w:szCs w:val="24"/>
        </w:rPr>
      </w:pPr>
      <w:r>
        <w:rPr>
          <w:rFonts w:hint="eastAsia" w:ascii="宋体" w:hAnsi="宋体"/>
          <w:sz w:val="24"/>
          <w:szCs w:val="24"/>
        </w:rPr>
        <w:t>（1）开标一览表</w:t>
      </w:r>
    </w:p>
    <w:p>
      <w:pPr>
        <w:overflowPunct w:val="0"/>
        <w:adjustRightInd w:val="0"/>
        <w:spacing w:line="600" w:lineRule="exact"/>
        <w:rPr>
          <w:rFonts w:ascii="宋体" w:hAnsi="宋体"/>
          <w:sz w:val="24"/>
          <w:szCs w:val="24"/>
        </w:rPr>
      </w:pPr>
      <w:r>
        <w:rPr>
          <w:rFonts w:hint="eastAsia" w:ascii="宋体" w:hAnsi="宋体"/>
          <w:sz w:val="24"/>
          <w:szCs w:val="24"/>
        </w:rPr>
        <w:t>（2）法定代表人授权委托书（若法定代表人递交投标文件，无需提交委托书）</w:t>
      </w:r>
    </w:p>
    <w:p>
      <w:pPr>
        <w:overflowPunct w:val="0"/>
        <w:adjustRightInd w:val="0"/>
        <w:spacing w:line="600" w:lineRule="exact"/>
        <w:rPr>
          <w:rFonts w:ascii="宋体" w:hAnsi="宋体"/>
          <w:sz w:val="24"/>
          <w:szCs w:val="24"/>
        </w:rPr>
      </w:pPr>
      <w:r>
        <w:rPr>
          <w:rFonts w:hint="eastAsia" w:ascii="宋体" w:hAnsi="宋体"/>
          <w:sz w:val="24"/>
          <w:szCs w:val="24"/>
        </w:rPr>
        <w:t>（3）投标保证金汇入情况说明及投标保证金进帐单复印件（A4纸规格，加盖公章）；或者政府采购投标担保函复印件</w:t>
      </w:r>
    </w:p>
    <w:p>
      <w:pPr>
        <w:overflowPunct w:val="0"/>
        <w:adjustRightInd w:val="0"/>
        <w:spacing w:line="600" w:lineRule="exact"/>
        <w:rPr>
          <w:rFonts w:ascii="宋体" w:hAnsi="宋体"/>
          <w:sz w:val="24"/>
          <w:szCs w:val="24"/>
        </w:rPr>
      </w:pPr>
      <w:r>
        <w:rPr>
          <w:rFonts w:hint="eastAsia" w:ascii="宋体" w:hAnsi="宋体"/>
          <w:sz w:val="24"/>
          <w:szCs w:val="24"/>
        </w:rPr>
        <w:t>（4）小型或微型企业声明函（非小型或微型企业可不提供）</w:t>
      </w: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overflowPunct w:val="0"/>
        <w:adjustRightInd w:val="0"/>
        <w:spacing w:line="600" w:lineRule="exact"/>
        <w:rPr>
          <w:rFonts w:ascii="宋体" w:hAnsi="宋体"/>
          <w:sz w:val="24"/>
          <w:szCs w:val="24"/>
        </w:rPr>
      </w:pPr>
    </w:p>
    <w:p>
      <w:pPr>
        <w:pStyle w:val="4"/>
        <w:jc w:val="both"/>
        <w:rPr>
          <w:rFonts w:ascii="宋体" w:hAnsi="宋体" w:eastAsia="宋体"/>
          <w:sz w:val="24"/>
          <w:szCs w:val="24"/>
        </w:rPr>
      </w:pPr>
      <w:bookmarkStart w:id="134" w:name="_Toc429645618"/>
      <w:bookmarkStart w:id="135" w:name="_Toc8904138"/>
      <w:r>
        <w:rPr>
          <w:rFonts w:hint="eastAsia" w:ascii="宋体" w:hAnsi="宋体" w:eastAsia="宋体"/>
          <w:sz w:val="24"/>
          <w:szCs w:val="24"/>
        </w:rPr>
        <w:t>五、附件</w:t>
      </w:r>
      <w:r>
        <w:rPr>
          <w:rFonts w:hint="eastAsia" w:ascii="宋体" w:hAnsi="宋体" w:eastAsia="宋体" w:cs="Tahoma"/>
          <w:sz w:val="24"/>
          <w:szCs w:val="24"/>
        </w:rPr>
        <w:t>（以下格式由供应商根据需要选用）</w:t>
      </w:r>
      <w:bookmarkEnd w:id="134"/>
      <w:bookmarkEnd w:id="135"/>
    </w:p>
    <w:p>
      <w:pPr>
        <w:widowControl/>
        <w:tabs>
          <w:tab w:val="left" w:pos="720"/>
        </w:tabs>
        <w:spacing w:line="360" w:lineRule="auto"/>
        <w:jc w:val="left"/>
        <w:rPr>
          <w:rFonts w:ascii="宋体" w:hAnsi="宋体"/>
          <w:b/>
          <w:sz w:val="24"/>
          <w:szCs w:val="24"/>
        </w:rPr>
      </w:pPr>
      <w:r>
        <w:rPr>
          <w:rFonts w:hint="eastAsia" w:ascii="宋体" w:hAnsi="宋体"/>
          <w:b/>
          <w:sz w:val="24"/>
          <w:szCs w:val="24"/>
        </w:rPr>
        <w:t>1、投标保证金汇入情况说明</w:t>
      </w:r>
    </w:p>
    <w:p>
      <w:pPr>
        <w:spacing w:line="460" w:lineRule="exact"/>
        <w:rPr>
          <w:rFonts w:ascii="宋体" w:hAnsi="宋体"/>
          <w:sz w:val="24"/>
          <w:szCs w:val="24"/>
        </w:rPr>
      </w:pPr>
      <w:r>
        <w:rPr>
          <w:rFonts w:hint="eastAsia" w:ascii="宋体" w:hAnsi="宋体"/>
          <w:sz w:val="24"/>
          <w:szCs w:val="24"/>
        </w:rPr>
        <w:t>致：东莞市达盛招标代理有限公司</w:t>
      </w:r>
    </w:p>
    <w:p>
      <w:pPr>
        <w:wordWrap w:val="0"/>
        <w:spacing w:line="440" w:lineRule="exact"/>
        <w:ind w:firstLine="480" w:firstLineChars="200"/>
        <w:rPr>
          <w:rFonts w:ascii="宋体" w:hAnsi="宋体"/>
          <w:sz w:val="24"/>
          <w:szCs w:val="24"/>
        </w:rPr>
      </w:pPr>
      <w:r>
        <w:rPr>
          <w:rFonts w:hint="eastAsia" w:ascii="宋体" w:hAnsi="宋体"/>
          <w:sz w:val="24"/>
          <w:szCs w:val="24"/>
        </w:rPr>
        <w:t>本公司已按</w:t>
      </w:r>
      <w:r>
        <w:rPr>
          <w:rFonts w:hint="eastAsia" w:ascii="宋体" w:hAnsi="宋体"/>
          <w:sz w:val="24"/>
          <w:szCs w:val="24"/>
          <w:u w:val="single"/>
        </w:rPr>
        <w:t xml:space="preserve">    （项目名称）    </w:t>
      </w:r>
      <w:r>
        <w:rPr>
          <w:rFonts w:hint="eastAsia" w:ascii="宋体" w:hAnsi="宋体"/>
          <w:sz w:val="24"/>
          <w:szCs w:val="24"/>
        </w:rPr>
        <w:t>（采购编号：</w:t>
      </w:r>
      <w:r>
        <w:rPr>
          <w:rFonts w:hint="eastAsia" w:ascii="宋体" w:hAnsi="宋体"/>
          <w:sz w:val="24"/>
          <w:szCs w:val="24"/>
          <w:u w:val="single"/>
        </w:rPr>
        <w:t xml:space="preserve">            </w:t>
      </w:r>
      <w:r>
        <w:rPr>
          <w:rFonts w:hint="eastAsia" w:ascii="宋体" w:hAnsi="宋体"/>
          <w:sz w:val="24"/>
          <w:szCs w:val="24"/>
        </w:rPr>
        <w:t>）的招标文件要求，于</w:t>
      </w:r>
      <w:r>
        <w:rPr>
          <w:rFonts w:hint="eastAsia" w:ascii="宋体" w:hAnsi="宋体"/>
          <w:sz w:val="24"/>
          <w:szCs w:val="24"/>
          <w:u w:val="single"/>
        </w:rPr>
        <w:t xml:space="preserve">  年  月  日</w:t>
      </w:r>
      <w:r>
        <w:rPr>
          <w:rFonts w:hint="eastAsia" w:ascii="宋体" w:hAnsi="宋体"/>
          <w:sz w:val="24"/>
          <w:szCs w:val="24"/>
        </w:rPr>
        <w:t>前以</w:t>
      </w:r>
      <w:r>
        <w:rPr>
          <w:rFonts w:hint="eastAsia" w:ascii="宋体" w:hAnsi="宋体"/>
          <w:sz w:val="24"/>
          <w:szCs w:val="24"/>
          <w:u w:val="single"/>
        </w:rPr>
        <w:t xml:space="preserve">           </w:t>
      </w:r>
      <w:r>
        <w:rPr>
          <w:rFonts w:hint="eastAsia" w:ascii="宋体" w:hAnsi="宋体"/>
          <w:sz w:val="24"/>
          <w:szCs w:val="24"/>
        </w:rPr>
        <w:t>（付款形式）方式汇入指定帐户（帐户名称：</w:t>
      </w:r>
      <w:r>
        <w:rPr>
          <w:rFonts w:hint="eastAsia" w:ascii="宋体" w:hAnsi="宋体"/>
          <w:sz w:val="24"/>
          <w:szCs w:val="24"/>
          <w:u w:val="single"/>
        </w:rPr>
        <w:t xml:space="preserve"> 东莞市达盛招标代理有限公司 </w:t>
      </w:r>
      <w:r>
        <w:rPr>
          <w:rFonts w:hint="eastAsia" w:ascii="宋体" w:hAnsi="宋体"/>
          <w:sz w:val="24"/>
          <w:szCs w:val="24"/>
        </w:rPr>
        <w:t>，帐号:</w:t>
      </w:r>
      <w:r>
        <w:rPr>
          <w:rFonts w:ascii="宋体" w:hAnsi="宋体"/>
          <w:sz w:val="24"/>
          <w:szCs w:val="24"/>
        </w:rPr>
        <w:t xml:space="preserve"> </w:t>
      </w:r>
      <w:r>
        <w:rPr>
          <w:rFonts w:ascii="宋体" w:hAnsi="宋体"/>
          <w:sz w:val="24"/>
          <w:szCs w:val="24"/>
          <w:u w:val="single"/>
        </w:rPr>
        <w:t>9550880206774700165</w:t>
      </w:r>
      <w:r>
        <w:rPr>
          <w:rFonts w:hint="eastAsia" w:ascii="宋体" w:hAnsi="宋体"/>
          <w:sz w:val="24"/>
          <w:szCs w:val="24"/>
        </w:rPr>
        <w:t>,开户银行：</w:t>
      </w:r>
      <w:r>
        <w:rPr>
          <w:rFonts w:hint="eastAsia" w:ascii="宋体" w:hAnsi="宋体"/>
          <w:sz w:val="24"/>
          <w:szCs w:val="24"/>
          <w:u w:val="single"/>
        </w:rPr>
        <w:t>广发银行东莞东翔支行</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投标单位投标保证金的汇款情况：（详见附件－投标保证金进帐单）</w:t>
      </w:r>
    </w:p>
    <w:p>
      <w:pPr>
        <w:spacing w:line="460" w:lineRule="exact"/>
        <w:ind w:firstLine="480" w:firstLineChars="200"/>
        <w:rPr>
          <w:rFonts w:ascii="宋体" w:hAnsi="宋体"/>
          <w:sz w:val="24"/>
          <w:szCs w:val="24"/>
        </w:rPr>
      </w:pPr>
      <w:r>
        <w:rPr>
          <w:rFonts w:hint="eastAsia" w:ascii="宋体" w:hAnsi="宋体"/>
          <w:sz w:val="24"/>
          <w:szCs w:val="24"/>
        </w:rPr>
        <w:t>汇出时间：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460" w:lineRule="exact"/>
        <w:ind w:firstLine="480" w:firstLineChars="200"/>
        <w:rPr>
          <w:rFonts w:ascii="宋体" w:hAnsi="宋体" w:cs="宋体"/>
          <w:sz w:val="24"/>
          <w:szCs w:val="24"/>
          <w:u w:val="single"/>
        </w:rPr>
      </w:pPr>
      <w:r>
        <w:rPr>
          <w:rFonts w:hint="eastAsia" w:ascii="宋体" w:hAnsi="宋体"/>
          <w:sz w:val="24"/>
          <w:szCs w:val="24"/>
        </w:rPr>
        <w:t>汇</w:t>
      </w:r>
      <w:r>
        <w:rPr>
          <w:rFonts w:hint="eastAsia" w:ascii="宋体" w:hAnsi="宋体" w:cs="宋体"/>
          <w:sz w:val="24"/>
          <w:szCs w:val="24"/>
        </w:rPr>
        <w:t>款金额：（大写）人民币</w:t>
      </w:r>
      <w:r>
        <w:rPr>
          <w:rFonts w:hint="eastAsia" w:ascii="宋体" w:hAnsi="宋体" w:cs="宋体"/>
          <w:sz w:val="24"/>
          <w:szCs w:val="24"/>
          <w:u w:val="single"/>
        </w:rPr>
        <w:t xml:space="preserve">                元整</w:t>
      </w:r>
    </w:p>
    <w:p>
      <w:pPr>
        <w:spacing w:line="460" w:lineRule="exact"/>
        <w:ind w:firstLine="1560" w:firstLineChars="650"/>
        <w:rPr>
          <w:rFonts w:ascii="宋体" w:hAnsi="宋体" w:cs="宋体"/>
          <w:sz w:val="24"/>
          <w:szCs w:val="24"/>
          <w:u w:val="single"/>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w:t>
      </w:r>
    </w:p>
    <w:p>
      <w:pPr>
        <w:spacing w:line="460" w:lineRule="exact"/>
        <w:ind w:firstLine="480" w:firstLineChars="200"/>
        <w:rPr>
          <w:rFonts w:ascii="宋体" w:hAnsi="宋体"/>
          <w:sz w:val="24"/>
          <w:szCs w:val="24"/>
          <w:u w:val="single"/>
        </w:rPr>
      </w:pPr>
      <w:r>
        <w:rPr>
          <w:rFonts w:hint="eastAsia" w:ascii="宋体" w:hAnsi="宋体"/>
          <w:sz w:val="24"/>
          <w:szCs w:val="24"/>
        </w:rPr>
        <w:t>汇款帐户名称：</w:t>
      </w:r>
      <w:r>
        <w:rPr>
          <w:rFonts w:hint="eastAsia" w:ascii="宋体" w:hAnsi="宋体"/>
          <w:sz w:val="24"/>
          <w:szCs w:val="24"/>
          <w:u w:val="single"/>
        </w:rPr>
        <w:t xml:space="preserve">  （必须是投标时使用的单位名称）   </w:t>
      </w:r>
    </w:p>
    <w:p>
      <w:pPr>
        <w:spacing w:line="460" w:lineRule="exact"/>
        <w:ind w:firstLine="480" w:firstLineChars="200"/>
        <w:rPr>
          <w:rFonts w:ascii="宋体" w:hAnsi="宋体"/>
          <w:sz w:val="24"/>
          <w:szCs w:val="24"/>
        </w:rPr>
      </w:pPr>
      <w:r>
        <w:rPr>
          <w:rFonts w:hint="eastAsia" w:ascii="宋体" w:hAnsi="宋体"/>
          <w:sz w:val="24"/>
          <w:szCs w:val="24"/>
        </w:rPr>
        <w:t>帐    号：</w:t>
      </w:r>
      <w:r>
        <w:rPr>
          <w:rFonts w:hint="eastAsia" w:ascii="宋体" w:hAnsi="宋体"/>
          <w:sz w:val="24"/>
          <w:szCs w:val="24"/>
          <w:u w:val="single"/>
        </w:rPr>
        <w:t xml:space="preserve">  （必须是投标时使用的帐号）     </w:t>
      </w:r>
    </w:p>
    <w:p>
      <w:pPr>
        <w:spacing w:line="460" w:lineRule="exact"/>
        <w:ind w:firstLine="480" w:firstLineChars="200"/>
        <w:rPr>
          <w:rFonts w:ascii="宋体" w:hAnsi="宋体"/>
          <w:sz w:val="24"/>
          <w:szCs w:val="24"/>
          <w:u w:val="single"/>
        </w:rPr>
      </w:pPr>
      <w:r>
        <w:rPr>
          <w:rFonts w:hint="eastAsia" w:ascii="宋体" w:hAnsi="宋体"/>
          <w:sz w:val="24"/>
          <w:szCs w:val="24"/>
        </w:rPr>
        <w:t>开户银行：</w:t>
      </w:r>
      <w:r>
        <w:rPr>
          <w:rFonts w:hint="eastAsia" w:ascii="宋体" w:hAnsi="宋体"/>
          <w:sz w:val="24"/>
          <w:szCs w:val="24"/>
          <w:u w:val="single"/>
        </w:rPr>
        <w:t xml:space="preserve">    银行   省    市          (分行/支行)    </w:t>
      </w:r>
    </w:p>
    <w:p>
      <w:pPr>
        <w:spacing w:line="460" w:lineRule="exact"/>
        <w:ind w:firstLine="480" w:firstLineChars="200"/>
        <w:rPr>
          <w:rFonts w:ascii="宋体" w:hAnsi="宋体"/>
          <w:sz w:val="24"/>
          <w:szCs w:val="24"/>
        </w:rPr>
      </w:pPr>
      <w:r>
        <w:rPr>
          <w:rFonts w:hint="eastAsia" w:ascii="宋体" w:hAnsi="宋体"/>
          <w:sz w:val="24"/>
          <w:szCs w:val="24"/>
        </w:rPr>
        <w:t>本公司谨承诺上述资料是正确、真实的，如因上述证明与事实不符导致的一切损失，本公司保证承担赔偿等一切法律责任。</w:t>
      </w:r>
    </w:p>
    <w:p>
      <w:pPr>
        <w:spacing w:line="460" w:lineRule="exact"/>
        <w:ind w:firstLine="480" w:firstLineChars="200"/>
        <w:rPr>
          <w:rFonts w:ascii="宋体" w:hAnsi="宋体"/>
          <w:sz w:val="24"/>
          <w:szCs w:val="24"/>
        </w:rPr>
      </w:pPr>
      <w:r>
        <w:rPr>
          <w:rFonts w:hint="eastAsia" w:ascii="宋体" w:hAnsi="宋体"/>
          <w:sz w:val="24"/>
          <w:szCs w:val="24"/>
        </w:rPr>
        <w:t>投标保证金退回时，请按上述资料退回。</w:t>
      </w:r>
    </w:p>
    <w:p>
      <w:pPr>
        <w:spacing w:line="460" w:lineRule="exact"/>
        <w:ind w:firstLine="482" w:firstLineChars="200"/>
        <w:rPr>
          <w:rFonts w:ascii="宋体" w:hAnsi="宋体"/>
          <w:b/>
          <w:sz w:val="24"/>
          <w:szCs w:val="24"/>
        </w:rPr>
      </w:pPr>
      <w:r>
        <w:rPr>
          <w:rFonts w:hint="eastAsia" w:ascii="宋体" w:hAnsi="宋体"/>
          <w:b/>
          <w:sz w:val="24"/>
          <w:szCs w:val="24"/>
        </w:rPr>
        <w:t>附件：投标保证金进帐单复印件（加盖公章）</w:t>
      </w:r>
    </w:p>
    <w:p>
      <w:pPr>
        <w:spacing w:line="460" w:lineRule="exact"/>
        <w:ind w:right="844" w:rightChars="402"/>
        <w:jc w:val="right"/>
        <w:rPr>
          <w:rFonts w:ascii="宋体" w:hAnsi="宋体"/>
          <w:sz w:val="24"/>
          <w:szCs w:val="24"/>
        </w:rPr>
      </w:pPr>
      <w:r>
        <w:rPr>
          <w:rFonts w:hint="eastAsia" w:ascii="宋体" w:hAnsi="宋体"/>
          <w:sz w:val="24"/>
          <w:szCs w:val="24"/>
        </w:rPr>
        <w:t>（单位公章）</w:t>
      </w:r>
    </w:p>
    <w:p>
      <w:pPr>
        <w:spacing w:line="460" w:lineRule="exact"/>
        <w:ind w:right="628" w:rightChars="299"/>
        <w:jc w:val="right"/>
        <w:rPr>
          <w:rFonts w:ascii="宋体" w:hAnsi="宋体"/>
          <w:sz w:val="24"/>
          <w:szCs w:val="24"/>
        </w:rPr>
      </w:pPr>
      <w:r>
        <w:rPr>
          <w:rFonts w:hint="eastAsia" w:ascii="宋体" w:hAnsi="宋体"/>
          <w:sz w:val="24"/>
          <w:szCs w:val="24"/>
        </w:rPr>
        <w:t>年   月   日</w:t>
      </w:r>
    </w:p>
    <w:p>
      <w:pPr>
        <w:spacing w:line="460" w:lineRule="exact"/>
        <w:rPr>
          <w:rFonts w:ascii="宋体" w:hAnsi="宋体"/>
          <w:sz w:val="24"/>
          <w:szCs w:val="24"/>
        </w:rPr>
      </w:pPr>
      <w:r>
        <w:rPr>
          <w:rFonts w:hint="eastAsia" w:ascii="宋体" w:hAnsi="宋体"/>
          <w:sz w:val="24"/>
          <w:szCs w:val="24"/>
        </w:rPr>
        <w:t>公司名称：</w:t>
      </w:r>
      <w:r>
        <w:rPr>
          <w:rFonts w:hint="eastAsia" w:ascii="宋体" w:hAnsi="宋体"/>
          <w:sz w:val="24"/>
          <w:szCs w:val="24"/>
          <w:u w:val="single"/>
        </w:rPr>
        <w:t xml:space="preserve">           </w:t>
      </w:r>
      <w:r>
        <w:rPr>
          <w:rFonts w:hint="eastAsia" w:ascii="宋体" w:hAnsi="宋体"/>
          <w:sz w:val="24"/>
          <w:szCs w:val="24"/>
        </w:rPr>
        <w:t>公司地址：</w:t>
      </w:r>
      <w:r>
        <w:rPr>
          <w:rFonts w:hint="eastAsia" w:ascii="宋体" w:hAnsi="宋体"/>
          <w:sz w:val="24"/>
          <w:szCs w:val="24"/>
          <w:u w:val="single"/>
        </w:rPr>
        <w:t xml:space="preserve">           </w:t>
      </w:r>
    </w:p>
    <w:p>
      <w:pPr>
        <w:spacing w:line="460" w:lineRule="exact"/>
        <w:rPr>
          <w:rFonts w:ascii="宋体" w:hAnsi="宋体"/>
          <w:sz w:val="24"/>
          <w:szCs w:val="24"/>
        </w:rPr>
      </w:pPr>
      <w:r>
        <w:rPr>
          <w:rFonts w:hint="eastAsia" w:ascii="宋体" w:hAnsi="宋体"/>
          <w:sz w:val="24"/>
          <w:szCs w:val="24"/>
        </w:rPr>
        <w:t>联系人：</w:t>
      </w:r>
      <w:r>
        <w:rPr>
          <w:rFonts w:hint="eastAsia" w:ascii="宋体" w:hAnsi="宋体"/>
          <w:sz w:val="24"/>
          <w:szCs w:val="24"/>
          <w:u w:val="single"/>
        </w:rPr>
        <w:t xml:space="preserve">                   </w:t>
      </w:r>
    </w:p>
    <w:p>
      <w:pPr>
        <w:spacing w:line="460" w:lineRule="exact"/>
        <w:rPr>
          <w:rFonts w:ascii="宋体" w:hAnsi="宋体"/>
          <w:sz w:val="24"/>
          <w:szCs w:val="24"/>
        </w:rPr>
      </w:pPr>
      <w:r>
        <w:rPr>
          <w:rFonts w:hint="eastAsia" w:ascii="宋体" w:hAnsi="宋体"/>
          <w:sz w:val="24"/>
          <w:szCs w:val="24"/>
        </w:rPr>
        <w:t>公司电话：</w:t>
      </w:r>
      <w:r>
        <w:rPr>
          <w:rFonts w:hint="eastAsia" w:ascii="宋体" w:hAnsi="宋体"/>
          <w:sz w:val="24"/>
          <w:szCs w:val="24"/>
          <w:u w:val="single"/>
        </w:rPr>
        <w:t xml:space="preserve">           </w:t>
      </w:r>
      <w:r>
        <w:rPr>
          <w:rFonts w:hint="eastAsia" w:ascii="宋体" w:hAnsi="宋体"/>
          <w:sz w:val="24"/>
          <w:szCs w:val="24"/>
        </w:rPr>
        <w:t xml:space="preserve">      联系人手机：</w:t>
      </w:r>
      <w:r>
        <w:rPr>
          <w:rFonts w:hint="eastAsia" w:ascii="宋体" w:hAnsi="宋体"/>
          <w:sz w:val="24"/>
          <w:szCs w:val="24"/>
          <w:u w:val="single"/>
        </w:rPr>
        <w:t xml:space="preserve">              </w:t>
      </w:r>
    </w:p>
    <w:p>
      <w:pPr>
        <w:spacing w:line="460" w:lineRule="exact"/>
        <w:rPr>
          <w:rFonts w:ascii="宋体" w:hAnsi="宋体"/>
          <w:b/>
          <w:sz w:val="24"/>
          <w:szCs w:val="24"/>
        </w:rPr>
      </w:pPr>
      <w:r>
        <w:rPr>
          <w:rFonts w:hint="eastAsia" w:ascii="宋体" w:hAnsi="宋体"/>
          <w:b/>
          <w:sz w:val="24"/>
          <w:szCs w:val="24"/>
        </w:rPr>
        <w:t>注：1、本说明的所有内容（包括所填写内容）均需打印；2、本说明及投标保证金进帐单复印件（A4纸规格，加盖公章）在投标时放入唱标信封内。</w:t>
      </w:r>
    </w:p>
    <w:p>
      <w:pPr>
        <w:widowControl/>
        <w:tabs>
          <w:tab w:val="left" w:pos="720"/>
        </w:tabs>
        <w:spacing w:line="360" w:lineRule="auto"/>
        <w:rPr>
          <w:rFonts w:ascii="宋体" w:hAnsi="宋体"/>
          <w:b/>
          <w:sz w:val="24"/>
          <w:szCs w:val="24"/>
        </w:rPr>
      </w:pPr>
    </w:p>
    <w:p>
      <w:pPr>
        <w:widowControl/>
        <w:tabs>
          <w:tab w:val="left" w:pos="720"/>
        </w:tabs>
        <w:spacing w:line="360" w:lineRule="auto"/>
        <w:rPr>
          <w:rFonts w:ascii="宋体" w:hAnsi="宋体"/>
          <w:b/>
          <w:sz w:val="24"/>
          <w:szCs w:val="24"/>
        </w:rPr>
      </w:pPr>
    </w:p>
    <w:p>
      <w:pPr>
        <w:widowControl/>
        <w:tabs>
          <w:tab w:val="left" w:pos="720"/>
        </w:tabs>
        <w:spacing w:line="360" w:lineRule="auto"/>
        <w:rPr>
          <w:rFonts w:ascii="宋体" w:hAnsi="宋体"/>
          <w:b/>
          <w:sz w:val="24"/>
          <w:szCs w:val="24"/>
        </w:rPr>
      </w:pPr>
    </w:p>
    <w:p>
      <w:pPr>
        <w:widowControl/>
        <w:tabs>
          <w:tab w:val="left" w:pos="720"/>
        </w:tabs>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2.联合体共同投标协议书</w:t>
      </w:r>
    </w:p>
    <w:p>
      <w:pPr>
        <w:spacing w:line="360" w:lineRule="auto"/>
        <w:rPr>
          <w:rFonts w:ascii="宋体" w:hAnsi="宋体"/>
          <w:kern w:val="10"/>
          <w:sz w:val="24"/>
          <w:szCs w:val="24"/>
        </w:rPr>
      </w:pPr>
    </w:p>
    <w:p>
      <w:pPr>
        <w:widowControl/>
        <w:spacing w:line="360" w:lineRule="auto"/>
        <w:jc w:val="center"/>
        <w:rPr>
          <w:rFonts w:ascii="宋体" w:hAnsi="宋体"/>
          <w:b/>
          <w:kern w:val="0"/>
          <w:sz w:val="24"/>
          <w:szCs w:val="24"/>
        </w:rPr>
      </w:pPr>
      <w:r>
        <w:rPr>
          <w:rFonts w:hint="eastAsia" w:ascii="宋体" w:hAnsi="宋体"/>
          <w:b/>
          <w:kern w:val="0"/>
          <w:sz w:val="24"/>
          <w:szCs w:val="24"/>
        </w:rPr>
        <w:t>联合体共同投标协议书</w:t>
      </w:r>
    </w:p>
    <w:p>
      <w:pPr>
        <w:spacing w:line="440" w:lineRule="exact"/>
        <w:rPr>
          <w:rFonts w:ascii="宋体" w:hAnsi="宋体"/>
          <w:kern w:val="10"/>
          <w:sz w:val="24"/>
          <w:szCs w:val="24"/>
        </w:rPr>
      </w:pPr>
    </w:p>
    <w:p>
      <w:pPr>
        <w:spacing w:line="440" w:lineRule="exact"/>
        <w:rPr>
          <w:rFonts w:ascii="宋体" w:hAnsi="宋体"/>
          <w:sz w:val="24"/>
          <w:szCs w:val="24"/>
          <w:u w:val="single"/>
        </w:rPr>
      </w:pPr>
      <w:r>
        <w:rPr>
          <w:rFonts w:hint="eastAsia" w:ascii="宋体" w:hAnsi="宋体"/>
          <w:kern w:val="10"/>
          <w:sz w:val="24"/>
          <w:szCs w:val="24"/>
        </w:rPr>
        <w:t>立约方：</w:t>
      </w:r>
      <w:r>
        <w:rPr>
          <w:rFonts w:hint="eastAsia" w:ascii="宋体" w:hAnsi="宋体"/>
          <w:sz w:val="24"/>
          <w:szCs w:val="24"/>
          <w:u w:val="single"/>
        </w:rPr>
        <w:t>（甲公司全称）</w:t>
      </w:r>
    </w:p>
    <w:p>
      <w:pPr>
        <w:spacing w:line="440" w:lineRule="exact"/>
        <w:ind w:firstLine="960" w:firstLineChars="400"/>
        <w:rPr>
          <w:rFonts w:ascii="宋体" w:hAnsi="宋体"/>
          <w:sz w:val="24"/>
          <w:szCs w:val="24"/>
          <w:u w:val="single"/>
        </w:rPr>
      </w:pPr>
      <w:r>
        <w:rPr>
          <w:rFonts w:hint="eastAsia" w:ascii="宋体" w:hAnsi="宋体"/>
          <w:sz w:val="24"/>
          <w:szCs w:val="24"/>
          <w:u w:val="single"/>
        </w:rPr>
        <w:t>（乙公司全称）</w:t>
      </w:r>
    </w:p>
    <w:p>
      <w:pPr>
        <w:spacing w:line="440" w:lineRule="exact"/>
        <w:ind w:firstLine="960" w:firstLineChars="400"/>
        <w:rPr>
          <w:rFonts w:ascii="宋体" w:hAnsi="宋体"/>
          <w:sz w:val="24"/>
          <w:szCs w:val="24"/>
          <w:u w:val="single"/>
        </w:rPr>
      </w:pPr>
      <w:r>
        <w:rPr>
          <w:rFonts w:hint="eastAsia" w:ascii="宋体" w:hAnsi="宋体"/>
          <w:sz w:val="24"/>
          <w:szCs w:val="24"/>
          <w:u w:val="single"/>
        </w:rPr>
        <w:t>（…公司全称）</w:t>
      </w:r>
    </w:p>
    <w:p>
      <w:pPr>
        <w:spacing w:line="440" w:lineRule="exact"/>
        <w:ind w:firstLine="480" w:firstLineChars="200"/>
        <w:rPr>
          <w:rFonts w:ascii="宋体" w:hAnsi="宋体"/>
          <w:sz w:val="24"/>
          <w:szCs w:val="24"/>
        </w:rPr>
      </w:pPr>
      <w:r>
        <w:rPr>
          <w:rFonts w:hint="eastAsia" w:ascii="宋体" w:hAnsi="宋体"/>
          <w:kern w:val="0"/>
          <w:sz w:val="24"/>
          <w:szCs w:val="24"/>
          <w:u w:val="single"/>
        </w:rPr>
        <w:t>（甲公司全称）</w:t>
      </w:r>
      <w:r>
        <w:rPr>
          <w:rFonts w:hint="eastAsia" w:ascii="宋体" w:hAnsi="宋体"/>
          <w:kern w:val="0"/>
          <w:sz w:val="24"/>
          <w:szCs w:val="24"/>
        </w:rPr>
        <w:t>、</w:t>
      </w:r>
      <w:r>
        <w:rPr>
          <w:rFonts w:hint="eastAsia" w:ascii="宋体" w:hAnsi="宋体"/>
          <w:kern w:val="0"/>
          <w:sz w:val="24"/>
          <w:szCs w:val="24"/>
          <w:u w:val="single"/>
        </w:rPr>
        <w:t>（乙公司全称）</w:t>
      </w:r>
      <w:r>
        <w:rPr>
          <w:rFonts w:hint="eastAsia" w:ascii="宋体" w:hAnsi="宋体"/>
          <w:kern w:val="0"/>
          <w:sz w:val="24"/>
          <w:szCs w:val="24"/>
        </w:rPr>
        <w:t>、</w:t>
      </w:r>
      <w:r>
        <w:rPr>
          <w:rFonts w:hint="eastAsia" w:ascii="宋体" w:hAnsi="宋体"/>
          <w:kern w:val="0"/>
          <w:sz w:val="24"/>
          <w:szCs w:val="24"/>
          <w:u w:val="single"/>
        </w:rPr>
        <w:t>（……公司全称）</w:t>
      </w:r>
      <w:r>
        <w:rPr>
          <w:rFonts w:hint="eastAsia" w:ascii="宋体" w:hAnsi="宋体"/>
          <w:kern w:val="0"/>
          <w:sz w:val="24"/>
          <w:szCs w:val="24"/>
        </w:rPr>
        <w:t>自愿组成联合体，</w:t>
      </w:r>
      <w:r>
        <w:rPr>
          <w:rFonts w:hint="eastAsia" w:ascii="宋体" w:hAnsi="宋体"/>
          <w:kern w:val="10"/>
          <w:sz w:val="24"/>
          <w:szCs w:val="24"/>
        </w:rPr>
        <w:t>以一个投标供应商的身份共同</w:t>
      </w:r>
      <w:r>
        <w:rPr>
          <w:rFonts w:hint="eastAsia" w:ascii="宋体" w:hAnsi="宋体"/>
          <w:kern w:val="0"/>
          <w:sz w:val="24"/>
          <w:szCs w:val="24"/>
        </w:rPr>
        <w:t>参加</w:t>
      </w:r>
      <w:r>
        <w:rPr>
          <w:rFonts w:hint="eastAsia" w:ascii="宋体" w:hAnsi="宋体"/>
          <w:kern w:val="0"/>
          <w:sz w:val="24"/>
          <w:szCs w:val="24"/>
          <w:u w:val="single"/>
        </w:rPr>
        <w:t>（采购项目名称）</w:t>
      </w:r>
      <w:r>
        <w:rPr>
          <w:rFonts w:hint="eastAsia" w:ascii="宋体" w:hAnsi="宋体"/>
          <w:kern w:val="0"/>
          <w:sz w:val="24"/>
          <w:szCs w:val="24"/>
        </w:rPr>
        <w:t xml:space="preserve"> </w:t>
      </w:r>
      <w:r>
        <w:rPr>
          <w:rFonts w:hint="eastAsia" w:ascii="宋体" w:hAnsi="宋体"/>
          <w:kern w:val="0"/>
          <w:sz w:val="24"/>
          <w:szCs w:val="24"/>
          <w:u w:val="single"/>
        </w:rPr>
        <w:t>（采购项目编号）</w:t>
      </w:r>
      <w:r>
        <w:rPr>
          <w:rFonts w:hint="eastAsia" w:ascii="宋体" w:hAnsi="宋体"/>
          <w:kern w:val="0"/>
          <w:sz w:val="24"/>
          <w:szCs w:val="24"/>
        </w:rPr>
        <w:t>的响应活动。</w:t>
      </w:r>
      <w:r>
        <w:rPr>
          <w:rFonts w:hint="eastAsia" w:ascii="宋体" w:hAnsi="宋体"/>
          <w:sz w:val="24"/>
          <w:szCs w:val="24"/>
        </w:rPr>
        <w:t>经各方充分协商一致，就</w:t>
      </w:r>
      <w:r>
        <w:rPr>
          <w:rFonts w:hint="eastAsia" w:ascii="宋体" w:hAnsi="宋体"/>
          <w:kern w:val="10"/>
          <w:sz w:val="24"/>
          <w:szCs w:val="24"/>
        </w:rPr>
        <w:t>项目的响应和合同实施阶段的有关事务协商一致</w:t>
      </w:r>
      <w:r>
        <w:rPr>
          <w:rFonts w:hint="eastAsia" w:ascii="宋体" w:hAnsi="宋体"/>
          <w:kern w:val="0"/>
          <w:sz w:val="24"/>
          <w:szCs w:val="24"/>
        </w:rPr>
        <w:t>订立协议如下</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一、联合体各方关系</w:t>
      </w:r>
    </w:p>
    <w:p>
      <w:pPr>
        <w:spacing w:line="440" w:lineRule="exact"/>
        <w:ind w:firstLine="480" w:firstLineChars="200"/>
        <w:rPr>
          <w:rFonts w:ascii="宋体" w:hAnsi="宋体"/>
          <w:sz w:val="24"/>
          <w:szCs w:val="24"/>
        </w:rPr>
      </w:pPr>
      <w:r>
        <w:rPr>
          <w:rFonts w:hint="eastAsia" w:ascii="宋体" w:hAnsi="宋体"/>
          <w:kern w:val="0"/>
          <w:sz w:val="24"/>
          <w:szCs w:val="24"/>
          <w:u w:val="single"/>
        </w:rPr>
        <w:t>（甲公司全称）</w:t>
      </w:r>
      <w:r>
        <w:rPr>
          <w:rFonts w:hint="eastAsia" w:ascii="宋体" w:hAnsi="宋体"/>
          <w:kern w:val="0"/>
          <w:sz w:val="24"/>
          <w:szCs w:val="24"/>
        </w:rPr>
        <w:t>、</w:t>
      </w:r>
      <w:r>
        <w:rPr>
          <w:rFonts w:hint="eastAsia" w:ascii="宋体" w:hAnsi="宋体"/>
          <w:kern w:val="0"/>
          <w:sz w:val="24"/>
          <w:szCs w:val="24"/>
          <w:u w:val="single"/>
        </w:rPr>
        <w:t>（乙公司全称）</w:t>
      </w:r>
      <w:r>
        <w:rPr>
          <w:rFonts w:hint="eastAsia" w:ascii="宋体" w:hAnsi="宋体"/>
          <w:kern w:val="0"/>
          <w:sz w:val="24"/>
          <w:szCs w:val="24"/>
        </w:rPr>
        <w:t>、</w:t>
      </w:r>
      <w:r>
        <w:rPr>
          <w:rFonts w:hint="eastAsia" w:ascii="宋体" w:hAnsi="宋体"/>
          <w:kern w:val="0"/>
          <w:sz w:val="24"/>
          <w:szCs w:val="24"/>
          <w:u w:val="single"/>
        </w:rPr>
        <w:t>（……公司全称）</w:t>
      </w:r>
      <w:r>
        <w:rPr>
          <w:rFonts w:hint="eastAsia" w:ascii="宋体" w:hAnsi="宋体"/>
          <w:sz w:val="24"/>
          <w:szCs w:val="24"/>
        </w:rPr>
        <w:t>共同组成一个联合体，以一个投标供应商的身份共同参加本项目的</w:t>
      </w:r>
      <w:r>
        <w:rPr>
          <w:rFonts w:hint="eastAsia" w:ascii="宋体" w:hAnsi="宋体"/>
          <w:kern w:val="0"/>
          <w:sz w:val="24"/>
          <w:szCs w:val="24"/>
        </w:rPr>
        <w:t>响应</w:t>
      </w:r>
      <w:r>
        <w:rPr>
          <w:rFonts w:hint="eastAsia" w:ascii="宋体" w:hAnsi="宋体"/>
          <w:sz w:val="24"/>
          <w:szCs w:val="24"/>
        </w:rPr>
        <w:t>。</w:t>
      </w:r>
      <w:r>
        <w:rPr>
          <w:rFonts w:hint="eastAsia" w:ascii="宋体" w:hAnsi="宋体"/>
          <w:kern w:val="0"/>
          <w:sz w:val="24"/>
          <w:szCs w:val="24"/>
          <w:u w:val="single"/>
        </w:rPr>
        <w:t>（甲公司全称）</w:t>
      </w:r>
      <w:r>
        <w:rPr>
          <w:rFonts w:hint="eastAsia" w:ascii="宋体" w:hAnsi="宋体"/>
          <w:kern w:val="0"/>
          <w:sz w:val="24"/>
          <w:szCs w:val="24"/>
        </w:rPr>
        <w:t>、</w:t>
      </w:r>
      <w:r>
        <w:rPr>
          <w:rFonts w:hint="eastAsia" w:ascii="宋体" w:hAnsi="宋体"/>
          <w:kern w:val="0"/>
          <w:sz w:val="24"/>
          <w:szCs w:val="24"/>
          <w:u w:val="single"/>
        </w:rPr>
        <w:t>（乙公司全称）</w:t>
      </w:r>
      <w:r>
        <w:rPr>
          <w:rFonts w:hint="eastAsia" w:ascii="宋体" w:hAnsi="宋体"/>
          <w:kern w:val="0"/>
          <w:sz w:val="24"/>
          <w:szCs w:val="24"/>
        </w:rPr>
        <w:t>、</w:t>
      </w:r>
      <w:r>
        <w:rPr>
          <w:rFonts w:hint="eastAsia" w:ascii="宋体" w:hAnsi="宋体"/>
          <w:kern w:val="0"/>
          <w:sz w:val="24"/>
          <w:szCs w:val="24"/>
          <w:u w:val="single"/>
        </w:rPr>
        <w:t>（……公司全称）</w:t>
      </w:r>
      <w:r>
        <w:rPr>
          <w:rFonts w:hint="eastAsia" w:ascii="宋体" w:hAnsi="宋体"/>
          <w:sz w:val="24"/>
          <w:szCs w:val="24"/>
        </w:rPr>
        <w:t>作为联合体成员，若中标，联合体各方共同与采购人签订政府采购合同。联合体名称：</w:t>
      </w:r>
      <w:r>
        <w:rPr>
          <w:rFonts w:hint="eastAsia" w:ascii="宋体" w:hAnsi="宋体"/>
          <w:kern w:val="0"/>
          <w:sz w:val="24"/>
          <w:szCs w:val="24"/>
          <w:u w:val="single"/>
        </w:rPr>
        <w:t>（甲公司全称）</w:t>
      </w:r>
      <w:r>
        <w:rPr>
          <w:rFonts w:hint="eastAsia" w:ascii="宋体" w:hAnsi="宋体"/>
          <w:sz w:val="24"/>
          <w:szCs w:val="24"/>
          <w:u w:val="single"/>
        </w:rPr>
        <w:t>与（乙公司全称）联合体</w:t>
      </w:r>
    </w:p>
    <w:p>
      <w:pPr>
        <w:spacing w:line="440" w:lineRule="exact"/>
        <w:ind w:firstLine="480" w:firstLineChars="200"/>
        <w:rPr>
          <w:rFonts w:ascii="宋体" w:hAnsi="宋体"/>
          <w:sz w:val="24"/>
          <w:szCs w:val="24"/>
        </w:rPr>
      </w:pPr>
      <w:r>
        <w:rPr>
          <w:rFonts w:hint="eastAsia" w:ascii="宋体" w:hAnsi="宋体"/>
          <w:sz w:val="24"/>
          <w:szCs w:val="24"/>
        </w:rPr>
        <w:t>二、联合体内部有关事项约定如下：</w:t>
      </w:r>
    </w:p>
    <w:p>
      <w:pPr>
        <w:spacing w:line="440" w:lineRule="exact"/>
        <w:ind w:firstLine="480" w:firstLineChars="200"/>
        <w:rPr>
          <w:rFonts w:ascii="宋体" w:hAnsi="宋体"/>
          <w:sz w:val="24"/>
          <w:szCs w:val="24"/>
        </w:rPr>
      </w:pPr>
      <w:r>
        <w:rPr>
          <w:rFonts w:hint="eastAsia" w:ascii="宋体" w:hAnsi="宋体"/>
          <w:sz w:val="24"/>
          <w:szCs w:val="24"/>
        </w:rPr>
        <w:t>1.联合体由联合体共同授权人员负责与采购人联系。</w:t>
      </w:r>
    </w:p>
    <w:p>
      <w:pPr>
        <w:spacing w:line="440" w:lineRule="exact"/>
        <w:ind w:firstLine="480" w:firstLineChars="200"/>
        <w:rPr>
          <w:rFonts w:ascii="宋体" w:hAnsi="宋体"/>
          <w:sz w:val="24"/>
          <w:szCs w:val="24"/>
        </w:rPr>
      </w:pPr>
      <w:r>
        <w:rPr>
          <w:rFonts w:hint="eastAsia" w:ascii="宋体" w:hAnsi="宋体"/>
          <w:sz w:val="24"/>
          <w:szCs w:val="24"/>
        </w:rPr>
        <w:t>2.联合体投标工作由联合体共同负责，由联合体各方组成的响应小组具体实施。</w:t>
      </w:r>
    </w:p>
    <w:p>
      <w:pPr>
        <w:spacing w:line="440" w:lineRule="exact"/>
        <w:ind w:firstLine="480" w:firstLineChars="200"/>
        <w:rPr>
          <w:rFonts w:ascii="宋体" w:hAnsi="宋体"/>
          <w:sz w:val="24"/>
          <w:szCs w:val="24"/>
        </w:rPr>
      </w:pPr>
      <w:r>
        <w:rPr>
          <w:rFonts w:hint="eastAsia" w:ascii="宋体" w:hAnsi="宋体"/>
          <w:sz w:val="24"/>
          <w:szCs w:val="24"/>
        </w:rPr>
        <w:t>3.联合体将严格按照文件的各项要求，递交投标文件，切实执行一切合同文件，共同承担合同规定的一切义务和责任，同时按照内部职责的划分，承担自身所负的责任和风险，在法律在承担连带责任。</w:t>
      </w:r>
    </w:p>
    <w:p>
      <w:pPr>
        <w:spacing w:line="440" w:lineRule="exact"/>
        <w:ind w:firstLine="480" w:firstLineChars="200"/>
        <w:rPr>
          <w:rFonts w:ascii="宋体" w:hAnsi="宋体"/>
          <w:sz w:val="24"/>
          <w:szCs w:val="24"/>
          <w:u w:val="single"/>
        </w:rPr>
      </w:pPr>
      <w:r>
        <w:rPr>
          <w:rFonts w:hint="eastAsia" w:ascii="宋体" w:hAnsi="宋体"/>
          <w:sz w:val="24"/>
          <w:szCs w:val="24"/>
        </w:rPr>
        <w:t>4.如中标，联合体各方共同与采购人签订合同书，并就中标项目向采购人负责有连带的和各自的法律责任；其中</w:t>
      </w:r>
      <w:r>
        <w:rPr>
          <w:rFonts w:hint="eastAsia" w:ascii="宋体" w:hAnsi="宋体"/>
          <w:sz w:val="24"/>
          <w:szCs w:val="24"/>
          <w:u w:val="single"/>
        </w:rPr>
        <w:t xml:space="preserve">（公司全称）   </w:t>
      </w:r>
      <w:r>
        <w:rPr>
          <w:rFonts w:hint="eastAsia" w:ascii="宋体" w:hAnsi="宋体"/>
          <w:sz w:val="24"/>
          <w:szCs w:val="24"/>
        </w:rPr>
        <w:t>是联合体牵头方，</w:t>
      </w:r>
      <w:r>
        <w:rPr>
          <w:rFonts w:hint="eastAsia" w:ascii="宋体" w:hAnsi="宋体"/>
          <w:sz w:val="24"/>
          <w:szCs w:val="24"/>
          <w:u w:val="single"/>
        </w:rPr>
        <w:t xml:space="preserve">（公司全称）   </w:t>
      </w:r>
      <w:r>
        <w:rPr>
          <w:rFonts w:hint="eastAsia" w:ascii="宋体" w:hAnsi="宋体"/>
          <w:sz w:val="24"/>
          <w:szCs w:val="24"/>
        </w:rPr>
        <w:t>是联合体成员。</w:t>
      </w:r>
    </w:p>
    <w:p>
      <w:pPr>
        <w:spacing w:line="440" w:lineRule="exact"/>
        <w:ind w:firstLine="480" w:firstLineChars="200"/>
        <w:rPr>
          <w:rFonts w:ascii="宋体" w:hAnsi="宋体"/>
          <w:sz w:val="24"/>
          <w:szCs w:val="24"/>
        </w:rPr>
      </w:pPr>
      <w:r>
        <w:rPr>
          <w:rFonts w:hint="eastAsia" w:ascii="宋体" w:hAnsi="宋体"/>
          <w:sz w:val="24"/>
          <w:szCs w:val="24"/>
        </w:rPr>
        <w:t>5.联合体内部各自按下列分工负责项目工作：</w:t>
      </w:r>
    </w:p>
    <w:p>
      <w:pPr>
        <w:spacing w:line="440" w:lineRule="exact"/>
        <w:ind w:firstLine="480" w:firstLineChars="200"/>
        <w:rPr>
          <w:rFonts w:ascii="宋体" w:hAnsi="宋体"/>
          <w:sz w:val="24"/>
          <w:szCs w:val="24"/>
        </w:rPr>
      </w:pPr>
      <w:r>
        <w:rPr>
          <w:rFonts w:hint="eastAsia" w:ascii="宋体" w:hAnsi="宋体"/>
          <w:sz w:val="24"/>
          <w:szCs w:val="24"/>
        </w:rPr>
        <w:t>（甲公司全称）承担本工程（项目）的</w:t>
      </w:r>
      <w:r>
        <w:rPr>
          <w:rFonts w:hint="eastAsia" w:ascii="宋体" w:hAnsi="宋体"/>
          <w:sz w:val="24"/>
          <w:szCs w:val="24"/>
          <w:u w:val="single"/>
        </w:rPr>
        <w:t xml:space="preserve">                           </w:t>
      </w:r>
    </w:p>
    <w:p>
      <w:pPr>
        <w:spacing w:line="440" w:lineRule="exact"/>
        <w:ind w:firstLine="480" w:firstLineChars="200"/>
        <w:rPr>
          <w:rFonts w:ascii="宋体" w:hAnsi="宋体"/>
          <w:sz w:val="24"/>
          <w:szCs w:val="24"/>
          <w:u w:val="single"/>
        </w:rPr>
      </w:pPr>
      <w:r>
        <w:rPr>
          <w:rFonts w:hint="eastAsia" w:ascii="宋体" w:hAnsi="宋体"/>
          <w:sz w:val="24"/>
          <w:szCs w:val="24"/>
        </w:rPr>
        <w:t>（乙公司全称）承担本工程（项目）的</w:t>
      </w:r>
      <w:r>
        <w:rPr>
          <w:rFonts w:hint="eastAsia" w:ascii="宋体" w:hAnsi="宋体"/>
          <w:sz w:val="24"/>
          <w:szCs w:val="24"/>
          <w:u w:val="single"/>
        </w:rPr>
        <w:t xml:space="preserve">                           </w:t>
      </w:r>
    </w:p>
    <w:p>
      <w:pPr>
        <w:spacing w:line="440" w:lineRule="exact"/>
        <w:ind w:firstLine="480" w:firstLineChars="200"/>
        <w:rPr>
          <w:rFonts w:ascii="宋体" w:hAnsi="宋体"/>
          <w:sz w:val="24"/>
          <w:szCs w:val="24"/>
        </w:rPr>
      </w:pP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6.联合体成员</w:t>
      </w:r>
      <w:r>
        <w:rPr>
          <w:rFonts w:hint="eastAsia" w:ascii="宋体" w:hAnsi="宋体"/>
          <w:sz w:val="24"/>
          <w:szCs w:val="24"/>
          <w:u w:val="single"/>
        </w:rPr>
        <w:t>　（公司全称）　</w:t>
      </w:r>
      <w:r>
        <w:rPr>
          <w:rFonts w:hint="eastAsia" w:ascii="宋体" w:hAnsi="宋体"/>
          <w:sz w:val="24"/>
          <w:szCs w:val="24"/>
        </w:rPr>
        <w:t>为</w:t>
      </w:r>
      <w:r>
        <w:rPr>
          <w:rFonts w:hint="eastAsia" w:ascii="宋体" w:hAnsi="宋体"/>
          <w:sz w:val="24"/>
          <w:szCs w:val="24"/>
          <w:u w:val="single"/>
        </w:rPr>
        <w:t>（请填写：小型、微型）</w:t>
      </w:r>
      <w:r>
        <w:rPr>
          <w:rFonts w:hint="eastAsia" w:ascii="宋体" w:hAnsi="宋体"/>
          <w:sz w:val="24"/>
          <w:szCs w:val="24"/>
        </w:rPr>
        <w:t>企业，将承担合同总金额</w:t>
      </w:r>
      <w:r>
        <w:rPr>
          <w:rFonts w:hint="eastAsia" w:ascii="宋体" w:hAnsi="宋体"/>
          <w:sz w:val="24"/>
          <w:szCs w:val="24"/>
          <w:u w:val="single"/>
        </w:rPr>
        <w:t>　　</w:t>
      </w:r>
      <w:r>
        <w:rPr>
          <w:rFonts w:hint="eastAsia" w:ascii="宋体" w:hAnsi="宋体"/>
          <w:sz w:val="24"/>
          <w:szCs w:val="24"/>
        </w:rPr>
        <w:t>%的工作内容</w:t>
      </w:r>
      <w:r>
        <w:rPr>
          <w:rFonts w:hint="eastAsia" w:ascii="宋体" w:hAnsi="宋体"/>
          <w:b/>
          <w:sz w:val="24"/>
          <w:szCs w:val="24"/>
        </w:rPr>
        <w:t>（联合体成员中有小型、微型企业时适用）</w:t>
      </w:r>
      <w:r>
        <w:rPr>
          <w:rFonts w:hint="eastAsia" w:ascii="宋体" w:hAnsi="宋体"/>
          <w:sz w:val="24"/>
          <w:szCs w:val="24"/>
        </w:rPr>
        <w:t>。</w:t>
      </w:r>
    </w:p>
    <w:p>
      <w:pPr>
        <w:spacing w:line="440" w:lineRule="exact"/>
        <w:ind w:firstLine="480" w:firstLineChars="200"/>
        <w:rPr>
          <w:rFonts w:ascii="宋体" w:hAnsi="宋体"/>
          <w:kern w:val="0"/>
          <w:sz w:val="24"/>
          <w:szCs w:val="24"/>
        </w:rPr>
      </w:pPr>
      <w:r>
        <w:rPr>
          <w:rFonts w:hint="eastAsia" w:ascii="宋体" w:hAnsi="宋体"/>
          <w:kern w:val="0"/>
          <w:sz w:val="24"/>
          <w:szCs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spacing w:line="440" w:lineRule="exact"/>
        <w:ind w:firstLine="480" w:firstLineChars="200"/>
        <w:rPr>
          <w:rFonts w:ascii="宋体" w:hAnsi="宋体"/>
          <w:kern w:val="0"/>
          <w:sz w:val="24"/>
          <w:szCs w:val="24"/>
        </w:rPr>
      </w:pPr>
      <w:r>
        <w:rPr>
          <w:rFonts w:hint="eastAsia" w:ascii="宋体" w:hAnsi="宋体"/>
          <w:kern w:val="0"/>
          <w:sz w:val="24"/>
          <w:szCs w:val="24"/>
        </w:rPr>
        <w:t>四、联合体如因违约过失责任而导致采购人经济损失或被索赔时，本联合体任何一方均同意无条件优先清偿采购人的一切债务和经济赔偿。</w:t>
      </w:r>
    </w:p>
    <w:p>
      <w:pPr>
        <w:spacing w:line="440" w:lineRule="exact"/>
        <w:ind w:left="23" w:leftChars="11" w:firstLine="480" w:firstLineChars="200"/>
        <w:rPr>
          <w:rFonts w:ascii="宋体" w:hAnsi="宋体"/>
          <w:sz w:val="24"/>
          <w:szCs w:val="24"/>
        </w:rPr>
      </w:pPr>
      <w:r>
        <w:rPr>
          <w:rFonts w:hint="eastAsia" w:ascii="宋体" w:hAnsi="宋体"/>
          <w:kern w:val="0"/>
          <w:sz w:val="24"/>
          <w:szCs w:val="24"/>
        </w:rPr>
        <w:t>五、</w:t>
      </w:r>
      <w:r>
        <w:rPr>
          <w:rFonts w:hint="eastAsia" w:ascii="宋体" w:hAnsi="宋体"/>
          <w:sz w:val="24"/>
          <w:szCs w:val="24"/>
        </w:rPr>
        <w:t>本协议在</w:t>
      </w:r>
      <w:r>
        <w:rPr>
          <w:rFonts w:hint="eastAsia" w:ascii="宋体" w:hAnsi="宋体"/>
          <w:kern w:val="0"/>
          <w:sz w:val="24"/>
          <w:szCs w:val="24"/>
        </w:rPr>
        <w:t>自签署之日起生效，</w:t>
      </w:r>
      <w:r>
        <w:rPr>
          <w:rFonts w:hint="eastAsia" w:ascii="宋体" w:hAnsi="宋体"/>
          <w:sz w:val="24"/>
          <w:szCs w:val="24"/>
        </w:rPr>
        <w:t>有效期内有效，如获中标资格，合同有效期延续至合同履行完毕之日。</w:t>
      </w:r>
    </w:p>
    <w:p>
      <w:pPr>
        <w:spacing w:line="440" w:lineRule="exact"/>
        <w:ind w:left="23" w:leftChars="11" w:firstLine="480" w:firstLineChars="200"/>
        <w:rPr>
          <w:rFonts w:ascii="宋体" w:hAnsi="宋体"/>
          <w:kern w:val="0"/>
          <w:sz w:val="24"/>
          <w:szCs w:val="24"/>
        </w:rPr>
      </w:pPr>
      <w:r>
        <w:rPr>
          <w:rFonts w:hint="eastAsia" w:ascii="宋体" w:hAnsi="宋体"/>
          <w:kern w:val="0"/>
          <w:sz w:val="24"/>
          <w:szCs w:val="24"/>
        </w:rPr>
        <w:t>六、本协议书正本一式</w:t>
      </w:r>
      <w:r>
        <w:rPr>
          <w:rFonts w:hint="eastAsia" w:ascii="宋体" w:hAnsi="宋体"/>
          <w:kern w:val="0"/>
          <w:sz w:val="24"/>
          <w:szCs w:val="24"/>
          <w:u w:val="single"/>
        </w:rPr>
        <w:t xml:space="preserve">  </w:t>
      </w:r>
      <w:r>
        <w:rPr>
          <w:rFonts w:hint="eastAsia" w:ascii="宋体" w:hAnsi="宋体"/>
          <w:kern w:val="0"/>
          <w:sz w:val="24"/>
          <w:szCs w:val="24"/>
        </w:rPr>
        <w:t>份，随投标文件装订</w:t>
      </w:r>
      <w:r>
        <w:rPr>
          <w:rFonts w:hint="eastAsia" w:ascii="宋体" w:hAnsi="宋体"/>
          <w:kern w:val="0"/>
          <w:sz w:val="24"/>
          <w:szCs w:val="24"/>
          <w:u w:val="single"/>
        </w:rPr>
        <w:t xml:space="preserve">   </w:t>
      </w:r>
      <w:r>
        <w:rPr>
          <w:rFonts w:hint="eastAsia" w:ascii="宋体" w:hAnsi="宋体"/>
          <w:kern w:val="0"/>
          <w:sz w:val="24"/>
          <w:szCs w:val="24"/>
        </w:rPr>
        <w:t>份，送采购人</w:t>
      </w:r>
      <w:r>
        <w:rPr>
          <w:rFonts w:hint="eastAsia" w:ascii="宋体" w:hAnsi="宋体"/>
          <w:kern w:val="0"/>
          <w:sz w:val="24"/>
          <w:szCs w:val="24"/>
          <w:u w:val="single"/>
        </w:rPr>
        <w:t xml:space="preserve">   </w:t>
      </w:r>
      <w:r>
        <w:rPr>
          <w:rFonts w:hint="eastAsia" w:ascii="宋体" w:hAnsi="宋体"/>
          <w:kern w:val="0"/>
          <w:sz w:val="24"/>
          <w:szCs w:val="24"/>
        </w:rPr>
        <w:t>份，联合体成员各一份；副本一式</w:t>
      </w:r>
      <w:r>
        <w:rPr>
          <w:rFonts w:hint="eastAsia" w:ascii="宋体" w:hAnsi="宋体"/>
          <w:kern w:val="0"/>
          <w:sz w:val="24"/>
          <w:szCs w:val="24"/>
          <w:u w:val="single"/>
        </w:rPr>
        <w:t xml:space="preserve">   </w:t>
      </w:r>
      <w:r>
        <w:rPr>
          <w:rFonts w:hint="eastAsia" w:ascii="宋体" w:hAnsi="宋体"/>
          <w:kern w:val="0"/>
          <w:sz w:val="24"/>
          <w:szCs w:val="24"/>
        </w:rPr>
        <w:t>份，联合体成员各执</w:t>
      </w:r>
      <w:r>
        <w:rPr>
          <w:rFonts w:hint="eastAsia" w:ascii="宋体" w:hAnsi="宋体"/>
          <w:kern w:val="0"/>
          <w:sz w:val="24"/>
          <w:szCs w:val="24"/>
          <w:u w:val="single"/>
        </w:rPr>
        <w:t xml:space="preserve">   </w:t>
      </w:r>
      <w:r>
        <w:rPr>
          <w:rFonts w:hint="eastAsia" w:ascii="宋体" w:hAnsi="宋体"/>
          <w:kern w:val="0"/>
          <w:sz w:val="24"/>
          <w:szCs w:val="24"/>
        </w:rPr>
        <w:t>份。</w:t>
      </w:r>
    </w:p>
    <w:p>
      <w:pPr>
        <w:widowControl/>
        <w:tabs>
          <w:tab w:val="left" w:pos="2977"/>
          <w:tab w:val="left" w:pos="5954"/>
        </w:tabs>
        <w:spacing w:line="440" w:lineRule="exact"/>
        <w:jc w:val="left"/>
        <w:rPr>
          <w:rFonts w:ascii="宋体" w:hAnsi="宋体"/>
          <w:kern w:val="0"/>
          <w:sz w:val="24"/>
          <w:szCs w:val="24"/>
        </w:rPr>
      </w:pPr>
    </w:p>
    <w:p>
      <w:pPr>
        <w:widowControl/>
        <w:tabs>
          <w:tab w:val="left" w:pos="2977"/>
          <w:tab w:val="left" w:pos="5954"/>
        </w:tabs>
        <w:spacing w:line="440" w:lineRule="exact"/>
        <w:jc w:val="left"/>
        <w:rPr>
          <w:rFonts w:ascii="宋体" w:hAnsi="宋体"/>
          <w:kern w:val="0"/>
          <w:sz w:val="24"/>
          <w:szCs w:val="24"/>
        </w:rPr>
      </w:pPr>
      <w:r>
        <w:rPr>
          <w:rFonts w:hint="eastAsia" w:ascii="宋体" w:hAnsi="宋体"/>
          <w:kern w:val="0"/>
          <w:sz w:val="24"/>
          <w:szCs w:val="24"/>
        </w:rPr>
        <w:t xml:space="preserve">甲公司全称：（盖章） </w:t>
      </w:r>
      <w:r>
        <w:rPr>
          <w:rFonts w:hint="eastAsia" w:ascii="宋体" w:hAnsi="宋体"/>
          <w:kern w:val="0"/>
          <w:sz w:val="24"/>
          <w:szCs w:val="24"/>
        </w:rPr>
        <w:tab/>
      </w:r>
      <w:r>
        <w:rPr>
          <w:rFonts w:hint="eastAsia" w:ascii="宋体" w:hAnsi="宋体"/>
          <w:kern w:val="0"/>
          <w:sz w:val="24"/>
          <w:szCs w:val="24"/>
        </w:rPr>
        <w:t>乙公司全称：（盖章）</w:t>
      </w:r>
      <w:r>
        <w:rPr>
          <w:rFonts w:hint="eastAsia" w:ascii="宋体" w:hAnsi="宋体"/>
          <w:kern w:val="0"/>
          <w:sz w:val="24"/>
          <w:szCs w:val="24"/>
        </w:rPr>
        <w:tab/>
      </w:r>
      <w:r>
        <w:rPr>
          <w:rFonts w:hint="eastAsia" w:ascii="宋体" w:hAnsi="宋体"/>
          <w:kern w:val="0"/>
          <w:sz w:val="24"/>
          <w:szCs w:val="24"/>
        </w:rPr>
        <w:t>……公司全称（盖章）</w:t>
      </w:r>
    </w:p>
    <w:p>
      <w:pPr>
        <w:widowControl/>
        <w:tabs>
          <w:tab w:val="left" w:pos="2977"/>
          <w:tab w:val="left" w:pos="5954"/>
        </w:tabs>
        <w:spacing w:line="440" w:lineRule="exact"/>
        <w:jc w:val="left"/>
        <w:rPr>
          <w:rFonts w:ascii="宋体" w:hAnsi="宋体"/>
          <w:kern w:val="0"/>
          <w:sz w:val="24"/>
          <w:szCs w:val="24"/>
        </w:rPr>
      </w:pPr>
    </w:p>
    <w:p>
      <w:pPr>
        <w:widowControl/>
        <w:tabs>
          <w:tab w:val="left" w:pos="2977"/>
          <w:tab w:val="left" w:pos="5954"/>
        </w:tabs>
        <w:spacing w:line="440" w:lineRule="exact"/>
        <w:jc w:val="left"/>
        <w:rPr>
          <w:rFonts w:ascii="宋体" w:hAnsi="宋体"/>
          <w:kern w:val="0"/>
          <w:sz w:val="24"/>
          <w:szCs w:val="24"/>
        </w:rPr>
      </w:pPr>
      <w:r>
        <w:rPr>
          <w:rFonts w:hint="eastAsia" w:ascii="宋体" w:hAnsi="宋体"/>
          <w:kern w:val="0"/>
          <w:sz w:val="24"/>
          <w:szCs w:val="24"/>
        </w:rPr>
        <w:t>法定代表人：（签字或</w:t>
      </w:r>
      <w:r>
        <w:rPr>
          <w:rFonts w:hint="eastAsia" w:ascii="宋体" w:hAnsi="宋体"/>
          <w:sz w:val="24"/>
          <w:szCs w:val="24"/>
        </w:rPr>
        <w:t>盖章</w:t>
      </w:r>
      <w:r>
        <w:rPr>
          <w:rFonts w:hint="eastAsia" w:ascii="宋体" w:hAnsi="宋体"/>
          <w:kern w:val="0"/>
          <w:sz w:val="24"/>
          <w:szCs w:val="24"/>
        </w:rPr>
        <w:t>）法定代表人（签字或</w:t>
      </w:r>
      <w:r>
        <w:rPr>
          <w:rFonts w:hint="eastAsia" w:ascii="宋体" w:hAnsi="宋体"/>
          <w:sz w:val="24"/>
          <w:szCs w:val="24"/>
        </w:rPr>
        <w:t>盖章</w:t>
      </w:r>
      <w:r>
        <w:rPr>
          <w:rFonts w:hint="eastAsia" w:ascii="宋体" w:hAnsi="宋体"/>
          <w:kern w:val="0"/>
          <w:sz w:val="24"/>
          <w:szCs w:val="24"/>
        </w:rPr>
        <w:t>）法定代表人（签字或</w:t>
      </w:r>
      <w:r>
        <w:rPr>
          <w:rFonts w:hint="eastAsia" w:ascii="宋体" w:hAnsi="宋体"/>
          <w:sz w:val="24"/>
          <w:szCs w:val="24"/>
        </w:rPr>
        <w:t>盖章</w:t>
      </w:r>
      <w:r>
        <w:rPr>
          <w:rFonts w:hint="eastAsia" w:ascii="宋体" w:hAnsi="宋体"/>
          <w:kern w:val="0"/>
          <w:sz w:val="24"/>
          <w:szCs w:val="24"/>
        </w:rPr>
        <w:t>）</w:t>
      </w:r>
      <w:r>
        <w:rPr>
          <w:rFonts w:hint="eastAsia" w:ascii="宋体" w:hAnsi="宋体"/>
          <w:kern w:val="0"/>
          <w:sz w:val="24"/>
          <w:szCs w:val="24"/>
        </w:rPr>
        <w:tab/>
      </w:r>
      <w:r>
        <w:rPr>
          <w:rFonts w:hint="eastAsia" w:ascii="宋体" w:hAnsi="宋体"/>
          <w:kern w:val="0"/>
          <w:sz w:val="24"/>
          <w:szCs w:val="24"/>
        </w:rPr>
        <w:t xml:space="preserve"> </w:t>
      </w:r>
    </w:p>
    <w:p>
      <w:pPr>
        <w:widowControl/>
        <w:tabs>
          <w:tab w:val="left" w:pos="2977"/>
          <w:tab w:val="left" w:pos="5954"/>
        </w:tabs>
        <w:spacing w:line="440" w:lineRule="exact"/>
        <w:jc w:val="left"/>
        <w:rPr>
          <w:rFonts w:ascii="宋体" w:hAnsi="宋体"/>
          <w:kern w:val="0"/>
          <w:sz w:val="24"/>
          <w:szCs w:val="24"/>
        </w:rPr>
      </w:pPr>
      <w:r>
        <w:rPr>
          <w:rFonts w:hint="eastAsia" w:ascii="宋体" w:hAnsi="宋体"/>
          <w:kern w:val="0"/>
          <w:sz w:val="24"/>
          <w:szCs w:val="24"/>
        </w:rPr>
        <w:t>　　年　　月　　日</w:t>
      </w:r>
      <w:r>
        <w:rPr>
          <w:rFonts w:hint="eastAsia" w:ascii="宋体" w:hAnsi="宋体"/>
          <w:kern w:val="0"/>
          <w:sz w:val="24"/>
          <w:szCs w:val="24"/>
        </w:rPr>
        <w:tab/>
      </w:r>
      <w:r>
        <w:rPr>
          <w:rFonts w:hint="eastAsia" w:ascii="宋体" w:hAnsi="宋体"/>
          <w:kern w:val="0"/>
          <w:sz w:val="24"/>
          <w:szCs w:val="24"/>
        </w:rPr>
        <w:t>　　年　　月　　日</w:t>
      </w:r>
      <w:r>
        <w:rPr>
          <w:rFonts w:hint="eastAsia" w:ascii="宋体" w:hAnsi="宋体"/>
          <w:kern w:val="0"/>
          <w:sz w:val="24"/>
          <w:szCs w:val="24"/>
        </w:rPr>
        <w:tab/>
      </w:r>
      <w:r>
        <w:rPr>
          <w:rFonts w:hint="eastAsia" w:ascii="宋体" w:hAnsi="宋体"/>
          <w:kern w:val="0"/>
          <w:sz w:val="24"/>
          <w:szCs w:val="24"/>
        </w:rPr>
        <w:t>　　年　　月　　日</w:t>
      </w: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注：1．联合投标时需签本协议，联合体各方成员应在本协议上共同盖章确认。</w:t>
      </w:r>
    </w:p>
    <w:p>
      <w:pPr>
        <w:spacing w:line="440" w:lineRule="exact"/>
        <w:ind w:firstLine="470" w:firstLineChars="196"/>
        <w:rPr>
          <w:rFonts w:ascii="宋体" w:hAnsi="宋体"/>
          <w:b/>
          <w:sz w:val="24"/>
          <w:szCs w:val="24"/>
        </w:rPr>
      </w:pPr>
      <w:r>
        <w:rPr>
          <w:rFonts w:hint="eastAsia" w:ascii="宋体" w:hAnsi="宋体"/>
          <w:sz w:val="24"/>
          <w:szCs w:val="24"/>
        </w:rPr>
        <w:t>本协议内容不得擅自修改。此协议将作为签订合同的附件之一。</w:t>
      </w:r>
    </w:p>
    <w:sectPr>
      <w:pgSz w:w="11906" w:h="16838"/>
      <w:pgMar w:top="1729" w:right="1531" w:bottom="1712" w:left="1531" w:header="113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hAnsi="宋体"/>
      </w:rPr>
    </w:pPr>
    <w:r>
      <w:rPr>
        <w:rFonts w:hint="eastAsia" w:ascii="宋体" w:hAnsi="宋体"/>
        <w:kern w:val="0"/>
        <w:szCs w:val="21"/>
      </w:rPr>
      <w:t xml:space="preserve">第 </w:t>
    </w:r>
    <w:r>
      <w:rPr>
        <w:rFonts w:hint="eastAsia" w:ascii="宋体" w:hAnsi="宋体"/>
        <w:kern w:val="0"/>
        <w:szCs w:val="21"/>
      </w:rPr>
      <w:fldChar w:fldCharType="begin"/>
    </w:r>
    <w:r>
      <w:rPr>
        <w:rFonts w:hint="eastAsia" w:ascii="宋体" w:hAnsi="宋体"/>
        <w:kern w:val="0"/>
        <w:szCs w:val="21"/>
      </w:rPr>
      <w:instrText xml:space="preserve"> PAGE </w:instrText>
    </w:r>
    <w:r>
      <w:rPr>
        <w:rFonts w:hint="eastAsia" w:ascii="宋体" w:hAnsi="宋体"/>
        <w:kern w:val="0"/>
        <w:szCs w:val="21"/>
      </w:rPr>
      <w:fldChar w:fldCharType="separate"/>
    </w:r>
    <w:r>
      <w:rPr>
        <w:rFonts w:ascii="宋体" w:hAnsi="宋体"/>
        <w:kern w:val="0"/>
        <w:szCs w:val="21"/>
      </w:rPr>
      <w:t>4</w:t>
    </w:r>
    <w:r>
      <w:rPr>
        <w:rFonts w:hint="eastAsia" w:ascii="宋体" w:hAnsi="宋体"/>
        <w:kern w:val="0"/>
        <w:szCs w:val="21"/>
      </w:rPr>
      <w:fldChar w:fldCharType="end"/>
    </w:r>
    <w:r>
      <w:rPr>
        <w:rFonts w:hint="eastAsia" w:ascii="宋体" w:hAnsi="宋体"/>
        <w:kern w:val="0"/>
        <w:szCs w:val="21"/>
      </w:rPr>
      <w:t xml:space="preserve"> 页 共 </w:t>
    </w:r>
    <w:r>
      <w:rPr>
        <w:rFonts w:hint="eastAsia" w:ascii="宋体" w:hAnsi="宋体"/>
        <w:kern w:val="0"/>
        <w:szCs w:val="21"/>
      </w:rPr>
      <w:fldChar w:fldCharType="begin"/>
    </w:r>
    <w:r>
      <w:rPr>
        <w:rFonts w:hint="eastAsia" w:ascii="宋体" w:hAnsi="宋体"/>
        <w:kern w:val="0"/>
        <w:szCs w:val="21"/>
      </w:rPr>
      <w:instrText xml:space="preserve"> NUMPAGES </w:instrText>
    </w:r>
    <w:r>
      <w:rPr>
        <w:rFonts w:hint="eastAsia" w:ascii="宋体" w:hAnsi="宋体"/>
        <w:kern w:val="0"/>
        <w:szCs w:val="21"/>
      </w:rPr>
      <w:fldChar w:fldCharType="separate"/>
    </w:r>
    <w:r>
      <w:rPr>
        <w:rFonts w:ascii="宋体" w:hAnsi="宋体"/>
        <w:kern w:val="0"/>
        <w:szCs w:val="21"/>
      </w:rPr>
      <w:t>86</w:t>
    </w:r>
    <w:r>
      <w:rPr>
        <w:rFonts w:hint="eastAsia"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Style w:val="47"/>
        <w:rFonts w:ascii="宋体" w:hAnsi="宋体"/>
        <w:sz w:val="16"/>
        <w:szCs w:val="16"/>
      </w:rPr>
    </w:pPr>
    <w:r>
      <w:rPr>
        <w:rFonts w:hint="eastAsia" w:ascii="宋体" w:hAnsi="宋体"/>
        <w:kern w:val="0"/>
        <w:sz w:val="16"/>
        <w:szCs w:val="16"/>
      </w:rPr>
      <w:t xml:space="preserve">第 </w:t>
    </w:r>
    <w:r>
      <w:rPr>
        <w:rFonts w:hint="eastAsia" w:ascii="宋体" w:hAnsi="宋体"/>
        <w:kern w:val="0"/>
        <w:sz w:val="16"/>
        <w:szCs w:val="16"/>
      </w:rPr>
      <w:fldChar w:fldCharType="begin"/>
    </w:r>
    <w:r>
      <w:rPr>
        <w:rFonts w:hint="eastAsia" w:ascii="宋体" w:hAnsi="宋体"/>
        <w:kern w:val="0"/>
        <w:sz w:val="16"/>
        <w:szCs w:val="16"/>
      </w:rPr>
      <w:instrText xml:space="preserve"> PAGE </w:instrText>
    </w:r>
    <w:r>
      <w:rPr>
        <w:rFonts w:hint="eastAsia" w:ascii="宋体" w:hAnsi="宋体"/>
        <w:kern w:val="0"/>
        <w:sz w:val="16"/>
        <w:szCs w:val="16"/>
      </w:rPr>
      <w:fldChar w:fldCharType="separate"/>
    </w:r>
    <w:r>
      <w:rPr>
        <w:rFonts w:ascii="宋体" w:hAnsi="宋体"/>
        <w:kern w:val="0"/>
        <w:sz w:val="16"/>
        <w:szCs w:val="16"/>
      </w:rPr>
      <w:t>33</w:t>
    </w:r>
    <w:r>
      <w:rPr>
        <w:rFonts w:hint="eastAsia" w:ascii="宋体" w:hAnsi="宋体"/>
        <w:kern w:val="0"/>
        <w:sz w:val="16"/>
        <w:szCs w:val="16"/>
      </w:rPr>
      <w:fldChar w:fldCharType="end"/>
    </w:r>
    <w:r>
      <w:rPr>
        <w:rFonts w:hint="eastAsia" w:ascii="宋体" w:hAnsi="宋体"/>
        <w:kern w:val="0"/>
        <w:sz w:val="16"/>
        <w:szCs w:val="16"/>
      </w:rPr>
      <w:t xml:space="preserve"> 页 共 </w:t>
    </w:r>
    <w:r>
      <w:rPr>
        <w:rFonts w:hint="eastAsia" w:ascii="宋体" w:hAnsi="宋体"/>
        <w:kern w:val="0"/>
        <w:sz w:val="16"/>
        <w:szCs w:val="16"/>
      </w:rPr>
      <w:fldChar w:fldCharType="begin"/>
    </w:r>
    <w:r>
      <w:rPr>
        <w:rFonts w:hint="eastAsia" w:ascii="宋体" w:hAnsi="宋体"/>
        <w:kern w:val="0"/>
        <w:sz w:val="16"/>
        <w:szCs w:val="16"/>
      </w:rPr>
      <w:instrText xml:space="preserve"> NUMPAGES </w:instrText>
    </w:r>
    <w:r>
      <w:rPr>
        <w:rFonts w:hint="eastAsia" w:ascii="宋体" w:hAnsi="宋体"/>
        <w:kern w:val="0"/>
        <w:sz w:val="16"/>
        <w:szCs w:val="16"/>
      </w:rPr>
      <w:fldChar w:fldCharType="separate"/>
    </w:r>
    <w:r>
      <w:rPr>
        <w:rFonts w:ascii="宋体" w:hAnsi="宋体"/>
        <w:kern w:val="0"/>
        <w:sz w:val="16"/>
        <w:szCs w:val="16"/>
      </w:rPr>
      <w:t>86</w:t>
    </w:r>
    <w:r>
      <w:rPr>
        <w:rFonts w:hint="eastAsia" w:ascii="宋体" w:hAnsi="宋体"/>
        <w:kern w:val="0"/>
        <w:sz w:val="16"/>
        <w:szCs w:val="16"/>
      </w:rPr>
      <w:fldChar w:fldCharType="end"/>
    </w:r>
    <w:r>
      <w:rPr>
        <w:rFonts w:hint="eastAsia" w:ascii="宋体" w:hAnsi="宋体"/>
        <w:kern w:val="0"/>
        <w:sz w:val="16"/>
        <w:szCs w:val="16"/>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kern w:val="0"/>
      </w:rP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5</w:t>
    </w:r>
    <w:r>
      <w:rPr>
        <w:kern w:val="0"/>
      </w:rPr>
      <w:fldChar w:fldCharType="end"/>
    </w:r>
    <w:r>
      <w:rPr>
        <w:rFonts w:hint="eastAsia"/>
        <w:kern w:val="0"/>
      </w:rPr>
      <w:t xml:space="preserve"> 页 共65页</w:t>
    </w:r>
  </w:p>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668"/>
    <w:multiLevelType w:val="multilevel"/>
    <w:tmpl w:val="03F62668"/>
    <w:lvl w:ilvl="0" w:tentative="0">
      <w:start w:val="1"/>
      <w:numFmt w:val="decimal"/>
      <w:lvlText w:val="%1."/>
      <w:lvlJc w:val="left"/>
      <w:pPr>
        <w:ind w:left="425" w:hanging="425"/>
      </w:pPr>
      <w:rPr>
        <w:rFonts w:hint="eastAsia" w:ascii="宋体" w:hAnsi="宋体" w:eastAsia="宋体" w:cs="Times New Roman"/>
        <w:b w:val="0"/>
      </w:rPr>
    </w:lvl>
    <w:lvl w:ilvl="1" w:tentative="0">
      <w:start w:val="1"/>
      <w:numFmt w:val="decimal"/>
      <w:lvlText w:val="%1.%2."/>
      <w:lvlJc w:val="left"/>
      <w:pPr>
        <w:ind w:left="567" w:hanging="567"/>
      </w:pPr>
      <w:rPr>
        <w:rFonts w:ascii="宋体" w:hAnsi="宋体" w:eastAsia="宋体" w:cs="Times New Roman"/>
        <w:b w:val="0"/>
        <w:sz w:val="21"/>
        <w:szCs w:val="21"/>
      </w:rPr>
    </w:lvl>
    <w:lvl w:ilvl="2" w:tentative="0">
      <w:start w:val="1"/>
      <w:numFmt w:val="decimal"/>
      <w:lvlText w:val="%1.%2.%3."/>
      <w:lvlJc w:val="left"/>
      <w:pPr>
        <w:ind w:left="709" w:hanging="709"/>
      </w:pPr>
      <w:rPr>
        <w:rFonts w:ascii="宋体" w:hAnsi="宋体" w:eastAsia="宋体" w:cs="Times New Roman"/>
        <w:sz w:val="21"/>
        <w:szCs w:val="21"/>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C"/>
    <w:rsid w:val="00000A78"/>
    <w:rsid w:val="00001003"/>
    <w:rsid w:val="0000109C"/>
    <w:rsid w:val="00001411"/>
    <w:rsid w:val="000017C0"/>
    <w:rsid w:val="00001DC8"/>
    <w:rsid w:val="0000290C"/>
    <w:rsid w:val="00003608"/>
    <w:rsid w:val="00003792"/>
    <w:rsid w:val="00003A5D"/>
    <w:rsid w:val="00004A11"/>
    <w:rsid w:val="000056EE"/>
    <w:rsid w:val="00007417"/>
    <w:rsid w:val="00010E03"/>
    <w:rsid w:val="000111CA"/>
    <w:rsid w:val="0001167D"/>
    <w:rsid w:val="00012708"/>
    <w:rsid w:val="000140B8"/>
    <w:rsid w:val="00014CEF"/>
    <w:rsid w:val="00015A82"/>
    <w:rsid w:val="00016CAF"/>
    <w:rsid w:val="00017816"/>
    <w:rsid w:val="00020EA2"/>
    <w:rsid w:val="00020F61"/>
    <w:rsid w:val="0002169D"/>
    <w:rsid w:val="00021752"/>
    <w:rsid w:val="00021E16"/>
    <w:rsid w:val="00022261"/>
    <w:rsid w:val="00022676"/>
    <w:rsid w:val="000229C2"/>
    <w:rsid w:val="00022D55"/>
    <w:rsid w:val="0002323E"/>
    <w:rsid w:val="00024A24"/>
    <w:rsid w:val="000250B7"/>
    <w:rsid w:val="00025D42"/>
    <w:rsid w:val="00026C14"/>
    <w:rsid w:val="00027022"/>
    <w:rsid w:val="00027400"/>
    <w:rsid w:val="0002789E"/>
    <w:rsid w:val="000320D9"/>
    <w:rsid w:val="0003231B"/>
    <w:rsid w:val="00034147"/>
    <w:rsid w:val="00034272"/>
    <w:rsid w:val="00034560"/>
    <w:rsid w:val="000357A6"/>
    <w:rsid w:val="000357F0"/>
    <w:rsid w:val="000363DE"/>
    <w:rsid w:val="0003663C"/>
    <w:rsid w:val="00040588"/>
    <w:rsid w:val="00040ABD"/>
    <w:rsid w:val="00041B7D"/>
    <w:rsid w:val="0004336D"/>
    <w:rsid w:val="000441FA"/>
    <w:rsid w:val="00044302"/>
    <w:rsid w:val="000464B2"/>
    <w:rsid w:val="00046A5B"/>
    <w:rsid w:val="000472FB"/>
    <w:rsid w:val="00047604"/>
    <w:rsid w:val="00047831"/>
    <w:rsid w:val="00050966"/>
    <w:rsid w:val="00050A79"/>
    <w:rsid w:val="00051B0C"/>
    <w:rsid w:val="0005297D"/>
    <w:rsid w:val="000529AA"/>
    <w:rsid w:val="000530D8"/>
    <w:rsid w:val="00053B18"/>
    <w:rsid w:val="00053E78"/>
    <w:rsid w:val="0005431F"/>
    <w:rsid w:val="0005440F"/>
    <w:rsid w:val="00054E2A"/>
    <w:rsid w:val="00055546"/>
    <w:rsid w:val="00055F16"/>
    <w:rsid w:val="0005625E"/>
    <w:rsid w:val="00056E42"/>
    <w:rsid w:val="00060AD7"/>
    <w:rsid w:val="00061D89"/>
    <w:rsid w:val="0006292F"/>
    <w:rsid w:val="000636DF"/>
    <w:rsid w:val="000647C2"/>
    <w:rsid w:val="00066D58"/>
    <w:rsid w:val="00066FB4"/>
    <w:rsid w:val="000674F8"/>
    <w:rsid w:val="00067EE1"/>
    <w:rsid w:val="000705EA"/>
    <w:rsid w:val="000711B3"/>
    <w:rsid w:val="00071A68"/>
    <w:rsid w:val="0007225A"/>
    <w:rsid w:val="0007225F"/>
    <w:rsid w:val="00074032"/>
    <w:rsid w:val="00075B18"/>
    <w:rsid w:val="000767F1"/>
    <w:rsid w:val="000778FA"/>
    <w:rsid w:val="00082A4F"/>
    <w:rsid w:val="00083BE9"/>
    <w:rsid w:val="0008422C"/>
    <w:rsid w:val="0008505F"/>
    <w:rsid w:val="000850E5"/>
    <w:rsid w:val="00085B76"/>
    <w:rsid w:val="00085C0B"/>
    <w:rsid w:val="000862BD"/>
    <w:rsid w:val="0008693B"/>
    <w:rsid w:val="00087466"/>
    <w:rsid w:val="0008747A"/>
    <w:rsid w:val="00087854"/>
    <w:rsid w:val="0009009A"/>
    <w:rsid w:val="0009022B"/>
    <w:rsid w:val="00090C56"/>
    <w:rsid w:val="00091B04"/>
    <w:rsid w:val="00093410"/>
    <w:rsid w:val="00093D10"/>
    <w:rsid w:val="00093E88"/>
    <w:rsid w:val="0009506C"/>
    <w:rsid w:val="00096744"/>
    <w:rsid w:val="00097120"/>
    <w:rsid w:val="000972F5"/>
    <w:rsid w:val="000A0881"/>
    <w:rsid w:val="000A0A33"/>
    <w:rsid w:val="000A2488"/>
    <w:rsid w:val="000A2C8B"/>
    <w:rsid w:val="000A2FD9"/>
    <w:rsid w:val="000A315A"/>
    <w:rsid w:val="000A35A0"/>
    <w:rsid w:val="000A4B97"/>
    <w:rsid w:val="000A4CF4"/>
    <w:rsid w:val="000A5A2C"/>
    <w:rsid w:val="000A6038"/>
    <w:rsid w:val="000A60EA"/>
    <w:rsid w:val="000A72EB"/>
    <w:rsid w:val="000A7D57"/>
    <w:rsid w:val="000B05F7"/>
    <w:rsid w:val="000B0CAD"/>
    <w:rsid w:val="000B13EA"/>
    <w:rsid w:val="000B1B36"/>
    <w:rsid w:val="000B33D0"/>
    <w:rsid w:val="000B3BC9"/>
    <w:rsid w:val="000B45EA"/>
    <w:rsid w:val="000B5410"/>
    <w:rsid w:val="000B5E65"/>
    <w:rsid w:val="000B63AB"/>
    <w:rsid w:val="000B6A3C"/>
    <w:rsid w:val="000B74D5"/>
    <w:rsid w:val="000B7AA5"/>
    <w:rsid w:val="000C1DCC"/>
    <w:rsid w:val="000C398C"/>
    <w:rsid w:val="000C4CFB"/>
    <w:rsid w:val="000C4EC7"/>
    <w:rsid w:val="000C4EF0"/>
    <w:rsid w:val="000C5B19"/>
    <w:rsid w:val="000C6FF6"/>
    <w:rsid w:val="000D01E8"/>
    <w:rsid w:val="000D1228"/>
    <w:rsid w:val="000D13EC"/>
    <w:rsid w:val="000D2EBD"/>
    <w:rsid w:val="000D3017"/>
    <w:rsid w:val="000D3271"/>
    <w:rsid w:val="000D76FE"/>
    <w:rsid w:val="000D7797"/>
    <w:rsid w:val="000D77A1"/>
    <w:rsid w:val="000E0FE8"/>
    <w:rsid w:val="000E1505"/>
    <w:rsid w:val="000E213D"/>
    <w:rsid w:val="000E66FC"/>
    <w:rsid w:val="000E7B01"/>
    <w:rsid w:val="000E7BF4"/>
    <w:rsid w:val="000F0B60"/>
    <w:rsid w:val="000F0CC8"/>
    <w:rsid w:val="000F12E1"/>
    <w:rsid w:val="000F2F60"/>
    <w:rsid w:val="000F3182"/>
    <w:rsid w:val="000F3E0C"/>
    <w:rsid w:val="000F3F04"/>
    <w:rsid w:val="000F403C"/>
    <w:rsid w:val="000F49C1"/>
    <w:rsid w:val="000F663C"/>
    <w:rsid w:val="000F6DD6"/>
    <w:rsid w:val="000F70FB"/>
    <w:rsid w:val="000F79F5"/>
    <w:rsid w:val="001016B5"/>
    <w:rsid w:val="001030DB"/>
    <w:rsid w:val="001031A5"/>
    <w:rsid w:val="00103E29"/>
    <w:rsid w:val="00104079"/>
    <w:rsid w:val="001057E5"/>
    <w:rsid w:val="001058E3"/>
    <w:rsid w:val="00105BEE"/>
    <w:rsid w:val="00106B2F"/>
    <w:rsid w:val="00107A57"/>
    <w:rsid w:val="00110125"/>
    <w:rsid w:val="00110FAF"/>
    <w:rsid w:val="00111988"/>
    <w:rsid w:val="001125C6"/>
    <w:rsid w:val="00112E1D"/>
    <w:rsid w:val="00112FB8"/>
    <w:rsid w:val="00113A0A"/>
    <w:rsid w:val="00116809"/>
    <w:rsid w:val="0011686C"/>
    <w:rsid w:val="00116BE1"/>
    <w:rsid w:val="00120839"/>
    <w:rsid w:val="001209B3"/>
    <w:rsid w:val="00121DE3"/>
    <w:rsid w:val="00122CD4"/>
    <w:rsid w:val="00123862"/>
    <w:rsid w:val="0012401D"/>
    <w:rsid w:val="001248FC"/>
    <w:rsid w:val="001251BF"/>
    <w:rsid w:val="00125F71"/>
    <w:rsid w:val="00126575"/>
    <w:rsid w:val="00127E58"/>
    <w:rsid w:val="001304EC"/>
    <w:rsid w:val="00130545"/>
    <w:rsid w:val="00130B78"/>
    <w:rsid w:val="00132F97"/>
    <w:rsid w:val="00133B34"/>
    <w:rsid w:val="00134857"/>
    <w:rsid w:val="00134C6B"/>
    <w:rsid w:val="00135927"/>
    <w:rsid w:val="00136743"/>
    <w:rsid w:val="001367A1"/>
    <w:rsid w:val="001376DB"/>
    <w:rsid w:val="001404C7"/>
    <w:rsid w:val="00140B08"/>
    <w:rsid w:val="00140DD9"/>
    <w:rsid w:val="00140F20"/>
    <w:rsid w:val="00141F7F"/>
    <w:rsid w:val="001425FC"/>
    <w:rsid w:val="001429E3"/>
    <w:rsid w:val="00142BF8"/>
    <w:rsid w:val="00143136"/>
    <w:rsid w:val="001441F3"/>
    <w:rsid w:val="0014519B"/>
    <w:rsid w:val="001451B0"/>
    <w:rsid w:val="001463BA"/>
    <w:rsid w:val="00146BFD"/>
    <w:rsid w:val="00147420"/>
    <w:rsid w:val="0015077D"/>
    <w:rsid w:val="00152160"/>
    <w:rsid w:val="00152B67"/>
    <w:rsid w:val="001532F4"/>
    <w:rsid w:val="001538F3"/>
    <w:rsid w:val="0015428C"/>
    <w:rsid w:val="00154EF1"/>
    <w:rsid w:val="001574B7"/>
    <w:rsid w:val="0015766A"/>
    <w:rsid w:val="0016018E"/>
    <w:rsid w:val="00160C3C"/>
    <w:rsid w:val="00161B99"/>
    <w:rsid w:val="00165333"/>
    <w:rsid w:val="0017029F"/>
    <w:rsid w:val="001706DC"/>
    <w:rsid w:val="0017081E"/>
    <w:rsid w:val="001729F5"/>
    <w:rsid w:val="00173C07"/>
    <w:rsid w:val="001744AD"/>
    <w:rsid w:val="00174749"/>
    <w:rsid w:val="00174783"/>
    <w:rsid w:val="00174B93"/>
    <w:rsid w:val="0017630B"/>
    <w:rsid w:val="00176459"/>
    <w:rsid w:val="00176AEB"/>
    <w:rsid w:val="00176C1C"/>
    <w:rsid w:val="00176D89"/>
    <w:rsid w:val="0017702B"/>
    <w:rsid w:val="001815F2"/>
    <w:rsid w:val="001834E8"/>
    <w:rsid w:val="001836BE"/>
    <w:rsid w:val="001852D4"/>
    <w:rsid w:val="00185811"/>
    <w:rsid w:val="00186316"/>
    <w:rsid w:val="0018704A"/>
    <w:rsid w:val="001875E8"/>
    <w:rsid w:val="0018763F"/>
    <w:rsid w:val="00187E2B"/>
    <w:rsid w:val="00191154"/>
    <w:rsid w:val="00191A67"/>
    <w:rsid w:val="0019461C"/>
    <w:rsid w:val="0019468F"/>
    <w:rsid w:val="00194D9D"/>
    <w:rsid w:val="0019507D"/>
    <w:rsid w:val="00196147"/>
    <w:rsid w:val="00196413"/>
    <w:rsid w:val="00196E25"/>
    <w:rsid w:val="001A07E9"/>
    <w:rsid w:val="001A0A47"/>
    <w:rsid w:val="001A13AA"/>
    <w:rsid w:val="001A31B1"/>
    <w:rsid w:val="001A3EF3"/>
    <w:rsid w:val="001A4271"/>
    <w:rsid w:val="001A482B"/>
    <w:rsid w:val="001A55A9"/>
    <w:rsid w:val="001A6D09"/>
    <w:rsid w:val="001A7229"/>
    <w:rsid w:val="001A7B8A"/>
    <w:rsid w:val="001B057B"/>
    <w:rsid w:val="001B0779"/>
    <w:rsid w:val="001B087F"/>
    <w:rsid w:val="001B12CF"/>
    <w:rsid w:val="001B1937"/>
    <w:rsid w:val="001B2BF5"/>
    <w:rsid w:val="001B2DD9"/>
    <w:rsid w:val="001B2E4F"/>
    <w:rsid w:val="001B30F2"/>
    <w:rsid w:val="001B5110"/>
    <w:rsid w:val="001B5627"/>
    <w:rsid w:val="001B57C7"/>
    <w:rsid w:val="001B5F22"/>
    <w:rsid w:val="001B6C8D"/>
    <w:rsid w:val="001B7004"/>
    <w:rsid w:val="001C0ED7"/>
    <w:rsid w:val="001C1717"/>
    <w:rsid w:val="001C192C"/>
    <w:rsid w:val="001C30CA"/>
    <w:rsid w:val="001C4060"/>
    <w:rsid w:val="001C40B5"/>
    <w:rsid w:val="001C4ACF"/>
    <w:rsid w:val="001C4E1D"/>
    <w:rsid w:val="001C6875"/>
    <w:rsid w:val="001C6F1B"/>
    <w:rsid w:val="001C77BD"/>
    <w:rsid w:val="001C77F0"/>
    <w:rsid w:val="001C7C29"/>
    <w:rsid w:val="001D04ED"/>
    <w:rsid w:val="001D099C"/>
    <w:rsid w:val="001D16DE"/>
    <w:rsid w:val="001D45E2"/>
    <w:rsid w:val="001D4894"/>
    <w:rsid w:val="001D5E85"/>
    <w:rsid w:val="001D6BD1"/>
    <w:rsid w:val="001E152F"/>
    <w:rsid w:val="001E1536"/>
    <w:rsid w:val="001E1E38"/>
    <w:rsid w:val="001E28F1"/>
    <w:rsid w:val="001E34EA"/>
    <w:rsid w:val="001E373B"/>
    <w:rsid w:val="001E4C3A"/>
    <w:rsid w:val="001E5C54"/>
    <w:rsid w:val="001E6091"/>
    <w:rsid w:val="001E699C"/>
    <w:rsid w:val="001E6BAC"/>
    <w:rsid w:val="001E6DD2"/>
    <w:rsid w:val="001E7255"/>
    <w:rsid w:val="001E7FAA"/>
    <w:rsid w:val="001F06B9"/>
    <w:rsid w:val="001F085C"/>
    <w:rsid w:val="001F08A5"/>
    <w:rsid w:val="001F0E5B"/>
    <w:rsid w:val="001F195F"/>
    <w:rsid w:val="001F1DEC"/>
    <w:rsid w:val="001F2872"/>
    <w:rsid w:val="001F3B08"/>
    <w:rsid w:val="001F3FBC"/>
    <w:rsid w:val="001F588C"/>
    <w:rsid w:val="001F6130"/>
    <w:rsid w:val="001F664D"/>
    <w:rsid w:val="002005EF"/>
    <w:rsid w:val="00201489"/>
    <w:rsid w:val="002021FF"/>
    <w:rsid w:val="00202A84"/>
    <w:rsid w:val="00202D6B"/>
    <w:rsid w:val="00203ECC"/>
    <w:rsid w:val="00205920"/>
    <w:rsid w:val="002062EE"/>
    <w:rsid w:val="00206852"/>
    <w:rsid w:val="00206C6E"/>
    <w:rsid w:val="002101FE"/>
    <w:rsid w:val="00210CC3"/>
    <w:rsid w:val="00213043"/>
    <w:rsid w:val="00213246"/>
    <w:rsid w:val="002136E3"/>
    <w:rsid w:val="0021441F"/>
    <w:rsid w:val="002146FC"/>
    <w:rsid w:val="002149C7"/>
    <w:rsid w:val="002154FA"/>
    <w:rsid w:val="0021570C"/>
    <w:rsid w:val="00215CB8"/>
    <w:rsid w:val="00215CFE"/>
    <w:rsid w:val="00216194"/>
    <w:rsid w:val="002166BC"/>
    <w:rsid w:val="002206FE"/>
    <w:rsid w:val="00221117"/>
    <w:rsid w:val="002214C1"/>
    <w:rsid w:val="0022382D"/>
    <w:rsid w:val="002238DA"/>
    <w:rsid w:val="00224320"/>
    <w:rsid w:val="00224BEE"/>
    <w:rsid w:val="00224F54"/>
    <w:rsid w:val="00227702"/>
    <w:rsid w:val="002277D1"/>
    <w:rsid w:val="0023007B"/>
    <w:rsid w:val="0023077F"/>
    <w:rsid w:val="00230D3D"/>
    <w:rsid w:val="00230E61"/>
    <w:rsid w:val="00230F3F"/>
    <w:rsid w:val="00232543"/>
    <w:rsid w:val="002327DB"/>
    <w:rsid w:val="00232AA8"/>
    <w:rsid w:val="00232CA8"/>
    <w:rsid w:val="00235288"/>
    <w:rsid w:val="00235B59"/>
    <w:rsid w:val="00240D60"/>
    <w:rsid w:val="00240D6A"/>
    <w:rsid w:val="0024115D"/>
    <w:rsid w:val="00241271"/>
    <w:rsid w:val="002413C8"/>
    <w:rsid w:val="00242244"/>
    <w:rsid w:val="00242791"/>
    <w:rsid w:val="00243D51"/>
    <w:rsid w:val="00244B99"/>
    <w:rsid w:val="00245448"/>
    <w:rsid w:val="00246A14"/>
    <w:rsid w:val="002501EA"/>
    <w:rsid w:val="00250866"/>
    <w:rsid w:val="0025117C"/>
    <w:rsid w:val="002523F0"/>
    <w:rsid w:val="00252A78"/>
    <w:rsid w:val="00256453"/>
    <w:rsid w:val="00256B81"/>
    <w:rsid w:val="00256CA3"/>
    <w:rsid w:val="00261CBF"/>
    <w:rsid w:val="00262643"/>
    <w:rsid w:val="002627F3"/>
    <w:rsid w:val="00263375"/>
    <w:rsid w:val="0026378C"/>
    <w:rsid w:val="00265229"/>
    <w:rsid w:val="002658F1"/>
    <w:rsid w:val="002661DE"/>
    <w:rsid w:val="00266416"/>
    <w:rsid w:val="0026663C"/>
    <w:rsid w:val="00266C0D"/>
    <w:rsid w:val="0026724F"/>
    <w:rsid w:val="00267473"/>
    <w:rsid w:val="00267BC0"/>
    <w:rsid w:val="00270E5C"/>
    <w:rsid w:val="002726E3"/>
    <w:rsid w:val="0027329B"/>
    <w:rsid w:val="00274A03"/>
    <w:rsid w:val="00274D93"/>
    <w:rsid w:val="00275559"/>
    <w:rsid w:val="00276313"/>
    <w:rsid w:val="002768AD"/>
    <w:rsid w:val="00276BD9"/>
    <w:rsid w:val="00277A54"/>
    <w:rsid w:val="00277CE0"/>
    <w:rsid w:val="0028020C"/>
    <w:rsid w:val="00280CEF"/>
    <w:rsid w:val="00281E61"/>
    <w:rsid w:val="0028343C"/>
    <w:rsid w:val="002867F2"/>
    <w:rsid w:val="00287740"/>
    <w:rsid w:val="00290C09"/>
    <w:rsid w:val="00292228"/>
    <w:rsid w:val="00292F24"/>
    <w:rsid w:val="00293AD2"/>
    <w:rsid w:val="00294CD7"/>
    <w:rsid w:val="00294D0C"/>
    <w:rsid w:val="00295748"/>
    <w:rsid w:val="002959B3"/>
    <w:rsid w:val="00295FE0"/>
    <w:rsid w:val="002966C6"/>
    <w:rsid w:val="00296F1C"/>
    <w:rsid w:val="00296F6A"/>
    <w:rsid w:val="00297DAF"/>
    <w:rsid w:val="002A1087"/>
    <w:rsid w:val="002A176B"/>
    <w:rsid w:val="002A2576"/>
    <w:rsid w:val="002A38AB"/>
    <w:rsid w:val="002A3F2F"/>
    <w:rsid w:val="002A5C70"/>
    <w:rsid w:val="002A6434"/>
    <w:rsid w:val="002A69FF"/>
    <w:rsid w:val="002A72B0"/>
    <w:rsid w:val="002A74C6"/>
    <w:rsid w:val="002B0291"/>
    <w:rsid w:val="002B03C6"/>
    <w:rsid w:val="002B228E"/>
    <w:rsid w:val="002B254D"/>
    <w:rsid w:val="002B26CB"/>
    <w:rsid w:val="002B3011"/>
    <w:rsid w:val="002B3802"/>
    <w:rsid w:val="002B3D9E"/>
    <w:rsid w:val="002B3F30"/>
    <w:rsid w:val="002B4915"/>
    <w:rsid w:val="002B5714"/>
    <w:rsid w:val="002B588E"/>
    <w:rsid w:val="002B5D41"/>
    <w:rsid w:val="002B6E6C"/>
    <w:rsid w:val="002C1140"/>
    <w:rsid w:val="002C2EF0"/>
    <w:rsid w:val="002C64A1"/>
    <w:rsid w:val="002C69B3"/>
    <w:rsid w:val="002C753D"/>
    <w:rsid w:val="002D20D2"/>
    <w:rsid w:val="002D2533"/>
    <w:rsid w:val="002D35CB"/>
    <w:rsid w:val="002D419E"/>
    <w:rsid w:val="002D5443"/>
    <w:rsid w:val="002D5954"/>
    <w:rsid w:val="002D6386"/>
    <w:rsid w:val="002D761E"/>
    <w:rsid w:val="002D764F"/>
    <w:rsid w:val="002D77EF"/>
    <w:rsid w:val="002D7B2B"/>
    <w:rsid w:val="002E0471"/>
    <w:rsid w:val="002E0A8A"/>
    <w:rsid w:val="002E147C"/>
    <w:rsid w:val="002E1940"/>
    <w:rsid w:val="002E1D07"/>
    <w:rsid w:val="002E261A"/>
    <w:rsid w:val="002E2B82"/>
    <w:rsid w:val="002E2F4B"/>
    <w:rsid w:val="002E405E"/>
    <w:rsid w:val="002E51C9"/>
    <w:rsid w:val="002E5AD7"/>
    <w:rsid w:val="002E60BF"/>
    <w:rsid w:val="002E6494"/>
    <w:rsid w:val="002E6C15"/>
    <w:rsid w:val="002F08B0"/>
    <w:rsid w:val="002F09F2"/>
    <w:rsid w:val="002F10E1"/>
    <w:rsid w:val="002F19F4"/>
    <w:rsid w:val="002F331C"/>
    <w:rsid w:val="002F3968"/>
    <w:rsid w:val="002F59E8"/>
    <w:rsid w:val="002F5E50"/>
    <w:rsid w:val="003019EA"/>
    <w:rsid w:val="0030247E"/>
    <w:rsid w:val="00302C01"/>
    <w:rsid w:val="00302C2C"/>
    <w:rsid w:val="00302E28"/>
    <w:rsid w:val="0030342B"/>
    <w:rsid w:val="0030356A"/>
    <w:rsid w:val="0030381E"/>
    <w:rsid w:val="00303F53"/>
    <w:rsid w:val="003040CF"/>
    <w:rsid w:val="00304D45"/>
    <w:rsid w:val="00304D56"/>
    <w:rsid w:val="0030538D"/>
    <w:rsid w:val="003054F9"/>
    <w:rsid w:val="00307305"/>
    <w:rsid w:val="00307471"/>
    <w:rsid w:val="00307EFF"/>
    <w:rsid w:val="003113F8"/>
    <w:rsid w:val="003125C8"/>
    <w:rsid w:val="00312AB4"/>
    <w:rsid w:val="0031303B"/>
    <w:rsid w:val="00313B7C"/>
    <w:rsid w:val="00314240"/>
    <w:rsid w:val="0031431E"/>
    <w:rsid w:val="0031494B"/>
    <w:rsid w:val="00315C3B"/>
    <w:rsid w:val="00320F13"/>
    <w:rsid w:val="003214B7"/>
    <w:rsid w:val="003215E0"/>
    <w:rsid w:val="003223DB"/>
    <w:rsid w:val="00322790"/>
    <w:rsid w:val="00323809"/>
    <w:rsid w:val="00323BEC"/>
    <w:rsid w:val="00323F24"/>
    <w:rsid w:val="003248A1"/>
    <w:rsid w:val="00325D1D"/>
    <w:rsid w:val="00325EB2"/>
    <w:rsid w:val="003313A4"/>
    <w:rsid w:val="003322AF"/>
    <w:rsid w:val="003329C3"/>
    <w:rsid w:val="00333206"/>
    <w:rsid w:val="003370C6"/>
    <w:rsid w:val="003374D2"/>
    <w:rsid w:val="00340848"/>
    <w:rsid w:val="00340ACE"/>
    <w:rsid w:val="003412A9"/>
    <w:rsid w:val="00342187"/>
    <w:rsid w:val="003429F6"/>
    <w:rsid w:val="00342C2C"/>
    <w:rsid w:val="00344F0F"/>
    <w:rsid w:val="00346787"/>
    <w:rsid w:val="00346943"/>
    <w:rsid w:val="003505F5"/>
    <w:rsid w:val="00352581"/>
    <w:rsid w:val="003531F6"/>
    <w:rsid w:val="003534AC"/>
    <w:rsid w:val="00353B6B"/>
    <w:rsid w:val="00353D63"/>
    <w:rsid w:val="0035487D"/>
    <w:rsid w:val="00355169"/>
    <w:rsid w:val="00355714"/>
    <w:rsid w:val="0035582D"/>
    <w:rsid w:val="00355F77"/>
    <w:rsid w:val="00356D9B"/>
    <w:rsid w:val="003578F1"/>
    <w:rsid w:val="00357CD1"/>
    <w:rsid w:val="0036329E"/>
    <w:rsid w:val="00363885"/>
    <w:rsid w:val="0036420F"/>
    <w:rsid w:val="00364291"/>
    <w:rsid w:val="00365040"/>
    <w:rsid w:val="00366AFD"/>
    <w:rsid w:val="00366F0F"/>
    <w:rsid w:val="00367D37"/>
    <w:rsid w:val="0037004A"/>
    <w:rsid w:val="00370FA7"/>
    <w:rsid w:val="003715D3"/>
    <w:rsid w:val="003720A0"/>
    <w:rsid w:val="00373485"/>
    <w:rsid w:val="00374AD6"/>
    <w:rsid w:val="00375587"/>
    <w:rsid w:val="003763ED"/>
    <w:rsid w:val="00376C8A"/>
    <w:rsid w:val="003775D4"/>
    <w:rsid w:val="003800E1"/>
    <w:rsid w:val="0038055F"/>
    <w:rsid w:val="00380843"/>
    <w:rsid w:val="003824D8"/>
    <w:rsid w:val="003847ED"/>
    <w:rsid w:val="00384C2D"/>
    <w:rsid w:val="00385353"/>
    <w:rsid w:val="0038561A"/>
    <w:rsid w:val="00386C4F"/>
    <w:rsid w:val="00386D4A"/>
    <w:rsid w:val="003905FD"/>
    <w:rsid w:val="00390CA2"/>
    <w:rsid w:val="00391E8B"/>
    <w:rsid w:val="003925A2"/>
    <w:rsid w:val="00393796"/>
    <w:rsid w:val="00393864"/>
    <w:rsid w:val="00395036"/>
    <w:rsid w:val="003951F2"/>
    <w:rsid w:val="0039542B"/>
    <w:rsid w:val="00395D4F"/>
    <w:rsid w:val="00396099"/>
    <w:rsid w:val="00396CB0"/>
    <w:rsid w:val="003977B3"/>
    <w:rsid w:val="00397CF4"/>
    <w:rsid w:val="00397F6A"/>
    <w:rsid w:val="003A0B3D"/>
    <w:rsid w:val="003A0F93"/>
    <w:rsid w:val="003A15CF"/>
    <w:rsid w:val="003A432B"/>
    <w:rsid w:val="003A5449"/>
    <w:rsid w:val="003A5CFF"/>
    <w:rsid w:val="003A697C"/>
    <w:rsid w:val="003A7950"/>
    <w:rsid w:val="003B00AA"/>
    <w:rsid w:val="003B06E3"/>
    <w:rsid w:val="003B0C76"/>
    <w:rsid w:val="003B12DB"/>
    <w:rsid w:val="003B3591"/>
    <w:rsid w:val="003B3869"/>
    <w:rsid w:val="003B3B00"/>
    <w:rsid w:val="003B6EA6"/>
    <w:rsid w:val="003C39B0"/>
    <w:rsid w:val="003C4784"/>
    <w:rsid w:val="003C6251"/>
    <w:rsid w:val="003C695E"/>
    <w:rsid w:val="003C71CE"/>
    <w:rsid w:val="003C7368"/>
    <w:rsid w:val="003D06BB"/>
    <w:rsid w:val="003D2A45"/>
    <w:rsid w:val="003D2D5F"/>
    <w:rsid w:val="003D3047"/>
    <w:rsid w:val="003D57A0"/>
    <w:rsid w:val="003D5BF4"/>
    <w:rsid w:val="003D60A4"/>
    <w:rsid w:val="003D6314"/>
    <w:rsid w:val="003E041B"/>
    <w:rsid w:val="003E0424"/>
    <w:rsid w:val="003E0FE8"/>
    <w:rsid w:val="003E157A"/>
    <w:rsid w:val="003E22F2"/>
    <w:rsid w:val="003E28B8"/>
    <w:rsid w:val="003E4143"/>
    <w:rsid w:val="003E4370"/>
    <w:rsid w:val="003E4869"/>
    <w:rsid w:val="003E7165"/>
    <w:rsid w:val="003E783C"/>
    <w:rsid w:val="003E7B81"/>
    <w:rsid w:val="003E7DF2"/>
    <w:rsid w:val="003F01D8"/>
    <w:rsid w:val="003F05D0"/>
    <w:rsid w:val="003F12ED"/>
    <w:rsid w:val="003F1992"/>
    <w:rsid w:val="003F3A29"/>
    <w:rsid w:val="003F3AD9"/>
    <w:rsid w:val="003F3B76"/>
    <w:rsid w:val="003F406F"/>
    <w:rsid w:val="003F418C"/>
    <w:rsid w:val="003F5172"/>
    <w:rsid w:val="003F5963"/>
    <w:rsid w:val="003F63B3"/>
    <w:rsid w:val="003F64F5"/>
    <w:rsid w:val="003F6D66"/>
    <w:rsid w:val="003F7B1D"/>
    <w:rsid w:val="003F7CC3"/>
    <w:rsid w:val="003F7E95"/>
    <w:rsid w:val="004009DD"/>
    <w:rsid w:val="00401401"/>
    <w:rsid w:val="00401F66"/>
    <w:rsid w:val="00402937"/>
    <w:rsid w:val="00402AB7"/>
    <w:rsid w:val="00402B00"/>
    <w:rsid w:val="004034BE"/>
    <w:rsid w:val="00404702"/>
    <w:rsid w:val="00404D1E"/>
    <w:rsid w:val="0040528A"/>
    <w:rsid w:val="00405DA5"/>
    <w:rsid w:val="00406013"/>
    <w:rsid w:val="00407283"/>
    <w:rsid w:val="00407E70"/>
    <w:rsid w:val="0041148B"/>
    <w:rsid w:val="00411557"/>
    <w:rsid w:val="00411FB7"/>
    <w:rsid w:val="00412AA7"/>
    <w:rsid w:val="00412FE6"/>
    <w:rsid w:val="00413261"/>
    <w:rsid w:val="0041505E"/>
    <w:rsid w:val="00415DC1"/>
    <w:rsid w:val="0041620D"/>
    <w:rsid w:val="00417484"/>
    <w:rsid w:val="00417739"/>
    <w:rsid w:val="004215FE"/>
    <w:rsid w:val="0042202C"/>
    <w:rsid w:val="0042350E"/>
    <w:rsid w:val="00423B09"/>
    <w:rsid w:val="004248EF"/>
    <w:rsid w:val="004250C5"/>
    <w:rsid w:val="00425D67"/>
    <w:rsid w:val="00426182"/>
    <w:rsid w:val="0042629A"/>
    <w:rsid w:val="00426A0D"/>
    <w:rsid w:val="00426B9F"/>
    <w:rsid w:val="004272E8"/>
    <w:rsid w:val="004307E1"/>
    <w:rsid w:val="004308C9"/>
    <w:rsid w:val="00431211"/>
    <w:rsid w:val="0043208B"/>
    <w:rsid w:val="004335F3"/>
    <w:rsid w:val="00433CE5"/>
    <w:rsid w:val="0043452C"/>
    <w:rsid w:val="00434C5C"/>
    <w:rsid w:val="00435031"/>
    <w:rsid w:val="00435D09"/>
    <w:rsid w:val="00435E1F"/>
    <w:rsid w:val="00435E48"/>
    <w:rsid w:val="004361B9"/>
    <w:rsid w:val="004365A6"/>
    <w:rsid w:val="0043662A"/>
    <w:rsid w:val="00436871"/>
    <w:rsid w:val="00437C58"/>
    <w:rsid w:val="00440732"/>
    <w:rsid w:val="0044081B"/>
    <w:rsid w:val="00440DD3"/>
    <w:rsid w:val="00441F55"/>
    <w:rsid w:val="00442160"/>
    <w:rsid w:val="004436AA"/>
    <w:rsid w:val="004441A6"/>
    <w:rsid w:val="00444648"/>
    <w:rsid w:val="00447064"/>
    <w:rsid w:val="0044760D"/>
    <w:rsid w:val="0044773E"/>
    <w:rsid w:val="004506CD"/>
    <w:rsid w:val="004508C1"/>
    <w:rsid w:val="0045227F"/>
    <w:rsid w:val="0045320B"/>
    <w:rsid w:val="0045498F"/>
    <w:rsid w:val="00454ACC"/>
    <w:rsid w:val="00455C8C"/>
    <w:rsid w:val="00456BE9"/>
    <w:rsid w:val="00456F94"/>
    <w:rsid w:val="0045779B"/>
    <w:rsid w:val="00457BD5"/>
    <w:rsid w:val="00457EA6"/>
    <w:rsid w:val="00460E05"/>
    <w:rsid w:val="00461696"/>
    <w:rsid w:val="00463270"/>
    <w:rsid w:val="00463D2B"/>
    <w:rsid w:val="00464F5E"/>
    <w:rsid w:val="00465334"/>
    <w:rsid w:val="00465660"/>
    <w:rsid w:val="00465D94"/>
    <w:rsid w:val="00466477"/>
    <w:rsid w:val="004670F0"/>
    <w:rsid w:val="004678BE"/>
    <w:rsid w:val="00470F71"/>
    <w:rsid w:val="00470FD5"/>
    <w:rsid w:val="00473905"/>
    <w:rsid w:val="00473F88"/>
    <w:rsid w:val="00475B98"/>
    <w:rsid w:val="004762A9"/>
    <w:rsid w:val="004767DA"/>
    <w:rsid w:val="0047711E"/>
    <w:rsid w:val="0047795A"/>
    <w:rsid w:val="00480B15"/>
    <w:rsid w:val="00482207"/>
    <w:rsid w:val="0048255C"/>
    <w:rsid w:val="0048405B"/>
    <w:rsid w:val="004849DE"/>
    <w:rsid w:val="00484CA5"/>
    <w:rsid w:val="00484E7E"/>
    <w:rsid w:val="00485CBC"/>
    <w:rsid w:val="004863D7"/>
    <w:rsid w:val="0048723A"/>
    <w:rsid w:val="00487C2D"/>
    <w:rsid w:val="00490945"/>
    <w:rsid w:val="004915B7"/>
    <w:rsid w:val="00491ADF"/>
    <w:rsid w:val="00491F8E"/>
    <w:rsid w:val="004926D2"/>
    <w:rsid w:val="00492719"/>
    <w:rsid w:val="00492FE0"/>
    <w:rsid w:val="00493E07"/>
    <w:rsid w:val="00493EF0"/>
    <w:rsid w:val="00494609"/>
    <w:rsid w:val="00494B3A"/>
    <w:rsid w:val="00494C0C"/>
    <w:rsid w:val="00494DAF"/>
    <w:rsid w:val="00495552"/>
    <w:rsid w:val="004956AD"/>
    <w:rsid w:val="004966E4"/>
    <w:rsid w:val="004A1395"/>
    <w:rsid w:val="004A15D3"/>
    <w:rsid w:val="004A17F7"/>
    <w:rsid w:val="004A1CE5"/>
    <w:rsid w:val="004A2349"/>
    <w:rsid w:val="004A28AD"/>
    <w:rsid w:val="004A4872"/>
    <w:rsid w:val="004A487F"/>
    <w:rsid w:val="004A5DD1"/>
    <w:rsid w:val="004A7A98"/>
    <w:rsid w:val="004A7C3D"/>
    <w:rsid w:val="004B0E78"/>
    <w:rsid w:val="004B1E09"/>
    <w:rsid w:val="004B3653"/>
    <w:rsid w:val="004B3E13"/>
    <w:rsid w:val="004B41D1"/>
    <w:rsid w:val="004B432D"/>
    <w:rsid w:val="004B4840"/>
    <w:rsid w:val="004B4D5F"/>
    <w:rsid w:val="004B54EE"/>
    <w:rsid w:val="004B60F8"/>
    <w:rsid w:val="004B6582"/>
    <w:rsid w:val="004B6862"/>
    <w:rsid w:val="004B6A3B"/>
    <w:rsid w:val="004B777F"/>
    <w:rsid w:val="004C0CAD"/>
    <w:rsid w:val="004C15AA"/>
    <w:rsid w:val="004C2490"/>
    <w:rsid w:val="004C2E05"/>
    <w:rsid w:val="004C3331"/>
    <w:rsid w:val="004C3905"/>
    <w:rsid w:val="004C532E"/>
    <w:rsid w:val="004C6F09"/>
    <w:rsid w:val="004C7549"/>
    <w:rsid w:val="004D037F"/>
    <w:rsid w:val="004D253C"/>
    <w:rsid w:val="004D2E8F"/>
    <w:rsid w:val="004D3C35"/>
    <w:rsid w:val="004D42D9"/>
    <w:rsid w:val="004D493E"/>
    <w:rsid w:val="004D49BC"/>
    <w:rsid w:val="004D5292"/>
    <w:rsid w:val="004D56E0"/>
    <w:rsid w:val="004D5D78"/>
    <w:rsid w:val="004D628E"/>
    <w:rsid w:val="004D69D2"/>
    <w:rsid w:val="004D6AE2"/>
    <w:rsid w:val="004D70B0"/>
    <w:rsid w:val="004E0D7A"/>
    <w:rsid w:val="004E15C1"/>
    <w:rsid w:val="004E254B"/>
    <w:rsid w:val="004E35A7"/>
    <w:rsid w:val="004E6599"/>
    <w:rsid w:val="004E65AB"/>
    <w:rsid w:val="004E65C7"/>
    <w:rsid w:val="004E6603"/>
    <w:rsid w:val="004E6EB0"/>
    <w:rsid w:val="004E7224"/>
    <w:rsid w:val="004F04C2"/>
    <w:rsid w:val="004F13D1"/>
    <w:rsid w:val="004F3A92"/>
    <w:rsid w:val="004F56C1"/>
    <w:rsid w:val="004F6000"/>
    <w:rsid w:val="004F665F"/>
    <w:rsid w:val="004F794E"/>
    <w:rsid w:val="00500575"/>
    <w:rsid w:val="00500D9D"/>
    <w:rsid w:val="00500F13"/>
    <w:rsid w:val="00501013"/>
    <w:rsid w:val="005023DC"/>
    <w:rsid w:val="0050299B"/>
    <w:rsid w:val="00502DA8"/>
    <w:rsid w:val="00503D9B"/>
    <w:rsid w:val="00504362"/>
    <w:rsid w:val="00504AA2"/>
    <w:rsid w:val="00506283"/>
    <w:rsid w:val="00506E88"/>
    <w:rsid w:val="005074BB"/>
    <w:rsid w:val="00511600"/>
    <w:rsid w:val="00512C39"/>
    <w:rsid w:val="005134BD"/>
    <w:rsid w:val="00513693"/>
    <w:rsid w:val="005141EF"/>
    <w:rsid w:val="00514364"/>
    <w:rsid w:val="00514673"/>
    <w:rsid w:val="005157CF"/>
    <w:rsid w:val="005175CF"/>
    <w:rsid w:val="00517684"/>
    <w:rsid w:val="005178F1"/>
    <w:rsid w:val="00517A3E"/>
    <w:rsid w:val="00517BB7"/>
    <w:rsid w:val="005216E9"/>
    <w:rsid w:val="005223E5"/>
    <w:rsid w:val="00522855"/>
    <w:rsid w:val="005236B7"/>
    <w:rsid w:val="00523AC6"/>
    <w:rsid w:val="00523C13"/>
    <w:rsid w:val="00523EDB"/>
    <w:rsid w:val="00524560"/>
    <w:rsid w:val="00524877"/>
    <w:rsid w:val="00525BF0"/>
    <w:rsid w:val="0052608D"/>
    <w:rsid w:val="00526178"/>
    <w:rsid w:val="00527790"/>
    <w:rsid w:val="0053138B"/>
    <w:rsid w:val="0053169E"/>
    <w:rsid w:val="00531D04"/>
    <w:rsid w:val="005321F4"/>
    <w:rsid w:val="00532748"/>
    <w:rsid w:val="00532CAC"/>
    <w:rsid w:val="00533C16"/>
    <w:rsid w:val="00533DB4"/>
    <w:rsid w:val="005347AC"/>
    <w:rsid w:val="00535F86"/>
    <w:rsid w:val="0053662B"/>
    <w:rsid w:val="0053685B"/>
    <w:rsid w:val="00537F14"/>
    <w:rsid w:val="0054004D"/>
    <w:rsid w:val="0054179B"/>
    <w:rsid w:val="005420A7"/>
    <w:rsid w:val="005432B5"/>
    <w:rsid w:val="005454C8"/>
    <w:rsid w:val="00546115"/>
    <w:rsid w:val="00546712"/>
    <w:rsid w:val="00546EC2"/>
    <w:rsid w:val="0055020E"/>
    <w:rsid w:val="00550AD8"/>
    <w:rsid w:val="00551C3F"/>
    <w:rsid w:val="00553AF0"/>
    <w:rsid w:val="00553CF2"/>
    <w:rsid w:val="00555538"/>
    <w:rsid w:val="00555AF6"/>
    <w:rsid w:val="00555D56"/>
    <w:rsid w:val="00555D66"/>
    <w:rsid w:val="00555E2B"/>
    <w:rsid w:val="0055601D"/>
    <w:rsid w:val="00556210"/>
    <w:rsid w:val="00556234"/>
    <w:rsid w:val="0055678A"/>
    <w:rsid w:val="005573B0"/>
    <w:rsid w:val="005576AA"/>
    <w:rsid w:val="00557959"/>
    <w:rsid w:val="005605BE"/>
    <w:rsid w:val="005606E3"/>
    <w:rsid w:val="005623FC"/>
    <w:rsid w:val="00562567"/>
    <w:rsid w:val="0056264C"/>
    <w:rsid w:val="00562702"/>
    <w:rsid w:val="005631BD"/>
    <w:rsid w:val="00563558"/>
    <w:rsid w:val="00563C56"/>
    <w:rsid w:val="00563FC5"/>
    <w:rsid w:val="005647A9"/>
    <w:rsid w:val="005651A2"/>
    <w:rsid w:val="005679E8"/>
    <w:rsid w:val="00567D2F"/>
    <w:rsid w:val="00571520"/>
    <w:rsid w:val="005720A1"/>
    <w:rsid w:val="0057250F"/>
    <w:rsid w:val="00573695"/>
    <w:rsid w:val="00573AF4"/>
    <w:rsid w:val="00573BA3"/>
    <w:rsid w:val="00574B3E"/>
    <w:rsid w:val="00575CF8"/>
    <w:rsid w:val="00576C9A"/>
    <w:rsid w:val="00576D90"/>
    <w:rsid w:val="00577749"/>
    <w:rsid w:val="00580450"/>
    <w:rsid w:val="00581E54"/>
    <w:rsid w:val="00582EE5"/>
    <w:rsid w:val="00583753"/>
    <w:rsid w:val="00584E84"/>
    <w:rsid w:val="00585A35"/>
    <w:rsid w:val="00586527"/>
    <w:rsid w:val="00586EE3"/>
    <w:rsid w:val="0058789F"/>
    <w:rsid w:val="00590E32"/>
    <w:rsid w:val="005916EB"/>
    <w:rsid w:val="005928BE"/>
    <w:rsid w:val="00592F1B"/>
    <w:rsid w:val="00593030"/>
    <w:rsid w:val="0059424A"/>
    <w:rsid w:val="00594E13"/>
    <w:rsid w:val="00594F0D"/>
    <w:rsid w:val="0059581D"/>
    <w:rsid w:val="00595AC2"/>
    <w:rsid w:val="00597878"/>
    <w:rsid w:val="005A2B2D"/>
    <w:rsid w:val="005A4229"/>
    <w:rsid w:val="005A461E"/>
    <w:rsid w:val="005A49BF"/>
    <w:rsid w:val="005A5181"/>
    <w:rsid w:val="005A5F27"/>
    <w:rsid w:val="005A731A"/>
    <w:rsid w:val="005A7612"/>
    <w:rsid w:val="005B107C"/>
    <w:rsid w:val="005B14BC"/>
    <w:rsid w:val="005B33A7"/>
    <w:rsid w:val="005B4AAF"/>
    <w:rsid w:val="005B54D0"/>
    <w:rsid w:val="005B5750"/>
    <w:rsid w:val="005B584C"/>
    <w:rsid w:val="005B5C48"/>
    <w:rsid w:val="005B5CB6"/>
    <w:rsid w:val="005B5EF8"/>
    <w:rsid w:val="005C0236"/>
    <w:rsid w:val="005C1FE4"/>
    <w:rsid w:val="005C2FA1"/>
    <w:rsid w:val="005C39A7"/>
    <w:rsid w:val="005C454E"/>
    <w:rsid w:val="005C4E3F"/>
    <w:rsid w:val="005C4FB3"/>
    <w:rsid w:val="005C5B70"/>
    <w:rsid w:val="005C5C0F"/>
    <w:rsid w:val="005D01A2"/>
    <w:rsid w:val="005D0399"/>
    <w:rsid w:val="005D19D7"/>
    <w:rsid w:val="005D1E5A"/>
    <w:rsid w:val="005D31A0"/>
    <w:rsid w:val="005D36FD"/>
    <w:rsid w:val="005D4DF1"/>
    <w:rsid w:val="005D5AC7"/>
    <w:rsid w:val="005D6D6E"/>
    <w:rsid w:val="005D7E2D"/>
    <w:rsid w:val="005E025A"/>
    <w:rsid w:val="005E0A4B"/>
    <w:rsid w:val="005E0D07"/>
    <w:rsid w:val="005E13A4"/>
    <w:rsid w:val="005E15E0"/>
    <w:rsid w:val="005E3910"/>
    <w:rsid w:val="005E3B45"/>
    <w:rsid w:val="005E4582"/>
    <w:rsid w:val="005E4F60"/>
    <w:rsid w:val="005E51E6"/>
    <w:rsid w:val="005E581C"/>
    <w:rsid w:val="005E5BFF"/>
    <w:rsid w:val="005E7AB7"/>
    <w:rsid w:val="005F01C5"/>
    <w:rsid w:val="005F0DA1"/>
    <w:rsid w:val="005F1417"/>
    <w:rsid w:val="005F1984"/>
    <w:rsid w:val="005F22B2"/>
    <w:rsid w:val="005F24FC"/>
    <w:rsid w:val="005F3069"/>
    <w:rsid w:val="005F3C50"/>
    <w:rsid w:val="005F4806"/>
    <w:rsid w:val="005F4816"/>
    <w:rsid w:val="005F5083"/>
    <w:rsid w:val="005F5D8D"/>
    <w:rsid w:val="005F6ADD"/>
    <w:rsid w:val="005F6ED4"/>
    <w:rsid w:val="006004B8"/>
    <w:rsid w:val="0060051B"/>
    <w:rsid w:val="00601538"/>
    <w:rsid w:val="00603846"/>
    <w:rsid w:val="00603856"/>
    <w:rsid w:val="00603C27"/>
    <w:rsid w:val="00603D11"/>
    <w:rsid w:val="00605437"/>
    <w:rsid w:val="006060C9"/>
    <w:rsid w:val="00606348"/>
    <w:rsid w:val="00606B35"/>
    <w:rsid w:val="00607502"/>
    <w:rsid w:val="006075E8"/>
    <w:rsid w:val="006100D3"/>
    <w:rsid w:val="00610643"/>
    <w:rsid w:val="00610F07"/>
    <w:rsid w:val="00611416"/>
    <w:rsid w:val="00611522"/>
    <w:rsid w:val="00611A4A"/>
    <w:rsid w:val="00611B15"/>
    <w:rsid w:val="00611BEE"/>
    <w:rsid w:val="00611FFA"/>
    <w:rsid w:val="00613AF5"/>
    <w:rsid w:val="00615044"/>
    <w:rsid w:val="0061526C"/>
    <w:rsid w:val="00615BCC"/>
    <w:rsid w:val="006178DD"/>
    <w:rsid w:val="0062154C"/>
    <w:rsid w:val="0062264C"/>
    <w:rsid w:val="00622D2A"/>
    <w:rsid w:val="00622EE8"/>
    <w:rsid w:val="00623DC1"/>
    <w:rsid w:val="006255ED"/>
    <w:rsid w:val="00625965"/>
    <w:rsid w:val="0062625E"/>
    <w:rsid w:val="00626645"/>
    <w:rsid w:val="006266A5"/>
    <w:rsid w:val="00630C7B"/>
    <w:rsid w:val="00631029"/>
    <w:rsid w:val="00631A8B"/>
    <w:rsid w:val="00632AD2"/>
    <w:rsid w:val="00632D28"/>
    <w:rsid w:val="00634DB4"/>
    <w:rsid w:val="00636290"/>
    <w:rsid w:val="00636B09"/>
    <w:rsid w:val="006406B0"/>
    <w:rsid w:val="00641478"/>
    <w:rsid w:val="0064176C"/>
    <w:rsid w:val="00641DEF"/>
    <w:rsid w:val="006447AF"/>
    <w:rsid w:val="006448F4"/>
    <w:rsid w:val="00644DED"/>
    <w:rsid w:val="00645580"/>
    <w:rsid w:val="00645DEF"/>
    <w:rsid w:val="00646906"/>
    <w:rsid w:val="00647BB9"/>
    <w:rsid w:val="0065086B"/>
    <w:rsid w:val="00650C15"/>
    <w:rsid w:val="00650E76"/>
    <w:rsid w:val="0065118B"/>
    <w:rsid w:val="0065187D"/>
    <w:rsid w:val="00651B73"/>
    <w:rsid w:val="00651C77"/>
    <w:rsid w:val="00654501"/>
    <w:rsid w:val="006562DF"/>
    <w:rsid w:val="00660024"/>
    <w:rsid w:val="006600C0"/>
    <w:rsid w:val="00661C27"/>
    <w:rsid w:val="00661ED6"/>
    <w:rsid w:val="00662937"/>
    <w:rsid w:val="00663827"/>
    <w:rsid w:val="00664127"/>
    <w:rsid w:val="006643F9"/>
    <w:rsid w:val="00664DB5"/>
    <w:rsid w:val="006651F2"/>
    <w:rsid w:val="006672F4"/>
    <w:rsid w:val="00670418"/>
    <w:rsid w:val="006719AE"/>
    <w:rsid w:val="006721C1"/>
    <w:rsid w:val="0067364A"/>
    <w:rsid w:val="006738C6"/>
    <w:rsid w:val="006744B5"/>
    <w:rsid w:val="006746CD"/>
    <w:rsid w:val="00674A86"/>
    <w:rsid w:val="00674ABD"/>
    <w:rsid w:val="00676875"/>
    <w:rsid w:val="00676D86"/>
    <w:rsid w:val="00676E03"/>
    <w:rsid w:val="0068314E"/>
    <w:rsid w:val="0068339C"/>
    <w:rsid w:val="006839DB"/>
    <w:rsid w:val="00684C4F"/>
    <w:rsid w:val="00686DD8"/>
    <w:rsid w:val="00687B31"/>
    <w:rsid w:val="00690437"/>
    <w:rsid w:val="00690AE5"/>
    <w:rsid w:val="00690AE6"/>
    <w:rsid w:val="00691B22"/>
    <w:rsid w:val="00693325"/>
    <w:rsid w:val="00693EEF"/>
    <w:rsid w:val="00694362"/>
    <w:rsid w:val="00694B53"/>
    <w:rsid w:val="0069517E"/>
    <w:rsid w:val="00695761"/>
    <w:rsid w:val="006967F4"/>
    <w:rsid w:val="0069692C"/>
    <w:rsid w:val="00696AA7"/>
    <w:rsid w:val="00696E80"/>
    <w:rsid w:val="006976DF"/>
    <w:rsid w:val="006A1098"/>
    <w:rsid w:val="006A2103"/>
    <w:rsid w:val="006A324A"/>
    <w:rsid w:val="006A6790"/>
    <w:rsid w:val="006A686D"/>
    <w:rsid w:val="006A6B18"/>
    <w:rsid w:val="006A7D93"/>
    <w:rsid w:val="006B09BC"/>
    <w:rsid w:val="006B0D8B"/>
    <w:rsid w:val="006B16F1"/>
    <w:rsid w:val="006B1CE8"/>
    <w:rsid w:val="006B28AB"/>
    <w:rsid w:val="006B59D5"/>
    <w:rsid w:val="006B612A"/>
    <w:rsid w:val="006B6A03"/>
    <w:rsid w:val="006B6EB7"/>
    <w:rsid w:val="006B6F47"/>
    <w:rsid w:val="006C0B60"/>
    <w:rsid w:val="006C1EEB"/>
    <w:rsid w:val="006C23F1"/>
    <w:rsid w:val="006C3B99"/>
    <w:rsid w:val="006C42D0"/>
    <w:rsid w:val="006C466E"/>
    <w:rsid w:val="006C5DDE"/>
    <w:rsid w:val="006C6E60"/>
    <w:rsid w:val="006D007D"/>
    <w:rsid w:val="006D01C0"/>
    <w:rsid w:val="006D02C3"/>
    <w:rsid w:val="006D0620"/>
    <w:rsid w:val="006D06C5"/>
    <w:rsid w:val="006D0BE9"/>
    <w:rsid w:val="006D126F"/>
    <w:rsid w:val="006D140E"/>
    <w:rsid w:val="006D1E80"/>
    <w:rsid w:val="006D20B9"/>
    <w:rsid w:val="006D3223"/>
    <w:rsid w:val="006D34BF"/>
    <w:rsid w:val="006D38BB"/>
    <w:rsid w:val="006D3FD6"/>
    <w:rsid w:val="006D4446"/>
    <w:rsid w:val="006D5366"/>
    <w:rsid w:val="006D607A"/>
    <w:rsid w:val="006D618F"/>
    <w:rsid w:val="006D628C"/>
    <w:rsid w:val="006D659C"/>
    <w:rsid w:val="006D669B"/>
    <w:rsid w:val="006D6B38"/>
    <w:rsid w:val="006D6B73"/>
    <w:rsid w:val="006D79D7"/>
    <w:rsid w:val="006E0D0F"/>
    <w:rsid w:val="006E0ECD"/>
    <w:rsid w:val="006E1E51"/>
    <w:rsid w:val="006E3448"/>
    <w:rsid w:val="006E3711"/>
    <w:rsid w:val="006E5037"/>
    <w:rsid w:val="006E5059"/>
    <w:rsid w:val="006E632E"/>
    <w:rsid w:val="006E6A52"/>
    <w:rsid w:val="006E74AC"/>
    <w:rsid w:val="006E7C33"/>
    <w:rsid w:val="006F0656"/>
    <w:rsid w:val="006F0C05"/>
    <w:rsid w:val="006F2BBD"/>
    <w:rsid w:val="006F2CCE"/>
    <w:rsid w:val="006F3136"/>
    <w:rsid w:val="006F5FBF"/>
    <w:rsid w:val="006F6091"/>
    <w:rsid w:val="006F73E5"/>
    <w:rsid w:val="00700AEB"/>
    <w:rsid w:val="00701875"/>
    <w:rsid w:val="007021A6"/>
    <w:rsid w:val="00703F07"/>
    <w:rsid w:val="007042D3"/>
    <w:rsid w:val="00705619"/>
    <w:rsid w:val="00706148"/>
    <w:rsid w:val="00706972"/>
    <w:rsid w:val="00706A05"/>
    <w:rsid w:val="00707777"/>
    <w:rsid w:val="00707F6B"/>
    <w:rsid w:val="00710053"/>
    <w:rsid w:val="00710DFC"/>
    <w:rsid w:val="00711C8F"/>
    <w:rsid w:val="00713008"/>
    <w:rsid w:val="007138F7"/>
    <w:rsid w:val="0071395E"/>
    <w:rsid w:val="00713C36"/>
    <w:rsid w:val="00714C7E"/>
    <w:rsid w:val="00714D79"/>
    <w:rsid w:val="00714D9E"/>
    <w:rsid w:val="0071534E"/>
    <w:rsid w:val="0071568B"/>
    <w:rsid w:val="00715ED3"/>
    <w:rsid w:val="00717DB6"/>
    <w:rsid w:val="007215F7"/>
    <w:rsid w:val="00722076"/>
    <w:rsid w:val="00722803"/>
    <w:rsid w:val="0072302D"/>
    <w:rsid w:val="00724191"/>
    <w:rsid w:val="007248D4"/>
    <w:rsid w:val="00725493"/>
    <w:rsid w:val="0072678D"/>
    <w:rsid w:val="00726BAB"/>
    <w:rsid w:val="007302CA"/>
    <w:rsid w:val="00730395"/>
    <w:rsid w:val="00730848"/>
    <w:rsid w:val="007317BD"/>
    <w:rsid w:val="00732005"/>
    <w:rsid w:val="007325F6"/>
    <w:rsid w:val="007360B6"/>
    <w:rsid w:val="0074014B"/>
    <w:rsid w:val="007411B7"/>
    <w:rsid w:val="00741BB9"/>
    <w:rsid w:val="00741BED"/>
    <w:rsid w:val="00742891"/>
    <w:rsid w:val="00743D23"/>
    <w:rsid w:val="00743F18"/>
    <w:rsid w:val="00744E97"/>
    <w:rsid w:val="007450FE"/>
    <w:rsid w:val="0074557C"/>
    <w:rsid w:val="00746967"/>
    <w:rsid w:val="0074709A"/>
    <w:rsid w:val="00747790"/>
    <w:rsid w:val="00747A3F"/>
    <w:rsid w:val="007508C0"/>
    <w:rsid w:val="00750B88"/>
    <w:rsid w:val="00751179"/>
    <w:rsid w:val="0075120D"/>
    <w:rsid w:val="007515BA"/>
    <w:rsid w:val="0075271A"/>
    <w:rsid w:val="00752971"/>
    <w:rsid w:val="00754026"/>
    <w:rsid w:val="00754202"/>
    <w:rsid w:val="007549DB"/>
    <w:rsid w:val="0075589F"/>
    <w:rsid w:val="00755EBA"/>
    <w:rsid w:val="00756D6F"/>
    <w:rsid w:val="00757302"/>
    <w:rsid w:val="007624C4"/>
    <w:rsid w:val="00763890"/>
    <w:rsid w:val="007653EC"/>
    <w:rsid w:val="00765B94"/>
    <w:rsid w:val="0076678D"/>
    <w:rsid w:val="007669CA"/>
    <w:rsid w:val="00766C58"/>
    <w:rsid w:val="00766C96"/>
    <w:rsid w:val="0077178C"/>
    <w:rsid w:val="00771DA9"/>
    <w:rsid w:val="00772316"/>
    <w:rsid w:val="007723E0"/>
    <w:rsid w:val="00773F28"/>
    <w:rsid w:val="00774034"/>
    <w:rsid w:val="0077441E"/>
    <w:rsid w:val="007749B3"/>
    <w:rsid w:val="00774D9F"/>
    <w:rsid w:val="00774EFE"/>
    <w:rsid w:val="007750FE"/>
    <w:rsid w:val="007761AC"/>
    <w:rsid w:val="00776281"/>
    <w:rsid w:val="00776C7A"/>
    <w:rsid w:val="00780128"/>
    <w:rsid w:val="00780856"/>
    <w:rsid w:val="007809B2"/>
    <w:rsid w:val="00781B67"/>
    <w:rsid w:val="00782559"/>
    <w:rsid w:val="00786A8C"/>
    <w:rsid w:val="00786AAD"/>
    <w:rsid w:val="007901D9"/>
    <w:rsid w:val="00790FA8"/>
    <w:rsid w:val="00793756"/>
    <w:rsid w:val="00793C67"/>
    <w:rsid w:val="00794209"/>
    <w:rsid w:val="00794AAD"/>
    <w:rsid w:val="007950E1"/>
    <w:rsid w:val="007951AC"/>
    <w:rsid w:val="00795494"/>
    <w:rsid w:val="0079610A"/>
    <w:rsid w:val="007974B7"/>
    <w:rsid w:val="00797C35"/>
    <w:rsid w:val="007A0522"/>
    <w:rsid w:val="007A0B23"/>
    <w:rsid w:val="007A0D84"/>
    <w:rsid w:val="007A1037"/>
    <w:rsid w:val="007A249C"/>
    <w:rsid w:val="007A2895"/>
    <w:rsid w:val="007A2C03"/>
    <w:rsid w:val="007A3660"/>
    <w:rsid w:val="007A370E"/>
    <w:rsid w:val="007A38FA"/>
    <w:rsid w:val="007A3EB2"/>
    <w:rsid w:val="007A47A5"/>
    <w:rsid w:val="007A4AF1"/>
    <w:rsid w:val="007A54B5"/>
    <w:rsid w:val="007A65BF"/>
    <w:rsid w:val="007A694B"/>
    <w:rsid w:val="007A6EF6"/>
    <w:rsid w:val="007A72DD"/>
    <w:rsid w:val="007A782D"/>
    <w:rsid w:val="007A7A6B"/>
    <w:rsid w:val="007A7E32"/>
    <w:rsid w:val="007B15C2"/>
    <w:rsid w:val="007B1CFC"/>
    <w:rsid w:val="007B1E87"/>
    <w:rsid w:val="007B21EA"/>
    <w:rsid w:val="007B2851"/>
    <w:rsid w:val="007B2ADF"/>
    <w:rsid w:val="007B4322"/>
    <w:rsid w:val="007B5023"/>
    <w:rsid w:val="007B6E0F"/>
    <w:rsid w:val="007B7897"/>
    <w:rsid w:val="007C0132"/>
    <w:rsid w:val="007C03C7"/>
    <w:rsid w:val="007C069F"/>
    <w:rsid w:val="007C14FE"/>
    <w:rsid w:val="007C254D"/>
    <w:rsid w:val="007C5472"/>
    <w:rsid w:val="007C58C2"/>
    <w:rsid w:val="007C6C38"/>
    <w:rsid w:val="007C7C44"/>
    <w:rsid w:val="007D09D1"/>
    <w:rsid w:val="007D0F9F"/>
    <w:rsid w:val="007D1D6D"/>
    <w:rsid w:val="007D2477"/>
    <w:rsid w:val="007D2567"/>
    <w:rsid w:val="007D2DCC"/>
    <w:rsid w:val="007D39AF"/>
    <w:rsid w:val="007D429E"/>
    <w:rsid w:val="007D4853"/>
    <w:rsid w:val="007D513F"/>
    <w:rsid w:val="007D53E0"/>
    <w:rsid w:val="007E07BD"/>
    <w:rsid w:val="007E0EDD"/>
    <w:rsid w:val="007E1B48"/>
    <w:rsid w:val="007E1F80"/>
    <w:rsid w:val="007E3B91"/>
    <w:rsid w:val="007E4299"/>
    <w:rsid w:val="007E62AD"/>
    <w:rsid w:val="007E6A73"/>
    <w:rsid w:val="007E6DA5"/>
    <w:rsid w:val="007F1EFE"/>
    <w:rsid w:val="007F43B1"/>
    <w:rsid w:val="007F465F"/>
    <w:rsid w:val="007F557D"/>
    <w:rsid w:val="007F56BA"/>
    <w:rsid w:val="007F6873"/>
    <w:rsid w:val="007F793C"/>
    <w:rsid w:val="007F7D6A"/>
    <w:rsid w:val="00803A7B"/>
    <w:rsid w:val="00803C34"/>
    <w:rsid w:val="00803D0F"/>
    <w:rsid w:val="00803E31"/>
    <w:rsid w:val="00803E4C"/>
    <w:rsid w:val="00804CD4"/>
    <w:rsid w:val="0080524B"/>
    <w:rsid w:val="00805706"/>
    <w:rsid w:val="008065F9"/>
    <w:rsid w:val="00806CF0"/>
    <w:rsid w:val="00806E3B"/>
    <w:rsid w:val="00807E62"/>
    <w:rsid w:val="0081042A"/>
    <w:rsid w:val="00811354"/>
    <w:rsid w:val="008116D2"/>
    <w:rsid w:val="008120F6"/>
    <w:rsid w:val="0081257A"/>
    <w:rsid w:val="0081270B"/>
    <w:rsid w:val="00812712"/>
    <w:rsid w:val="008130EA"/>
    <w:rsid w:val="00813EE6"/>
    <w:rsid w:val="008142FD"/>
    <w:rsid w:val="0081466C"/>
    <w:rsid w:val="00814B80"/>
    <w:rsid w:val="008151F8"/>
    <w:rsid w:val="008155E4"/>
    <w:rsid w:val="00817640"/>
    <w:rsid w:val="00817F90"/>
    <w:rsid w:val="008212BB"/>
    <w:rsid w:val="00821BCB"/>
    <w:rsid w:val="00822850"/>
    <w:rsid w:val="00822D37"/>
    <w:rsid w:val="00823E22"/>
    <w:rsid w:val="008259CE"/>
    <w:rsid w:val="00825E62"/>
    <w:rsid w:val="0082721D"/>
    <w:rsid w:val="00827840"/>
    <w:rsid w:val="008278BE"/>
    <w:rsid w:val="008307B3"/>
    <w:rsid w:val="00831E6C"/>
    <w:rsid w:val="00832316"/>
    <w:rsid w:val="00833362"/>
    <w:rsid w:val="008338A2"/>
    <w:rsid w:val="00834B98"/>
    <w:rsid w:val="00835CE5"/>
    <w:rsid w:val="00835F7E"/>
    <w:rsid w:val="00836756"/>
    <w:rsid w:val="00837949"/>
    <w:rsid w:val="0084090A"/>
    <w:rsid w:val="00842517"/>
    <w:rsid w:val="008436F7"/>
    <w:rsid w:val="0084590D"/>
    <w:rsid w:val="0084696E"/>
    <w:rsid w:val="00846DA0"/>
    <w:rsid w:val="00846F32"/>
    <w:rsid w:val="008474E3"/>
    <w:rsid w:val="00850101"/>
    <w:rsid w:val="00850A24"/>
    <w:rsid w:val="00850A3A"/>
    <w:rsid w:val="00852097"/>
    <w:rsid w:val="00852EA7"/>
    <w:rsid w:val="008552C8"/>
    <w:rsid w:val="0085546B"/>
    <w:rsid w:val="00855A45"/>
    <w:rsid w:val="00857D2E"/>
    <w:rsid w:val="00860D03"/>
    <w:rsid w:val="00862C61"/>
    <w:rsid w:val="00863FDE"/>
    <w:rsid w:val="008640D0"/>
    <w:rsid w:val="00865AD1"/>
    <w:rsid w:val="0086670D"/>
    <w:rsid w:val="008667E6"/>
    <w:rsid w:val="008669C1"/>
    <w:rsid w:val="00867624"/>
    <w:rsid w:val="008676DF"/>
    <w:rsid w:val="0086775E"/>
    <w:rsid w:val="00867B0E"/>
    <w:rsid w:val="00867F9C"/>
    <w:rsid w:val="0087137B"/>
    <w:rsid w:val="00871F0E"/>
    <w:rsid w:val="0087392C"/>
    <w:rsid w:val="00874044"/>
    <w:rsid w:val="008740CC"/>
    <w:rsid w:val="00876CE2"/>
    <w:rsid w:val="00877B6B"/>
    <w:rsid w:val="00877CC4"/>
    <w:rsid w:val="0088048D"/>
    <w:rsid w:val="008814E4"/>
    <w:rsid w:val="00881688"/>
    <w:rsid w:val="0088412F"/>
    <w:rsid w:val="008843E2"/>
    <w:rsid w:val="00885044"/>
    <w:rsid w:val="00885661"/>
    <w:rsid w:val="00885EA8"/>
    <w:rsid w:val="00886731"/>
    <w:rsid w:val="00887673"/>
    <w:rsid w:val="00890060"/>
    <w:rsid w:val="00890C2C"/>
    <w:rsid w:val="008926EA"/>
    <w:rsid w:val="008940FB"/>
    <w:rsid w:val="008946D8"/>
    <w:rsid w:val="00895EFC"/>
    <w:rsid w:val="00896C98"/>
    <w:rsid w:val="00896DC6"/>
    <w:rsid w:val="008970CB"/>
    <w:rsid w:val="008973CA"/>
    <w:rsid w:val="008974B4"/>
    <w:rsid w:val="00897E7D"/>
    <w:rsid w:val="008A1A0F"/>
    <w:rsid w:val="008A437D"/>
    <w:rsid w:val="008A5025"/>
    <w:rsid w:val="008A5CF8"/>
    <w:rsid w:val="008A6110"/>
    <w:rsid w:val="008A64CD"/>
    <w:rsid w:val="008A755E"/>
    <w:rsid w:val="008B08E0"/>
    <w:rsid w:val="008B1693"/>
    <w:rsid w:val="008B1E5F"/>
    <w:rsid w:val="008B2123"/>
    <w:rsid w:val="008B2364"/>
    <w:rsid w:val="008B2C4D"/>
    <w:rsid w:val="008B32DE"/>
    <w:rsid w:val="008B35FE"/>
    <w:rsid w:val="008B4592"/>
    <w:rsid w:val="008B4914"/>
    <w:rsid w:val="008B4C5E"/>
    <w:rsid w:val="008B5B29"/>
    <w:rsid w:val="008B75A5"/>
    <w:rsid w:val="008B76FE"/>
    <w:rsid w:val="008C1CE0"/>
    <w:rsid w:val="008C279C"/>
    <w:rsid w:val="008C462F"/>
    <w:rsid w:val="008C477E"/>
    <w:rsid w:val="008C5CC9"/>
    <w:rsid w:val="008C7296"/>
    <w:rsid w:val="008C7AAE"/>
    <w:rsid w:val="008C7F97"/>
    <w:rsid w:val="008D062F"/>
    <w:rsid w:val="008D1BCF"/>
    <w:rsid w:val="008D1BF8"/>
    <w:rsid w:val="008D1CB2"/>
    <w:rsid w:val="008D2D6F"/>
    <w:rsid w:val="008D2E8F"/>
    <w:rsid w:val="008D3495"/>
    <w:rsid w:val="008D4497"/>
    <w:rsid w:val="008D4541"/>
    <w:rsid w:val="008D4C1D"/>
    <w:rsid w:val="008D4FAD"/>
    <w:rsid w:val="008D5D4F"/>
    <w:rsid w:val="008D6A8A"/>
    <w:rsid w:val="008D6BAC"/>
    <w:rsid w:val="008D795C"/>
    <w:rsid w:val="008E08D1"/>
    <w:rsid w:val="008E0CBC"/>
    <w:rsid w:val="008E10A0"/>
    <w:rsid w:val="008E2104"/>
    <w:rsid w:val="008E236F"/>
    <w:rsid w:val="008E3FF6"/>
    <w:rsid w:val="008E548E"/>
    <w:rsid w:val="008E609B"/>
    <w:rsid w:val="008E6AB1"/>
    <w:rsid w:val="008E6B0B"/>
    <w:rsid w:val="008F1200"/>
    <w:rsid w:val="008F1515"/>
    <w:rsid w:val="008F1A0D"/>
    <w:rsid w:val="008F1D27"/>
    <w:rsid w:val="008F2678"/>
    <w:rsid w:val="008F28AE"/>
    <w:rsid w:val="008F2D17"/>
    <w:rsid w:val="008F2E6F"/>
    <w:rsid w:val="008F3719"/>
    <w:rsid w:val="008F502C"/>
    <w:rsid w:val="008F5EA0"/>
    <w:rsid w:val="008F6DA6"/>
    <w:rsid w:val="00901B32"/>
    <w:rsid w:val="00902A62"/>
    <w:rsid w:val="009030F1"/>
    <w:rsid w:val="009039D0"/>
    <w:rsid w:val="00903C93"/>
    <w:rsid w:val="00904D2F"/>
    <w:rsid w:val="009051EF"/>
    <w:rsid w:val="00906AC5"/>
    <w:rsid w:val="00907ABB"/>
    <w:rsid w:val="0091146F"/>
    <w:rsid w:val="009114A6"/>
    <w:rsid w:val="009132FA"/>
    <w:rsid w:val="00914E16"/>
    <w:rsid w:val="009152A5"/>
    <w:rsid w:val="009158ED"/>
    <w:rsid w:val="009174EB"/>
    <w:rsid w:val="00917832"/>
    <w:rsid w:val="0092063A"/>
    <w:rsid w:val="00921451"/>
    <w:rsid w:val="00921898"/>
    <w:rsid w:val="00924176"/>
    <w:rsid w:val="00926467"/>
    <w:rsid w:val="0092648E"/>
    <w:rsid w:val="00927AB3"/>
    <w:rsid w:val="00927B88"/>
    <w:rsid w:val="0093023A"/>
    <w:rsid w:val="009305DD"/>
    <w:rsid w:val="009317E5"/>
    <w:rsid w:val="009318D4"/>
    <w:rsid w:val="00932126"/>
    <w:rsid w:val="0093226C"/>
    <w:rsid w:val="00932EB8"/>
    <w:rsid w:val="00933490"/>
    <w:rsid w:val="009340B6"/>
    <w:rsid w:val="009340C4"/>
    <w:rsid w:val="00936185"/>
    <w:rsid w:val="00936187"/>
    <w:rsid w:val="00936446"/>
    <w:rsid w:val="00936C5D"/>
    <w:rsid w:val="00937097"/>
    <w:rsid w:val="00937404"/>
    <w:rsid w:val="0093758A"/>
    <w:rsid w:val="00940899"/>
    <w:rsid w:val="009415DE"/>
    <w:rsid w:val="00942785"/>
    <w:rsid w:val="00943448"/>
    <w:rsid w:val="00946439"/>
    <w:rsid w:val="009465C8"/>
    <w:rsid w:val="00946D01"/>
    <w:rsid w:val="00947792"/>
    <w:rsid w:val="009508A5"/>
    <w:rsid w:val="00950B92"/>
    <w:rsid w:val="00950C46"/>
    <w:rsid w:val="009529AC"/>
    <w:rsid w:val="00952BBC"/>
    <w:rsid w:val="0095308D"/>
    <w:rsid w:val="00953FCA"/>
    <w:rsid w:val="00954E76"/>
    <w:rsid w:val="00954FE2"/>
    <w:rsid w:val="00955092"/>
    <w:rsid w:val="00956CEF"/>
    <w:rsid w:val="00960382"/>
    <w:rsid w:val="009604BE"/>
    <w:rsid w:val="00960B79"/>
    <w:rsid w:val="00961908"/>
    <w:rsid w:val="009629B4"/>
    <w:rsid w:val="00963B05"/>
    <w:rsid w:val="009645E4"/>
    <w:rsid w:val="00964AA1"/>
    <w:rsid w:val="009656A5"/>
    <w:rsid w:val="00966505"/>
    <w:rsid w:val="00966ACB"/>
    <w:rsid w:val="00967115"/>
    <w:rsid w:val="009672CA"/>
    <w:rsid w:val="0096751E"/>
    <w:rsid w:val="00970717"/>
    <w:rsid w:val="00970D11"/>
    <w:rsid w:val="009712BB"/>
    <w:rsid w:val="009713DF"/>
    <w:rsid w:val="0097199D"/>
    <w:rsid w:val="00972991"/>
    <w:rsid w:val="00973A66"/>
    <w:rsid w:val="009740A5"/>
    <w:rsid w:val="0097439B"/>
    <w:rsid w:val="00974706"/>
    <w:rsid w:val="00974914"/>
    <w:rsid w:val="009749A6"/>
    <w:rsid w:val="009771B7"/>
    <w:rsid w:val="00981A89"/>
    <w:rsid w:val="00983D24"/>
    <w:rsid w:val="0098601C"/>
    <w:rsid w:val="0098627A"/>
    <w:rsid w:val="00987DF6"/>
    <w:rsid w:val="009906EF"/>
    <w:rsid w:val="009909A3"/>
    <w:rsid w:val="00990ABF"/>
    <w:rsid w:val="00990AF4"/>
    <w:rsid w:val="00990D69"/>
    <w:rsid w:val="00991B28"/>
    <w:rsid w:val="009921F4"/>
    <w:rsid w:val="00992480"/>
    <w:rsid w:val="00992BD6"/>
    <w:rsid w:val="00992FBF"/>
    <w:rsid w:val="009935DB"/>
    <w:rsid w:val="00993E73"/>
    <w:rsid w:val="00994444"/>
    <w:rsid w:val="0099449A"/>
    <w:rsid w:val="00994628"/>
    <w:rsid w:val="00994799"/>
    <w:rsid w:val="0099496A"/>
    <w:rsid w:val="00995E81"/>
    <w:rsid w:val="00997662"/>
    <w:rsid w:val="0099768B"/>
    <w:rsid w:val="00997F81"/>
    <w:rsid w:val="009A06CC"/>
    <w:rsid w:val="009A0F93"/>
    <w:rsid w:val="009A2935"/>
    <w:rsid w:val="009A2EAB"/>
    <w:rsid w:val="009A4739"/>
    <w:rsid w:val="009A4754"/>
    <w:rsid w:val="009A4774"/>
    <w:rsid w:val="009A6A69"/>
    <w:rsid w:val="009A7BA0"/>
    <w:rsid w:val="009A7BB7"/>
    <w:rsid w:val="009A7BCB"/>
    <w:rsid w:val="009B0D18"/>
    <w:rsid w:val="009B0ED4"/>
    <w:rsid w:val="009B3785"/>
    <w:rsid w:val="009B3AB7"/>
    <w:rsid w:val="009B3E5A"/>
    <w:rsid w:val="009B4771"/>
    <w:rsid w:val="009B49DD"/>
    <w:rsid w:val="009B4B0A"/>
    <w:rsid w:val="009B50BD"/>
    <w:rsid w:val="009B5242"/>
    <w:rsid w:val="009B561E"/>
    <w:rsid w:val="009B65A9"/>
    <w:rsid w:val="009B6F2E"/>
    <w:rsid w:val="009B70B4"/>
    <w:rsid w:val="009B727A"/>
    <w:rsid w:val="009B7844"/>
    <w:rsid w:val="009B7AE2"/>
    <w:rsid w:val="009B7AF7"/>
    <w:rsid w:val="009B7BD3"/>
    <w:rsid w:val="009C055F"/>
    <w:rsid w:val="009C063B"/>
    <w:rsid w:val="009C0B77"/>
    <w:rsid w:val="009C0E31"/>
    <w:rsid w:val="009C0EC2"/>
    <w:rsid w:val="009C14D0"/>
    <w:rsid w:val="009C22A6"/>
    <w:rsid w:val="009C4046"/>
    <w:rsid w:val="009C55F9"/>
    <w:rsid w:val="009C58B0"/>
    <w:rsid w:val="009C69A3"/>
    <w:rsid w:val="009C6E55"/>
    <w:rsid w:val="009C70EA"/>
    <w:rsid w:val="009C7625"/>
    <w:rsid w:val="009C7E37"/>
    <w:rsid w:val="009D15C4"/>
    <w:rsid w:val="009D1822"/>
    <w:rsid w:val="009D205F"/>
    <w:rsid w:val="009D3039"/>
    <w:rsid w:val="009D4E09"/>
    <w:rsid w:val="009D5DFE"/>
    <w:rsid w:val="009D6097"/>
    <w:rsid w:val="009D62C5"/>
    <w:rsid w:val="009D6560"/>
    <w:rsid w:val="009D6C49"/>
    <w:rsid w:val="009E00A1"/>
    <w:rsid w:val="009E037D"/>
    <w:rsid w:val="009E065B"/>
    <w:rsid w:val="009E0D4D"/>
    <w:rsid w:val="009E1769"/>
    <w:rsid w:val="009E1A11"/>
    <w:rsid w:val="009E20AA"/>
    <w:rsid w:val="009E303C"/>
    <w:rsid w:val="009E3971"/>
    <w:rsid w:val="009E41F9"/>
    <w:rsid w:val="009E4C53"/>
    <w:rsid w:val="009E5C42"/>
    <w:rsid w:val="009E6800"/>
    <w:rsid w:val="009E6AD7"/>
    <w:rsid w:val="009E6B44"/>
    <w:rsid w:val="009E77FE"/>
    <w:rsid w:val="009E7A50"/>
    <w:rsid w:val="009E7D63"/>
    <w:rsid w:val="009F1809"/>
    <w:rsid w:val="009F247C"/>
    <w:rsid w:val="009F3815"/>
    <w:rsid w:val="009F40E4"/>
    <w:rsid w:val="009F45AE"/>
    <w:rsid w:val="009F4EC6"/>
    <w:rsid w:val="009F541C"/>
    <w:rsid w:val="009F58CF"/>
    <w:rsid w:val="009F612F"/>
    <w:rsid w:val="009F6D87"/>
    <w:rsid w:val="009F7B0F"/>
    <w:rsid w:val="009F7C6D"/>
    <w:rsid w:val="00A00016"/>
    <w:rsid w:val="00A00388"/>
    <w:rsid w:val="00A00591"/>
    <w:rsid w:val="00A019BA"/>
    <w:rsid w:val="00A01B03"/>
    <w:rsid w:val="00A022C6"/>
    <w:rsid w:val="00A02398"/>
    <w:rsid w:val="00A02CC4"/>
    <w:rsid w:val="00A030FB"/>
    <w:rsid w:val="00A03107"/>
    <w:rsid w:val="00A04AB7"/>
    <w:rsid w:val="00A04D22"/>
    <w:rsid w:val="00A0521E"/>
    <w:rsid w:val="00A054C1"/>
    <w:rsid w:val="00A056B2"/>
    <w:rsid w:val="00A07179"/>
    <w:rsid w:val="00A07E89"/>
    <w:rsid w:val="00A12AF3"/>
    <w:rsid w:val="00A12E28"/>
    <w:rsid w:val="00A13A49"/>
    <w:rsid w:val="00A13C99"/>
    <w:rsid w:val="00A1456B"/>
    <w:rsid w:val="00A15C37"/>
    <w:rsid w:val="00A15DB5"/>
    <w:rsid w:val="00A16CE2"/>
    <w:rsid w:val="00A17AF2"/>
    <w:rsid w:val="00A17B02"/>
    <w:rsid w:val="00A20622"/>
    <w:rsid w:val="00A20F43"/>
    <w:rsid w:val="00A20FF2"/>
    <w:rsid w:val="00A217B8"/>
    <w:rsid w:val="00A21935"/>
    <w:rsid w:val="00A247C0"/>
    <w:rsid w:val="00A25DCA"/>
    <w:rsid w:val="00A26102"/>
    <w:rsid w:val="00A261C2"/>
    <w:rsid w:val="00A2647C"/>
    <w:rsid w:val="00A27219"/>
    <w:rsid w:val="00A2778F"/>
    <w:rsid w:val="00A305E6"/>
    <w:rsid w:val="00A31A44"/>
    <w:rsid w:val="00A334E0"/>
    <w:rsid w:val="00A33622"/>
    <w:rsid w:val="00A33AB0"/>
    <w:rsid w:val="00A33E43"/>
    <w:rsid w:val="00A3400E"/>
    <w:rsid w:val="00A3569A"/>
    <w:rsid w:val="00A36E83"/>
    <w:rsid w:val="00A4084E"/>
    <w:rsid w:val="00A409E8"/>
    <w:rsid w:val="00A40FEC"/>
    <w:rsid w:val="00A415B6"/>
    <w:rsid w:val="00A42390"/>
    <w:rsid w:val="00A42420"/>
    <w:rsid w:val="00A443C3"/>
    <w:rsid w:val="00A44F34"/>
    <w:rsid w:val="00A45844"/>
    <w:rsid w:val="00A4610B"/>
    <w:rsid w:val="00A462D9"/>
    <w:rsid w:val="00A468CE"/>
    <w:rsid w:val="00A501E2"/>
    <w:rsid w:val="00A50219"/>
    <w:rsid w:val="00A502CF"/>
    <w:rsid w:val="00A509A1"/>
    <w:rsid w:val="00A51355"/>
    <w:rsid w:val="00A51C8B"/>
    <w:rsid w:val="00A5204B"/>
    <w:rsid w:val="00A52B6D"/>
    <w:rsid w:val="00A52C2F"/>
    <w:rsid w:val="00A53F06"/>
    <w:rsid w:val="00A547F2"/>
    <w:rsid w:val="00A5497A"/>
    <w:rsid w:val="00A55278"/>
    <w:rsid w:val="00A558F3"/>
    <w:rsid w:val="00A572E6"/>
    <w:rsid w:val="00A577B6"/>
    <w:rsid w:val="00A6319B"/>
    <w:rsid w:val="00A633CD"/>
    <w:rsid w:val="00A643E2"/>
    <w:rsid w:val="00A657A8"/>
    <w:rsid w:val="00A65A32"/>
    <w:rsid w:val="00A664F6"/>
    <w:rsid w:val="00A66613"/>
    <w:rsid w:val="00A66771"/>
    <w:rsid w:val="00A66BFB"/>
    <w:rsid w:val="00A67C25"/>
    <w:rsid w:val="00A70139"/>
    <w:rsid w:val="00A7092F"/>
    <w:rsid w:val="00A717DD"/>
    <w:rsid w:val="00A74565"/>
    <w:rsid w:val="00A75C36"/>
    <w:rsid w:val="00A7617A"/>
    <w:rsid w:val="00A76DC3"/>
    <w:rsid w:val="00A7764E"/>
    <w:rsid w:val="00A77710"/>
    <w:rsid w:val="00A7774E"/>
    <w:rsid w:val="00A802F5"/>
    <w:rsid w:val="00A8144F"/>
    <w:rsid w:val="00A8148C"/>
    <w:rsid w:val="00A824B5"/>
    <w:rsid w:val="00A835C5"/>
    <w:rsid w:val="00A8445E"/>
    <w:rsid w:val="00A84F4A"/>
    <w:rsid w:val="00A85A9C"/>
    <w:rsid w:val="00A865B0"/>
    <w:rsid w:val="00A86C8F"/>
    <w:rsid w:val="00A87136"/>
    <w:rsid w:val="00A876ED"/>
    <w:rsid w:val="00A90130"/>
    <w:rsid w:val="00A90632"/>
    <w:rsid w:val="00A90F71"/>
    <w:rsid w:val="00A918C7"/>
    <w:rsid w:val="00A93371"/>
    <w:rsid w:val="00A9458E"/>
    <w:rsid w:val="00A94DD4"/>
    <w:rsid w:val="00A954F5"/>
    <w:rsid w:val="00A958DC"/>
    <w:rsid w:val="00A95EFE"/>
    <w:rsid w:val="00AA0448"/>
    <w:rsid w:val="00AA0D37"/>
    <w:rsid w:val="00AA116E"/>
    <w:rsid w:val="00AA12CF"/>
    <w:rsid w:val="00AA14E2"/>
    <w:rsid w:val="00AA37D2"/>
    <w:rsid w:val="00AA7822"/>
    <w:rsid w:val="00AA7BDF"/>
    <w:rsid w:val="00AB03DE"/>
    <w:rsid w:val="00AB1A3B"/>
    <w:rsid w:val="00AB1E4E"/>
    <w:rsid w:val="00AB1EA4"/>
    <w:rsid w:val="00AB233E"/>
    <w:rsid w:val="00AB2D84"/>
    <w:rsid w:val="00AB2F3A"/>
    <w:rsid w:val="00AB7BC7"/>
    <w:rsid w:val="00AB7C1D"/>
    <w:rsid w:val="00AB7D48"/>
    <w:rsid w:val="00AC0898"/>
    <w:rsid w:val="00AC0A78"/>
    <w:rsid w:val="00AC1552"/>
    <w:rsid w:val="00AC1885"/>
    <w:rsid w:val="00AC1AE8"/>
    <w:rsid w:val="00AC2F9C"/>
    <w:rsid w:val="00AC33B4"/>
    <w:rsid w:val="00AC378D"/>
    <w:rsid w:val="00AC379F"/>
    <w:rsid w:val="00AC5026"/>
    <w:rsid w:val="00AC5B4F"/>
    <w:rsid w:val="00AC5BD9"/>
    <w:rsid w:val="00AC62FA"/>
    <w:rsid w:val="00AC6599"/>
    <w:rsid w:val="00AC6B3E"/>
    <w:rsid w:val="00AC6BBF"/>
    <w:rsid w:val="00AC71F2"/>
    <w:rsid w:val="00AC73E1"/>
    <w:rsid w:val="00AD1FC5"/>
    <w:rsid w:val="00AD34AA"/>
    <w:rsid w:val="00AD3872"/>
    <w:rsid w:val="00AD4F9D"/>
    <w:rsid w:val="00AD6533"/>
    <w:rsid w:val="00AD684F"/>
    <w:rsid w:val="00AD76CB"/>
    <w:rsid w:val="00AD77B5"/>
    <w:rsid w:val="00AD788D"/>
    <w:rsid w:val="00AE0802"/>
    <w:rsid w:val="00AE1713"/>
    <w:rsid w:val="00AE2587"/>
    <w:rsid w:val="00AE2987"/>
    <w:rsid w:val="00AE4480"/>
    <w:rsid w:val="00AE47D8"/>
    <w:rsid w:val="00AE4D2D"/>
    <w:rsid w:val="00AE4DD2"/>
    <w:rsid w:val="00AE509B"/>
    <w:rsid w:val="00AE65DF"/>
    <w:rsid w:val="00AE6EC0"/>
    <w:rsid w:val="00AE71AB"/>
    <w:rsid w:val="00AF0B46"/>
    <w:rsid w:val="00AF1007"/>
    <w:rsid w:val="00AF188A"/>
    <w:rsid w:val="00AF1A82"/>
    <w:rsid w:val="00AF2E0F"/>
    <w:rsid w:val="00AF43AD"/>
    <w:rsid w:val="00AF5E38"/>
    <w:rsid w:val="00AF5F92"/>
    <w:rsid w:val="00AF66CE"/>
    <w:rsid w:val="00AF729F"/>
    <w:rsid w:val="00AF79C2"/>
    <w:rsid w:val="00B00467"/>
    <w:rsid w:val="00B00EA7"/>
    <w:rsid w:val="00B04D65"/>
    <w:rsid w:val="00B0500D"/>
    <w:rsid w:val="00B0578D"/>
    <w:rsid w:val="00B0665E"/>
    <w:rsid w:val="00B06CEE"/>
    <w:rsid w:val="00B07832"/>
    <w:rsid w:val="00B10807"/>
    <w:rsid w:val="00B10F5C"/>
    <w:rsid w:val="00B11047"/>
    <w:rsid w:val="00B1113A"/>
    <w:rsid w:val="00B1168A"/>
    <w:rsid w:val="00B11A58"/>
    <w:rsid w:val="00B11F19"/>
    <w:rsid w:val="00B12FE8"/>
    <w:rsid w:val="00B13C44"/>
    <w:rsid w:val="00B13EBA"/>
    <w:rsid w:val="00B14B08"/>
    <w:rsid w:val="00B15131"/>
    <w:rsid w:val="00B15220"/>
    <w:rsid w:val="00B154A7"/>
    <w:rsid w:val="00B15790"/>
    <w:rsid w:val="00B15874"/>
    <w:rsid w:val="00B158D8"/>
    <w:rsid w:val="00B17096"/>
    <w:rsid w:val="00B170BA"/>
    <w:rsid w:val="00B17341"/>
    <w:rsid w:val="00B174A4"/>
    <w:rsid w:val="00B175DA"/>
    <w:rsid w:val="00B2061E"/>
    <w:rsid w:val="00B20B35"/>
    <w:rsid w:val="00B20E29"/>
    <w:rsid w:val="00B213C5"/>
    <w:rsid w:val="00B21816"/>
    <w:rsid w:val="00B219F7"/>
    <w:rsid w:val="00B225E1"/>
    <w:rsid w:val="00B22DEB"/>
    <w:rsid w:val="00B23ACD"/>
    <w:rsid w:val="00B23E71"/>
    <w:rsid w:val="00B24738"/>
    <w:rsid w:val="00B261DB"/>
    <w:rsid w:val="00B268C5"/>
    <w:rsid w:val="00B30966"/>
    <w:rsid w:val="00B32D45"/>
    <w:rsid w:val="00B335AF"/>
    <w:rsid w:val="00B33DEA"/>
    <w:rsid w:val="00B344C8"/>
    <w:rsid w:val="00B349DC"/>
    <w:rsid w:val="00B359ED"/>
    <w:rsid w:val="00B35B39"/>
    <w:rsid w:val="00B362C6"/>
    <w:rsid w:val="00B363F3"/>
    <w:rsid w:val="00B369BE"/>
    <w:rsid w:val="00B36E83"/>
    <w:rsid w:val="00B41517"/>
    <w:rsid w:val="00B41579"/>
    <w:rsid w:val="00B42168"/>
    <w:rsid w:val="00B44A8A"/>
    <w:rsid w:val="00B44DB2"/>
    <w:rsid w:val="00B45029"/>
    <w:rsid w:val="00B451BC"/>
    <w:rsid w:val="00B45A24"/>
    <w:rsid w:val="00B506CB"/>
    <w:rsid w:val="00B51523"/>
    <w:rsid w:val="00B52A71"/>
    <w:rsid w:val="00B5487F"/>
    <w:rsid w:val="00B54FB7"/>
    <w:rsid w:val="00B55598"/>
    <w:rsid w:val="00B557CA"/>
    <w:rsid w:val="00B55DE7"/>
    <w:rsid w:val="00B561FE"/>
    <w:rsid w:val="00B56E8C"/>
    <w:rsid w:val="00B5764D"/>
    <w:rsid w:val="00B57CA8"/>
    <w:rsid w:val="00B57DAE"/>
    <w:rsid w:val="00B601C5"/>
    <w:rsid w:val="00B60529"/>
    <w:rsid w:val="00B6185F"/>
    <w:rsid w:val="00B6247A"/>
    <w:rsid w:val="00B62A99"/>
    <w:rsid w:val="00B62B82"/>
    <w:rsid w:val="00B6513C"/>
    <w:rsid w:val="00B6602B"/>
    <w:rsid w:val="00B66359"/>
    <w:rsid w:val="00B666BC"/>
    <w:rsid w:val="00B666DE"/>
    <w:rsid w:val="00B66FF3"/>
    <w:rsid w:val="00B67A77"/>
    <w:rsid w:val="00B67A81"/>
    <w:rsid w:val="00B67FA0"/>
    <w:rsid w:val="00B705EA"/>
    <w:rsid w:val="00B70790"/>
    <w:rsid w:val="00B73885"/>
    <w:rsid w:val="00B742C5"/>
    <w:rsid w:val="00B74CAB"/>
    <w:rsid w:val="00B75D52"/>
    <w:rsid w:val="00B7685D"/>
    <w:rsid w:val="00B7719B"/>
    <w:rsid w:val="00B77726"/>
    <w:rsid w:val="00B77E70"/>
    <w:rsid w:val="00B811DB"/>
    <w:rsid w:val="00B82529"/>
    <w:rsid w:val="00B82DE4"/>
    <w:rsid w:val="00B834EF"/>
    <w:rsid w:val="00B84B21"/>
    <w:rsid w:val="00B8566B"/>
    <w:rsid w:val="00B85882"/>
    <w:rsid w:val="00B8621F"/>
    <w:rsid w:val="00B864BA"/>
    <w:rsid w:val="00B86A20"/>
    <w:rsid w:val="00B87C79"/>
    <w:rsid w:val="00B90192"/>
    <w:rsid w:val="00B90E72"/>
    <w:rsid w:val="00B90EE0"/>
    <w:rsid w:val="00B919AE"/>
    <w:rsid w:val="00B920DE"/>
    <w:rsid w:val="00B937AA"/>
    <w:rsid w:val="00B957E6"/>
    <w:rsid w:val="00B95D94"/>
    <w:rsid w:val="00B97EA7"/>
    <w:rsid w:val="00BA1588"/>
    <w:rsid w:val="00BA1F9F"/>
    <w:rsid w:val="00BA25AD"/>
    <w:rsid w:val="00BA3BD5"/>
    <w:rsid w:val="00BA4B2E"/>
    <w:rsid w:val="00BA4DB0"/>
    <w:rsid w:val="00BA4E48"/>
    <w:rsid w:val="00BA5530"/>
    <w:rsid w:val="00BA60DD"/>
    <w:rsid w:val="00BA6BDB"/>
    <w:rsid w:val="00BA7E5A"/>
    <w:rsid w:val="00BB1718"/>
    <w:rsid w:val="00BB1C24"/>
    <w:rsid w:val="00BB2434"/>
    <w:rsid w:val="00BB39FE"/>
    <w:rsid w:val="00BB4EDC"/>
    <w:rsid w:val="00BB5063"/>
    <w:rsid w:val="00BB5BC3"/>
    <w:rsid w:val="00BB65FB"/>
    <w:rsid w:val="00BB69F0"/>
    <w:rsid w:val="00BB71C9"/>
    <w:rsid w:val="00BB7D86"/>
    <w:rsid w:val="00BC0118"/>
    <w:rsid w:val="00BC0718"/>
    <w:rsid w:val="00BC0CF4"/>
    <w:rsid w:val="00BC0F34"/>
    <w:rsid w:val="00BC1BE9"/>
    <w:rsid w:val="00BC1C19"/>
    <w:rsid w:val="00BC2F48"/>
    <w:rsid w:val="00BC2FD7"/>
    <w:rsid w:val="00BC3E37"/>
    <w:rsid w:val="00BC5634"/>
    <w:rsid w:val="00BD0D21"/>
    <w:rsid w:val="00BD2F47"/>
    <w:rsid w:val="00BD380E"/>
    <w:rsid w:val="00BD396E"/>
    <w:rsid w:val="00BD4405"/>
    <w:rsid w:val="00BD48A7"/>
    <w:rsid w:val="00BD49BB"/>
    <w:rsid w:val="00BD50DF"/>
    <w:rsid w:val="00BD5425"/>
    <w:rsid w:val="00BD557C"/>
    <w:rsid w:val="00BD5968"/>
    <w:rsid w:val="00BD7522"/>
    <w:rsid w:val="00BD7B08"/>
    <w:rsid w:val="00BD7EAF"/>
    <w:rsid w:val="00BE0197"/>
    <w:rsid w:val="00BE01D6"/>
    <w:rsid w:val="00BE0E66"/>
    <w:rsid w:val="00BE116A"/>
    <w:rsid w:val="00BE158B"/>
    <w:rsid w:val="00BE1C77"/>
    <w:rsid w:val="00BE28EF"/>
    <w:rsid w:val="00BE2CC6"/>
    <w:rsid w:val="00BE3594"/>
    <w:rsid w:val="00BE37FA"/>
    <w:rsid w:val="00BE48AB"/>
    <w:rsid w:val="00BE53D7"/>
    <w:rsid w:val="00BF0088"/>
    <w:rsid w:val="00BF03B0"/>
    <w:rsid w:val="00BF0AB4"/>
    <w:rsid w:val="00BF1898"/>
    <w:rsid w:val="00BF19EB"/>
    <w:rsid w:val="00BF3512"/>
    <w:rsid w:val="00BF402D"/>
    <w:rsid w:val="00BF6402"/>
    <w:rsid w:val="00C004F5"/>
    <w:rsid w:val="00C00CCA"/>
    <w:rsid w:val="00C00CEF"/>
    <w:rsid w:val="00C01EC1"/>
    <w:rsid w:val="00C031D8"/>
    <w:rsid w:val="00C033A4"/>
    <w:rsid w:val="00C0433D"/>
    <w:rsid w:val="00C0519A"/>
    <w:rsid w:val="00C051BD"/>
    <w:rsid w:val="00C05718"/>
    <w:rsid w:val="00C077BD"/>
    <w:rsid w:val="00C07C1A"/>
    <w:rsid w:val="00C12181"/>
    <w:rsid w:val="00C12707"/>
    <w:rsid w:val="00C14E50"/>
    <w:rsid w:val="00C15466"/>
    <w:rsid w:val="00C16DDE"/>
    <w:rsid w:val="00C17527"/>
    <w:rsid w:val="00C1778E"/>
    <w:rsid w:val="00C179FA"/>
    <w:rsid w:val="00C20468"/>
    <w:rsid w:val="00C20DE5"/>
    <w:rsid w:val="00C226EE"/>
    <w:rsid w:val="00C22B79"/>
    <w:rsid w:val="00C2321F"/>
    <w:rsid w:val="00C23499"/>
    <w:rsid w:val="00C2429D"/>
    <w:rsid w:val="00C242CA"/>
    <w:rsid w:val="00C2502D"/>
    <w:rsid w:val="00C25CD7"/>
    <w:rsid w:val="00C30ADC"/>
    <w:rsid w:val="00C3100C"/>
    <w:rsid w:val="00C31228"/>
    <w:rsid w:val="00C331E1"/>
    <w:rsid w:val="00C33AB3"/>
    <w:rsid w:val="00C3416F"/>
    <w:rsid w:val="00C345AC"/>
    <w:rsid w:val="00C34814"/>
    <w:rsid w:val="00C348C2"/>
    <w:rsid w:val="00C35296"/>
    <w:rsid w:val="00C366D5"/>
    <w:rsid w:val="00C37731"/>
    <w:rsid w:val="00C37CE1"/>
    <w:rsid w:val="00C40A77"/>
    <w:rsid w:val="00C40A90"/>
    <w:rsid w:val="00C419A6"/>
    <w:rsid w:val="00C42668"/>
    <w:rsid w:val="00C42F05"/>
    <w:rsid w:val="00C45BA0"/>
    <w:rsid w:val="00C4660B"/>
    <w:rsid w:val="00C46A95"/>
    <w:rsid w:val="00C504B5"/>
    <w:rsid w:val="00C50861"/>
    <w:rsid w:val="00C511DD"/>
    <w:rsid w:val="00C521C2"/>
    <w:rsid w:val="00C52B58"/>
    <w:rsid w:val="00C52DD4"/>
    <w:rsid w:val="00C5377A"/>
    <w:rsid w:val="00C53B99"/>
    <w:rsid w:val="00C53CA9"/>
    <w:rsid w:val="00C54CE7"/>
    <w:rsid w:val="00C5545E"/>
    <w:rsid w:val="00C56466"/>
    <w:rsid w:val="00C56C71"/>
    <w:rsid w:val="00C56CF7"/>
    <w:rsid w:val="00C57140"/>
    <w:rsid w:val="00C615A7"/>
    <w:rsid w:val="00C63401"/>
    <w:rsid w:val="00C63EA7"/>
    <w:rsid w:val="00C64128"/>
    <w:rsid w:val="00C6441A"/>
    <w:rsid w:val="00C64AC9"/>
    <w:rsid w:val="00C65702"/>
    <w:rsid w:val="00C66A81"/>
    <w:rsid w:val="00C67FA9"/>
    <w:rsid w:val="00C7101B"/>
    <w:rsid w:val="00C717BD"/>
    <w:rsid w:val="00C7385C"/>
    <w:rsid w:val="00C74419"/>
    <w:rsid w:val="00C748A8"/>
    <w:rsid w:val="00C74E7B"/>
    <w:rsid w:val="00C770C6"/>
    <w:rsid w:val="00C80154"/>
    <w:rsid w:val="00C81058"/>
    <w:rsid w:val="00C8113B"/>
    <w:rsid w:val="00C81A82"/>
    <w:rsid w:val="00C81DDB"/>
    <w:rsid w:val="00C82469"/>
    <w:rsid w:val="00C82B7B"/>
    <w:rsid w:val="00C83B93"/>
    <w:rsid w:val="00C85976"/>
    <w:rsid w:val="00C85F65"/>
    <w:rsid w:val="00C86BAF"/>
    <w:rsid w:val="00C87138"/>
    <w:rsid w:val="00C90CA2"/>
    <w:rsid w:val="00C918D8"/>
    <w:rsid w:val="00C92648"/>
    <w:rsid w:val="00C92BD0"/>
    <w:rsid w:val="00C92D74"/>
    <w:rsid w:val="00C92F39"/>
    <w:rsid w:val="00C93445"/>
    <w:rsid w:val="00C95456"/>
    <w:rsid w:val="00C95CCA"/>
    <w:rsid w:val="00C95E1D"/>
    <w:rsid w:val="00C95E1E"/>
    <w:rsid w:val="00C968DA"/>
    <w:rsid w:val="00C970CE"/>
    <w:rsid w:val="00C97551"/>
    <w:rsid w:val="00C97871"/>
    <w:rsid w:val="00C97B5D"/>
    <w:rsid w:val="00CA04B3"/>
    <w:rsid w:val="00CA11B7"/>
    <w:rsid w:val="00CA1870"/>
    <w:rsid w:val="00CA19F2"/>
    <w:rsid w:val="00CA1CFA"/>
    <w:rsid w:val="00CA21E1"/>
    <w:rsid w:val="00CA3F63"/>
    <w:rsid w:val="00CA5882"/>
    <w:rsid w:val="00CA61CB"/>
    <w:rsid w:val="00CA667E"/>
    <w:rsid w:val="00CB07FB"/>
    <w:rsid w:val="00CB0A29"/>
    <w:rsid w:val="00CB0C57"/>
    <w:rsid w:val="00CB1778"/>
    <w:rsid w:val="00CB2CB8"/>
    <w:rsid w:val="00CB3248"/>
    <w:rsid w:val="00CB3418"/>
    <w:rsid w:val="00CB364F"/>
    <w:rsid w:val="00CB485F"/>
    <w:rsid w:val="00CB7FBD"/>
    <w:rsid w:val="00CC08EE"/>
    <w:rsid w:val="00CC15D1"/>
    <w:rsid w:val="00CC1B73"/>
    <w:rsid w:val="00CC2BAF"/>
    <w:rsid w:val="00CC3487"/>
    <w:rsid w:val="00CC34ED"/>
    <w:rsid w:val="00CC4F5A"/>
    <w:rsid w:val="00CC6589"/>
    <w:rsid w:val="00CC6819"/>
    <w:rsid w:val="00CC6AE7"/>
    <w:rsid w:val="00CC6E0D"/>
    <w:rsid w:val="00CD0001"/>
    <w:rsid w:val="00CD1002"/>
    <w:rsid w:val="00CD2F53"/>
    <w:rsid w:val="00CD3C2A"/>
    <w:rsid w:val="00CD401D"/>
    <w:rsid w:val="00CD480B"/>
    <w:rsid w:val="00CD5521"/>
    <w:rsid w:val="00CD58C7"/>
    <w:rsid w:val="00CD673D"/>
    <w:rsid w:val="00CD78F0"/>
    <w:rsid w:val="00CE02D6"/>
    <w:rsid w:val="00CE0D1C"/>
    <w:rsid w:val="00CE255A"/>
    <w:rsid w:val="00CE32C0"/>
    <w:rsid w:val="00CE35F8"/>
    <w:rsid w:val="00CE38DD"/>
    <w:rsid w:val="00CE47AF"/>
    <w:rsid w:val="00CE56AE"/>
    <w:rsid w:val="00CE6950"/>
    <w:rsid w:val="00CF0F46"/>
    <w:rsid w:val="00CF5BAD"/>
    <w:rsid w:val="00CF6930"/>
    <w:rsid w:val="00CF717E"/>
    <w:rsid w:val="00CF7650"/>
    <w:rsid w:val="00CF7BC7"/>
    <w:rsid w:val="00D00C25"/>
    <w:rsid w:val="00D01845"/>
    <w:rsid w:val="00D01E90"/>
    <w:rsid w:val="00D02523"/>
    <w:rsid w:val="00D02927"/>
    <w:rsid w:val="00D02931"/>
    <w:rsid w:val="00D029C9"/>
    <w:rsid w:val="00D0310C"/>
    <w:rsid w:val="00D03307"/>
    <w:rsid w:val="00D03EE6"/>
    <w:rsid w:val="00D042C5"/>
    <w:rsid w:val="00D04814"/>
    <w:rsid w:val="00D0481F"/>
    <w:rsid w:val="00D05BE6"/>
    <w:rsid w:val="00D05F2E"/>
    <w:rsid w:val="00D06BCD"/>
    <w:rsid w:val="00D0752A"/>
    <w:rsid w:val="00D1010F"/>
    <w:rsid w:val="00D103F8"/>
    <w:rsid w:val="00D106FF"/>
    <w:rsid w:val="00D10734"/>
    <w:rsid w:val="00D12090"/>
    <w:rsid w:val="00D128EE"/>
    <w:rsid w:val="00D133C9"/>
    <w:rsid w:val="00D1429B"/>
    <w:rsid w:val="00D15720"/>
    <w:rsid w:val="00D160B8"/>
    <w:rsid w:val="00D173C6"/>
    <w:rsid w:val="00D21627"/>
    <w:rsid w:val="00D22B3E"/>
    <w:rsid w:val="00D2353A"/>
    <w:rsid w:val="00D23D15"/>
    <w:rsid w:val="00D23EC8"/>
    <w:rsid w:val="00D24007"/>
    <w:rsid w:val="00D24515"/>
    <w:rsid w:val="00D25B98"/>
    <w:rsid w:val="00D302E3"/>
    <w:rsid w:val="00D319D9"/>
    <w:rsid w:val="00D31E2E"/>
    <w:rsid w:val="00D321BB"/>
    <w:rsid w:val="00D3365E"/>
    <w:rsid w:val="00D3370E"/>
    <w:rsid w:val="00D34123"/>
    <w:rsid w:val="00D34FA9"/>
    <w:rsid w:val="00D356B1"/>
    <w:rsid w:val="00D35817"/>
    <w:rsid w:val="00D35D96"/>
    <w:rsid w:val="00D36806"/>
    <w:rsid w:val="00D370CF"/>
    <w:rsid w:val="00D41D49"/>
    <w:rsid w:val="00D42820"/>
    <w:rsid w:val="00D43FCD"/>
    <w:rsid w:val="00D44F79"/>
    <w:rsid w:val="00D45A90"/>
    <w:rsid w:val="00D4692F"/>
    <w:rsid w:val="00D47638"/>
    <w:rsid w:val="00D506A9"/>
    <w:rsid w:val="00D51925"/>
    <w:rsid w:val="00D53E44"/>
    <w:rsid w:val="00D54541"/>
    <w:rsid w:val="00D54A58"/>
    <w:rsid w:val="00D555C0"/>
    <w:rsid w:val="00D5562A"/>
    <w:rsid w:val="00D55791"/>
    <w:rsid w:val="00D557CE"/>
    <w:rsid w:val="00D57E2D"/>
    <w:rsid w:val="00D57F06"/>
    <w:rsid w:val="00D6105C"/>
    <w:rsid w:val="00D62114"/>
    <w:rsid w:val="00D648BB"/>
    <w:rsid w:val="00D64AD6"/>
    <w:rsid w:val="00D64F67"/>
    <w:rsid w:val="00D65186"/>
    <w:rsid w:val="00D65E95"/>
    <w:rsid w:val="00D70420"/>
    <w:rsid w:val="00D7060B"/>
    <w:rsid w:val="00D70A1F"/>
    <w:rsid w:val="00D71204"/>
    <w:rsid w:val="00D738B9"/>
    <w:rsid w:val="00D73EF6"/>
    <w:rsid w:val="00D742D6"/>
    <w:rsid w:val="00D751FD"/>
    <w:rsid w:val="00D753C8"/>
    <w:rsid w:val="00D75A8B"/>
    <w:rsid w:val="00D76E11"/>
    <w:rsid w:val="00D7701A"/>
    <w:rsid w:val="00D77E6F"/>
    <w:rsid w:val="00D8177E"/>
    <w:rsid w:val="00D82E6B"/>
    <w:rsid w:val="00D82EB0"/>
    <w:rsid w:val="00D839BC"/>
    <w:rsid w:val="00D854B2"/>
    <w:rsid w:val="00D86287"/>
    <w:rsid w:val="00D86BEB"/>
    <w:rsid w:val="00D874E2"/>
    <w:rsid w:val="00D879A5"/>
    <w:rsid w:val="00D87CCA"/>
    <w:rsid w:val="00D87DD1"/>
    <w:rsid w:val="00D90010"/>
    <w:rsid w:val="00D9014B"/>
    <w:rsid w:val="00D90513"/>
    <w:rsid w:val="00D9289F"/>
    <w:rsid w:val="00D92D43"/>
    <w:rsid w:val="00D93988"/>
    <w:rsid w:val="00D93FB2"/>
    <w:rsid w:val="00D94717"/>
    <w:rsid w:val="00D95654"/>
    <w:rsid w:val="00D9700D"/>
    <w:rsid w:val="00DA104B"/>
    <w:rsid w:val="00DA1407"/>
    <w:rsid w:val="00DA24D3"/>
    <w:rsid w:val="00DA2839"/>
    <w:rsid w:val="00DA35EB"/>
    <w:rsid w:val="00DA43A6"/>
    <w:rsid w:val="00DA54F9"/>
    <w:rsid w:val="00DA5D21"/>
    <w:rsid w:val="00DA6315"/>
    <w:rsid w:val="00DA6758"/>
    <w:rsid w:val="00DA716F"/>
    <w:rsid w:val="00DA7A9C"/>
    <w:rsid w:val="00DB059C"/>
    <w:rsid w:val="00DB0772"/>
    <w:rsid w:val="00DB0AC2"/>
    <w:rsid w:val="00DB0C63"/>
    <w:rsid w:val="00DB125A"/>
    <w:rsid w:val="00DB2C4B"/>
    <w:rsid w:val="00DB3A4C"/>
    <w:rsid w:val="00DB48C5"/>
    <w:rsid w:val="00DB51F5"/>
    <w:rsid w:val="00DB56D7"/>
    <w:rsid w:val="00DB58E1"/>
    <w:rsid w:val="00DB6212"/>
    <w:rsid w:val="00DC06FB"/>
    <w:rsid w:val="00DC374F"/>
    <w:rsid w:val="00DC4F7D"/>
    <w:rsid w:val="00DC590F"/>
    <w:rsid w:val="00DC5E57"/>
    <w:rsid w:val="00DC6390"/>
    <w:rsid w:val="00DC7211"/>
    <w:rsid w:val="00DC739F"/>
    <w:rsid w:val="00DC7935"/>
    <w:rsid w:val="00DD047D"/>
    <w:rsid w:val="00DD1130"/>
    <w:rsid w:val="00DD182F"/>
    <w:rsid w:val="00DD1A45"/>
    <w:rsid w:val="00DD4987"/>
    <w:rsid w:val="00DD595F"/>
    <w:rsid w:val="00DD5BD2"/>
    <w:rsid w:val="00DD5D88"/>
    <w:rsid w:val="00DD6204"/>
    <w:rsid w:val="00DD634B"/>
    <w:rsid w:val="00DD78C1"/>
    <w:rsid w:val="00DE0C79"/>
    <w:rsid w:val="00DE1E7A"/>
    <w:rsid w:val="00DE2E70"/>
    <w:rsid w:val="00DE3038"/>
    <w:rsid w:val="00DE3551"/>
    <w:rsid w:val="00DE3653"/>
    <w:rsid w:val="00DE374F"/>
    <w:rsid w:val="00DE3D30"/>
    <w:rsid w:val="00DE486A"/>
    <w:rsid w:val="00DE5231"/>
    <w:rsid w:val="00DE63A3"/>
    <w:rsid w:val="00DE6B49"/>
    <w:rsid w:val="00DE6E09"/>
    <w:rsid w:val="00DE7752"/>
    <w:rsid w:val="00DE7D13"/>
    <w:rsid w:val="00DF00DA"/>
    <w:rsid w:val="00DF09F0"/>
    <w:rsid w:val="00DF0FCE"/>
    <w:rsid w:val="00DF1514"/>
    <w:rsid w:val="00DF20C2"/>
    <w:rsid w:val="00DF230D"/>
    <w:rsid w:val="00DF26DF"/>
    <w:rsid w:val="00DF2B6A"/>
    <w:rsid w:val="00DF3369"/>
    <w:rsid w:val="00DF3944"/>
    <w:rsid w:val="00DF3C78"/>
    <w:rsid w:val="00DF3F9E"/>
    <w:rsid w:val="00DF4469"/>
    <w:rsid w:val="00DF5FEF"/>
    <w:rsid w:val="00DF6271"/>
    <w:rsid w:val="00DF6A14"/>
    <w:rsid w:val="00E017EE"/>
    <w:rsid w:val="00E0202B"/>
    <w:rsid w:val="00E049F6"/>
    <w:rsid w:val="00E054BB"/>
    <w:rsid w:val="00E05682"/>
    <w:rsid w:val="00E05F8E"/>
    <w:rsid w:val="00E0659F"/>
    <w:rsid w:val="00E06C1C"/>
    <w:rsid w:val="00E06CF7"/>
    <w:rsid w:val="00E0717E"/>
    <w:rsid w:val="00E11252"/>
    <w:rsid w:val="00E11BB8"/>
    <w:rsid w:val="00E126CA"/>
    <w:rsid w:val="00E127B0"/>
    <w:rsid w:val="00E12D94"/>
    <w:rsid w:val="00E1406B"/>
    <w:rsid w:val="00E14410"/>
    <w:rsid w:val="00E149D7"/>
    <w:rsid w:val="00E15270"/>
    <w:rsid w:val="00E16C1D"/>
    <w:rsid w:val="00E2068C"/>
    <w:rsid w:val="00E207A0"/>
    <w:rsid w:val="00E21742"/>
    <w:rsid w:val="00E21AB2"/>
    <w:rsid w:val="00E21B52"/>
    <w:rsid w:val="00E21E9C"/>
    <w:rsid w:val="00E22D17"/>
    <w:rsid w:val="00E23813"/>
    <w:rsid w:val="00E246E9"/>
    <w:rsid w:val="00E24AC8"/>
    <w:rsid w:val="00E26539"/>
    <w:rsid w:val="00E26C2A"/>
    <w:rsid w:val="00E26ECC"/>
    <w:rsid w:val="00E27467"/>
    <w:rsid w:val="00E27CB7"/>
    <w:rsid w:val="00E32F76"/>
    <w:rsid w:val="00E33049"/>
    <w:rsid w:val="00E360EA"/>
    <w:rsid w:val="00E36EA9"/>
    <w:rsid w:val="00E406D5"/>
    <w:rsid w:val="00E41846"/>
    <w:rsid w:val="00E41C41"/>
    <w:rsid w:val="00E41FA3"/>
    <w:rsid w:val="00E4211D"/>
    <w:rsid w:val="00E43C6F"/>
    <w:rsid w:val="00E43E90"/>
    <w:rsid w:val="00E44E5F"/>
    <w:rsid w:val="00E4518B"/>
    <w:rsid w:val="00E451CA"/>
    <w:rsid w:val="00E45C83"/>
    <w:rsid w:val="00E45E7E"/>
    <w:rsid w:val="00E462F0"/>
    <w:rsid w:val="00E46646"/>
    <w:rsid w:val="00E501D5"/>
    <w:rsid w:val="00E50B29"/>
    <w:rsid w:val="00E50BF9"/>
    <w:rsid w:val="00E5115D"/>
    <w:rsid w:val="00E51D42"/>
    <w:rsid w:val="00E52363"/>
    <w:rsid w:val="00E52476"/>
    <w:rsid w:val="00E53A17"/>
    <w:rsid w:val="00E542DD"/>
    <w:rsid w:val="00E54320"/>
    <w:rsid w:val="00E547FB"/>
    <w:rsid w:val="00E55BCA"/>
    <w:rsid w:val="00E56F74"/>
    <w:rsid w:val="00E57B30"/>
    <w:rsid w:val="00E60137"/>
    <w:rsid w:val="00E61BF2"/>
    <w:rsid w:val="00E61E15"/>
    <w:rsid w:val="00E62B60"/>
    <w:rsid w:val="00E64420"/>
    <w:rsid w:val="00E64EB5"/>
    <w:rsid w:val="00E661C4"/>
    <w:rsid w:val="00E67629"/>
    <w:rsid w:val="00E70C1D"/>
    <w:rsid w:val="00E711C3"/>
    <w:rsid w:val="00E729FB"/>
    <w:rsid w:val="00E73A28"/>
    <w:rsid w:val="00E73AAA"/>
    <w:rsid w:val="00E73DE3"/>
    <w:rsid w:val="00E74EDB"/>
    <w:rsid w:val="00E75583"/>
    <w:rsid w:val="00E8013F"/>
    <w:rsid w:val="00E80B8F"/>
    <w:rsid w:val="00E8114C"/>
    <w:rsid w:val="00E8324D"/>
    <w:rsid w:val="00E83475"/>
    <w:rsid w:val="00E843DA"/>
    <w:rsid w:val="00E843E8"/>
    <w:rsid w:val="00E84CBF"/>
    <w:rsid w:val="00E8511F"/>
    <w:rsid w:val="00E85CC1"/>
    <w:rsid w:val="00E87E72"/>
    <w:rsid w:val="00E90626"/>
    <w:rsid w:val="00E91426"/>
    <w:rsid w:val="00E92AB8"/>
    <w:rsid w:val="00E92B64"/>
    <w:rsid w:val="00E93726"/>
    <w:rsid w:val="00E952D3"/>
    <w:rsid w:val="00E960BD"/>
    <w:rsid w:val="00E96C0A"/>
    <w:rsid w:val="00E96EFF"/>
    <w:rsid w:val="00EA0CB4"/>
    <w:rsid w:val="00EA1709"/>
    <w:rsid w:val="00EA1EE5"/>
    <w:rsid w:val="00EA1FF2"/>
    <w:rsid w:val="00EA2524"/>
    <w:rsid w:val="00EA2592"/>
    <w:rsid w:val="00EA2B65"/>
    <w:rsid w:val="00EA2ED0"/>
    <w:rsid w:val="00EA31EC"/>
    <w:rsid w:val="00EA32A8"/>
    <w:rsid w:val="00EA3487"/>
    <w:rsid w:val="00EA42DF"/>
    <w:rsid w:val="00EA431C"/>
    <w:rsid w:val="00EA4BDA"/>
    <w:rsid w:val="00EA4E39"/>
    <w:rsid w:val="00EA52C7"/>
    <w:rsid w:val="00EA5438"/>
    <w:rsid w:val="00EA573A"/>
    <w:rsid w:val="00EA58B8"/>
    <w:rsid w:val="00EA5B10"/>
    <w:rsid w:val="00EA5CF9"/>
    <w:rsid w:val="00EA6EB3"/>
    <w:rsid w:val="00EB0857"/>
    <w:rsid w:val="00EB0D33"/>
    <w:rsid w:val="00EB1440"/>
    <w:rsid w:val="00EB18F0"/>
    <w:rsid w:val="00EB23F2"/>
    <w:rsid w:val="00EB38E7"/>
    <w:rsid w:val="00EB3DE8"/>
    <w:rsid w:val="00EB4BB6"/>
    <w:rsid w:val="00EB58C8"/>
    <w:rsid w:val="00EB6A3D"/>
    <w:rsid w:val="00EB6F6A"/>
    <w:rsid w:val="00EB7035"/>
    <w:rsid w:val="00EB7634"/>
    <w:rsid w:val="00EB767B"/>
    <w:rsid w:val="00EB7D36"/>
    <w:rsid w:val="00EC0057"/>
    <w:rsid w:val="00EC0583"/>
    <w:rsid w:val="00EC1632"/>
    <w:rsid w:val="00EC184C"/>
    <w:rsid w:val="00EC1E07"/>
    <w:rsid w:val="00EC2280"/>
    <w:rsid w:val="00EC230D"/>
    <w:rsid w:val="00EC3730"/>
    <w:rsid w:val="00EC3CB1"/>
    <w:rsid w:val="00EC3EA3"/>
    <w:rsid w:val="00EC5C17"/>
    <w:rsid w:val="00EC5C78"/>
    <w:rsid w:val="00EC6CD4"/>
    <w:rsid w:val="00EC780D"/>
    <w:rsid w:val="00EC7949"/>
    <w:rsid w:val="00ED0378"/>
    <w:rsid w:val="00ED09F0"/>
    <w:rsid w:val="00ED124F"/>
    <w:rsid w:val="00ED1AE1"/>
    <w:rsid w:val="00ED4931"/>
    <w:rsid w:val="00ED4AD1"/>
    <w:rsid w:val="00ED5419"/>
    <w:rsid w:val="00ED6E82"/>
    <w:rsid w:val="00ED78CC"/>
    <w:rsid w:val="00ED7DFA"/>
    <w:rsid w:val="00ED7F8A"/>
    <w:rsid w:val="00EE0E9F"/>
    <w:rsid w:val="00EE1F2D"/>
    <w:rsid w:val="00EE2296"/>
    <w:rsid w:val="00EE29A8"/>
    <w:rsid w:val="00EE331A"/>
    <w:rsid w:val="00EE40AF"/>
    <w:rsid w:val="00EE41F2"/>
    <w:rsid w:val="00EE46F7"/>
    <w:rsid w:val="00EE4F13"/>
    <w:rsid w:val="00EE601C"/>
    <w:rsid w:val="00EE6409"/>
    <w:rsid w:val="00EE6605"/>
    <w:rsid w:val="00EE6673"/>
    <w:rsid w:val="00EF0B98"/>
    <w:rsid w:val="00EF1155"/>
    <w:rsid w:val="00EF134F"/>
    <w:rsid w:val="00EF16D5"/>
    <w:rsid w:val="00EF36F9"/>
    <w:rsid w:val="00EF4956"/>
    <w:rsid w:val="00EF4B8E"/>
    <w:rsid w:val="00EF58A2"/>
    <w:rsid w:val="00EF5B20"/>
    <w:rsid w:val="00EF5C92"/>
    <w:rsid w:val="00EF69D6"/>
    <w:rsid w:val="00EF6F96"/>
    <w:rsid w:val="00EF72F0"/>
    <w:rsid w:val="00F001ED"/>
    <w:rsid w:val="00F013B0"/>
    <w:rsid w:val="00F028AC"/>
    <w:rsid w:val="00F03447"/>
    <w:rsid w:val="00F03E47"/>
    <w:rsid w:val="00F04DC1"/>
    <w:rsid w:val="00F056DA"/>
    <w:rsid w:val="00F12FF7"/>
    <w:rsid w:val="00F131B4"/>
    <w:rsid w:val="00F1402E"/>
    <w:rsid w:val="00F1461C"/>
    <w:rsid w:val="00F16539"/>
    <w:rsid w:val="00F16C23"/>
    <w:rsid w:val="00F204E5"/>
    <w:rsid w:val="00F20BC5"/>
    <w:rsid w:val="00F2308E"/>
    <w:rsid w:val="00F23891"/>
    <w:rsid w:val="00F239F5"/>
    <w:rsid w:val="00F23F29"/>
    <w:rsid w:val="00F23F9D"/>
    <w:rsid w:val="00F24A5D"/>
    <w:rsid w:val="00F2710E"/>
    <w:rsid w:val="00F272B9"/>
    <w:rsid w:val="00F3011D"/>
    <w:rsid w:val="00F305CF"/>
    <w:rsid w:val="00F33171"/>
    <w:rsid w:val="00F33AB2"/>
    <w:rsid w:val="00F34D4D"/>
    <w:rsid w:val="00F36376"/>
    <w:rsid w:val="00F368C8"/>
    <w:rsid w:val="00F41B82"/>
    <w:rsid w:val="00F4268E"/>
    <w:rsid w:val="00F427F9"/>
    <w:rsid w:val="00F428F5"/>
    <w:rsid w:val="00F43187"/>
    <w:rsid w:val="00F445C9"/>
    <w:rsid w:val="00F45552"/>
    <w:rsid w:val="00F46078"/>
    <w:rsid w:val="00F4633B"/>
    <w:rsid w:val="00F47CE2"/>
    <w:rsid w:val="00F50663"/>
    <w:rsid w:val="00F52324"/>
    <w:rsid w:val="00F52B0F"/>
    <w:rsid w:val="00F52FCD"/>
    <w:rsid w:val="00F53B5D"/>
    <w:rsid w:val="00F53F3F"/>
    <w:rsid w:val="00F54D7C"/>
    <w:rsid w:val="00F564CC"/>
    <w:rsid w:val="00F564D2"/>
    <w:rsid w:val="00F56B1B"/>
    <w:rsid w:val="00F601CD"/>
    <w:rsid w:val="00F605FB"/>
    <w:rsid w:val="00F60EEF"/>
    <w:rsid w:val="00F621D8"/>
    <w:rsid w:val="00F6226E"/>
    <w:rsid w:val="00F62578"/>
    <w:rsid w:val="00F62ED4"/>
    <w:rsid w:val="00F6722A"/>
    <w:rsid w:val="00F67E1A"/>
    <w:rsid w:val="00F67E3D"/>
    <w:rsid w:val="00F7027A"/>
    <w:rsid w:val="00F71BDD"/>
    <w:rsid w:val="00F72F43"/>
    <w:rsid w:val="00F73BDF"/>
    <w:rsid w:val="00F74243"/>
    <w:rsid w:val="00F74AFF"/>
    <w:rsid w:val="00F764B9"/>
    <w:rsid w:val="00F7699E"/>
    <w:rsid w:val="00F77FEE"/>
    <w:rsid w:val="00F800E1"/>
    <w:rsid w:val="00F805AE"/>
    <w:rsid w:val="00F80700"/>
    <w:rsid w:val="00F80F29"/>
    <w:rsid w:val="00F82E25"/>
    <w:rsid w:val="00F82FE1"/>
    <w:rsid w:val="00F847C3"/>
    <w:rsid w:val="00F84EBD"/>
    <w:rsid w:val="00F85272"/>
    <w:rsid w:val="00F85339"/>
    <w:rsid w:val="00F85834"/>
    <w:rsid w:val="00F85838"/>
    <w:rsid w:val="00F85CA7"/>
    <w:rsid w:val="00F86615"/>
    <w:rsid w:val="00F867C3"/>
    <w:rsid w:val="00F86A45"/>
    <w:rsid w:val="00F87090"/>
    <w:rsid w:val="00F87F15"/>
    <w:rsid w:val="00F9040F"/>
    <w:rsid w:val="00F91E1D"/>
    <w:rsid w:val="00F92634"/>
    <w:rsid w:val="00F92CBA"/>
    <w:rsid w:val="00F934C3"/>
    <w:rsid w:val="00F93E56"/>
    <w:rsid w:val="00F94472"/>
    <w:rsid w:val="00F9461B"/>
    <w:rsid w:val="00F94D5E"/>
    <w:rsid w:val="00F9507B"/>
    <w:rsid w:val="00F951CA"/>
    <w:rsid w:val="00F951F2"/>
    <w:rsid w:val="00F95A3B"/>
    <w:rsid w:val="00F95F09"/>
    <w:rsid w:val="00F962E7"/>
    <w:rsid w:val="00F96849"/>
    <w:rsid w:val="00FA0124"/>
    <w:rsid w:val="00FA0212"/>
    <w:rsid w:val="00FA0BF8"/>
    <w:rsid w:val="00FA0CD0"/>
    <w:rsid w:val="00FA0EBE"/>
    <w:rsid w:val="00FA1389"/>
    <w:rsid w:val="00FA1529"/>
    <w:rsid w:val="00FA1946"/>
    <w:rsid w:val="00FA1CB9"/>
    <w:rsid w:val="00FA2450"/>
    <w:rsid w:val="00FA2645"/>
    <w:rsid w:val="00FA2D76"/>
    <w:rsid w:val="00FA3033"/>
    <w:rsid w:val="00FA3FDA"/>
    <w:rsid w:val="00FA4890"/>
    <w:rsid w:val="00FA4E15"/>
    <w:rsid w:val="00FA500C"/>
    <w:rsid w:val="00FA5166"/>
    <w:rsid w:val="00FA56DB"/>
    <w:rsid w:val="00FA5CD4"/>
    <w:rsid w:val="00FA6594"/>
    <w:rsid w:val="00FA7325"/>
    <w:rsid w:val="00FB12B5"/>
    <w:rsid w:val="00FB154C"/>
    <w:rsid w:val="00FB24F4"/>
    <w:rsid w:val="00FB27EE"/>
    <w:rsid w:val="00FB297D"/>
    <w:rsid w:val="00FB2D76"/>
    <w:rsid w:val="00FB48AD"/>
    <w:rsid w:val="00FB4E8B"/>
    <w:rsid w:val="00FB62AA"/>
    <w:rsid w:val="00FB6FC6"/>
    <w:rsid w:val="00FB773D"/>
    <w:rsid w:val="00FC1FC0"/>
    <w:rsid w:val="00FC3CA8"/>
    <w:rsid w:val="00FC41A9"/>
    <w:rsid w:val="00FC4765"/>
    <w:rsid w:val="00FC557F"/>
    <w:rsid w:val="00FC5E69"/>
    <w:rsid w:val="00FC5FEA"/>
    <w:rsid w:val="00FC63AB"/>
    <w:rsid w:val="00FC7033"/>
    <w:rsid w:val="00FC7173"/>
    <w:rsid w:val="00FC7852"/>
    <w:rsid w:val="00FC79FE"/>
    <w:rsid w:val="00FD01FC"/>
    <w:rsid w:val="00FD0505"/>
    <w:rsid w:val="00FD053C"/>
    <w:rsid w:val="00FD0CD6"/>
    <w:rsid w:val="00FD10A6"/>
    <w:rsid w:val="00FD2B97"/>
    <w:rsid w:val="00FD3531"/>
    <w:rsid w:val="00FD3852"/>
    <w:rsid w:val="00FD3C35"/>
    <w:rsid w:val="00FD4AA6"/>
    <w:rsid w:val="00FD5465"/>
    <w:rsid w:val="00FD548E"/>
    <w:rsid w:val="00FD58B7"/>
    <w:rsid w:val="00FD7131"/>
    <w:rsid w:val="00FD76F7"/>
    <w:rsid w:val="00FD7A72"/>
    <w:rsid w:val="00FE11B1"/>
    <w:rsid w:val="00FE12BB"/>
    <w:rsid w:val="00FE1AE6"/>
    <w:rsid w:val="00FE37B7"/>
    <w:rsid w:val="00FE3FFA"/>
    <w:rsid w:val="00FE5DDB"/>
    <w:rsid w:val="00FE6EA3"/>
    <w:rsid w:val="00FE74CB"/>
    <w:rsid w:val="00FF00FB"/>
    <w:rsid w:val="00FF0FC4"/>
    <w:rsid w:val="00FF17C5"/>
    <w:rsid w:val="00FF1D9E"/>
    <w:rsid w:val="00FF3170"/>
    <w:rsid w:val="00FF4675"/>
    <w:rsid w:val="00FF48B6"/>
    <w:rsid w:val="00FF5102"/>
    <w:rsid w:val="00FF5A21"/>
    <w:rsid w:val="00FF64C1"/>
    <w:rsid w:val="00FF6666"/>
    <w:rsid w:val="00FF6F97"/>
    <w:rsid w:val="00FF7C61"/>
    <w:rsid w:val="087723E8"/>
    <w:rsid w:val="0A0C4D72"/>
    <w:rsid w:val="1FFD53FD"/>
    <w:rsid w:val="352A0378"/>
    <w:rsid w:val="3C293C4F"/>
    <w:rsid w:val="3EBD372D"/>
    <w:rsid w:val="6C327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3"/>
    <w:qFormat/>
    <w:uiPriority w:val="0"/>
    <w:pPr>
      <w:keepNext/>
      <w:keepLines/>
      <w:spacing w:before="340" w:after="330" w:line="1400" w:lineRule="exact"/>
      <w:jc w:val="center"/>
      <w:outlineLvl w:val="0"/>
    </w:pPr>
    <w:rPr>
      <w:rFonts w:ascii="宋体" w:hAnsi="宋体"/>
      <w:b/>
      <w:kern w:val="44"/>
      <w:sz w:val="52"/>
    </w:rPr>
  </w:style>
  <w:style w:type="paragraph" w:styleId="3">
    <w:name w:val="heading 2"/>
    <w:basedOn w:val="1"/>
    <w:next w:val="1"/>
    <w:link w:val="92"/>
    <w:qFormat/>
    <w:uiPriority w:val="0"/>
    <w:pPr>
      <w:keepNext/>
      <w:keepLines/>
      <w:spacing w:before="260" w:after="260" w:line="1200" w:lineRule="exact"/>
      <w:jc w:val="center"/>
      <w:outlineLvl w:val="1"/>
    </w:pPr>
    <w:rPr>
      <w:rFonts w:ascii="Arial" w:hAnsi="Arial"/>
      <w:b/>
      <w:sz w:val="44"/>
    </w:rPr>
  </w:style>
  <w:style w:type="paragraph" w:styleId="4">
    <w:name w:val="heading 3"/>
    <w:basedOn w:val="1"/>
    <w:next w:val="1"/>
    <w:link w:val="69"/>
    <w:qFormat/>
    <w:uiPriority w:val="0"/>
    <w:pPr>
      <w:keepNext/>
      <w:keepLines/>
      <w:spacing w:before="260" w:after="260" w:line="600" w:lineRule="exact"/>
      <w:jc w:val="center"/>
      <w:outlineLvl w:val="2"/>
    </w:pPr>
    <w:rPr>
      <w:rFonts w:eastAsia="仿宋_GB2312"/>
      <w:b/>
      <w:sz w:val="32"/>
    </w:rPr>
  </w:style>
  <w:style w:type="paragraph" w:styleId="5">
    <w:name w:val="heading 4"/>
    <w:basedOn w:val="1"/>
    <w:next w:val="1"/>
    <w:link w:val="10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5"/>
    <w:qFormat/>
    <w:uiPriority w:val="0"/>
    <w:pPr>
      <w:keepNext/>
      <w:keepLines/>
      <w:spacing w:before="280" w:after="290" w:line="376" w:lineRule="auto"/>
      <w:outlineLvl w:val="4"/>
    </w:pPr>
    <w:rPr>
      <w:b/>
      <w:bCs/>
      <w:sz w:val="28"/>
      <w:szCs w:val="28"/>
    </w:rPr>
  </w:style>
  <w:style w:type="paragraph" w:styleId="7">
    <w:name w:val="heading 6"/>
    <w:basedOn w:val="1"/>
    <w:next w:val="1"/>
    <w:link w:val="96"/>
    <w:qFormat/>
    <w:uiPriority w:val="0"/>
    <w:pPr>
      <w:keepNext/>
      <w:keepLines/>
      <w:spacing w:before="240" w:after="64" w:line="320" w:lineRule="auto"/>
      <w:ind w:left="1152" w:hanging="1152"/>
      <w:outlineLvl w:val="5"/>
    </w:pPr>
    <w:rPr>
      <w:rFonts w:ascii="Cambria" w:hAnsi="Cambria"/>
      <w:b/>
      <w:bCs/>
      <w:sz w:val="24"/>
      <w:szCs w:val="24"/>
    </w:rPr>
  </w:style>
  <w:style w:type="paragraph" w:styleId="8">
    <w:name w:val="heading 7"/>
    <w:basedOn w:val="1"/>
    <w:next w:val="1"/>
    <w:link w:val="66"/>
    <w:qFormat/>
    <w:uiPriority w:val="0"/>
    <w:pPr>
      <w:keepNext/>
      <w:keepLines/>
      <w:spacing w:before="240" w:after="64" w:line="320" w:lineRule="auto"/>
      <w:ind w:left="1296" w:hanging="1296"/>
      <w:outlineLvl w:val="6"/>
    </w:pPr>
    <w:rPr>
      <w:rFonts w:ascii="Calibri" w:hAnsi="Calibri"/>
      <w:b/>
      <w:bCs/>
      <w:sz w:val="24"/>
      <w:szCs w:val="24"/>
    </w:rPr>
  </w:style>
  <w:style w:type="paragraph" w:styleId="9">
    <w:name w:val="heading 8"/>
    <w:basedOn w:val="1"/>
    <w:next w:val="1"/>
    <w:link w:val="93"/>
    <w:qFormat/>
    <w:uiPriority w:val="0"/>
    <w:pPr>
      <w:keepNext/>
      <w:keepLines/>
      <w:spacing w:before="240" w:after="64" w:line="320" w:lineRule="auto"/>
      <w:ind w:left="1440" w:hanging="1440"/>
      <w:outlineLvl w:val="7"/>
    </w:pPr>
    <w:rPr>
      <w:rFonts w:ascii="Cambria" w:hAnsi="Cambria"/>
      <w:sz w:val="24"/>
      <w:szCs w:val="24"/>
    </w:rPr>
  </w:style>
  <w:style w:type="paragraph" w:styleId="10">
    <w:name w:val="heading 9"/>
    <w:basedOn w:val="1"/>
    <w:next w:val="1"/>
    <w:link w:val="59"/>
    <w:qFormat/>
    <w:uiPriority w:val="0"/>
    <w:pPr>
      <w:keepNext/>
      <w:keepLines/>
      <w:spacing w:before="240" w:after="64" w:line="320" w:lineRule="auto"/>
      <w:ind w:left="1584" w:hanging="1584"/>
      <w:outlineLvl w:val="8"/>
    </w:pPr>
    <w:rPr>
      <w:rFonts w:ascii="Cambria" w:hAnsi="Cambria"/>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101"/>
    <w:qFormat/>
    <w:uiPriority w:val="0"/>
    <w:pPr>
      <w:ind w:firstLine="420" w:firstLineChars="200"/>
    </w:pPr>
    <w:rPr>
      <w:szCs w:val="24"/>
    </w:rPr>
  </w:style>
  <w:style w:type="paragraph" w:styleId="13">
    <w:name w:val="caption"/>
    <w:basedOn w:val="1"/>
    <w:next w:val="1"/>
    <w:qFormat/>
    <w:uiPriority w:val="0"/>
    <w:rPr>
      <w:rFonts w:ascii="Arial" w:hAnsi="Arial" w:eastAsia="黑体"/>
      <w:sz w:val="20"/>
    </w:rPr>
  </w:style>
  <w:style w:type="paragraph" w:styleId="14">
    <w:name w:val="Document Map"/>
    <w:basedOn w:val="1"/>
    <w:link w:val="57"/>
    <w:unhideWhenUsed/>
    <w:qFormat/>
    <w:uiPriority w:val="0"/>
    <w:pPr>
      <w:spacing w:line="360" w:lineRule="auto"/>
    </w:pPr>
    <w:rPr>
      <w:rFonts w:ascii="宋体" w:hAnsi="Calibri"/>
      <w:sz w:val="18"/>
      <w:szCs w:val="18"/>
    </w:rPr>
  </w:style>
  <w:style w:type="paragraph" w:styleId="15">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rPr>
  </w:style>
  <w:style w:type="paragraph" w:styleId="16">
    <w:name w:val="annotation text"/>
    <w:basedOn w:val="1"/>
    <w:link w:val="97"/>
    <w:qFormat/>
    <w:uiPriority w:val="0"/>
    <w:pPr>
      <w:jc w:val="left"/>
    </w:pPr>
  </w:style>
  <w:style w:type="paragraph" w:styleId="17">
    <w:name w:val="Closing"/>
    <w:basedOn w:val="1"/>
    <w:link w:val="82"/>
    <w:unhideWhenUsed/>
    <w:qFormat/>
    <w:uiPriority w:val="0"/>
    <w:pPr>
      <w:ind w:left="100" w:leftChars="2100"/>
    </w:pPr>
    <w:rPr>
      <w:rFonts w:ascii="宋体" w:hAnsi="宋体"/>
      <w:color w:val="000000"/>
      <w:kern w:val="0"/>
      <w:sz w:val="24"/>
    </w:rPr>
  </w:style>
  <w:style w:type="paragraph" w:styleId="18">
    <w:name w:val="Body Text"/>
    <w:basedOn w:val="1"/>
    <w:link w:val="60"/>
    <w:qFormat/>
    <w:uiPriority w:val="0"/>
    <w:pPr>
      <w:spacing w:after="120"/>
    </w:pPr>
  </w:style>
  <w:style w:type="paragraph" w:styleId="19">
    <w:name w:val="Body Text Indent"/>
    <w:basedOn w:val="1"/>
    <w:link w:val="98"/>
    <w:qFormat/>
    <w:uiPriority w:val="0"/>
    <w:pPr>
      <w:spacing w:after="120"/>
      <w:ind w:left="420" w:leftChars="200"/>
    </w:pPr>
  </w:style>
  <w:style w:type="paragraph" w:styleId="20">
    <w:name w:val="toc 5"/>
    <w:basedOn w:val="1"/>
    <w:next w:val="1"/>
    <w:unhideWhenUsed/>
    <w:qFormat/>
    <w:uiPriority w:val="39"/>
    <w:pPr>
      <w:ind w:left="840"/>
      <w:jc w:val="left"/>
    </w:pPr>
    <w:rPr>
      <w:sz w:val="18"/>
    </w:rPr>
  </w:style>
  <w:style w:type="paragraph" w:styleId="21">
    <w:name w:val="toc 3"/>
    <w:basedOn w:val="1"/>
    <w:next w:val="1"/>
    <w:qFormat/>
    <w:uiPriority w:val="39"/>
    <w:pPr>
      <w:ind w:left="840" w:leftChars="400"/>
    </w:pPr>
    <w:rPr>
      <w:sz w:val="22"/>
    </w:rPr>
  </w:style>
  <w:style w:type="paragraph" w:styleId="22">
    <w:name w:val="Plain Text"/>
    <w:basedOn w:val="1"/>
    <w:link w:val="56"/>
    <w:qFormat/>
    <w:uiPriority w:val="0"/>
    <w:rPr>
      <w:rFonts w:ascii="宋体" w:hAnsi="Courier New"/>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80"/>
    <w:qFormat/>
    <w:uiPriority w:val="0"/>
    <w:pPr>
      <w:spacing w:line="600" w:lineRule="exact"/>
      <w:jc w:val="right"/>
    </w:pPr>
    <w:rPr>
      <w:rFonts w:eastAsia="仿宋_GB2312"/>
      <w:sz w:val="31"/>
    </w:rPr>
  </w:style>
  <w:style w:type="paragraph" w:styleId="25">
    <w:name w:val="Body Text Indent 2"/>
    <w:basedOn w:val="1"/>
    <w:link w:val="58"/>
    <w:qFormat/>
    <w:uiPriority w:val="0"/>
    <w:pPr>
      <w:ind w:firstLine="539" w:firstLineChars="174"/>
    </w:pPr>
    <w:rPr>
      <w:rFonts w:ascii="仿宋_GB2312" w:eastAsia="仿宋_GB2312"/>
      <w:sz w:val="31"/>
    </w:rPr>
  </w:style>
  <w:style w:type="paragraph" w:styleId="26">
    <w:name w:val="Balloon Text"/>
    <w:basedOn w:val="1"/>
    <w:link w:val="85"/>
    <w:qFormat/>
    <w:uiPriority w:val="0"/>
    <w:rPr>
      <w:sz w:val="18"/>
    </w:rPr>
  </w:style>
  <w:style w:type="paragraph" w:styleId="27">
    <w:name w:val="footer"/>
    <w:basedOn w:val="1"/>
    <w:link w:val="55"/>
    <w:qFormat/>
    <w:uiPriority w:val="99"/>
    <w:pPr>
      <w:tabs>
        <w:tab w:val="center" w:pos="4153"/>
        <w:tab w:val="right" w:pos="8306"/>
      </w:tabs>
      <w:snapToGrid w:val="0"/>
      <w:jc w:val="left"/>
    </w:pPr>
    <w:rPr>
      <w:sz w:val="18"/>
    </w:rPr>
  </w:style>
  <w:style w:type="paragraph" w:styleId="28">
    <w:name w:val="header"/>
    <w:basedOn w:val="1"/>
    <w:link w:val="52"/>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tabs>
        <w:tab w:val="right" w:leader="dot" w:pos="8835"/>
      </w:tabs>
      <w:jc w:val="center"/>
    </w:pPr>
    <w:rPr>
      <w:rFonts w:ascii="宋体" w:hAnsi="宋体"/>
      <w:color w:val="000000"/>
      <w:spacing w:val="30"/>
      <w:sz w:val="24"/>
    </w:rPr>
  </w:style>
  <w:style w:type="paragraph" w:styleId="30">
    <w:name w:val="toc 4"/>
    <w:basedOn w:val="1"/>
    <w:next w:val="1"/>
    <w:unhideWhenUsed/>
    <w:qFormat/>
    <w:uiPriority w:val="39"/>
    <w:pPr>
      <w:tabs>
        <w:tab w:val="right" w:leader="dot" w:pos="8302"/>
      </w:tabs>
      <w:ind w:left="1134"/>
      <w:jc w:val="left"/>
    </w:pPr>
    <w:rPr>
      <w:szCs w:val="30"/>
    </w:rPr>
  </w:style>
  <w:style w:type="paragraph" w:styleId="31">
    <w:name w:val="index heading"/>
    <w:basedOn w:val="1"/>
    <w:next w:val="32"/>
    <w:qFormat/>
    <w:uiPriority w:val="0"/>
  </w:style>
  <w:style w:type="paragraph" w:styleId="32">
    <w:name w:val="index 1"/>
    <w:basedOn w:val="1"/>
    <w:next w:val="1"/>
    <w:unhideWhenUsed/>
    <w:qFormat/>
    <w:uiPriority w:val="0"/>
    <w:pPr>
      <w:adjustRightInd w:val="0"/>
      <w:spacing w:line="360" w:lineRule="atLeast"/>
      <w:jc w:val="center"/>
    </w:pPr>
    <w:rPr>
      <w:rFonts w:ascii="Arial" w:hAnsi="Arial"/>
      <w:szCs w:val="21"/>
    </w:rPr>
  </w:style>
  <w:style w:type="paragraph" w:styleId="33">
    <w:name w:val="List"/>
    <w:basedOn w:val="1"/>
    <w:qFormat/>
    <w:uiPriority w:val="0"/>
    <w:pPr>
      <w:tabs>
        <w:tab w:val="left" w:pos="420"/>
      </w:tabs>
      <w:adjustRightInd w:val="0"/>
      <w:snapToGrid w:val="0"/>
      <w:spacing w:line="300" w:lineRule="auto"/>
      <w:ind w:left="840" w:hanging="420"/>
    </w:pPr>
    <w:rPr>
      <w:szCs w:val="24"/>
    </w:rPr>
  </w:style>
  <w:style w:type="paragraph" w:styleId="34">
    <w:name w:val="toc 6"/>
    <w:basedOn w:val="1"/>
    <w:next w:val="1"/>
    <w:unhideWhenUsed/>
    <w:qFormat/>
    <w:uiPriority w:val="39"/>
    <w:pPr>
      <w:ind w:left="2100" w:leftChars="1000"/>
    </w:pPr>
    <w:rPr>
      <w:rFonts w:ascii="Calibri" w:hAnsi="Calibri"/>
      <w:szCs w:val="22"/>
    </w:rPr>
  </w:style>
  <w:style w:type="paragraph" w:styleId="35">
    <w:name w:val="Body Text Indent 3"/>
    <w:basedOn w:val="1"/>
    <w:link w:val="79"/>
    <w:qFormat/>
    <w:uiPriority w:val="0"/>
    <w:pPr>
      <w:spacing w:after="120"/>
      <w:ind w:left="420" w:leftChars="200"/>
    </w:pPr>
    <w:rPr>
      <w:sz w:val="16"/>
      <w:szCs w:val="16"/>
    </w:rPr>
  </w:style>
  <w:style w:type="paragraph" w:styleId="36">
    <w:name w:val="table of figures"/>
    <w:basedOn w:val="1"/>
    <w:next w:val="1"/>
    <w:qFormat/>
    <w:uiPriority w:val="0"/>
    <w:pPr>
      <w:ind w:left="200" w:leftChars="200" w:hanging="200" w:hangingChars="200"/>
    </w:pPr>
    <w:rPr>
      <w:sz w:val="24"/>
    </w:rPr>
  </w:style>
  <w:style w:type="paragraph" w:styleId="37">
    <w:name w:val="toc 2"/>
    <w:basedOn w:val="1"/>
    <w:next w:val="1"/>
    <w:qFormat/>
    <w:uiPriority w:val="39"/>
    <w:pPr>
      <w:tabs>
        <w:tab w:val="right" w:leader="dot" w:pos="8835"/>
      </w:tabs>
    </w:pPr>
    <w:rPr>
      <w:sz w:val="22"/>
    </w:rPr>
  </w:style>
  <w:style w:type="paragraph" w:styleId="38">
    <w:name w:val="toc 9"/>
    <w:basedOn w:val="1"/>
    <w:next w:val="1"/>
    <w:unhideWhenUsed/>
    <w:qFormat/>
    <w:uiPriority w:val="39"/>
    <w:pPr>
      <w:snapToGrid w:val="0"/>
      <w:ind w:left="1680"/>
    </w:pPr>
    <w:rPr>
      <w:kern w:val="0"/>
      <w:sz w:val="24"/>
    </w:rPr>
  </w:style>
  <w:style w:type="paragraph" w:styleId="39">
    <w:name w:val="Body Text 2"/>
    <w:basedOn w:val="1"/>
    <w:link w:val="68"/>
    <w:unhideWhenUsed/>
    <w:qFormat/>
    <w:uiPriority w:val="0"/>
    <w:pPr>
      <w:jc w:val="center"/>
      <w:outlineLvl w:val="0"/>
    </w:pPr>
    <w:rPr>
      <w:rFonts w:ascii="楷体_GB2312" w:hAnsi="宋体" w:eastAsia="楷体_GB2312"/>
      <w:sz w:val="52"/>
      <w:szCs w:val="24"/>
    </w:rPr>
  </w:style>
  <w:style w:type="paragraph" w:styleId="40">
    <w:name w:val="Normal (Web)"/>
    <w:basedOn w:val="1"/>
    <w:link w:val="77"/>
    <w:qFormat/>
    <w:uiPriority w:val="0"/>
    <w:pPr>
      <w:jc w:val="left"/>
    </w:pPr>
    <w:rPr>
      <w:sz w:val="24"/>
      <w:szCs w:val="24"/>
    </w:rPr>
  </w:style>
  <w:style w:type="paragraph" w:styleId="41">
    <w:name w:val="annotation subject"/>
    <w:basedOn w:val="16"/>
    <w:next w:val="16"/>
    <w:qFormat/>
    <w:uiPriority w:val="0"/>
    <w:rPr>
      <w:b/>
    </w:rPr>
  </w:style>
  <w:style w:type="paragraph" w:styleId="42">
    <w:name w:val="Body Text First Indent"/>
    <w:basedOn w:val="18"/>
    <w:link w:val="102"/>
    <w:unhideWhenUsed/>
    <w:qFormat/>
    <w:uiPriority w:val="0"/>
    <w:pPr>
      <w:spacing w:line="360" w:lineRule="auto"/>
      <w:ind w:firstLine="420" w:firstLineChars="100"/>
    </w:pPr>
    <w:rPr>
      <w:rFonts w:ascii="Calibri" w:hAnsi="Calibri"/>
      <w:szCs w:val="22"/>
    </w:rPr>
  </w:style>
  <w:style w:type="table" w:styleId="44">
    <w:name w:val="Table Grid"/>
    <w:basedOn w:val="43"/>
    <w:qFormat/>
    <w:uiPriority w:val="5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6">
    <w:name w:val="Strong"/>
    <w:qFormat/>
    <w:uiPriority w:val="22"/>
    <w:rPr>
      <w:rFonts w:hint="default" w:ascii="Tahoma" w:hAnsi="Tahoma" w:eastAsia="宋体" w:cs="Tahoma"/>
      <w:b/>
      <w:bCs/>
      <w:spacing w:val="10"/>
      <w:sz w:val="24"/>
      <w:lang w:val="en-US" w:eastAsia="zh-CN" w:bidi="ar-SA"/>
    </w:rPr>
  </w:style>
  <w:style w:type="character" w:styleId="47">
    <w:name w:val="page number"/>
    <w:basedOn w:val="45"/>
    <w:qFormat/>
    <w:uiPriority w:val="0"/>
  </w:style>
  <w:style w:type="character" w:styleId="48">
    <w:name w:val="Emphasis"/>
    <w:qFormat/>
    <w:uiPriority w:val="0"/>
    <w:rPr>
      <w:color w:val="CC0033"/>
    </w:rPr>
  </w:style>
  <w:style w:type="character" w:styleId="49">
    <w:name w:val="Hyperlink"/>
    <w:qFormat/>
    <w:uiPriority w:val="99"/>
    <w:rPr>
      <w:color w:val="0000FF"/>
      <w:u w:val="single"/>
    </w:rPr>
  </w:style>
  <w:style w:type="character" w:styleId="50">
    <w:name w:val="annotation reference"/>
    <w:qFormat/>
    <w:uiPriority w:val="0"/>
    <w:rPr>
      <w:sz w:val="21"/>
    </w:rPr>
  </w:style>
  <w:style w:type="character" w:customStyle="1" w:styleId="51">
    <w:name w:val="BOD 0 Char"/>
    <w:qFormat/>
    <w:uiPriority w:val="0"/>
    <w:rPr>
      <w:rFonts w:eastAsia="仿宋_GB2312"/>
      <w:b/>
      <w:kern w:val="2"/>
      <w:sz w:val="32"/>
      <w:lang w:val="en-US" w:eastAsia="zh-CN" w:bidi="ar-SA"/>
    </w:rPr>
  </w:style>
  <w:style w:type="character" w:customStyle="1" w:styleId="52">
    <w:name w:val="页眉 Char"/>
    <w:link w:val="28"/>
    <w:semiHidden/>
    <w:qFormat/>
    <w:uiPriority w:val="99"/>
    <w:rPr>
      <w:rFonts w:eastAsia="宋体"/>
      <w:kern w:val="2"/>
      <w:sz w:val="18"/>
      <w:lang w:val="en-US" w:eastAsia="zh-CN" w:bidi="ar-SA"/>
    </w:rPr>
  </w:style>
  <w:style w:type="character" w:customStyle="1" w:styleId="53">
    <w:name w:val="彩色列表 - 强调文字颜色 1 Char"/>
    <w:link w:val="54"/>
    <w:qFormat/>
    <w:uiPriority w:val="0"/>
    <w:rPr>
      <w:rFonts w:ascii="Calibri" w:hAnsi="Calibri" w:eastAsia="宋体"/>
      <w:kern w:val="2"/>
      <w:sz w:val="21"/>
      <w:szCs w:val="22"/>
      <w:lang w:val="en-US" w:eastAsia="zh-CN" w:bidi="ar-SA"/>
    </w:rPr>
  </w:style>
  <w:style w:type="paragraph" w:customStyle="1" w:styleId="54">
    <w:name w:val="彩色列表 - 强调文字颜色 11"/>
    <w:basedOn w:val="1"/>
    <w:link w:val="53"/>
    <w:qFormat/>
    <w:uiPriority w:val="0"/>
    <w:pPr>
      <w:spacing w:line="360" w:lineRule="auto"/>
      <w:ind w:firstLine="420" w:firstLineChars="200"/>
    </w:pPr>
    <w:rPr>
      <w:rFonts w:ascii="Calibri" w:hAnsi="Calibri"/>
      <w:szCs w:val="22"/>
    </w:rPr>
  </w:style>
  <w:style w:type="character" w:customStyle="1" w:styleId="55">
    <w:name w:val="页脚 Char"/>
    <w:link w:val="27"/>
    <w:qFormat/>
    <w:uiPriority w:val="99"/>
    <w:rPr>
      <w:rFonts w:eastAsia="宋体"/>
      <w:kern w:val="2"/>
      <w:sz w:val="18"/>
      <w:lang w:val="en-US" w:eastAsia="zh-CN" w:bidi="ar-SA"/>
    </w:rPr>
  </w:style>
  <w:style w:type="character" w:customStyle="1" w:styleId="56">
    <w:name w:val="纯文本 Char"/>
    <w:link w:val="22"/>
    <w:qFormat/>
    <w:uiPriority w:val="0"/>
    <w:rPr>
      <w:rFonts w:ascii="宋体" w:hAnsi="Courier New" w:eastAsia="宋体"/>
      <w:kern w:val="2"/>
      <w:sz w:val="21"/>
      <w:lang w:val="en-US" w:eastAsia="zh-CN" w:bidi="ar-SA"/>
    </w:rPr>
  </w:style>
  <w:style w:type="character" w:customStyle="1" w:styleId="57">
    <w:name w:val="文档结构图 Char"/>
    <w:link w:val="14"/>
    <w:semiHidden/>
    <w:qFormat/>
    <w:uiPriority w:val="0"/>
    <w:rPr>
      <w:rFonts w:ascii="宋体" w:hAnsi="Calibri" w:eastAsia="宋体"/>
      <w:kern w:val="2"/>
      <w:sz w:val="18"/>
      <w:szCs w:val="18"/>
      <w:lang w:val="en-US" w:eastAsia="zh-CN" w:bidi="ar-SA"/>
    </w:rPr>
  </w:style>
  <w:style w:type="character" w:customStyle="1" w:styleId="58">
    <w:name w:val="正文文本缩进 2 Char"/>
    <w:link w:val="25"/>
    <w:qFormat/>
    <w:uiPriority w:val="0"/>
    <w:rPr>
      <w:rFonts w:ascii="仿宋_GB2312" w:eastAsia="仿宋_GB2312"/>
      <w:kern w:val="2"/>
      <w:sz w:val="31"/>
      <w:lang w:val="en-US" w:eastAsia="zh-CN" w:bidi="ar-SA"/>
    </w:rPr>
  </w:style>
  <w:style w:type="character" w:customStyle="1" w:styleId="59">
    <w:name w:val="标题 9 Char"/>
    <w:link w:val="10"/>
    <w:qFormat/>
    <w:uiPriority w:val="0"/>
    <w:rPr>
      <w:rFonts w:ascii="Cambria" w:hAnsi="Cambria" w:eastAsia="宋体"/>
      <w:kern w:val="2"/>
      <w:sz w:val="21"/>
      <w:szCs w:val="21"/>
      <w:lang w:val="en-US" w:eastAsia="zh-CN" w:bidi="ar-SA"/>
    </w:rPr>
  </w:style>
  <w:style w:type="character" w:customStyle="1" w:styleId="60">
    <w:name w:val="正文文本 Char"/>
    <w:link w:val="18"/>
    <w:qFormat/>
    <w:uiPriority w:val="0"/>
    <w:rPr>
      <w:rFonts w:eastAsia="宋体"/>
      <w:kern w:val="2"/>
      <w:sz w:val="21"/>
      <w:lang w:val="en-US" w:eastAsia="zh-CN" w:bidi="ar-SA"/>
    </w:rPr>
  </w:style>
  <w:style w:type="character" w:customStyle="1" w:styleId="61">
    <w:name w:val="正文内容 Char"/>
    <w:link w:val="62"/>
    <w:qFormat/>
    <w:uiPriority w:val="0"/>
    <w:rPr>
      <w:rFonts w:eastAsia="宋体"/>
      <w:sz w:val="24"/>
      <w:lang w:bidi="ar-SA"/>
    </w:rPr>
  </w:style>
  <w:style w:type="paragraph" w:customStyle="1" w:styleId="62">
    <w:name w:val="正文内容"/>
    <w:basedOn w:val="19"/>
    <w:link w:val="61"/>
    <w:qFormat/>
    <w:uiPriority w:val="0"/>
    <w:pPr>
      <w:spacing w:beforeLines="50" w:afterLines="50" w:line="360" w:lineRule="auto"/>
      <w:ind w:left="0" w:leftChars="0" w:firstLine="480" w:firstLineChars="200"/>
    </w:pPr>
    <w:rPr>
      <w:kern w:val="0"/>
      <w:sz w:val="24"/>
    </w:rPr>
  </w:style>
  <w:style w:type="character" w:customStyle="1" w:styleId="63">
    <w:name w:val="正文缩进2格 Char Char"/>
    <w:qFormat/>
    <w:locked/>
    <w:uiPriority w:val="0"/>
    <w:rPr>
      <w:rFonts w:ascii="仿宋_GB2312" w:hAnsi="宋体" w:eastAsia="仿宋_GB2312"/>
      <w:kern w:val="2"/>
      <w:sz w:val="31"/>
      <w:szCs w:val="28"/>
    </w:rPr>
  </w:style>
  <w:style w:type="character" w:customStyle="1" w:styleId="64">
    <w:name w:val="tw4winTerm"/>
    <w:qFormat/>
    <w:uiPriority w:val="0"/>
    <w:rPr>
      <w:color w:val="0000FF"/>
    </w:rPr>
  </w:style>
  <w:style w:type="character" w:customStyle="1" w:styleId="65">
    <w:name w:val="标题 5 Char"/>
    <w:link w:val="6"/>
    <w:qFormat/>
    <w:uiPriority w:val="0"/>
    <w:rPr>
      <w:rFonts w:eastAsia="宋体"/>
      <w:b/>
      <w:bCs/>
      <w:kern w:val="2"/>
      <w:sz w:val="28"/>
      <w:szCs w:val="28"/>
      <w:lang w:val="en-US" w:eastAsia="zh-CN" w:bidi="ar-SA"/>
    </w:rPr>
  </w:style>
  <w:style w:type="character" w:customStyle="1" w:styleId="66">
    <w:name w:val="标题 7 Char"/>
    <w:link w:val="8"/>
    <w:qFormat/>
    <w:uiPriority w:val="0"/>
    <w:rPr>
      <w:rFonts w:ascii="Calibri" w:hAnsi="Calibri" w:eastAsia="宋体"/>
      <w:b/>
      <w:bCs/>
      <w:kern w:val="2"/>
      <w:sz w:val="24"/>
      <w:szCs w:val="24"/>
      <w:lang w:val="en-US" w:eastAsia="zh-CN" w:bidi="ar-SA"/>
    </w:rPr>
  </w:style>
  <w:style w:type="character" w:customStyle="1" w:styleId="67">
    <w:name w:val="结束语 Char1"/>
    <w:qFormat/>
    <w:uiPriority w:val="0"/>
    <w:rPr>
      <w:kern w:val="2"/>
      <w:sz w:val="21"/>
    </w:rPr>
  </w:style>
  <w:style w:type="character" w:customStyle="1" w:styleId="68">
    <w:name w:val="正文文本 2 Char"/>
    <w:link w:val="39"/>
    <w:qFormat/>
    <w:uiPriority w:val="0"/>
    <w:rPr>
      <w:rFonts w:ascii="楷体_GB2312" w:hAnsi="宋体" w:eastAsia="楷体_GB2312"/>
      <w:kern w:val="2"/>
      <w:sz w:val="52"/>
      <w:szCs w:val="24"/>
    </w:rPr>
  </w:style>
  <w:style w:type="character" w:customStyle="1" w:styleId="69">
    <w:name w:val="标题 3 Char"/>
    <w:link w:val="4"/>
    <w:qFormat/>
    <w:uiPriority w:val="0"/>
    <w:rPr>
      <w:rFonts w:eastAsia="仿宋_GB2312"/>
      <w:b/>
      <w:kern w:val="2"/>
      <w:sz w:val="32"/>
      <w:lang w:val="en-US" w:eastAsia="zh-CN" w:bidi="ar-SA"/>
    </w:rPr>
  </w:style>
  <w:style w:type="character" w:customStyle="1" w:styleId="70">
    <w:name w:val="表格非标题文字 Char"/>
    <w:link w:val="71"/>
    <w:qFormat/>
    <w:uiPriority w:val="0"/>
    <w:rPr>
      <w:rFonts w:ascii="Arial" w:hAnsi="Arial"/>
      <w:kern w:val="2"/>
      <w:sz w:val="18"/>
      <w:szCs w:val="21"/>
      <w:lang w:val="en-US" w:eastAsia="zh-CN" w:bidi="ar-SA"/>
    </w:rPr>
  </w:style>
  <w:style w:type="paragraph" w:customStyle="1" w:styleId="71">
    <w:name w:val="表格非标题文字"/>
    <w:link w:val="70"/>
    <w:qFormat/>
    <w:uiPriority w:val="0"/>
    <w:pPr>
      <w:snapToGrid w:val="0"/>
      <w:spacing w:before="80" w:after="40"/>
    </w:pPr>
    <w:rPr>
      <w:rFonts w:ascii="Arial" w:hAnsi="Arial" w:eastAsia="宋体" w:cs="Times New Roman"/>
      <w:kern w:val="2"/>
      <w:sz w:val="18"/>
      <w:szCs w:val="21"/>
      <w:lang w:val="en-US" w:eastAsia="zh-CN" w:bidi="ar-SA"/>
    </w:rPr>
  </w:style>
  <w:style w:type="character" w:customStyle="1" w:styleId="72">
    <w:name w:val="样式 标题 3h3Level 3 Topic HeadingHeading 3 - oldH3l33rd level...3 Char"/>
    <w:qFormat/>
    <w:uiPriority w:val="0"/>
    <w:rPr>
      <w:rFonts w:hint="eastAsia" w:ascii="黑体" w:eastAsia="黑体"/>
      <w:b/>
      <w:kern w:val="2"/>
      <w:sz w:val="32"/>
      <w:lang w:val="en-US" w:eastAsia="zh-CN"/>
    </w:rPr>
  </w:style>
  <w:style w:type="character" w:customStyle="1" w:styleId="73">
    <w:name w:val="apple-style-span"/>
    <w:basedOn w:val="45"/>
    <w:qFormat/>
    <w:uiPriority w:val="0"/>
  </w:style>
  <w:style w:type="character" w:customStyle="1" w:styleId="74">
    <w:name w:val="图号 Char Char Char"/>
    <w:link w:val="75"/>
    <w:qFormat/>
    <w:locked/>
    <w:uiPriority w:val="0"/>
    <w:rPr>
      <w:rFonts w:ascii="Arial" w:hAnsi="Arial" w:cs="Arial"/>
      <w:sz w:val="18"/>
      <w:szCs w:val="18"/>
    </w:rPr>
  </w:style>
  <w:style w:type="paragraph" w:customStyle="1" w:styleId="75">
    <w:name w:val="图号 Char Char"/>
    <w:basedOn w:val="1"/>
    <w:link w:val="74"/>
    <w:qFormat/>
    <w:uiPriority w:val="0"/>
    <w:pPr>
      <w:autoSpaceDE w:val="0"/>
      <w:autoSpaceDN w:val="0"/>
      <w:adjustRightInd w:val="0"/>
      <w:spacing w:before="105" w:line="360" w:lineRule="auto"/>
      <w:jc w:val="center"/>
    </w:pPr>
    <w:rPr>
      <w:rFonts w:ascii="Arial" w:hAnsi="Arial"/>
      <w:kern w:val="0"/>
      <w:sz w:val="18"/>
      <w:szCs w:val="18"/>
    </w:rPr>
  </w:style>
  <w:style w:type="character" w:customStyle="1" w:styleId="76">
    <w:name w:val="H2 Char"/>
    <w:qFormat/>
    <w:uiPriority w:val="0"/>
    <w:rPr>
      <w:rFonts w:ascii="Arial" w:hAnsi="Arial" w:eastAsia="宋体"/>
      <w:b/>
      <w:kern w:val="2"/>
      <w:sz w:val="44"/>
      <w:lang w:val="en-US" w:eastAsia="zh-CN" w:bidi="ar-SA"/>
    </w:rPr>
  </w:style>
  <w:style w:type="character" w:customStyle="1" w:styleId="77">
    <w:name w:val="普通(网站) Char"/>
    <w:link w:val="40"/>
    <w:qFormat/>
    <w:uiPriority w:val="0"/>
    <w:rPr>
      <w:kern w:val="2"/>
      <w:sz w:val="24"/>
      <w:szCs w:val="24"/>
    </w:rPr>
  </w:style>
  <w:style w:type="character" w:customStyle="1" w:styleId="78">
    <w:name w:val="正文文本 Char1"/>
    <w:qFormat/>
    <w:uiPriority w:val="0"/>
    <w:rPr>
      <w:kern w:val="2"/>
      <w:sz w:val="21"/>
    </w:rPr>
  </w:style>
  <w:style w:type="character" w:customStyle="1" w:styleId="79">
    <w:name w:val="正文文本缩进 3 Char"/>
    <w:link w:val="35"/>
    <w:qFormat/>
    <w:uiPriority w:val="0"/>
    <w:rPr>
      <w:kern w:val="2"/>
      <w:sz w:val="16"/>
      <w:szCs w:val="16"/>
    </w:rPr>
  </w:style>
  <w:style w:type="character" w:customStyle="1" w:styleId="80">
    <w:name w:val="日期 Char"/>
    <w:link w:val="24"/>
    <w:qFormat/>
    <w:uiPriority w:val="0"/>
    <w:rPr>
      <w:rFonts w:eastAsia="仿宋_GB2312"/>
      <w:kern w:val="2"/>
      <w:sz w:val="31"/>
    </w:rPr>
  </w:style>
  <w:style w:type="character" w:customStyle="1" w:styleId="81">
    <w:name w:val="Char Char1"/>
    <w:qFormat/>
    <w:uiPriority w:val="0"/>
    <w:rPr>
      <w:kern w:val="2"/>
      <w:sz w:val="21"/>
      <w:szCs w:val="22"/>
    </w:rPr>
  </w:style>
  <w:style w:type="character" w:customStyle="1" w:styleId="82">
    <w:name w:val="结束语 Char"/>
    <w:link w:val="17"/>
    <w:qFormat/>
    <w:uiPriority w:val="0"/>
    <w:rPr>
      <w:rFonts w:ascii="宋体" w:hAnsi="宋体"/>
      <w:color w:val="000000"/>
      <w:sz w:val="24"/>
    </w:rPr>
  </w:style>
  <w:style w:type="character" w:customStyle="1" w:styleId="83">
    <w:name w:val="标题 1 Char"/>
    <w:link w:val="2"/>
    <w:qFormat/>
    <w:uiPriority w:val="0"/>
    <w:rPr>
      <w:rFonts w:ascii="宋体" w:hAnsi="宋体" w:eastAsia="宋体"/>
      <w:b/>
      <w:kern w:val="44"/>
      <w:sz w:val="52"/>
      <w:lang w:val="en-US" w:eastAsia="zh-CN" w:bidi="ar-SA"/>
    </w:rPr>
  </w:style>
  <w:style w:type="character" w:customStyle="1" w:styleId="84">
    <w:name w:val="标题1"/>
    <w:basedOn w:val="45"/>
    <w:qFormat/>
    <w:uiPriority w:val="0"/>
  </w:style>
  <w:style w:type="character" w:customStyle="1" w:styleId="85">
    <w:name w:val="批注框文本 Char"/>
    <w:link w:val="26"/>
    <w:semiHidden/>
    <w:qFormat/>
    <w:uiPriority w:val="0"/>
    <w:rPr>
      <w:rFonts w:eastAsia="宋体"/>
      <w:kern w:val="2"/>
      <w:sz w:val="18"/>
      <w:lang w:val="en-US" w:eastAsia="zh-CN" w:bidi="ar-SA"/>
    </w:rPr>
  </w:style>
  <w:style w:type="character" w:customStyle="1" w:styleId="86">
    <w:name w:val="正文缩进2格 Char"/>
    <w:link w:val="87"/>
    <w:qFormat/>
    <w:uiPriority w:val="0"/>
    <w:rPr>
      <w:rFonts w:ascii="仿宋_GB2312" w:hAnsi="宋体" w:eastAsia="仿宋_GB2312"/>
      <w:kern w:val="2"/>
      <w:sz w:val="31"/>
      <w:lang w:val="en-US" w:eastAsia="zh-CN" w:bidi="ar-SA"/>
    </w:rPr>
  </w:style>
  <w:style w:type="paragraph" w:customStyle="1" w:styleId="87">
    <w:name w:val="正文缩进2格"/>
    <w:basedOn w:val="1"/>
    <w:link w:val="86"/>
    <w:qFormat/>
    <w:uiPriority w:val="0"/>
    <w:pPr>
      <w:spacing w:line="600" w:lineRule="exact"/>
      <w:ind w:firstLine="639" w:firstLineChars="206"/>
    </w:pPr>
    <w:rPr>
      <w:rFonts w:ascii="仿宋_GB2312" w:hAnsi="宋体" w:eastAsia="仿宋_GB2312"/>
      <w:sz w:val="31"/>
    </w:rPr>
  </w:style>
  <w:style w:type="character" w:customStyle="1" w:styleId="88">
    <w:name w:val="FA正文 Char Char"/>
    <w:link w:val="89"/>
    <w:qFormat/>
    <w:uiPriority w:val="0"/>
    <w:rPr>
      <w:rFonts w:hAnsi="宋体"/>
      <w:kern w:val="2"/>
      <w:sz w:val="24"/>
      <w:lang w:bidi="ar-SA"/>
    </w:rPr>
  </w:style>
  <w:style w:type="paragraph" w:customStyle="1" w:styleId="89">
    <w:name w:val="FA正文"/>
    <w:basedOn w:val="1"/>
    <w:link w:val="88"/>
    <w:qFormat/>
    <w:uiPriority w:val="0"/>
    <w:pPr>
      <w:spacing w:line="360" w:lineRule="auto"/>
      <w:ind w:firstLine="480" w:firstLineChars="200"/>
      <w:jc w:val="left"/>
    </w:pPr>
    <w:rPr>
      <w:rFonts w:hAnsi="宋体"/>
      <w:sz w:val="24"/>
    </w:rPr>
  </w:style>
  <w:style w:type="character" w:customStyle="1" w:styleId="90">
    <w:name w:val="表格 Char Char"/>
    <w:link w:val="91"/>
    <w:qFormat/>
    <w:locked/>
    <w:uiPriority w:val="0"/>
    <w:rPr>
      <w:rFonts w:ascii="宋体" w:hAnsi="宋体"/>
      <w:lang w:bidi="ar-SA"/>
    </w:rPr>
  </w:style>
  <w:style w:type="paragraph" w:customStyle="1" w:styleId="91">
    <w:name w:val="表格"/>
    <w:basedOn w:val="1"/>
    <w:link w:val="90"/>
    <w:qFormat/>
    <w:uiPriority w:val="0"/>
    <w:pPr>
      <w:snapToGrid w:val="0"/>
      <w:ind w:firstLine="42" w:firstLineChars="21"/>
    </w:pPr>
    <w:rPr>
      <w:rFonts w:ascii="宋体" w:hAnsi="宋体"/>
      <w:kern w:val="0"/>
      <w:sz w:val="20"/>
    </w:rPr>
  </w:style>
  <w:style w:type="character" w:customStyle="1" w:styleId="92">
    <w:name w:val="标题 2 Char"/>
    <w:link w:val="3"/>
    <w:qFormat/>
    <w:uiPriority w:val="0"/>
    <w:rPr>
      <w:rFonts w:ascii="Arial" w:hAnsi="Arial" w:eastAsia="宋体"/>
      <w:b/>
      <w:kern w:val="2"/>
      <w:sz w:val="44"/>
      <w:lang w:val="en-US" w:eastAsia="zh-CN" w:bidi="ar-SA"/>
    </w:rPr>
  </w:style>
  <w:style w:type="character" w:customStyle="1" w:styleId="93">
    <w:name w:val="标题 8 Char"/>
    <w:link w:val="9"/>
    <w:qFormat/>
    <w:uiPriority w:val="0"/>
    <w:rPr>
      <w:rFonts w:ascii="Cambria" w:hAnsi="Cambria" w:eastAsia="宋体"/>
      <w:kern w:val="2"/>
      <w:sz w:val="24"/>
      <w:szCs w:val="24"/>
      <w:lang w:val="en-US" w:eastAsia="zh-CN" w:bidi="ar-SA"/>
    </w:rPr>
  </w:style>
  <w:style w:type="character" w:customStyle="1" w:styleId="94">
    <w:name w:val="标题 3.1 Char"/>
    <w:link w:val="95"/>
    <w:qFormat/>
    <w:uiPriority w:val="0"/>
    <w:rPr>
      <w:rFonts w:ascii="宋体" w:hAnsi="宋体" w:eastAsia="宋体"/>
      <w:b/>
      <w:color w:val="FF0000"/>
      <w:kern w:val="2"/>
      <w:sz w:val="32"/>
      <w:lang w:val="en-US" w:eastAsia="zh-CN" w:bidi="ar-SA"/>
    </w:rPr>
  </w:style>
  <w:style w:type="paragraph" w:customStyle="1" w:styleId="95">
    <w:name w:val="标题 3.1"/>
    <w:basedOn w:val="4"/>
    <w:link w:val="94"/>
    <w:qFormat/>
    <w:uiPriority w:val="0"/>
    <w:pPr>
      <w:tabs>
        <w:tab w:val="left" w:pos="1440"/>
        <w:tab w:val="left" w:pos="1620"/>
      </w:tabs>
      <w:jc w:val="both"/>
    </w:pPr>
    <w:rPr>
      <w:rFonts w:ascii="宋体" w:hAnsi="宋体" w:eastAsia="宋体"/>
      <w:color w:val="FF0000"/>
    </w:rPr>
  </w:style>
  <w:style w:type="character" w:customStyle="1" w:styleId="96">
    <w:name w:val="标题 6 Char"/>
    <w:link w:val="7"/>
    <w:qFormat/>
    <w:uiPriority w:val="0"/>
    <w:rPr>
      <w:rFonts w:ascii="Cambria" w:hAnsi="Cambria" w:eastAsia="宋体"/>
      <w:b/>
      <w:bCs/>
      <w:kern w:val="2"/>
      <w:sz w:val="24"/>
      <w:szCs w:val="24"/>
      <w:lang w:val="en-US" w:eastAsia="zh-CN" w:bidi="ar-SA"/>
    </w:rPr>
  </w:style>
  <w:style w:type="character" w:customStyle="1" w:styleId="97">
    <w:name w:val="批注文字 Char"/>
    <w:link w:val="16"/>
    <w:qFormat/>
    <w:uiPriority w:val="0"/>
    <w:rPr>
      <w:kern w:val="2"/>
      <w:sz w:val="21"/>
    </w:rPr>
  </w:style>
  <w:style w:type="character" w:customStyle="1" w:styleId="98">
    <w:name w:val="正文文本缩进 Char"/>
    <w:link w:val="19"/>
    <w:semiHidden/>
    <w:qFormat/>
    <w:uiPriority w:val="0"/>
    <w:rPr>
      <w:rFonts w:eastAsia="宋体"/>
      <w:kern w:val="2"/>
      <w:sz w:val="21"/>
      <w:lang w:val="en-US" w:eastAsia="zh-CN" w:bidi="ar-SA"/>
    </w:rPr>
  </w:style>
  <w:style w:type="character" w:customStyle="1" w:styleId="99">
    <w:name w:val="content"/>
    <w:basedOn w:val="45"/>
    <w:qFormat/>
    <w:uiPriority w:val="0"/>
  </w:style>
  <w:style w:type="character" w:customStyle="1" w:styleId="100">
    <w:name w:val="标题 4 Char"/>
    <w:link w:val="5"/>
    <w:qFormat/>
    <w:uiPriority w:val="0"/>
    <w:rPr>
      <w:rFonts w:ascii="Arial" w:hAnsi="Arial" w:eastAsia="黑体"/>
      <w:b/>
      <w:bCs/>
      <w:kern w:val="2"/>
      <w:sz w:val="28"/>
      <w:szCs w:val="28"/>
      <w:lang w:val="en-US" w:eastAsia="zh-CN" w:bidi="ar-SA"/>
    </w:rPr>
  </w:style>
  <w:style w:type="character" w:customStyle="1" w:styleId="101">
    <w:name w:val="正文缩进 Char"/>
    <w:link w:val="12"/>
    <w:qFormat/>
    <w:uiPriority w:val="0"/>
    <w:rPr>
      <w:rFonts w:eastAsia="宋体"/>
      <w:kern w:val="2"/>
      <w:sz w:val="21"/>
      <w:szCs w:val="24"/>
      <w:lang w:val="en-US" w:eastAsia="zh-CN" w:bidi="ar-SA"/>
    </w:rPr>
  </w:style>
  <w:style w:type="character" w:customStyle="1" w:styleId="102">
    <w:name w:val="正文首行缩进 Char"/>
    <w:link w:val="42"/>
    <w:qFormat/>
    <w:uiPriority w:val="0"/>
    <w:rPr>
      <w:rFonts w:ascii="Calibri" w:hAnsi="Calibri"/>
      <w:kern w:val="2"/>
      <w:sz w:val="21"/>
      <w:szCs w:val="22"/>
    </w:rPr>
  </w:style>
  <w:style w:type="paragraph" w:customStyle="1" w:styleId="103">
    <w:name w:val="正文文字小标带括"/>
    <w:basedOn w:val="18"/>
    <w:qFormat/>
    <w:uiPriority w:val="0"/>
    <w:pPr>
      <w:spacing w:before="60" w:after="60" w:line="380" w:lineRule="exact"/>
      <w:ind w:left="1176" w:firstLine="480" w:firstLineChars="200"/>
    </w:pPr>
    <w:rPr>
      <w:sz w:val="24"/>
      <w:szCs w:val="24"/>
    </w:rPr>
  </w:style>
  <w:style w:type="paragraph" w:customStyle="1" w:styleId="104">
    <w:name w:val="正文编号1"/>
    <w:basedOn w:val="1"/>
    <w:qFormat/>
    <w:uiPriority w:val="0"/>
    <w:pPr>
      <w:tabs>
        <w:tab w:val="left" w:pos="900"/>
      </w:tabs>
      <w:spacing w:line="360" w:lineRule="auto"/>
      <w:ind w:left="900" w:hanging="420"/>
    </w:pPr>
    <w:rPr>
      <w:sz w:val="24"/>
      <w:szCs w:val="24"/>
    </w:rPr>
  </w:style>
  <w:style w:type="paragraph" w:customStyle="1" w:styleId="105">
    <w:name w:val="Char Char Char"/>
    <w:basedOn w:val="1"/>
    <w:qFormat/>
    <w:uiPriority w:val="0"/>
    <w:pPr>
      <w:widowControl/>
      <w:spacing w:after="160" w:line="240" w:lineRule="exact"/>
      <w:jc w:val="left"/>
    </w:pPr>
    <w:rPr>
      <w:rFonts w:ascii="Verdana" w:hAnsi="Verdana"/>
      <w:kern w:val="0"/>
      <w:sz w:val="20"/>
      <w:lang w:eastAsia="en-US"/>
    </w:rPr>
  </w:style>
  <w:style w:type="paragraph" w:customStyle="1" w:styleId="106">
    <w:name w:val="正文字缩1字"/>
    <w:basedOn w:val="1"/>
    <w:qFormat/>
    <w:uiPriority w:val="0"/>
    <w:pPr>
      <w:spacing w:before="60" w:after="60" w:line="360" w:lineRule="auto"/>
      <w:ind w:left="100" w:leftChars="100" w:right="26" w:firstLine="200" w:firstLineChars="200"/>
    </w:pPr>
    <w:rPr>
      <w:sz w:val="24"/>
      <w:szCs w:val="24"/>
    </w:rPr>
  </w:style>
  <w:style w:type="paragraph" w:customStyle="1" w:styleId="107">
    <w:name w:val="一级节标题"/>
    <w:next w:val="108"/>
    <w:qFormat/>
    <w:uiPriority w:val="0"/>
    <w:pPr>
      <w:tabs>
        <w:tab w:val="left" w:pos="420"/>
        <w:tab w:val="left" w:pos="567"/>
      </w:tabs>
      <w:spacing w:line="360" w:lineRule="auto"/>
      <w:ind w:left="420" w:hanging="420"/>
      <w:outlineLvl w:val="2"/>
    </w:pPr>
    <w:rPr>
      <w:rFonts w:ascii="宋体" w:hAnsi="宋体" w:eastAsia="宋体" w:cs="Times New Roman"/>
      <w:b/>
      <w:sz w:val="24"/>
      <w:lang w:val="en-US" w:eastAsia="zh-CN" w:bidi="ar-SA"/>
    </w:rPr>
  </w:style>
  <w:style w:type="paragraph" w:customStyle="1" w:styleId="108">
    <w:name w:val="正文1"/>
    <w:basedOn w:val="1"/>
    <w:qFormat/>
    <w:uiPriority w:val="0"/>
  </w:style>
  <w:style w:type="paragraph" w:customStyle="1" w:styleId="109">
    <w:name w:val="无缩进"/>
    <w:next w:val="18"/>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110">
    <w:name w:val="Char3"/>
    <w:basedOn w:val="1"/>
    <w:qFormat/>
    <w:uiPriority w:val="0"/>
    <w:pPr>
      <w:widowControl/>
      <w:spacing w:after="160" w:line="240" w:lineRule="exact"/>
      <w:jc w:val="left"/>
    </w:pPr>
    <w:rPr>
      <w:rFonts w:ascii="Verdana" w:hAnsi="Verdana"/>
      <w:kern w:val="0"/>
      <w:lang w:eastAsia="en-US"/>
    </w:rPr>
  </w:style>
  <w:style w:type="paragraph" w:customStyle="1" w:styleId="111">
    <w:name w:val="Char1 Char Char Char"/>
    <w:basedOn w:val="1"/>
    <w:qFormat/>
    <w:uiPriority w:val="0"/>
    <w:pPr>
      <w:ind w:left="420" w:hanging="420"/>
    </w:pPr>
    <w:rPr>
      <w:sz w:val="24"/>
    </w:rPr>
  </w:style>
  <w:style w:type="paragraph" w:customStyle="1" w:styleId="112">
    <w:name w:val="标题3"/>
    <w:basedOn w:val="1"/>
    <w:next w:val="1"/>
    <w:qFormat/>
    <w:uiPriority w:val="0"/>
    <w:pPr>
      <w:widowControl/>
      <w:tabs>
        <w:tab w:val="left" w:pos="1205"/>
      </w:tabs>
      <w:spacing w:after="200" w:line="360" w:lineRule="auto"/>
      <w:ind w:left="1205" w:hanging="425"/>
      <w:jc w:val="left"/>
    </w:pPr>
    <w:rPr>
      <w:rFonts w:ascii="Calibri" w:hAnsi="Calibri"/>
      <w:b/>
      <w:kern w:val="0"/>
      <w:sz w:val="28"/>
      <w:szCs w:val="22"/>
      <w:lang w:eastAsia="en-US" w:bidi="en-US"/>
    </w:rPr>
  </w:style>
  <w:style w:type="paragraph" w:customStyle="1" w:styleId="113">
    <w:name w:val="注意事项"/>
    <w:basedOn w:val="1"/>
    <w:qFormat/>
    <w:uiPriority w:val="0"/>
    <w:pPr>
      <w:spacing w:before="60" w:after="60" w:line="360" w:lineRule="auto"/>
      <w:ind w:firstLine="200" w:firstLineChars="200"/>
    </w:pPr>
    <w:rPr>
      <w:b/>
      <w:bCs/>
      <w:szCs w:val="24"/>
    </w:rPr>
  </w:style>
  <w:style w:type="paragraph" w:customStyle="1" w:styleId="114">
    <w:name w:val="font6"/>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115">
    <w:name w:val="1 Char Char Char Char"/>
    <w:basedOn w:val="1"/>
    <w:qFormat/>
    <w:uiPriority w:val="0"/>
    <w:pPr>
      <w:spacing w:after="160" w:line="240" w:lineRule="exact"/>
    </w:pPr>
    <w:rPr>
      <w:szCs w:val="24"/>
    </w:rPr>
  </w:style>
  <w:style w:type="paragraph" w:customStyle="1" w:styleId="116">
    <w:name w:val="方案正文"/>
    <w:basedOn w:val="1"/>
    <w:qFormat/>
    <w:uiPriority w:val="0"/>
    <w:pPr>
      <w:autoSpaceDE w:val="0"/>
      <w:autoSpaceDN w:val="0"/>
      <w:adjustRightInd w:val="0"/>
      <w:spacing w:before="60"/>
    </w:pPr>
    <w:rPr>
      <w:rFonts w:ascii="宋体" w:hAnsi="宋体"/>
      <w:bCs/>
      <w:color w:val="000000"/>
      <w:spacing w:val="2"/>
      <w:sz w:val="24"/>
      <w:szCs w:val="24"/>
    </w:rPr>
  </w:style>
  <w:style w:type="paragraph" w:customStyle="1" w:styleId="117">
    <w:name w:val="三级节标题"/>
    <w:next w:val="108"/>
    <w:qFormat/>
    <w:uiPriority w:val="0"/>
    <w:pPr>
      <w:tabs>
        <w:tab w:val="left" w:pos="1191"/>
      </w:tabs>
      <w:spacing w:before="120" w:after="120" w:line="400" w:lineRule="atLeast"/>
      <w:ind w:left="851" w:hanging="738"/>
      <w:outlineLvl w:val="3"/>
    </w:pPr>
    <w:rPr>
      <w:rFonts w:ascii="Arial" w:hAnsi="Arial" w:eastAsia="黑体" w:cs="Times New Roman"/>
      <w:b/>
      <w:sz w:val="28"/>
      <w:lang w:val="en-US" w:eastAsia="zh-CN" w:bidi="ar-SA"/>
    </w:rPr>
  </w:style>
  <w:style w:type="paragraph" w:customStyle="1" w:styleId="118">
    <w:name w:val="正文无缩进"/>
    <w:basedOn w:val="87"/>
    <w:qFormat/>
    <w:uiPriority w:val="0"/>
    <w:pPr>
      <w:ind w:firstLine="0" w:firstLineChars="0"/>
    </w:pPr>
  </w:style>
  <w:style w:type="paragraph" w:customStyle="1" w:styleId="119">
    <w:name w:val="日期右"/>
    <w:basedOn w:val="24"/>
    <w:qFormat/>
    <w:uiPriority w:val="0"/>
  </w:style>
  <w:style w:type="paragraph" w:customStyle="1" w:styleId="120">
    <w:name w:val="样式 首行缩进:  2 字符"/>
    <w:basedOn w:val="1"/>
    <w:qFormat/>
    <w:uiPriority w:val="0"/>
    <w:pPr>
      <w:ind w:firstLine="420" w:firstLineChars="200"/>
    </w:pPr>
  </w:style>
  <w:style w:type="paragraph" w:customStyle="1" w:styleId="121">
    <w:name w:val="Default Paragraph Font Para Char"/>
    <w:basedOn w:val="1"/>
    <w:qFormat/>
    <w:uiPriority w:val="0"/>
    <w:pPr>
      <w:widowControl/>
      <w:tabs>
        <w:tab w:val="left" w:pos="425"/>
      </w:tabs>
      <w:spacing w:after="160" w:line="240" w:lineRule="exact"/>
      <w:ind w:left="425" w:hanging="425"/>
      <w:jc w:val="left"/>
    </w:pPr>
    <w:rPr>
      <w:rFonts w:ascii="Verdana" w:hAnsi="Verdana" w:cs="Verdana"/>
      <w:kern w:val="0"/>
      <w:sz w:val="20"/>
      <w:lang w:eastAsia="en-US"/>
    </w:rPr>
  </w:style>
  <w:style w:type="paragraph" w:customStyle="1" w:styleId="122">
    <w:name w:val="Char1"/>
    <w:basedOn w:val="1"/>
    <w:qFormat/>
    <w:uiPriority w:val="0"/>
    <w:pPr>
      <w:widowControl/>
      <w:spacing w:after="160" w:line="240" w:lineRule="exact"/>
      <w:ind w:left="-62" w:right="15" w:rightChars="15"/>
      <w:jc w:val="left"/>
    </w:pPr>
    <w:rPr>
      <w:rFonts w:ascii="Arial" w:hAnsi="Arial" w:eastAsia="Times New Roman"/>
      <w:kern w:val="0"/>
      <w:sz w:val="20"/>
      <w:lang w:eastAsia="en-US"/>
    </w:rPr>
  </w:style>
  <w:style w:type="paragraph" w:customStyle="1" w:styleId="123">
    <w:name w:val="正文缩进4格"/>
    <w:basedOn w:val="87"/>
    <w:qFormat/>
    <w:uiPriority w:val="0"/>
    <w:pPr>
      <w:ind w:left="2" w:firstLine="538" w:firstLineChars="192"/>
    </w:pPr>
    <w:rPr>
      <w:color w:val="0000FF"/>
      <w:sz w:val="28"/>
    </w:rPr>
  </w:style>
  <w:style w:type="paragraph" w:customStyle="1" w:styleId="124">
    <w:name w:val="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125">
    <w:name w:val="正文缩进6格"/>
    <w:basedOn w:val="123"/>
    <w:qFormat/>
    <w:uiPriority w:val="0"/>
    <w:pPr>
      <w:ind w:left="1758" w:leftChars="854"/>
    </w:pPr>
  </w:style>
  <w:style w:type="paragraph" w:customStyle="1" w:styleId="126">
    <w:name w:val="目录标题"/>
    <w:basedOn w:val="2"/>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27">
    <w:name w:val="表格内文"/>
    <w:basedOn w:val="1"/>
    <w:qFormat/>
    <w:uiPriority w:val="0"/>
    <w:pPr>
      <w:spacing w:before="80" w:after="40" w:line="220" w:lineRule="exact"/>
      <w:jc w:val="left"/>
    </w:pPr>
    <w:rPr>
      <w:rFonts w:ascii="Arial" w:hAnsi="Arial"/>
      <w:kern w:val="0"/>
      <w:sz w:val="18"/>
      <w:szCs w:val="13"/>
    </w:rPr>
  </w:style>
  <w:style w:type="paragraph" w:customStyle="1" w:styleId="128">
    <w:name w:val="正文7"/>
    <w:basedOn w:val="129"/>
    <w:qFormat/>
    <w:uiPriority w:val="0"/>
    <w:pPr>
      <w:tabs>
        <w:tab w:val="left" w:pos="720"/>
        <w:tab w:val="left" w:pos="820"/>
      </w:tabs>
      <w:ind w:left="1120" w:leftChars="700"/>
    </w:pPr>
  </w:style>
  <w:style w:type="paragraph" w:customStyle="1" w:styleId="129">
    <w:name w:val="正文6"/>
    <w:basedOn w:val="1"/>
    <w:qFormat/>
    <w:uiPriority w:val="0"/>
    <w:pPr>
      <w:tabs>
        <w:tab w:val="left" w:pos="720"/>
      </w:tabs>
      <w:spacing w:before="60" w:after="60" w:line="360" w:lineRule="auto"/>
      <w:ind w:left="1020" w:leftChars="600" w:right="26" w:hanging="420"/>
    </w:pPr>
    <w:rPr>
      <w:sz w:val="24"/>
      <w:szCs w:val="24"/>
    </w:rPr>
  </w:style>
  <w:style w:type="paragraph" w:customStyle="1" w:styleId="130">
    <w:name w:val="题注5"/>
    <w:basedOn w:val="1"/>
    <w:next w:val="13"/>
    <w:qFormat/>
    <w:uiPriority w:val="0"/>
    <w:pPr>
      <w:jc w:val="center"/>
    </w:pPr>
    <w:rPr>
      <w:b/>
      <w:color w:val="000000"/>
      <w:sz w:val="24"/>
      <w:szCs w:val="21"/>
    </w:rPr>
  </w:style>
  <w:style w:type="paragraph" w:customStyle="1" w:styleId="131">
    <w:name w:val="正文3"/>
    <w:basedOn w:val="1"/>
    <w:qFormat/>
    <w:uiPriority w:val="0"/>
    <w:pPr>
      <w:spacing w:before="60" w:after="60" w:line="360" w:lineRule="auto"/>
      <w:outlineLvl w:val="8"/>
    </w:pPr>
    <w:rPr>
      <w:sz w:val="24"/>
      <w:szCs w:val="21"/>
    </w:rPr>
  </w:style>
  <w:style w:type="paragraph" w:customStyle="1" w:styleId="132">
    <w:name w:val="标题 3.5"/>
    <w:basedOn w:val="4"/>
    <w:qFormat/>
    <w:uiPriority w:val="0"/>
    <w:pPr>
      <w:keepNext w:val="0"/>
      <w:keepLines w:val="0"/>
      <w:spacing w:before="0" w:after="0"/>
      <w:jc w:val="both"/>
      <w:outlineLvl w:val="9"/>
    </w:pPr>
    <w:rPr>
      <w:b w:val="0"/>
      <w:sz w:val="31"/>
    </w:rPr>
  </w:style>
  <w:style w:type="paragraph" w:customStyle="1" w:styleId="133">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134">
    <w:name w:val="说明"/>
    <w:basedOn w:val="1"/>
    <w:qFormat/>
    <w:uiPriority w:val="0"/>
    <w:pPr>
      <w:spacing w:before="60" w:after="60" w:line="360" w:lineRule="auto"/>
      <w:ind w:firstLine="200" w:firstLineChars="200"/>
    </w:pPr>
    <w:rPr>
      <w:rFonts w:eastAsia="楷体_GB2312"/>
      <w:szCs w:val="24"/>
    </w:rPr>
  </w:style>
  <w:style w:type="paragraph" w:customStyle="1" w:styleId="135">
    <w:name w:val="正文11"/>
    <w:basedOn w:val="1"/>
    <w:qFormat/>
    <w:uiPriority w:val="0"/>
    <w:pPr>
      <w:spacing w:before="60" w:after="60" w:line="360" w:lineRule="auto"/>
      <w:outlineLvl w:val="6"/>
    </w:pPr>
    <w:rPr>
      <w:sz w:val="24"/>
      <w:szCs w:val="24"/>
    </w:rPr>
  </w:style>
  <w:style w:type="paragraph" w:customStyle="1" w:styleId="13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137">
    <w:name w:val="文章题目"/>
    <w:basedOn w:val="1"/>
    <w:next w:val="24"/>
    <w:qFormat/>
    <w:uiPriority w:val="0"/>
    <w:pPr>
      <w:spacing w:before="200" w:after="100"/>
      <w:jc w:val="center"/>
      <w:outlineLvl w:val="0"/>
    </w:pPr>
    <w:rPr>
      <w:rFonts w:eastAsia="楷体_GB2312"/>
      <w:sz w:val="44"/>
      <w:szCs w:val="24"/>
    </w:rPr>
  </w:style>
  <w:style w:type="paragraph" w:customStyle="1" w:styleId="138">
    <w:name w:val="正文8"/>
    <w:basedOn w:val="139"/>
    <w:qFormat/>
    <w:uiPriority w:val="0"/>
    <w:pPr>
      <w:tabs>
        <w:tab w:val="left" w:pos="520"/>
      </w:tabs>
      <w:ind w:left="1176" w:leftChars="0" w:right="0" w:firstLine="0"/>
    </w:pPr>
  </w:style>
  <w:style w:type="paragraph" w:customStyle="1" w:styleId="139">
    <w:name w:val="正文4"/>
    <w:basedOn w:val="1"/>
    <w:qFormat/>
    <w:uiPriority w:val="0"/>
    <w:pPr>
      <w:tabs>
        <w:tab w:val="left" w:pos="520"/>
      </w:tabs>
      <w:spacing w:before="60" w:after="60" w:line="360" w:lineRule="auto"/>
      <w:ind w:left="820" w:leftChars="400" w:right="26" w:hanging="420"/>
    </w:pPr>
    <w:rPr>
      <w:sz w:val="24"/>
      <w:szCs w:val="24"/>
    </w:rPr>
  </w:style>
  <w:style w:type="paragraph" w:customStyle="1" w:styleId="140">
    <w:name w:val="正文字缩2字"/>
    <w:basedOn w:val="106"/>
    <w:qFormat/>
    <w:uiPriority w:val="0"/>
    <w:pPr>
      <w:ind w:left="200" w:leftChars="200"/>
    </w:pPr>
  </w:style>
  <w:style w:type="paragraph" w:customStyle="1" w:styleId="141">
    <w:name w:val="Char Char Char1"/>
    <w:basedOn w:val="1"/>
    <w:qFormat/>
    <w:uiPriority w:val="0"/>
    <w:rPr>
      <w:rFonts w:ascii="Tahoma" w:hAnsi="Tahoma"/>
      <w:b/>
      <w:kern w:val="0"/>
      <w:sz w:val="28"/>
    </w:rPr>
  </w:style>
  <w:style w:type="paragraph" w:customStyle="1" w:styleId="142">
    <w:name w:val="Item List"/>
    <w:qFormat/>
    <w:uiPriority w:val="0"/>
    <w:pPr>
      <w:tabs>
        <w:tab w:val="left" w:pos="425"/>
      </w:tabs>
      <w:ind w:left="425" w:hanging="425"/>
      <w:jc w:val="both"/>
    </w:pPr>
    <w:rPr>
      <w:rFonts w:ascii="Arial" w:hAnsi="Arial" w:eastAsia="宋体" w:cs="Times New Roman"/>
      <w:lang w:val="en-US" w:eastAsia="zh-CN" w:bidi="ar-SA"/>
    </w:rPr>
  </w:style>
  <w:style w:type="paragraph" w:customStyle="1" w:styleId="143">
    <w:name w:val="正文5"/>
    <w:basedOn w:val="1"/>
    <w:qFormat/>
    <w:uiPriority w:val="0"/>
    <w:pPr>
      <w:tabs>
        <w:tab w:val="left" w:pos="620"/>
      </w:tabs>
      <w:spacing w:before="60" w:after="60" w:line="360" w:lineRule="auto"/>
      <w:ind w:left="920" w:leftChars="500" w:right="26" w:hanging="420"/>
    </w:pPr>
    <w:rPr>
      <w:sz w:val="24"/>
      <w:szCs w:val="24"/>
    </w:rPr>
  </w:style>
  <w:style w:type="paragraph" w:customStyle="1" w:styleId="144">
    <w:name w:val="Char"/>
    <w:basedOn w:val="1"/>
    <w:qFormat/>
    <w:uiPriority w:val="0"/>
    <w:rPr>
      <w:rFonts w:ascii="Tahoma" w:hAnsi="Tahoma"/>
      <w:sz w:val="24"/>
    </w:rPr>
  </w:style>
  <w:style w:type="paragraph" w:customStyle="1" w:styleId="145">
    <w:name w:val="Char Char Char Char Char Char Char Char"/>
    <w:basedOn w:val="1"/>
    <w:qFormat/>
    <w:uiPriority w:val="0"/>
    <w:pPr>
      <w:widowControl/>
      <w:snapToGrid w:val="0"/>
      <w:spacing w:after="160" w:line="360" w:lineRule="auto"/>
      <w:jc w:val="left"/>
    </w:pPr>
    <w:rPr>
      <w:kern w:val="0"/>
      <w:sz w:val="24"/>
      <w:szCs w:val="24"/>
      <w:lang w:eastAsia="en-US"/>
    </w:rPr>
  </w:style>
  <w:style w:type="paragraph" w:customStyle="1" w:styleId="146">
    <w:name w:val="正文标题"/>
    <w:basedOn w:val="1"/>
    <w:qFormat/>
    <w:uiPriority w:val="0"/>
    <w:pPr>
      <w:jc w:val="center"/>
    </w:pPr>
    <w:rPr>
      <w:b/>
      <w:sz w:val="44"/>
      <w:szCs w:val="24"/>
    </w:rPr>
  </w:style>
  <w:style w:type="paragraph" w:customStyle="1" w:styleId="147">
    <w:name w:val="USE 1"/>
    <w:basedOn w:val="1"/>
    <w:qFormat/>
    <w:uiPriority w:val="0"/>
    <w:pPr>
      <w:spacing w:line="200" w:lineRule="atLeast"/>
      <w:jc w:val="left"/>
    </w:pPr>
    <w:rPr>
      <w:rFonts w:ascii="宋体" w:hAnsi="宋体"/>
      <w:b/>
      <w:sz w:val="24"/>
    </w:rPr>
  </w:style>
  <w:style w:type="paragraph" w:customStyle="1" w:styleId="148">
    <w:name w:val="xl26"/>
    <w:basedOn w:val="1"/>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149">
    <w:name w:val="表头"/>
    <w:basedOn w:val="13"/>
    <w:qFormat/>
    <w:uiPriority w:val="0"/>
    <w:pPr>
      <w:keepNext/>
      <w:keepLines/>
      <w:widowControl/>
      <w:spacing w:before="120" w:after="120" w:line="300" w:lineRule="auto"/>
      <w:jc w:val="center"/>
      <w:textAlignment w:val="baseline"/>
    </w:pPr>
    <w:rPr>
      <w:kern w:val="0"/>
      <w:sz w:val="21"/>
    </w:rPr>
  </w:style>
  <w:style w:type="paragraph" w:customStyle="1" w:styleId="150">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5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2">
    <w:name w:val="正文居中"/>
    <w:basedOn w:val="1"/>
    <w:next w:val="42"/>
    <w:qFormat/>
    <w:uiPriority w:val="0"/>
    <w:pPr>
      <w:adjustRightInd w:val="0"/>
      <w:snapToGrid w:val="0"/>
      <w:spacing w:line="300" w:lineRule="auto"/>
      <w:jc w:val="center"/>
    </w:pPr>
    <w:rPr>
      <w:szCs w:val="24"/>
    </w:rPr>
  </w:style>
  <w:style w:type="paragraph" w:customStyle="1" w:styleId="153">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54">
    <w:name w:val="Char Char Char Char Char"/>
    <w:basedOn w:val="1"/>
    <w:qFormat/>
    <w:uiPriority w:val="0"/>
    <w:pPr>
      <w:widowControl/>
      <w:spacing w:after="160" w:line="240" w:lineRule="exact"/>
      <w:jc w:val="left"/>
    </w:pPr>
    <w:rPr>
      <w:sz w:val="24"/>
      <w:szCs w:val="24"/>
      <w:lang w:eastAsia="en-US"/>
    </w:rPr>
  </w:style>
  <w:style w:type="paragraph" w:customStyle="1" w:styleId="155">
    <w:name w:val="Char Char"/>
    <w:basedOn w:val="1"/>
    <w:qFormat/>
    <w:uiPriority w:val="0"/>
    <w:rPr>
      <w:rFonts w:ascii="Tahoma" w:hAnsi="Tahoma" w:cs="Arial"/>
      <w:sz w:val="24"/>
      <w:szCs w:val="21"/>
    </w:rPr>
  </w:style>
  <w:style w:type="paragraph" w:customStyle="1" w:styleId="156">
    <w:name w:val="Char Char Char Char Char Char Char Char Char Char"/>
    <w:basedOn w:val="1"/>
    <w:qFormat/>
    <w:uiPriority w:val="0"/>
  </w:style>
  <w:style w:type="paragraph" w:customStyle="1" w:styleId="157">
    <w:name w:val="列表内容"/>
    <w:basedOn w:val="1"/>
    <w:next w:val="1"/>
    <w:qFormat/>
    <w:uiPriority w:val="0"/>
    <w:pPr>
      <w:widowControl/>
      <w:tabs>
        <w:tab w:val="left" w:pos="840"/>
        <w:tab w:val="left" w:pos="1205"/>
      </w:tabs>
      <w:ind w:left="1205" w:hanging="425"/>
      <w:jc w:val="left"/>
    </w:pPr>
    <w:rPr>
      <w:kern w:val="0"/>
      <w:sz w:val="18"/>
    </w:rPr>
  </w:style>
  <w:style w:type="paragraph" w:customStyle="1" w:styleId="158">
    <w:name w:val="标题4"/>
    <w:basedOn w:val="87"/>
    <w:qFormat/>
    <w:uiPriority w:val="0"/>
    <w:pPr>
      <w:spacing w:line="540" w:lineRule="exact"/>
      <w:ind w:firstLine="0" w:firstLineChars="0"/>
    </w:pPr>
    <w:rPr>
      <w:rFonts w:hAnsi="Times New Roman"/>
    </w:rPr>
  </w:style>
  <w:style w:type="paragraph" w:customStyle="1" w:styleId="159">
    <w:name w:val="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60">
    <w:name w:val="测试文件样式1"/>
    <w:basedOn w:val="1"/>
    <w:qFormat/>
    <w:uiPriority w:val="0"/>
    <w:pPr>
      <w:spacing w:line="360" w:lineRule="auto"/>
    </w:pPr>
  </w:style>
  <w:style w:type="paragraph" w:customStyle="1" w:styleId="161">
    <w:name w:val="TableTitle"/>
    <w:basedOn w:val="18"/>
    <w:qFormat/>
    <w:uiPriority w:val="0"/>
    <w:pPr>
      <w:keepNext/>
      <w:widowControl/>
      <w:tabs>
        <w:tab w:val="left" w:pos="2558"/>
      </w:tabs>
      <w:spacing w:before="120"/>
      <w:jc w:val="center"/>
    </w:pPr>
    <w:rPr>
      <w:b/>
      <w:kern w:val="0"/>
      <w:sz w:val="24"/>
    </w:rPr>
  </w:style>
  <w:style w:type="paragraph" w:customStyle="1" w:styleId="162">
    <w:name w:val="Char11"/>
    <w:basedOn w:val="14"/>
    <w:qFormat/>
    <w:uiPriority w:val="0"/>
    <w:pPr>
      <w:shd w:val="clear" w:color="auto" w:fill="000080"/>
      <w:spacing w:line="240" w:lineRule="auto"/>
    </w:pPr>
    <w:rPr>
      <w:rFonts w:ascii="Tahoma" w:hAnsi="Tahoma"/>
      <w:sz w:val="24"/>
      <w:szCs w:val="24"/>
    </w:rPr>
  </w:style>
  <w:style w:type="paragraph" w:customStyle="1" w:styleId="163">
    <w:name w:val="正文-带编号1)"/>
    <w:basedOn w:val="1"/>
    <w:qFormat/>
    <w:uiPriority w:val="0"/>
    <w:pPr>
      <w:spacing w:line="400" w:lineRule="exact"/>
      <w:ind w:left="420" w:hanging="420"/>
    </w:pPr>
    <w:rPr>
      <w:rFonts w:ascii="Arial" w:hAnsi="Arial"/>
      <w:szCs w:val="24"/>
    </w:rPr>
  </w:style>
  <w:style w:type="paragraph" w:customStyle="1" w:styleId="164">
    <w:name w:val="样式 样式 样式 首行缩进:  2 字符1 + 首行缩进:  2 字符 + 首行缩进:  2 字符"/>
    <w:basedOn w:val="1"/>
    <w:semiHidden/>
    <w:qFormat/>
    <w:uiPriority w:val="0"/>
    <w:pPr>
      <w:kinsoku w:val="0"/>
      <w:overflowPunct w:val="0"/>
      <w:autoSpaceDE w:val="0"/>
      <w:autoSpaceDN w:val="0"/>
      <w:ind w:firstLine="200" w:firstLineChars="200"/>
    </w:pPr>
    <w:rPr>
      <w:rFonts w:ascii="仿宋_GB2312" w:hAnsi="宋体" w:eastAsia="仿宋_GB2312" w:cs="宋体"/>
      <w:kern w:val="0"/>
      <w:sz w:val="32"/>
    </w:rPr>
  </w:style>
  <w:style w:type="paragraph" w:customStyle="1" w:styleId="165">
    <w:name w:val="列出段落1"/>
    <w:basedOn w:val="1"/>
    <w:qFormat/>
    <w:uiPriority w:val="0"/>
    <w:pPr>
      <w:ind w:firstLine="420" w:firstLineChars="200"/>
    </w:pPr>
    <w:rPr>
      <w:rFonts w:ascii="Calibri" w:hAnsi="Calibri"/>
      <w:szCs w:val="22"/>
    </w:rPr>
  </w:style>
  <w:style w:type="paragraph" w:customStyle="1" w:styleId="166">
    <w:name w:val="彩色底纹 - 强调文字颜色 11"/>
    <w:hidden/>
    <w:unhideWhenUsed/>
    <w:qFormat/>
    <w:uiPriority w:val="99"/>
    <w:rPr>
      <w:rFonts w:ascii="Times New Roman" w:hAnsi="Times New Roman" w:eastAsia="宋体" w:cs="Times New Roman"/>
      <w:kern w:val="2"/>
      <w:sz w:val="21"/>
      <w:lang w:val="en-US" w:eastAsia="zh-CN" w:bidi="ar-SA"/>
    </w:rPr>
  </w:style>
  <w:style w:type="character" w:customStyle="1" w:styleId="167">
    <w:name w:val="访问过的超链接1"/>
    <w:semiHidden/>
    <w:unhideWhenUsed/>
    <w:qFormat/>
    <w:uiPriority w:val="99"/>
    <w:rPr>
      <w:color w:val="800080"/>
      <w:u w:val="single"/>
    </w:rPr>
  </w:style>
  <w:style w:type="table" w:customStyle="1" w:styleId="168">
    <w:name w:val="网格型1"/>
    <w:basedOn w:val="43"/>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6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DF2EC-CD3D-4227-A7D6-E4FE72F4A682}">
  <ds:schemaRefs/>
</ds:datastoreItem>
</file>

<file path=docProps/app.xml><?xml version="1.0" encoding="utf-8"?>
<Properties xmlns="http://schemas.openxmlformats.org/officeDocument/2006/extended-properties" xmlns:vt="http://schemas.openxmlformats.org/officeDocument/2006/docPropsVTypes">
  <Template>Normal</Template>
  <Company>东莞市达盛招标代理有限公司</Company>
  <Pages>86</Pages>
  <Words>7469</Words>
  <Characters>42575</Characters>
  <Lines>354</Lines>
  <Paragraphs>99</Paragraphs>
  <TotalTime>9</TotalTime>
  <ScaleCrop>false</ScaleCrop>
  <LinksUpToDate>false</LinksUpToDate>
  <CharactersWithSpaces>49945</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2019-05-24T03:15:00Z</dcterms:created>
  <dc:creator>ds001</dc:creator>
  <cp:lastModifiedBy>DELL</cp:lastModifiedBy>
  <cp:lastPrinted>2019-05-24T03:25:00Z</cp:lastPrinted>
  <dcterms:modified xsi:type="dcterms:W3CDTF">2019-05-28T08:58:41Z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