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57" w:rsidRPr="00AC6F57" w:rsidRDefault="00AC6F57" w:rsidP="00AC6F57">
      <w:pPr>
        <w:widowControl/>
        <w:shd w:val="clear" w:color="auto" w:fill="FFFFFF"/>
        <w:spacing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附件：保证金递交程序：</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一、投标（交易）保证金账户信息：</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户 名：云南省公共资源交易中心</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开户行：</w:t>
      </w:r>
      <w:r w:rsidRPr="00AC6F57">
        <w:rPr>
          <w:rFonts w:ascii="仿宋" w:eastAsia="仿宋" w:hAnsi="仿宋" w:cs="Times New Roman" w:hint="eastAsia"/>
          <w:color w:val="383838"/>
          <w:sz w:val="24"/>
          <w:szCs w:val="24"/>
          <w:u w:val="single"/>
        </w:rPr>
        <w:t>光大银行昆明西园路支行</w:t>
      </w:r>
      <w:r w:rsidRPr="00AC6F57">
        <w:rPr>
          <w:rFonts w:ascii="仿宋" w:eastAsia="仿宋" w:hAnsi="仿宋" w:cs="Times New Roman" w:hint="eastAsia"/>
          <w:color w:val="383838"/>
          <w:sz w:val="24"/>
          <w:szCs w:val="24"/>
        </w:rPr>
        <w:t xml:space="preserve">                       </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保证金提交账号及金额：</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标段1名称：</w:t>
      </w:r>
      <w:r w:rsidRPr="00AC6F57">
        <w:rPr>
          <w:rFonts w:ascii="仿宋" w:eastAsia="仿宋" w:hAnsi="仿宋" w:cs="Times New Roman" w:hint="eastAsia"/>
          <w:color w:val="383838"/>
          <w:sz w:val="24"/>
          <w:szCs w:val="24"/>
          <w:u w:val="single"/>
        </w:rPr>
        <w:t>A标段</w:t>
      </w:r>
      <w:r w:rsidRPr="00AC6F57">
        <w:rPr>
          <w:rFonts w:ascii="仿宋" w:eastAsia="仿宋" w:hAnsi="仿宋" w:cs="Times New Roman" w:hint="eastAsia"/>
          <w:color w:val="383838"/>
          <w:sz w:val="24"/>
          <w:szCs w:val="24"/>
        </w:rPr>
        <w:t xml:space="preserve"> 账号：</w:t>
      </w:r>
      <w:r w:rsidRPr="00AC6F57">
        <w:rPr>
          <w:rFonts w:ascii="仿宋" w:eastAsia="仿宋" w:hAnsi="仿宋" w:cs="Times New Roman" w:hint="eastAsia"/>
          <w:color w:val="383838"/>
          <w:sz w:val="24"/>
          <w:szCs w:val="24"/>
          <w:u w:val="single"/>
        </w:rPr>
        <w:t>39630188001129459</w:t>
      </w:r>
      <w:r w:rsidRPr="00AC6F57">
        <w:rPr>
          <w:rFonts w:ascii="仿宋" w:eastAsia="仿宋" w:hAnsi="仿宋" w:cs="Times New Roman" w:hint="eastAsia"/>
          <w:color w:val="383838"/>
          <w:sz w:val="24"/>
          <w:szCs w:val="24"/>
        </w:rPr>
        <w:t>，金额：</w:t>
      </w:r>
      <w:r w:rsidRPr="00AC6F57">
        <w:rPr>
          <w:rFonts w:ascii="仿宋" w:eastAsia="仿宋" w:hAnsi="仿宋" w:cs="Times New Roman" w:hint="eastAsia"/>
          <w:color w:val="383838"/>
          <w:sz w:val="24"/>
          <w:szCs w:val="24"/>
          <w:u w:val="single"/>
        </w:rPr>
        <w:t>不低于预算价的1%</w:t>
      </w:r>
      <w:r w:rsidRPr="00AC6F57">
        <w:rPr>
          <w:rFonts w:ascii="仿宋" w:eastAsia="仿宋" w:hAnsi="仿宋" w:cs="Times New Roman" w:hint="eastAsia"/>
          <w:color w:val="383838"/>
          <w:sz w:val="24"/>
          <w:szCs w:val="24"/>
        </w:rPr>
        <w:t>。</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标段2名称：</w:t>
      </w:r>
      <w:r w:rsidRPr="00AC6F57">
        <w:rPr>
          <w:rFonts w:ascii="仿宋" w:eastAsia="仿宋" w:hAnsi="仿宋" w:cs="Times New Roman" w:hint="eastAsia"/>
          <w:color w:val="383838"/>
          <w:sz w:val="24"/>
          <w:szCs w:val="24"/>
          <w:u w:val="single"/>
        </w:rPr>
        <w:t>B标段</w:t>
      </w:r>
      <w:r w:rsidRPr="00AC6F57">
        <w:rPr>
          <w:rFonts w:ascii="仿宋" w:eastAsia="仿宋" w:hAnsi="仿宋" w:cs="Times New Roman" w:hint="eastAsia"/>
          <w:color w:val="383838"/>
          <w:sz w:val="24"/>
          <w:szCs w:val="24"/>
        </w:rPr>
        <w:t xml:space="preserve"> 账号：</w:t>
      </w:r>
      <w:r w:rsidRPr="00AC6F57">
        <w:rPr>
          <w:rFonts w:ascii="仿宋" w:eastAsia="仿宋" w:hAnsi="仿宋" w:cs="Times New Roman" w:hint="eastAsia"/>
          <w:color w:val="383838"/>
          <w:sz w:val="24"/>
          <w:szCs w:val="24"/>
          <w:u w:val="single"/>
        </w:rPr>
        <w:t>39630188001129541</w:t>
      </w:r>
      <w:r w:rsidRPr="00AC6F57">
        <w:rPr>
          <w:rFonts w:ascii="仿宋" w:eastAsia="仿宋" w:hAnsi="仿宋" w:cs="Times New Roman" w:hint="eastAsia"/>
          <w:color w:val="383838"/>
          <w:sz w:val="24"/>
          <w:szCs w:val="24"/>
        </w:rPr>
        <w:t>，金额：</w:t>
      </w:r>
      <w:r w:rsidRPr="00AC6F57">
        <w:rPr>
          <w:rFonts w:ascii="仿宋" w:eastAsia="仿宋" w:hAnsi="仿宋" w:cs="Times New Roman" w:hint="eastAsia"/>
          <w:color w:val="383838"/>
          <w:sz w:val="24"/>
          <w:szCs w:val="24"/>
          <w:u w:val="single"/>
        </w:rPr>
        <w:t>不低于预算价的1%</w:t>
      </w:r>
      <w:r w:rsidRPr="00AC6F57">
        <w:rPr>
          <w:rFonts w:ascii="仿宋" w:eastAsia="仿宋" w:hAnsi="仿宋" w:cs="Times New Roman" w:hint="eastAsia"/>
          <w:color w:val="383838"/>
          <w:sz w:val="24"/>
          <w:szCs w:val="24"/>
        </w:rPr>
        <w:t>。</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标段3名称：</w:t>
      </w:r>
      <w:r w:rsidRPr="00AC6F57">
        <w:rPr>
          <w:rFonts w:ascii="仿宋" w:eastAsia="仿宋" w:hAnsi="仿宋" w:cs="Times New Roman" w:hint="eastAsia"/>
          <w:color w:val="383838"/>
          <w:sz w:val="24"/>
          <w:szCs w:val="24"/>
          <w:u w:val="single"/>
        </w:rPr>
        <w:t>C标段</w:t>
      </w:r>
      <w:r w:rsidRPr="00AC6F57">
        <w:rPr>
          <w:rFonts w:ascii="仿宋" w:eastAsia="仿宋" w:hAnsi="仿宋" w:cs="Times New Roman" w:hint="eastAsia"/>
          <w:color w:val="383838"/>
          <w:sz w:val="24"/>
          <w:szCs w:val="24"/>
        </w:rPr>
        <w:t xml:space="preserve"> 账号：</w:t>
      </w:r>
      <w:r w:rsidRPr="00AC6F57">
        <w:rPr>
          <w:rFonts w:ascii="仿宋" w:eastAsia="仿宋" w:hAnsi="仿宋" w:cs="Times New Roman" w:hint="eastAsia"/>
          <w:color w:val="383838"/>
          <w:sz w:val="24"/>
          <w:szCs w:val="24"/>
          <w:u w:val="single"/>
        </w:rPr>
        <w:t>39630188001129623</w:t>
      </w:r>
      <w:r w:rsidRPr="00AC6F57">
        <w:rPr>
          <w:rFonts w:ascii="仿宋" w:eastAsia="仿宋" w:hAnsi="仿宋" w:cs="Times New Roman" w:hint="eastAsia"/>
          <w:color w:val="383838"/>
          <w:sz w:val="24"/>
          <w:szCs w:val="24"/>
        </w:rPr>
        <w:t>，金额：</w:t>
      </w:r>
      <w:r w:rsidRPr="00AC6F57">
        <w:rPr>
          <w:rFonts w:ascii="仿宋" w:eastAsia="仿宋" w:hAnsi="仿宋" w:cs="Times New Roman" w:hint="eastAsia"/>
          <w:color w:val="383838"/>
          <w:sz w:val="24"/>
          <w:szCs w:val="24"/>
          <w:u w:val="single"/>
        </w:rPr>
        <w:t>不低于预算价的1%</w:t>
      </w:r>
      <w:r w:rsidRPr="00AC6F57">
        <w:rPr>
          <w:rFonts w:ascii="仿宋" w:eastAsia="仿宋" w:hAnsi="仿宋" w:cs="Times New Roman" w:hint="eastAsia"/>
          <w:color w:val="383838"/>
          <w:sz w:val="24"/>
          <w:szCs w:val="24"/>
        </w:rPr>
        <w:t>。</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二、投标（交易）保证金的提交时间：保证金到账截止时间为投标截止时间，到帐时间以实际到达专用账户时间为准，保函必须在规定的投标截止时间前递交至托管银行在交易中心的服务柜台。未按时到账的保证金视为未提交。</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三、保证金的提交方式为银行转账、银行保函。</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（一）银行转账：</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投标（交易）保证金应以投标人自身的名义提交，并且必须从其基本账户转出，不得以分支机构等其他名义提交（按照规定，投标人可以为自然人的项目除外）；</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（二）银行保函：</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1．保函申请人必须是投标人，受益人必须是招标人，保证人必须是投标人基本账户的开户银行；</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lastRenderedPageBreak/>
        <w:t>2．银行保函必须正确填写受益人和申请人的全称，并与招标文件规定的名称相一致，以免造成投标无效。</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四、投标人投同一项目下两个及以上标段（或包号）的，应按标段（或包号）分别提交保证金、银行保函。</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五、保证金提交的程序。</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（一）采用银行转账方式提交的：</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1．投标人向招标文件中载明的保证金专户转入保证金；</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2．投标人进入云南省公共资源交易中心网（https://www.ynggzy.com），登录投标系统后，在“确认投标保证金”处查询保证金缴纳情况并确认保证金。</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（二）采用银行保函方式提交的：</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1．投标人登录云南省公共资源交易中心网（https://www.ynggzy.com），在“投标保函管理【提交投标保函】”处填写保函相关信息并提交；</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2．投标人携带保函原件到云南省公共资源交易中心托管银行服务窗口办理提交手续，由托管银行代收保函原件后，对已录入的保函信息进行确认并打印回执。</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开标时，交易中心在开标现场按照标段（包号）公开各投标人保证金提交的情况，并交评标委员会。</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六、保证金提交和退还办理详见【云南省省级保证金操作手册】，下载链接：https://www.ynggzy.com/xzzq/zlxzList/</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七、保函或特殊情况保证金处理地点、时间和联系方式</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地点：昆明市高新区科发路269号交易大厦一楼受理大厅托管银行服务窗口；</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lastRenderedPageBreak/>
        <w:t>时间：法定工作日上午9：00-11：30、下午13：30-17：00；</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联系电话：</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建设银行：65385643，光大银行：65385602，富滇银行：65385703，技术咨询电话：4009618998</w:t>
      </w:r>
    </w:p>
    <w:p w:rsidR="00AC6F57" w:rsidRPr="00AC6F57" w:rsidRDefault="00AC6F57" w:rsidP="00AC6F57">
      <w:pPr>
        <w:widowControl/>
        <w:shd w:val="clear" w:color="auto" w:fill="FFFFFF"/>
        <w:spacing w:before="75" w:after="330" w:line="360" w:lineRule="auto"/>
        <w:ind w:firstLineChars="150" w:firstLine="360"/>
        <w:jc w:val="left"/>
        <w:rPr>
          <w:rFonts w:ascii="宋体" w:eastAsia="宋体" w:hAnsi="宋体" w:cs="宋体"/>
          <w:color w:val="383838"/>
          <w:kern w:val="0"/>
          <w:sz w:val="24"/>
          <w:szCs w:val="24"/>
        </w:rPr>
      </w:pPr>
      <w:r w:rsidRPr="00AC6F57">
        <w:rPr>
          <w:rFonts w:ascii="仿宋" w:eastAsia="仿宋" w:hAnsi="仿宋" w:cs="Times New Roman" w:hint="eastAsia"/>
          <w:color w:val="383838"/>
          <w:sz w:val="24"/>
          <w:szCs w:val="24"/>
        </w:rPr>
        <w:t>注：为避免投标截止时间前排队拥堵，采用保函方式提交保证金的投标人需合理安排时间，确保在投标截止时间前办理完保函递交手续。</w:t>
      </w:r>
    </w:p>
    <w:p w:rsidR="00AC6F57" w:rsidRPr="00AC6F57" w:rsidRDefault="00AC6F57" w:rsidP="00AC6F57">
      <w:pPr>
        <w:widowControl/>
        <w:shd w:val="clear" w:color="auto" w:fill="F0F0F0"/>
        <w:spacing w:before="100" w:beforeAutospacing="1" w:after="100" w:afterAutospacing="1" w:line="360" w:lineRule="atLeast"/>
        <w:jc w:val="left"/>
        <w:outlineLvl w:val="2"/>
        <w:rPr>
          <w:rFonts w:ascii="微软雅黑" w:eastAsia="微软雅黑" w:hAnsi="微软雅黑" w:cs="宋体"/>
          <w:b/>
          <w:bCs/>
          <w:vanish/>
          <w:color w:val="02396F"/>
          <w:kern w:val="0"/>
          <w:sz w:val="36"/>
          <w:szCs w:val="36"/>
        </w:rPr>
      </w:pPr>
      <w:r w:rsidRPr="00AC6F57">
        <w:rPr>
          <w:rFonts w:ascii="微软雅黑" w:eastAsia="微软雅黑" w:hAnsi="微软雅黑" w:cs="宋体" w:hint="eastAsia"/>
          <w:b/>
          <w:bCs/>
          <w:vanish/>
          <w:color w:val="02396F"/>
          <w:kern w:val="0"/>
          <w:sz w:val="36"/>
          <w:szCs w:val="36"/>
        </w:rPr>
        <w:t>相关公告</w:t>
      </w:r>
    </w:p>
    <w:p w:rsidR="00C83133" w:rsidRDefault="00C83133"/>
    <w:sectPr w:rsidR="00C83133" w:rsidSect="00C831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6F57"/>
    <w:rsid w:val="00AC6F57"/>
    <w:rsid w:val="00C83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F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96323761">
      <w:bodyDiv w:val="1"/>
      <w:marLeft w:val="0"/>
      <w:marRight w:val="0"/>
      <w:marTop w:val="0"/>
      <w:marBottom w:val="0"/>
      <w:divBdr>
        <w:top w:val="none" w:sz="0" w:space="0" w:color="auto"/>
        <w:left w:val="none" w:sz="0" w:space="0" w:color="auto"/>
        <w:bottom w:val="none" w:sz="0" w:space="0" w:color="auto"/>
        <w:right w:val="none" w:sz="0" w:space="0" w:color="auto"/>
      </w:divBdr>
      <w:divsChild>
        <w:div w:id="1027878198">
          <w:marLeft w:val="0"/>
          <w:marRight w:val="0"/>
          <w:marTop w:val="0"/>
          <w:marBottom w:val="0"/>
          <w:divBdr>
            <w:top w:val="none" w:sz="0" w:space="0" w:color="auto"/>
            <w:left w:val="none" w:sz="0" w:space="0" w:color="auto"/>
            <w:bottom w:val="none" w:sz="0" w:space="0" w:color="auto"/>
            <w:right w:val="none" w:sz="0" w:space="0" w:color="auto"/>
          </w:divBdr>
          <w:divsChild>
            <w:div w:id="1490973652">
              <w:marLeft w:val="0"/>
              <w:marRight w:val="0"/>
              <w:marTop w:val="0"/>
              <w:marBottom w:val="0"/>
              <w:divBdr>
                <w:top w:val="none" w:sz="0" w:space="0" w:color="auto"/>
                <w:left w:val="none" w:sz="0" w:space="0" w:color="auto"/>
                <w:bottom w:val="none" w:sz="0" w:space="0" w:color="auto"/>
                <w:right w:val="none" w:sz="0" w:space="0" w:color="auto"/>
              </w:divBdr>
              <w:divsChild>
                <w:div w:id="1369792886">
                  <w:marLeft w:val="0"/>
                  <w:marRight w:val="0"/>
                  <w:marTop w:val="150"/>
                  <w:marBottom w:val="0"/>
                  <w:divBdr>
                    <w:top w:val="none" w:sz="0" w:space="0" w:color="auto"/>
                    <w:left w:val="none" w:sz="0" w:space="0" w:color="auto"/>
                    <w:bottom w:val="none" w:sz="0" w:space="0" w:color="auto"/>
                    <w:right w:val="none" w:sz="0" w:space="0" w:color="auto"/>
                  </w:divBdr>
                  <w:divsChild>
                    <w:div w:id="1566597966">
                      <w:marLeft w:val="150"/>
                      <w:marRight w:val="0"/>
                      <w:marTop w:val="300"/>
                      <w:marBottom w:val="150"/>
                      <w:divBdr>
                        <w:top w:val="none" w:sz="0" w:space="0" w:color="auto"/>
                        <w:left w:val="none" w:sz="0" w:space="0" w:color="auto"/>
                        <w:bottom w:val="none" w:sz="0" w:space="0" w:color="auto"/>
                        <w:right w:val="none" w:sz="0" w:space="0" w:color="auto"/>
                      </w:divBdr>
                      <w:divsChild>
                        <w:div w:id="1748576034">
                          <w:marLeft w:val="1425"/>
                          <w:marRight w:val="0"/>
                          <w:marTop w:val="0"/>
                          <w:marBottom w:val="0"/>
                          <w:divBdr>
                            <w:top w:val="none" w:sz="0" w:space="0" w:color="auto"/>
                            <w:left w:val="none" w:sz="0" w:space="0" w:color="auto"/>
                            <w:bottom w:val="none" w:sz="0" w:space="0" w:color="auto"/>
                            <w:right w:val="none" w:sz="0" w:space="0" w:color="auto"/>
                          </w:divBdr>
                          <w:divsChild>
                            <w:div w:id="1118598752">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 w:id="3762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1044</Characters>
  <Application>Microsoft Office Word</Application>
  <DocSecurity>0</DocSecurity>
  <Lines>8</Lines>
  <Paragraphs>2</Paragraphs>
  <ScaleCrop>false</ScaleCrop>
  <Company>Microsoft</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2019-10-18T07:06:00Z</dcterms:created>
  <dcterms:modified xsi:type="dcterms:W3CDTF">2019-10-18T07:06:00Z</dcterms:modified>
</cp:coreProperties>
</file>