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color w:val="auto"/>
          <w:sz w:val="24"/>
          <w:szCs w:val="24"/>
        </w:rPr>
      </w:pPr>
      <w:r>
        <w:rPr>
          <w:rStyle w:val="19"/>
          <w:rFonts w:hint="eastAsia" w:ascii="仿宋" w:hAnsi="仿宋" w:eastAsia="仿宋" w:cs="仿宋"/>
          <w:b/>
          <w:bCs/>
          <w:color w:val="auto"/>
          <w:sz w:val="30"/>
          <w:szCs w:val="30"/>
        </w:rPr>
        <w:t>招标公告</w:t>
      </w:r>
    </w:p>
    <w:p>
      <w:pPr>
        <w:pBdr>
          <w:top w:val="single" w:color="auto" w:sz="4" w:space="1"/>
          <w:left w:val="single" w:color="auto" w:sz="4" w:space="4"/>
          <w:bottom w:val="single" w:color="auto" w:sz="4" w:space="1"/>
          <w:right w:val="single" w:color="auto" w:sz="4" w:space="4"/>
        </w:pBdr>
        <w:ind w:firstLine="480" w:firstLineChars="200"/>
        <w:rPr>
          <w:rFonts w:ascii="仿宋" w:hAnsi="仿宋" w:eastAsia="仿宋" w:cs="仿宋"/>
          <w:color w:val="auto"/>
          <w:sz w:val="24"/>
          <w:szCs w:val="24"/>
        </w:rPr>
      </w:pPr>
      <w:r>
        <w:rPr>
          <w:rFonts w:hint="eastAsia" w:ascii="仿宋" w:hAnsi="仿宋" w:eastAsia="仿宋" w:cs="仿宋"/>
          <w:color w:val="auto"/>
          <w:sz w:val="24"/>
          <w:szCs w:val="24"/>
          <w:u w:val="single"/>
          <w:lang w:eastAsia="zh-CN"/>
        </w:rPr>
        <w:t>广东粤港澳大湾区黄埔材料研究院超高效液相色谱-四极杆飞行时间质谱仪采购项目</w:t>
      </w:r>
      <w:r>
        <w:rPr>
          <w:rFonts w:hint="eastAsia" w:ascii="仿宋" w:hAnsi="仿宋" w:eastAsia="仿宋" w:cs="仿宋"/>
          <w:color w:val="auto"/>
          <w:sz w:val="24"/>
          <w:szCs w:val="24"/>
        </w:rPr>
        <w:t>的潜在供应商应在</w:t>
      </w:r>
      <w:r>
        <w:rPr>
          <w:rFonts w:hint="eastAsia" w:ascii="仿宋" w:hAnsi="仿宋" w:eastAsia="仿宋" w:cs="仿宋"/>
          <w:color w:val="auto"/>
          <w:sz w:val="24"/>
          <w:szCs w:val="24"/>
          <w:u w:val="single"/>
        </w:rPr>
        <w:t>北京中储建国际工程管理有限公司beijingzcj@163.com</w:t>
      </w:r>
      <w:r>
        <w:rPr>
          <w:rFonts w:hint="eastAsia" w:ascii="仿宋" w:hAnsi="仿宋" w:eastAsia="仿宋" w:cs="仿宋"/>
          <w:color w:val="auto"/>
          <w:sz w:val="24"/>
          <w:szCs w:val="24"/>
        </w:rPr>
        <w:t>获取招标文件，并于</w:t>
      </w:r>
      <w:r>
        <w:rPr>
          <w:rFonts w:hint="eastAsia" w:ascii="仿宋" w:hAnsi="仿宋" w:eastAsia="仿宋" w:cs="仿宋"/>
          <w:color w:val="auto"/>
          <w:sz w:val="24"/>
          <w:szCs w:val="24"/>
          <w:u w:val="single"/>
        </w:rPr>
        <w:t xml:space="preserve"> 202</w:t>
      </w:r>
      <w:r>
        <w:rPr>
          <w:rFonts w:hint="eastAsia" w:ascii="仿宋" w:hAnsi="仿宋" w:eastAsia="仿宋" w:cs="仿宋"/>
          <w:color w:val="auto"/>
          <w:sz w:val="24"/>
          <w:szCs w:val="24"/>
          <w:u w:val="single"/>
          <w:lang w:val="en-US" w:eastAsia="zh-CN"/>
        </w:rPr>
        <w:t>4</w:t>
      </w:r>
      <w:r>
        <w:rPr>
          <w:rFonts w:hint="eastAsia" w:ascii="仿宋" w:hAnsi="仿宋" w:eastAsia="仿宋" w:cs="仿宋"/>
          <w:color w:val="auto"/>
          <w:sz w:val="24"/>
          <w:szCs w:val="24"/>
          <w:u w:val="single"/>
        </w:rPr>
        <w:t>年</w:t>
      </w:r>
      <w:r>
        <w:rPr>
          <w:rFonts w:hint="eastAsia" w:ascii="仿宋" w:hAnsi="仿宋" w:eastAsia="仿宋" w:cs="仿宋"/>
          <w:color w:val="auto"/>
          <w:sz w:val="24"/>
          <w:szCs w:val="24"/>
          <w:u w:val="single"/>
          <w:lang w:val="en-US" w:eastAsia="zh-CN"/>
        </w:rPr>
        <w:t>4</w:t>
      </w:r>
      <w:r>
        <w:rPr>
          <w:rFonts w:hint="eastAsia" w:ascii="仿宋" w:hAnsi="仿宋" w:eastAsia="仿宋" w:cs="仿宋"/>
          <w:color w:val="auto"/>
          <w:sz w:val="24"/>
          <w:szCs w:val="24"/>
          <w:u w:val="single"/>
        </w:rPr>
        <w:t>月</w:t>
      </w:r>
      <w:r>
        <w:rPr>
          <w:rFonts w:hint="eastAsia" w:ascii="仿宋" w:hAnsi="仿宋" w:eastAsia="仿宋" w:cs="仿宋"/>
          <w:color w:val="auto"/>
          <w:sz w:val="24"/>
          <w:szCs w:val="24"/>
          <w:u w:val="single"/>
          <w:lang w:val="en-US" w:eastAsia="zh-CN"/>
        </w:rPr>
        <w:t xml:space="preserve">    2</w:t>
      </w:r>
      <w:r>
        <w:rPr>
          <w:rFonts w:hint="eastAsia" w:ascii="仿宋" w:hAnsi="仿宋" w:eastAsia="仿宋" w:cs="仿宋"/>
          <w:color w:val="auto"/>
          <w:sz w:val="24"/>
          <w:szCs w:val="24"/>
          <w:u w:val="single"/>
        </w:rPr>
        <w:t>日</w:t>
      </w:r>
      <w:r>
        <w:rPr>
          <w:rFonts w:hint="eastAsia" w:ascii="仿宋" w:hAnsi="仿宋" w:eastAsia="仿宋" w:cs="仿宋"/>
          <w:color w:val="auto"/>
          <w:sz w:val="24"/>
          <w:szCs w:val="24"/>
          <w:u w:val="single"/>
          <w:lang w:val="en-US" w:eastAsia="zh-CN"/>
        </w:rPr>
        <w:t>13</w:t>
      </w:r>
      <w:r>
        <w:rPr>
          <w:rFonts w:hint="eastAsia" w:ascii="仿宋" w:hAnsi="仿宋" w:eastAsia="仿宋" w:cs="仿宋"/>
          <w:color w:val="auto"/>
          <w:sz w:val="24"/>
          <w:szCs w:val="24"/>
          <w:u w:val="single"/>
        </w:rPr>
        <w:t>点00分（北京时间）</w:t>
      </w:r>
      <w:r>
        <w:rPr>
          <w:rFonts w:hint="eastAsia" w:ascii="仿宋" w:hAnsi="仿宋" w:eastAsia="仿宋" w:cs="仿宋"/>
          <w:bCs/>
          <w:color w:val="auto"/>
          <w:sz w:val="24"/>
          <w:szCs w:val="24"/>
        </w:rPr>
        <w:t>前递交投标文件</w:t>
      </w:r>
      <w:r>
        <w:rPr>
          <w:rFonts w:hint="eastAsia" w:ascii="仿宋" w:hAnsi="仿宋" w:eastAsia="仿宋" w:cs="仿宋"/>
          <w:color w:val="auto"/>
          <w:sz w:val="24"/>
          <w:szCs w:val="24"/>
        </w:rPr>
        <w:t>。</w:t>
      </w:r>
    </w:p>
    <w:p>
      <w:pPr>
        <w:pStyle w:val="7"/>
        <w:snapToGrid w:val="0"/>
        <w:rPr>
          <w:rFonts w:ascii="仿宋" w:hAnsi="仿宋" w:eastAsia="仿宋" w:cs="仿宋"/>
          <w:b/>
          <w:bCs/>
          <w:color w:val="auto"/>
          <w:sz w:val="24"/>
          <w:szCs w:val="24"/>
        </w:rPr>
      </w:pPr>
      <w:r>
        <w:rPr>
          <w:rFonts w:hint="eastAsia" w:ascii="仿宋" w:hAnsi="仿宋" w:eastAsia="仿宋" w:cs="仿宋"/>
          <w:b/>
          <w:bCs/>
          <w:color w:val="auto"/>
          <w:sz w:val="24"/>
          <w:szCs w:val="24"/>
        </w:rPr>
        <w:t>一、项目基本情况</w:t>
      </w:r>
    </w:p>
    <w:p>
      <w:pPr>
        <w:pStyle w:val="7"/>
        <w:snapToGrid w:val="0"/>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1.项目编号：</w:t>
      </w:r>
      <w:r>
        <w:rPr>
          <w:rFonts w:hint="eastAsia" w:ascii="仿宋" w:hAnsi="仿宋" w:eastAsia="仿宋" w:cs="仿宋"/>
          <w:color w:val="auto"/>
          <w:sz w:val="24"/>
          <w:szCs w:val="24"/>
          <w:lang w:eastAsia="zh-CN"/>
        </w:rPr>
        <w:t>CNRC-24HQ-AE103</w:t>
      </w:r>
    </w:p>
    <w:p>
      <w:pPr>
        <w:pStyle w:val="7"/>
        <w:snapToGrid w:val="0"/>
        <w:ind w:left="1919" w:leftChars="228" w:hanging="1440" w:hangingChars="600"/>
        <w:rPr>
          <w:rFonts w:ascii="仿宋" w:hAnsi="仿宋" w:eastAsia="仿宋" w:cs="仿宋"/>
          <w:color w:val="auto"/>
          <w:sz w:val="24"/>
          <w:szCs w:val="24"/>
        </w:rPr>
      </w:pPr>
      <w:r>
        <w:rPr>
          <w:rFonts w:hint="eastAsia" w:ascii="仿宋" w:hAnsi="仿宋" w:eastAsia="仿宋" w:cs="仿宋"/>
          <w:color w:val="auto"/>
          <w:sz w:val="24"/>
          <w:szCs w:val="24"/>
        </w:rPr>
        <w:t>2.项目名称：</w:t>
      </w:r>
      <w:r>
        <w:rPr>
          <w:rFonts w:hint="eastAsia" w:ascii="仿宋" w:hAnsi="仿宋" w:eastAsia="仿宋" w:cs="仿宋"/>
          <w:color w:val="auto"/>
          <w:sz w:val="24"/>
          <w:szCs w:val="24"/>
          <w:lang w:eastAsia="zh-CN"/>
        </w:rPr>
        <w:t>广东粤港澳大湾区黄埔材料研究院超高效液相色谱-四极杆飞行时间质谱仪采购项目</w:t>
      </w:r>
    </w:p>
    <w:p>
      <w:pPr>
        <w:pStyle w:val="7"/>
        <w:snapToGrid w:val="0"/>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3.项目预算：</w:t>
      </w:r>
      <w:r>
        <w:rPr>
          <w:rFonts w:hint="eastAsia" w:ascii="仿宋" w:hAnsi="仿宋" w:eastAsia="仿宋" w:cs="仿宋"/>
          <w:color w:val="auto"/>
          <w:sz w:val="24"/>
          <w:szCs w:val="24"/>
          <w:lang w:val="en-US" w:eastAsia="zh-CN"/>
        </w:rPr>
        <w:t>370</w:t>
      </w:r>
      <w:r>
        <w:rPr>
          <w:rFonts w:hint="eastAsia" w:ascii="仿宋" w:hAnsi="仿宋" w:eastAsia="仿宋" w:cs="仿宋"/>
          <w:color w:val="auto"/>
          <w:sz w:val="24"/>
          <w:szCs w:val="24"/>
        </w:rPr>
        <w:t>万元</w:t>
      </w:r>
    </w:p>
    <w:p>
      <w:pPr>
        <w:pStyle w:val="7"/>
        <w:snapToGrid w:val="0"/>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4.项目最高限价：</w:t>
      </w:r>
      <w:r>
        <w:rPr>
          <w:rFonts w:hint="eastAsia" w:ascii="仿宋" w:hAnsi="仿宋" w:eastAsia="仿宋" w:cs="仿宋"/>
          <w:color w:val="auto"/>
          <w:sz w:val="24"/>
          <w:szCs w:val="24"/>
          <w:lang w:val="en-US" w:eastAsia="zh-CN"/>
        </w:rPr>
        <w:t>370</w:t>
      </w:r>
      <w:r>
        <w:rPr>
          <w:rFonts w:hint="eastAsia" w:ascii="仿宋" w:hAnsi="仿宋" w:eastAsia="仿宋" w:cs="仿宋"/>
          <w:color w:val="auto"/>
          <w:sz w:val="24"/>
          <w:szCs w:val="24"/>
        </w:rPr>
        <w:t>万元</w:t>
      </w:r>
    </w:p>
    <w:p>
      <w:pPr>
        <w:pStyle w:val="7"/>
        <w:snapToGrid w:val="0"/>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5.采购需求：</w:t>
      </w:r>
    </w:p>
    <w:p>
      <w:pPr>
        <w:pStyle w:val="7"/>
        <w:snapToGrid w:val="0"/>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超高效液相色谱-四极杆飞行时间质谱仪</w:t>
      </w:r>
    </w:p>
    <w:p>
      <w:pPr>
        <w:pStyle w:val="7"/>
        <w:snapToGrid w:val="0"/>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数量：1套</w:t>
      </w:r>
    </w:p>
    <w:p>
      <w:pPr>
        <w:pStyle w:val="7"/>
        <w:numPr>
          <w:ilvl w:val="0"/>
          <w:numId w:val="2"/>
        </w:numPr>
        <w:snapToGrid w:val="0"/>
        <w:ind w:firstLine="480" w:firstLineChars="200"/>
        <w:rPr>
          <w:rFonts w:ascii="仿宋" w:hAnsi="仿宋" w:eastAsia="仿宋" w:cs="仿宋"/>
          <w:b/>
          <w:bCs/>
          <w:color w:val="auto"/>
          <w:sz w:val="24"/>
          <w:szCs w:val="24"/>
        </w:rPr>
      </w:pPr>
      <w:r>
        <w:rPr>
          <w:rFonts w:hint="eastAsia" w:ascii="仿宋" w:hAnsi="仿宋" w:eastAsia="仿宋" w:cs="仿宋"/>
          <w:color w:val="auto"/>
          <w:sz w:val="24"/>
          <w:szCs w:val="24"/>
        </w:rPr>
        <w:t>技术需求：流量精度：≤0.07%RSD</w:t>
      </w:r>
    </w:p>
    <w:p>
      <w:pPr>
        <w:pStyle w:val="7"/>
        <w:numPr>
          <w:ilvl w:val="0"/>
          <w:numId w:val="2"/>
        </w:numPr>
        <w:snapToGrid w:val="0"/>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合同履行期限：</w:t>
      </w:r>
      <w:r>
        <w:rPr>
          <w:rFonts w:hint="eastAsia" w:ascii="仿宋" w:hAnsi="仿宋" w:eastAsia="仿宋" w:cs="仿宋"/>
          <w:bCs/>
          <w:color w:val="auto"/>
          <w:sz w:val="24"/>
          <w:szCs w:val="24"/>
        </w:rPr>
        <w:t>合同签订后至项目完成</w:t>
      </w:r>
    </w:p>
    <w:p>
      <w:pPr>
        <w:pStyle w:val="7"/>
        <w:numPr>
          <w:ilvl w:val="0"/>
          <w:numId w:val="2"/>
        </w:numPr>
        <w:snapToGrid w:val="0"/>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本项目是否接受联合体投标：不接受</w:t>
      </w:r>
    </w:p>
    <w:p>
      <w:pPr>
        <w:pStyle w:val="7"/>
        <w:snapToGrid w:val="0"/>
        <w:rPr>
          <w:rFonts w:ascii="仿宋" w:hAnsi="仿宋" w:eastAsia="仿宋" w:cs="仿宋"/>
          <w:b/>
          <w:bCs/>
          <w:color w:val="auto"/>
          <w:sz w:val="24"/>
          <w:szCs w:val="24"/>
        </w:rPr>
      </w:pPr>
      <w:r>
        <w:rPr>
          <w:rFonts w:hint="eastAsia" w:ascii="仿宋" w:hAnsi="仿宋" w:eastAsia="仿宋" w:cs="仿宋"/>
          <w:b/>
          <w:bCs/>
          <w:color w:val="auto"/>
          <w:sz w:val="24"/>
          <w:szCs w:val="24"/>
        </w:rPr>
        <w:t>二、申请人的资格要求</w:t>
      </w:r>
    </w:p>
    <w:p>
      <w:pPr>
        <w:pStyle w:val="7"/>
        <w:snapToGrid w:val="0"/>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(1)供应商是指有生产或供应能力，向采购人提供货物的法人、其他组织或自然人。</w:t>
      </w:r>
    </w:p>
    <w:p>
      <w:pPr>
        <w:pStyle w:val="7"/>
        <w:snapToGrid w:val="0"/>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(2)具备《中华人民共和国政府采购法》第二十二条规定的条件。</w:t>
      </w:r>
    </w:p>
    <w:p>
      <w:pPr>
        <w:pStyle w:val="7"/>
        <w:snapToGrid w:val="0"/>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(3)在中华人民共和国境内注册，能够独立承担民事责任，有生产或供应能力的本国供应商，包括法人、其他组织或者自然人。</w:t>
      </w:r>
    </w:p>
    <w:p>
      <w:pPr>
        <w:pStyle w:val="7"/>
        <w:snapToGrid w:val="0"/>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(4)在法律上和财务上独立、合法运作并独立于采购人和采购代理机构之外。</w:t>
      </w:r>
    </w:p>
    <w:p>
      <w:pPr>
        <w:pStyle w:val="7"/>
        <w:snapToGrid w:val="0"/>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(5) 供应商的投标货物应当符合国家有关部门规定的相应技术、节能、安全和环保标准；如国家有关部门对供应商的投标货物有强制性规定或要求的，则供应商的投标货物必须符合相应规定或要求。</w:t>
      </w:r>
    </w:p>
    <w:p>
      <w:pPr>
        <w:pStyle w:val="7"/>
        <w:snapToGrid w:val="0"/>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(6) 如供应商为代理商，投标产品必须具有合法销售或允许销售的证明文件；如供应商为制造商，投标产品必须具有合法制造并销售的证明文件，且符合《中华人民共和国政府采购法》及相关法律法规规定的证明文件。</w:t>
      </w:r>
    </w:p>
    <w:p>
      <w:pPr>
        <w:pStyle w:val="7"/>
        <w:snapToGrid w:val="0"/>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(7) 近三年内（本项目投标截止期前）在“信用中国”网站(www.creditchina.gov.cn)信用报告中，中国政府采购网(www.ccgp.gov.cn)查询信用记录，未列入失信被执行人、重大税收违法失信主体名单、政府采购严重违法失信行为记录名单的供应商。</w:t>
      </w:r>
    </w:p>
    <w:p>
      <w:pPr>
        <w:pStyle w:val="7"/>
        <w:snapToGrid w:val="0"/>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(8) 供应商必须向采购代理机构购买招标文件并登记备案，未向采购代理机构购买招标文件并登记备案的潜在供应商均无资格参加本次投标。</w:t>
      </w:r>
    </w:p>
    <w:p>
      <w:pPr>
        <w:pStyle w:val="7"/>
        <w:snapToGrid w:val="0"/>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(9) 符合投标人须知资料表中规定的其他要求。</w:t>
      </w:r>
    </w:p>
    <w:p>
      <w:pPr>
        <w:pStyle w:val="7"/>
        <w:snapToGrid w:val="0"/>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2.落实政府采购需满足的资格要求：</w:t>
      </w:r>
    </w:p>
    <w:p>
      <w:pPr>
        <w:pStyle w:val="7"/>
        <w:snapToGrid w:val="0"/>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关于调整优化节能产品、环境标志产品政府采购执行机制的通知》（财库〔2019〕9号）、《关于印发节能产品政府采购品目清单的通知》（财库〔2019〕19号）、《政府采购促进中小企业发展管理办法》（财库﹝2020﹞46 号）、《财政部、司法部关于政府采购支持监狱企业发展有关问题的通知》（财库【2014】68号）、《三部门联合发布关于促进残疾人就业政府采购政策的通知》（财库【2017】141号）等。</w:t>
      </w:r>
    </w:p>
    <w:p>
      <w:pPr>
        <w:numPr>
          <w:ilvl w:val="0"/>
          <w:numId w:val="3"/>
        </w:numPr>
        <w:rPr>
          <w:rFonts w:ascii="仿宋" w:hAnsi="仿宋" w:eastAsia="仿宋" w:cs="仿宋"/>
          <w:color w:val="auto"/>
          <w:sz w:val="24"/>
          <w:szCs w:val="24"/>
        </w:rPr>
      </w:pPr>
      <w:r>
        <w:rPr>
          <w:rFonts w:hint="eastAsia" w:ascii="仿宋" w:hAnsi="仿宋" w:eastAsia="仿宋" w:cs="仿宋"/>
          <w:color w:val="auto"/>
          <w:sz w:val="24"/>
          <w:szCs w:val="24"/>
        </w:rPr>
        <w:t>本项目的特定资格要求：</w:t>
      </w:r>
    </w:p>
    <w:p>
      <w:pPr>
        <w:spacing w:before="12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1、提供开标前最近6个月中任意1个月投标人缴纳的企业所得税或增值税的证明（缴纳证明复印件，加盖公章）或事业单位近期纳税证明（缴纳证明复印件，加盖公章）或自然人缴纳个人所得税证明；</w:t>
      </w:r>
    </w:p>
    <w:p>
      <w:pPr>
        <w:spacing w:before="12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2、提供开标前最近6个月中任意1个月投标人缴纳为职工缴纳社会保险的证明（如基本养老保险费、基本医疗保险费、失业保险费等缴纳证明复印件，加盖公章）；</w:t>
      </w:r>
    </w:p>
    <w:p>
      <w:pPr>
        <w:spacing w:before="12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上述缴纳记录在法规范围内不能提供或提供不全的应提供书面说明和证明文件。</w:t>
      </w:r>
    </w:p>
    <w:p>
      <w:pPr>
        <w:spacing w:before="12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3、投标人所投产品为进口产品需提供制造厂家的授权书、经销商(作为代理)的资格声明。</w:t>
      </w:r>
    </w:p>
    <w:p>
      <w:pPr>
        <w:spacing w:before="12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供应商在投标文件中，必须提供2022年或2023年的供应商财务状况证明文件（经会计师事务所或者审计机构审计的财务报告复印件，至少包括资产负债表、利润表、现金流量表），如果供应商为新成立单位，无法提供审计报告的，则需提供新企业验资报告复印件并加盖供应商单位公章。如供应商无法提供审计报告，则需提供开户银行出具资信证明文件原件或复印件，如资信证明中明确注明复印件无效的则必须提供原件。银行资信证明文件应当能说明供应商与银行之间业务往来正常、企业信誉良好等情况。银行出具的存款证明文件不能替代银行资信证明文件。</w:t>
      </w:r>
    </w:p>
    <w:p>
      <w:pPr>
        <w:spacing w:before="12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注：上述供应商须提供的资格文件均应为有效文件并加盖本单位公章，否则评标时不予认可。</w:t>
      </w:r>
    </w:p>
    <w:p>
      <w:pPr>
        <w:pStyle w:val="7"/>
        <w:snapToGrid w:val="0"/>
        <w:rPr>
          <w:rFonts w:ascii="仿宋" w:hAnsi="仿宋" w:eastAsia="仿宋" w:cs="仿宋"/>
          <w:b/>
          <w:bCs/>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三、获取招标文件</w:t>
      </w:r>
    </w:p>
    <w:p>
      <w:pPr>
        <w:tabs>
          <w:tab w:val="left" w:pos="1134"/>
        </w:tabs>
        <w:snapToGrid w:val="0"/>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1.获取时间：202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rPr>
        <w:t>日至202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日，每天上午9:00至11:00，下午13:00至16:00（北京时间，法定节假日除外）</w:t>
      </w:r>
    </w:p>
    <w:p>
      <w:pPr>
        <w:tabs>
          <w:tab w:val="left" w:pos="1134"/>
        </w:tabs>
        <w:snapToGrid w:val="0"/>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2.获取地点：</w:t>
      </w:r>
      <w:r>
        <w:rPr>
          <w:color w:val="auto"/>
        </w:rPr>
        <w:fldChar w:fldCharType="begin"/>
      </w:r>
      <w:r>
        <w:rPr>
          <w:color w:val="auto"/>
        </w:rPr>
        <w:instrText xml:space="preserve"> HYPERLINK "mailto:beijingzcj@163.com" </w:instrText>
      </w:r>
      <w:r>
        <w:rPr>
          <w:color w:val="auto"/>
        </w:rPr>
        <w:fldChar w:fldCharType="separate"/>
      </w:r>
      <w:r>
        <w:rPr>
          <w:rStyle w:val="13"/>
          <w:rFonts w:hint="eastAsia" w:ascii="仿宋" w:hAnsi="仿宋" w:eastAsia="仿宋" w:cs="仿宋"/>
          <w:color w:val="auto"/>
          <w:sz w:val="24"/>
          <w:szCs w:val="24"/>
        </w:rPr>
        <w:t>beijingzcj@163.com</w:t>
      </w:r>
      <w:r>
        <w:rPr>
          <w:rStyle w:val="13"/>
          <w:rFonts w:hint="eastAsia" w:ascii="仿宋" w:hAnsi="仿宋" w:eastAsia="仿宋" w:cs="仿宋"/>
          <w:color w:val="auto"/>
          <w:sz w:val="24"/>
          <w:szCs w:val="24"/>
        </w:rPr>
        <w:fldChar w:fldCharType="end"/>
      </w:r>
    </w:p>
    <w:p>
      <w:pPr>
        <w:tabs>
          <w:tab w:val="left" w:pos="1134"/>
        </w:tabs>
        <w:snapToGrid w:val="0"/>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3.方式：潜在投标人按照附表（后附）填写公司等相关信息后，</w:t>
      </w:r>
      <w:r>
        <w:rPr>
          <w:color w:val="auto"/>
        </w:rPr>
        <w:fldChar w:fldCharType="begin"/>
      </w:r>
      <w:r>
        <w:rPr>
          <w:color w:val="auto"/>
        </w:rPr>
        <w:instrText xml:space="preserve"> HYPERLINK "mailto:连同标书款电汇底单发送邮件至beijingzcj@163.com" </w:instrText>
      </w:r>
      <w:r>
        <w:rPr>
          <w:color w:val="auto"/>
        </w:rPr>
        <w:fldChar w:fldCharType="separate"/>
      </w:r>
      <w:r>
        <w:rPr>
          <w:rFonts w:hint="eastAsia" w:ascii="仿宋" w:hAnsi="仿宋" w:eastAsia="仿宋" w:cs="仿宋"/>
          <w:color w:val="auto"/>
          <w:sz w:val="24"/>
          <w:szCs w:val="24"/>
        </w:rPr>
        <w:t>连同标书款电汇底单发送邮件至beijingzcj@163.com</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。购买时间以邮件发送成功时间为准，非发售时间内所发送邮件无效。收到邮件后招标公司将招标文件以电子版形式发送。招标文件售后不退。</w:t>
      </w:r>
    </w:p>
    <w:p>
      <w:pPr>
        <w:pStyle w:val="9"/>
        <w:ind w:firstLineChars="175"/>
        <w:rPr>
          <w:rFonts w:ascii="仿宋" w:hAnsi="仿宋" w:eastAsia="仿宋" w:cs="仿宋"/>
          <w:color w:val="auto"/>
          <w:sz w:val="24"/>
        </w:rPr>
      </w:pPr>
      <w:r>
        <w:rPr>
          <w:rFonts w:hint="eastAsia" w:ascii="仿宋" w:hAnsi="仿宋" w:eastAsia="仿宋" w:cs="仿宋"/>
          <w:color w:val="auto"/>
          <w:sz w:val="24"/>
        </w:rPr>
        <w:t>开 户 名：北京中储建国际工程管理有限公司</w:t>
      </w:r>
    </w:p>
    <w:p>
      <w:pPr>
        <w:pStyle w:val="9"/>
        <w:ind w:firstLineChars="175"/>
        <w:rPr>
          <w:rFonts w:ascii="仿宋" w:hAnsi="仿宋" w:eastAsia="仿宋" w:cs="仿宋"/>
          <w:color w:val="auto"/>
          <w:sz w:val="24"/>
        </w:rPr>
      </w:pPr>
      <w:r>
        <w:rPr>
          <w:rFonts w:hint="eastAsia" w:ascii="仿宋" w:hAnsi="仿宋" w:eastAsia="仿宋" w:cs="仿宋"/>
          <w:color w:val="auto"/>
          <w:sz w:val="24"/>
        </w:rPr>
        <w:t>开户银行：招商银行股份有限公司北京城市副中心分行</w:t>
      </w:r>
    </w:p>
    <w:p>
      <w:pPr>
        <w:pStyle w:val="9"/>
        <w:ind w:firstLineChars="175"/>
        <w:rPr>
          <w:rFonts w:ascii="仿宋" w:hAnsi="仿宋" w:eastAsia="仿宋" w:cs="仿宋"/>
          <w:color w:val="auto"/>
          <w:sz w:val="24"/>
        </w:rPr>
      </w:pPr>
      <w:r>
        <w:rPr>
          <w:rFonts w:hint="eastAsia" w:ascii="仿宋" w:hAnsi="仿宋" w:eastAsia="仿宋" w:cs="仿宋"/>
          <w:color w:val="auto"/>
          <w:sz w:val="24"/>
        </w:rPr>
        <w:t>行    号：308100005738</w:t>
      </w:r>
    </w:p>
    <w:p>
      <w:pPr>
        <w:pStyle w:val="9"/>
        <w:ind w:firstLineChars="175"/>
        <w:rPr>
          <w:rFonts w:ascii="仿宋" w:hAnsi="仿宋" w:eastAsia="仿宋" w:cs="仿宋"/>
          <w:color w:val="auto"/>
          <w:sz w:val="24"/>
        </w:rPr>
      </w:pPr>
      <w:r>
        <w:rPr>
          <w:rFonts w:hint="eastAsia" w:ascii="仿宋" w:hAnsi="仿宋" w:eastAsia="仿宋" w:cs="仿宋"/>
          <w:color w:val="auto"/>
          <w:sz w:val="24"/>
        </w:rPr>
        <w:t>账    号：110915384110801</w:t>
      </w:r>
    </w:p>
    <w:p>
      <w:pPr>
        <w:tabs>
          <w:tab w:val="left" w:pos="1134"/>
        </w:tabs>
        <w:snapToGrid w:val="0"/>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4.文件售价：</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00元。</w:t>
      </w:r>
    </w:p>
    <w:p>
      <w:pPr>
        <w:pStyle w:val="7"/>
        <w:snapToGrid w:val="0"/>
        <w:rPr>
          <w:rFonts w:ascii="仿宋" w:hAnsi="仿宋" w:eastAsia="仿宋" w:cs="仿宋"/>
          <w:b/>
          <w:bCs/>
          <w:color w:val="auto"/>
          <w:sz w:val="24"/>
          <w:szCs w:val="24"/>
        </w:rPr>
      </w:pPr>
      <w:r>
        <w:rPr>
          <w:rFonts w:hint="eastAsia" w:ascii="仿宋" w:hAnsi="仿宋" w:eastAsia="仿宋" w:cs="仿宋"/>
          <w:b/>
          <w:bCs/>
          <w:color w:val="auto"/>
          <w:sz w:val="24"/>
          <w:szCs w:val="24"/>
        </w:rPr>
        <w:t>四、提交投标文件截止时间、开标时间和地点</w:t>
      </w:r>
    </w:p>
    <w:p>
      <w:pPr>
        <w:pStyle w:val="7"/>
        <w:snapToGrid w:val="0"/>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投标文件截止时间：202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月2日</w:t>
      </w:r>
      <w:r>
        <w:rPr>
          <w:rFonts w:hint="eastAsia" w:ascii="仿宋" w:hAnsi="仿宋" w:eastAsia="仿宋" w:cs="仿宋"/>
          <w:color w:val="auto"/>
          <w:sz w:val="24"/>
          <w:szCs w:val="24"/>
          <w:lang w:val="en-US" w:eastAsia="zh-CN"/>
        </w:rPr>
        <w:t>13</w:t>
      </w:r>
      <w:r>
        <w:rPr>
          <w:rFonts w:hint="eastAsia" w:ascii="仿宋" w:hAnsi="仿宋" w:eastAsia="仿宋" w:cs="仿宋"/>
          <w:color w:val="auto"/>
          <w:sz w:val="24"/>
          <w:szCs w:val="24"/>
        </w:rPr>
        <w:t>点00分（北京时间）</w:t>
      </w:r>
    </w:p>
    <w:p>
      <w:pPr>
        <w:pStyle w:val="7"/>
        <w:snapToGrid w:val="0"/>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开标时间：202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月2日</w:t>
      </w:r>
      <w:r>
        <w:rPr>
          <w:rFonts w:hint="eastAsia" w:ascii="仿宋" w:hAnsi="仿宋" w:eastAsia="仿宋" w:cs="仿宋"/>
          <w:color w:val="auto"/>
          <w:sz w:val="24"/>
          <w:szCs w:val="24"/>
          <w:lang w:val="en-US" w:eastAsia="zh-CN"/>
        </w:rPr>
        <w:t>13</w:t>
      </w:r>
      <w:r>
        <w:rPr>
          <w:rFonts w:hint="eastAsia" w:ascii="仿宋" w:hAnsi="仿宋" w:eastAsia="仿宋" w:cs="仿宋"/>
          <w:color w:val="auto"/>
          <w:sz w:val="24"/>
          <w:szCs w:val="24"/>
        </w:rPr>
        <w:t>点00分（北京时间）</w:t>
      </w:r>
    </w:p>
    <w:p>
      <w:pPr>
        <w:pStyle w:val="7"/>
        <w:snapToGrid w:val="0"/>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开标地点：航空轮胎大科学中心（广东省广州市黄埔区九龙镇永龙大道埔之岭农庄对面）</w:t>
      </w: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rPr>
        <w:t>层</w:t>
      </w:r>
      <w:r>
        <w:rPr>
          <w:rFonts w:hint="eastAsia" w:ascii="仿宋" w:hAnsi="仿宋" w:eastAsia="仿宋" w:cs="仿宋"/>
          <w:color w:val="auto"/>
          <w:sz w:val="24"/>
          <w:szCs w:val="24"/>
          <w:lang w:val="en-US" w:eastAsia="zh-CN"/>
        </w:rPr>
        <w:t>1218</w:t>
      </w:r>
      <w:r>
        <w:rPr>
          <w:rFonts w:hint="eastAsia" w:ascii="仿宋" w:hAnsi="仿宋" w:eastAsia="仿宋" w:cs="仿宋"/>
          <w:color w:val="auto"/>
          <w:sz w:val="24"/>
          <w:szCs w:val="24"/>
        </w:rPr>
        <w:t>会议室</w:t>
      </w:r>
    </w:p>
    <w:p>
      <w:pPr>
        <w:pStyle w:val="7"/>
        <w:snapToGrid w:val="0"/>
        <w:rPr>
          <w:rFonts w:ascii="仿宋" w:hAnsi="仿宋" w:eastAsia="仿宋" w:cs="仿宋"/>
          <w:b/>
          <w:bCs/>
          <w:color w:val="auto"/>
          <w:sz w:val="24"/>
          <w:szCs w:val="24"/>
        </w:rPr>
      </w:pPr>
      <w:r>
        <w:rPr>
          <w:rFonts w:hint="eastAsia" w:ascii="仿宋" w:hAnsi="仿宋" w:eastAsia="仿宋" w:cs="仿宋"/>
          <w:b/>
          <w:bCs/>
          <w:color w:val="auto"/>
          <w:sz w:val="24"/>
          <w:szCs w:val="24"/>
        </w:rPr>
        <w:t>五、招标公告期限：</w:t>
      </w:r>
    </w:p>
    <w:p>
      <w:pPr>
        <w:pStyle w:val="7"/>
        <w:snapToGrid w:val="0"/>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自招标公告发布之日起5个工作日（不含招标公告发布当日）。</w:t>
      </w:r>
    </w:p>
    <w:p>
      <w:pPr>
        <w:pStyle w:val="7"/>
        <w:snapToGrid w:val="0"/>
        <w:rPr>
          <w:rFonts w:ascii="仿宋" w:hAnsi="仿宋" w:eastAsia="仿宋" w:cs="仿宋"/>
          <w:b/>
          <w:bCs/>
          <w:color w:val="auto"/>
          <w:sz w:val="24"/>
          <w:szCs w:val="24"/>
        </w:rPr>
      </w:pPr>
      <w:r>
        <w:rPr>
          <w:rFonts w:hint="eastAsia" w:ascii="仿宋" w:hAnsi="仿宋" w:eastAsia="仿宋" w:cs="仿宋"/>
          <w:b/>
          <w:bCs/>
          <w:color w:val="auto"/>
          <w:sz w:val="24"/>
          <w:szCs w:val="24"/>
        </w:rPr>
        <w:t>六、其他补充事宜</w:t>
      </w:r>
    </w:p>
    <w:p>
      <w:pPr>
        <w:pStyle w:val="7"/>
        <w:snapToGrid w:val="0"/>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招标公告在</w:t>
      </w:r>
      <w:r>
        <w:rPr>
          <w:rFonts w:hint="eastAsia" w:ascii="仿宋" w:hAnsi="仿宋" w:eastAsia="仿宋" w:cs="仿宋"/>
          <w:color w:val="auto"/>
          <w:sz w:val="24"/>
          <w:szCs w:val="24"/>
          <w:lang w:val="en-US" w:eastAsia="zh-CN"/>
        </w:rPr>
        <w:t>中国政府采购网</w:t>
      </w:r>
      <w:r>
        <w:rPr>
          <w:rFonts w:hint="eastAsia" w:ascii="仿宋" w:hAnsi="仿宋" w:eastAsia="仿宋" w:cs="仿宋"/>
          <w:color w:val="auto"/>
          <w:sz w:val="24"/>
          <w:szCs w:val="24"/>
        </w:rPr>
        <w:t>发布。</w:t>
      </w:r>
    </w:p>
    <w:p>
      <w:pPr>
        <w:numPr>
          <w:ilvl w:val="0"/>
          <w:numId w:val="4"/>
        </w:numPr>
        <w:tabs>
          <w:tab w:val="left" w:pos="420"/>
        </w:tabs>
        <w:ind w:hanging="794"/>
        <w:rPr>
          <w:rFonts w:ascii="仿宋" w:hAnsi="仿宋" w:eastAsia="仿宋" w:cs="仿宋"/>
          <w:color w:val="auto"/>
          <w:kern w:val="0"/>
          <w:sz w:val="24"/>
          <w:szCs w:val="24"/>
        </w:rPr>
      </w:pPr>
      <w:r>
        <w:rPr>
          <w:rFonts w:hint="eastAsia" w:ascii="仿宋" w:hAnsi="仿宋" w:eastAsia="仿宋" w:cs="仿宋"/>
          <w:color w:val="auto"/>
          <w:kern w:val="0"/>
          <w:sz w:val="24"/>
          <w:szCs w:val="24"/>
        </w:rPr>
        <w:t>项目审批情况：本项目资金已落实。</w:t>
      </w:r>
    </w:p>
    <w:p>
      <w:pPr>
        <w:numPr>
          <w:ilvl w:val="0"/>
          <w:numId w:val="4"/>
        </w:numPr>
        <w:tabs>
          <w:tab w:val="left" w:pos="360"/>
          <w:tab w:val="left" w:pos="630"/>
        </w:tabs>
        <w:spacing w:before="120" w:beforeLines="50"/>
        <w:ind w:left="434" w:hanging="434"/>
        <w:jc w:val="left"/>
        <w:rPr>
          <w:rFonts w:ascii="仿宋" w:hAnsi="仿宋" w:eastAsia="仿宋" w:cs="仿宋"/>
          <w:color w:val="auto"/>
          <w:sz w:val="24"/>
          <w:szCs w:val="24"/>
        </w:rPr>
      </w:pPr>
      <w:r>
        <w:rPr>
          <w:rFonts w:hint="eastAsia" w:ascii="仿宋" w:hAnsi="仿宋" w:eastAsia="仿宋" w:cs="仿宋"/>
          <w:color w:val="auto"/>
          <w:kern w:val="0"/>
          <w:sz w:val="24"/>
          <w:szCs w:val="24"/>
        </w:rPr>
        <w:t>评标办法和评标标准：商务部分；技术部分；价格部分（详细的评分因素和标准见评分方法和标准）。</w:t>
      </w:r>
    </w:p>
    <w:p>
      <w:pPr>
        <w:pStyle w:val="7"/>
        <w:snapToGrid w:val="0"/>
        <w:rPr>
          <w:rFonts w:ascii="仿宋" w:hAnsi="仿宋" w:eastAsia="仿宋" w:cs="仿宋"/>
          <w:b/>
          <w:bCs/>
          <w:color w:val="auto"/>
          <w:sz w:val="24"/>
          <w:szCs w:val="24"/>
        </w:rPr>
      </w:pPr>
      <w:r>
        <w:rPr>
          <w:rFonts w:hint="eastAsia" w:ascii="仿宋" w:hAnsi="仿宋" w:eastAsia="仿宋" w:cs="仿宋"/>
          <w:b/>
          <w:bCs/>
          <w:color w:val="auto"/>
          <w:sz w:val="24"/>
          <w:szCs w:val="24"/>
        </w:rPr>
        <w:t>七、对本次招标提出询问，请按以下方式联系。</w:t>
      </w:r>
    </w:p>
    <w:p>
      <w:pPr>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1.采购人信息</w:t>
      </w:r>
    </w:p>
    <w:p>
      <w:pPr>
        <w:ind w:firstLine="480" w:firstLineChars="200"/>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名    称：</w:t>
      </w:r>
      <w:r>
        <w:rPr>
          <w:rFonts w:hint="eastAsia" w:ascii="仿宋" w:hAnsi="仿宋" w:eastAsia="仿宋" w:cs="仿宋"/>
          <w:color w:val="auto"/>
          <w:sz w:val="24"/>
          <w:szCs w:val="24"/>
          <w:lang w:eastAsia="zh-CN"/>
        </w:rPr>
        <w:t>广东粤港澳大湾区黄埔材料研究院</w:t>
      </w:r>
    </w:p>
    <w:p>
      <w:pPr>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地    址：航空轮胎大科学中心（广东省广州市黄埔区九龙镇永龙大道埔之岭农庄对面）</w:t>
      </w:r>
    </w:p>
    <w:p>
      <w:pPr>
        <w:ind w:firstLine="480" w:firstLineChars="200"/>
        <w:rPr>
          <w:rFonts w:ascii="仿宋_GB2312" w:eastAsia="仿宋_GB2312"/>
          <w:color w:val="auto"/>
          <w:sz w:val="24"/>
        </w:rPr>
      </w:pPr>
      <w:r>
        <w:rPr>
          <w:rFonts w:hint="eastAsia" w:ascii="仿宋" w:hAnsi="仿宋" w:eastAsia="仿宋" w:cs="仿宋"/>
          <w:color w:val="auto"/>
          <w:kern w:val="0"/>
          <w:sz w:val="24"/>
          <w:szCs w:val="24"/>
        </w:rPr>
        <w:t>联系方式：</w:t>
      </w:r>
      <w:r>
        <w:rPr>
          <w:rFonts w:hint="eastAsia" w:ascii="仿宋" w:hAnsi="仿宋" w:eastAsia="仿宋" w:cs="仿宋"/>
          <w:color w:val="auto"/>
          <w:sz w:val="24"/>
          <w:szCs w:val="24"/>
        </w:rPr>
        <w:t>姜老师 020-82879877</w:t>
      </w:r>
    </w:p>
    <w:p>
      <w:pPr>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2.采购代理机构信息</w:t>
      </w:r>
    </w:p>
    <w:p>
      <w:pPr>
        <w:ind w:firstLine="480" w:firstLineChars="200"/>
        <w:rPr>
          <w:rFonts w:ascii="仿宋" w:hAnsi="仿宋" w:eastAsia="仿宋" w:cs="仿宋"/>
          <w:color w:val="auto"/>
          <w:sz w:val="24"/>
          <w:szCs w:val="24"/>
        </w:rPr>
      </w:pPr>
      <w:r>
        <w:rPr>
          <w:rFonts w:hint="eastAsia" w:ascii="仿宋" w:hAnsi="仿宋" w:eastAsia="仿宋" w:cs="仿宋"/>
          <w:color w:val="auto"/>
          <w:kern w:val="0"/>
          <w:sz w:val="24"/>
          <w:szCs w:val="24"/>
        </w:rPr>
        <w:t>名称：北京中储建国际工程管理有限公司</w:t>
      </w:r>
    </w:p>
    <w:p>
      <w:pPr>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地址：北京市通州区宋庄镇宋庄村2幢01层109号</w:t>
      </w:r>
    </w:p>
    <w:p>
      <w:pPr>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电话：刘老师13810484956</w:t>
      </w:r>
    </w:p>
    <w:p>
      <w:pPr>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电子信箱：beijingzcj@163.com</w:t>
      </w:r>
    </w:p>
    <w:p>
      <w:pPr>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开 户 名：北京中储建国际工程管理有限公司</w:t>
      </w:r>
    </w:p>
    <w:p>
      <w:pPr>
        <w:ind w:firstLine="480" w:firstLineChars="200"/>
        <w:rPr>
          <w:rFonts w:ascii="仿宋" w:hAnsi="仿宋" w:eastAsia="仿宋" w:cs="仿宋"/>
          <w:color w:val="auto"/>
          <w:sz w:val="24"/>
        </w:rPr>
      </w:pPr>
      <w:r>
        <w:rPr>
          <w:rFonts w:hint="eastAsia" w:ascii="仿宋" w:hAnsi="仿宋" w:eastAsia="仿宋" w:cs="仿宋"/>
          <w:color w:val="auto"/>
          <w:kern w:val="0"/>
          <w:sz w:val="24"/>
          <w:szCs w:val="24"/>
        </w:rPr>
        <w:t>开户银行：</w:t>
      </w:r>
      <w:r>
        <w:rPr>
          <w:rFonts w:hint="eastAsia" w:ascii="仿宋" w:hAnsi="仿宋" w:eastAsia="仿宋" w:cs="仿宋"/>
          <w:color w:val="auto"/>
          <w:sz w:val="24"/>
        </w:rPr>
        <w:t>招商银行股份有限公司北京城市副中心分行</w:t>
      </w:r>
    </w:p>
    <w:p>
      <w:pPr>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账    号：110915384110801</w:t>
      </w:r>
    </w:p>
    <w:p>
      <w:pPr>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3.项目联系方式</w:t>
      </w:r>
    </w:p>
    <w:p>
      <w:pPr>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联系人：刘老师</w:t>
      </w:r>
    </w:p>
    <w:p>
      <w:pPr>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联系方式：13810484956</w:t>
      </w:r>
    </w:p>
    <w:p>
      <w:pPr>
        <w:pStyle w:val="9"/>
        <w:ind w:firstLine="240"/>
        <w:rPr>
          <w:rFonts w:ascii="仿宋" w:hAnsi="仿宋" w:eastAsia="仿宋" w:cs="仿宋"/>
          <w:color w:val="auto"/>
          <w:kern w:val="0"/>
          <w:sz w:val="24"/>
        </w:rPr>
      </w:pPr>
    </w:p>
    <w:p>
      <w:pPr>
        <w:pStyle w:val="9"/>
        <w:ind w:firstLine="240"/>
        <w:rPr>
          <w:rFonts w:ascii="仿宋" w:hAnsi="仿宋" w:eastAsia="仿宋" w:cs="仿宋"/>
          <w:color w:val="auto"/>
          <w:kern w:val="0"/>
          <w:sz w:val="24"/>
        </w:rPr>
      </w:pPr>
    </w:p>
    <w:p>
      <w:pPr>
        <w:pStyle w:val="9"/>
        <w:ind w:firstLine="240"/>
        <w:rPr>
          <w:rFonts w:ascii="仿宋" w:hAnsi="仿宋" w:eastAsia="仿宋" w:cs="仿宋"/>
          <w:color w:val="auto"/>
          <w:kern w:val="0"/>
          <w:sz w:val="24"/>
        </w:rPr>
      </w:pPr>
    </w:p>
    <w:p>
      <w:pPr>
        <w:rPr>
          <w:rFonts w:ascii="仿宋" w:hAnsi="仿宋" w:eastAsia="仿宋" w:cs="仿宋"/>
          <w:b/>
          <w:color w:val="auto"/>
          <w:sz w:val="24"/>
          <w:szCs w:val="24"/>
        </w:rPr>
      </w:pPr>
      <w:r>
        <w:rPr>
          <w:rFonts w:hint="eastAsia" w:ascii="仿宋" w:hAnsi="仿宋" w:eastAsia="仿宋" w:cs="仿宋"/>
          <w:b/>
          <w:color w:val="auto"/>
          <w:sz w:val="24"/>
          <w:szCs w:val="24"/>
        </w:rPr>
        <w:t xml:space="preserve">                         </w:t>
      </w:r>
    </w:p>
    <w:tbl>
      <w:tblPr>
        <w:tblStyle w:val="10"/>
        <w:tblW w:w="9229" w:type="dxa"/>
        <w:jc w:val="center"/>
        <w:tblLayout w:type="fixed"/>
        <w:tblCellMar>
          <w:top w:w="0" w:type="dxa"/>
          <w:left w:w="108" w:type="dxa"/>
          <w:bottom w:w="0" w:type="dxa"/>
          <w:right w:w="108" w:type="dxa"/>
        </w:tblCellMar>
      </w:tblPr>
      <w:tblGrid>
        <w:gridCol w:w="2992"/>
        <w:gridCol w:w="6237"/>
      </w:tblGrid>
      <w:tr>
        <w:tblPrEx>
          <w:tblCellMar>
            <w:top w:w="0" w:type="dxa"/>
            <w:left w:w="108" w:type="dxa"/>
            <w:bottom w:w="0" w:type="dxa"/>
            <w:right w:w="108" w:type="dxa"/>
          </w:tblCellMar>
        </w:tblPrEx>
        <w:trPr>
          <w:trHeight w:val="420" w:hRule="atLeast"/>
          <w:jc w:val="center"/>
        </w:trPr>
        <w:tc>
          <w:tcPr>
            <w:tcW w:w="9229" w:type="dxa"/>
            <w:gridSpan w:val="2"/>
            <w:tcBorders>
              <w:top w:val="nil"/>
              <w:left w:val="nil"/>
              <w:bottom w:val="nil"/>
              <w:right w:val="nil"/>
            </w:tcBorders>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购 买 标 书 记 录</w:t>
            </w:r>
          </w:p>
        </w:tc>
      </w:tr>
      <w:tr>
        <w:tblPrEx>
          <w:tblCellMar>
            <w:top w:w="0" w:type="dxa"/>
            <w:left w:w="108" w:type="dxa"/>
            <w:bottom w:w="0" w:type="dxa"/>
            <w:right w:w="108" w:type="dxa"/>
          </w:tblCellMar>
        </w:tblPrEx>
        <w:trPr>
          <w:trHeight w:val="582" w:hRule="atLeast"/>
          <w:jc w:val="center"/>
        </w:trPr>
        <w:tc>
          <w:tcPr>
            <w:tcW w:w="2992" w:type="dxa"/>
            <w:tcBorders>
              <w:top w:val="double" w:color="auto" w:sz="6" w:space="0"/>
              <w:left w:val="double" w:color="auto" w:sz="6" w:space="0"/>
              <w:bottom w:val="single" w:color="auto" w:sz="4" w:space="0"/>
              <w:right w:val="single" w:color="auto" w:sz="4" w:space="0"/>
            </w:tcBorders>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项目名称</w:t>
            </w:r>
          </w:p>
        </w:tc>
        <w:tc>
          <w:tcPr>
            <w:tcW w:w="6237" w:type="dxa"/>
            <w:tcBorders>
              <w:top w:val="double" w:color="auto" w:sz="6" w:space="0"/>
              <w:left w:val="nil"/>
              <w:bottom w:val="single" w:color="auto" w:sz="4" w:space="0"/>
              <w:right w:val="double" w:color="auto" w:sz="6" w:space="0"/>
            </w:tcBorders>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　</w:t>
            </w:r>
          </w:p>
        </w:tc>
      </w:tr>
      <w:tr>
        <w:tblPrEx>
          <w:tblCellMar>
            <w:top w:w="0" w:type="dxa"/>
            <w:left w:w="108" w:type="dxa"/>
            <w:bottom w:w="0" w:type="dxa"/>
            <w:right w:w="108" w:type="dxa"/>
          </w:tblCellMar>
        </w:tblPrEx>
        <w:trPr>
          <w:trHeight w:val="582" w:hRule="atLeast"/>
          <w:jc w:val="center"/>
        </w:trPr>
        <w:tc>
          <w:tcPr>
            <w:tcW w:w="2992" w:type="dxa"/>
            <w:tcBorders>
              <w:top w:val="nil"/>
              <w:left w:val="double" w:color="auto" w:sz="6" w:space="0"/>
              <w:bottom w:val="single" w:color="auto" w:sz="4" w:space="0"/>
              <w:right w:val="single" w:color="auto" w:sz="4" w:space="0"/>
            </w:tcBorders>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项目编号及包号</w:t>
            </w:r>
          </w:p>
        </w:tc>
        <w:tc>
          <w:tcPr>
            <w:tcW w:w="6237" w:type="dxa"/>
            <w:tcBorders>
              <w:top w:val="nil"/>
              <w:left w:val="nil"/>
              <w:bottom w:val="single" w:color="auto" w:sz="4" w:space="0"/>
              <w:right w:val="double" w:color="auto" w:sz="6" w:space="0"/>
            </w:tcBorders>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　</w:t>
            </w:r>
          </w:p>
        </w:tc>
      </w:tr>
      <w:tr>
        <w:tblPrEx>
          <w:tblCellMar>
            <w:top w:w="0" w:type="dxa"/>
            <w:left w:w="108" w:type="dxa"/>
            <w:bottom w:w="0" w:type="dxa"/>
            <w:right w:w="108" w:type="dxa"/>
          </w:tblCellMar>
        </w:tblPrEx>
        <w:trPr>
          <w:trHeight w:val="582" w:hRule="atLeast"/>
          <w:jc w:val="center"/>
        </w:trPr>
        <w:tc>
          <w:tcPr>
            <w:tcW w:w="2992" w:type="dxa"/>
            <w:tcBorders>
              <w:top w:val="nil"/>
              <w:left w:val="double" w:color="auto" w:sz="6" w:space="0"/>
              <w:bottom w:val="single" w:color="auto" w:sz="4" w:space="0"/>
              <w:right w:val="single" w:color="auto" w:sz="4" w:space="0"/>
            </w:tcBorders>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制造商/品牌</w:t>
            </w:r>
          </w:p>
        </w:tc>
        <w:tc>
          <w:tcPr>
            <w:tcW w:w="6237" w:type="dxa"/>
            <w:tcBorders>
              <w:top w:val="nil"/>
              <w:left w:val="nil"/>
              <w:bottom w:val="single" w:color="auto" w:sz="4" w:space="0"/>
              <w:right w:val="double" w:color="auto" w:sz="6" w:space="0"/>
            </w:tcBorders>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　</w:t>
            </w:r>
          </w:p>
        </w:tc>
      </w:tr>
      <w:tr>
        <w:tblPrEx>
          <w:tblCellMar>
            <w:top w:w="0" w:type="dxa"/>
            <w:left w:w="108" w:type="dxa"/>
            <w:bottom w:w="0" w:type="dxa"/>
            <w:right w:w="108" w:type="dxa"/>
          </w:tblCellMar>
        </w:tblPrEx>
        <w:trPr>
          <w:trHeight w:val="582" w:hRule="atLeast"/>
          <w:jc w:val="center"/>
        </w:trPr>
        <w:tc>
          <w:tcPr>
            <w:tcW w:w="2992" w:type="dxa"/>
            <w:vMerge w:val="restart"/>
            <w:tcBorders>
              <w:top w:val="nil"/>
              <w:left w:val="double" w:color="auto" w:sz="6" w:space="0"/>
              <w:bottom w:val="single" w:color="auto" w:sz="4" w:space="0"/>
              <w:right w:val="single" w:color="auto" w:sz="4" w:space="0"/>
            </w:tcBorders>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供应商名称</w:t>
            </w:r>
          </w:p>
        </w:tc>
        <w:tc>
          <w:tcPr>
            <w:tcW w:w="6237" w:type="dxa"/>
            <w:tcBorders>
              <w:top w:val="nil"/>
              <w:left w:val="nil"/>
              <w:bottom w:val="nil"/>
              <w:right w:val="double" w:color="auto" w:sz="6" w:space="0"/>
            </w:tcBorders>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中文CHINESE：</w:t>
            </w:r>
          </w:p>
        </w:tc>
      </w:tr>
      <w:tr>
        <w:tblPrEx>
          <w:tblCellMar>
            <w:top w:w="0" w:type="dxa"/>
            <w:left w:w="108" w:type="dxa"/>
            <w:bottom w:w="0" w:type="dxa"/>
            <w:right w:w="108" w:type="dxa"/>
          </w:tblCellMar>
        </w:tblPrEx>
        <w:trPr>
          <w:trHeight w:val="582" w:hRule="atLeast"/>
          <w:jc w:val="center"/>
        </w:trPr>
        <w:tc>
          <w:tcPr>
            <w:tcW w:w="2992" w:type="dxa"/>
            <w:vMerge w:val="continue"/>
            <w:tcBorders>
              <w:top w:val="nil"/>
              <w:left w:val="double" w:color="auto" w:sz="6" w:space="0"/>
              <w:bottom w:val="single" w:color="auto" w:sz="4" w:space="0"/>
              <w:right w:val="single" w:color="auto" w:sz="4" w:space="0"/>
            </w:tcBorders>
            <w:vAlign w:val="center"/>
          </w:tcPr>
          <w:p>
            <w:pPr>
              <w:widowControl/>
              <w:jc w:val="left"/>
              <w:rPr>
                <w:rFonts w:ascii="仿宋" w:hAnsi="仿宋" w:eastAsia="仿宋" w:cs="宋体"/>
                <w:color w:val="auto"/>
                <w:kern w:val="0"/>
                <w:sz w:val="22"/>
              </w:rPr>
            </w:pPr>
          </w:p>
        </w:tc>
        <w:tc>
          <w:tcPr>
            <w:tcW w:w="6237" w:type="dxa"/>
            <w:tcBorders>
              <w:top w:val="nil"/>
              <w:left w:val="nil"/>
              <w:bottom w:val="nil"/>
              <w:right w:val="double" w:color="auto" w:sz="6" w:space="0"/>
            </w:tcBorders>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英文ENGLISH：</w:t>
            </w:r>
          </w:p>
        </w:tc>
      </w:tr>
      <w:tr>
        <w:tblPrEx>
          <w:tblCellMar>
            <w:top w:w="0" w:type="dxa"/>
            <w:left w:w="108" w:type="dxa"/>
            <w:bottom w:w="0" w:type="dxa"/>
            <w:right w:w="108" w:type="dxa"/>
          </w:tblCellMar>
        </w:tblPrEx>
        <w:trPr>
          <w:trHeight w:val="582" w:hRule="atLeast"/>
          <w:jc w:val="center"/>
        </w:trPr>
        <w:tc>
          <w:tcPr>
            <w:tcW w:w="2992" w:type="dxa"/>
            <w:vMerge w:val="continue"/>
            <w:tcBorders>
              <w:top w:val="nil"/>
              <w:left w:val="double" w:color="auto" w:sz="6" w:space="0"/>
              <w:bottom w:val="single" w:color="auto" w:sz="4" w:space="0"/>
              <w:right w:val="single" w:color="auto" w:sz="4" w:space="0"/>
            </w:tcBorders>
            <w:vAlign w:val="center"/>
          </w:tcPr>
          <w:p>
            <w:pPr>
              <w:widowControl/>
              <w:jc w:val="left"/>
              <w:rPr>
                <w:rFonts w:ascii="仿宋" w:hAnsi="仿宋" w:eastAsia="仿宋" w:cs="宋体"/>
                <w:color w:val="auto"/>
                <w:kern w:val="0"/>
                <w:sz w:val="22"/>
              </w:rPr>
            </w:pPr>
          </w:p>
        </w:tc>
        <w:tc>
          <w:tcPr>
            <w:tcW w:w="6237" w:type="dxa"/>
            <w:tcBorders>
              <w:top w:val="nil"/>
              <w:left w:val="nil"/>
              <w:bottom w:val="nil"/>
              <w:right w:val="double" w:color="auto" w:sz="6" w:space="0"/>
            </w:tcBorders>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统一社会信用代码：</w:t>
            </w:r>
          </w:p>
        </w:tc>
      </w:tr>
      <w:tr>
        <w:tblPrEx>
          <w:tblCellMar>
            <w:top w:w="0" w:type="dxa"/>
            <w:left w:w="108" w:type="dxa"/>
            <w:bottom w:w="0" w:type="dxa"/>
            <w:right w:w="108" w:type="dxa"/>
          </w:tblCellMar>
        </w:tblPrEx>
        <w:trPr>
          <w:trHeight w:val="582" w:hRule="atLeast"/>
          <w:jc w:val="center"/>
        </w:trPr>
        <w:tc>
          <w:tcPr>
            <w:tcW w:w="2992" w:type="dxa"/>
            <w:vMerge w:val="restart"/>
            <w:tcBorders>
              <w:top w:val="nil"/>
              <w:left w:val="double" w:color="auto" w:sz="6" w:space="0"/>
              <w:bottom w:val="single" w:color="auto" w:sz="4" w:space="0"/>
              <w:right w:val="single" w:color="auto" w:sz="4" w:space="0"/>
            </w:tcBorders>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联系人、电话、邮箱</w:t>
            </w:r>
          </w:p>
        </w:tc>
        <w:tc>
          <w:tcPr>
            <w:tcW w:w="6237" w:type="dxa"/>
            <w:tcBorders>
              <w:top w:val="single" w:color="auto" w:sz="4" w:space="0"/>
              <w:left w:val="nil"/>
              <w:bottom w:val="nil"/>
              <w:right w:val="double" w:color="auto" w:sz="6" w:space="0"/>
            </w:tcBorders>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联系人：</w:t>
            </w:r>
          </w:p>
        </w:tc>
      </w:tr>
      <w:tr>
        <w:tblPrEx>
          <w:tblCellMar>
            <w:top w:w="0" w:type="dxa"/>
            <w:left w:w="108" w:type="dxa"/>
            <w:bottom w:w="0" w:type="dxa"/>
            <w:right w:w="108" w:type="dxa"/>
          </w:tblCellMar>
        </w:tblPrEx>
        <w:trPr>
          <w:trHeight w:val="582" w:hRule="atLeast"/>
          <w:jc w:val="center"/>
        </w:trPr>
        <w:tc>
          <w:tcPr>
            <w:tcW w:w="2992" w:type="dxa"/>
            <w:vMerge w:val="continue"/>
            <w:tcBorders>
              <w:top w:val="nil"/>
              <w:left w:val="double" w:color="auto" w:sz="6" w:space="0"/>
              <w:bottom w:val="single" w:color="auto" w:sz="4" w:space="0"/>
              <w:right w:val="single" w:color="auto" w:sz="4" w:space="0"/>
            </w:tcBorders>
            <w:vAlign w:val="center"/>
          </w:tcPr>
          <w:p>
            <w:pPr>
              <w:widowControl/>
              <w:jc w:val="left"/>
              <w:rPr>
                <w:rFonts w:ascii="仿宋" w:hAnsi="仿宋" w:eastAsia="仿宋" w:cs="宋体"/>
                <w:color w:val="auto"/>
                <w:kern w:val="0"/>
                <w:sz w:val="22"/>
              </w:rPr>
            </w:pPr>
          </w:p>
        </w:tc>
        <w:tc>
          <w:tcPr>
            <w:tcW w:w="6237" w:type="dxa"/>
            <w:tcBorders>
              <w:top w:val="nil"/>
              <w:left w:val="nil"/>
              <w:bottom w:val="nil"/>
              <w:right w:val="double" w:color="auto" w:sz="6" w:space="0"/>
            </w:tcBorders>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电    话：</w:t>
            </w:r>
          </w:p>
        </w:tc>
      </w:tr>
      <w:tr>
        <w:tblPrEx>
          <w:tblCellMar>
            <w:top w:w="0" w:type="dxa"/>
            <w:left w:w="108" w:type="dxa"/>
            <w:bottom w:w="0" w:type="dxa"/>
            <w:right w:w="108" w:type="dxa"/>
          </w:tblCellMar>
        </w:tblPrEx>
        <w:trPr>
          <w:trHeight w:val="582" w:hRule="atLeast"/>
          <w:jc w:val="center"/>
        </w:trPr>
        <w:tc>
          <w:tcPr>
            <w:tcW w:w="2992" w:type="dxa"/>
            <w:vMerge w:val="continue"/>
            <w:tcBorders>
              <w:top w:val="nil"/>
              <w:left w:val="double" w:color="auto" w:sz="6" w:space="0"/>
              <w:bottom w:val="single" w:color="auto" w:sz="4" w:space="0"/>
              <w:right w:val="single" w:color="auto" w:sz="4" w:space="0"/>
            </w:tcBorders>
            <w:vAlign w:val="center"/>
          </w:tcPr>
          <w:p>
            <w:pPr>
              <w:widowControl/>
              <w:jc w:val="left"/>
              <w:rPr>
                <w:rFonts w:ascii="仿宋" w:hAnsi="仿宋" w:eastAsia="仿宋" w:cs="宋体"/>
                <w:color w:val="auto"/>
                <w:kern w:val="0"/>
                <w:sz w:val="22"/>
              </w:rPr>
            </w:pPr>
          </w:p>
        </w:tc>
        <w:tc>
          <w:tcPr>
            <w:tcW w:w="6237" w:type="dxa"/>
            <w:tcBorders>
              <w:top w:val="nil"/>
              <w:left w:val="nil"/>
              <w:bottom w:val="single" w:color="auto" w:sz="4" w:space="0"/>
              <w:right w:val="double" w:color="auto" w:sz="6" w:space="0"/>
            </w:tcBorders>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邮    箱：</w:t>
            </w:r>
          </w:p>
        </w:tc>
      </w:tr>
      <w:tr>
        <w:tblPrEx>
          <w:tblCellMar>
            <w:top w:w="0" w:type="dxa"/>
            <w:left w:w="108" w:type="dxa"/>
            <w:bottom w:w="0" w:type="dxa"/>
            <w:right w:w="108" w:type="dxa"/>
          </w:tblCellMar>
        </w:tblPrEx>
        <w:trPr>
          <w:trHeight w:val="582" w:hRule="atLeast"/>
          <w:jc w:val="center"/>
        </w:trPr>
        <w:tc>
          <w:tcPr>
            <w:tcW w:w="2992" w:type="dxa"/>
            <w:tcBorders>
              <w:top w:val="nil"/>
              <w:left w:val="double" w:color="auto" w:sz="6" w:space="0"/>
              <w:bottom w:val="single" w:color="auto" w:sz="4" w:space="0"/>
              <w:right w:val="single" w:color="auto" w:sz="4" w:space="0"/>
            </w:tcBorders>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标书类型</w:t>
            </w:r>
          </w:p>
        </w:tc>
        <w:tc>
          <w:tcPr>
            <w:tcW w:w="6237" w:type="dxa"/>
            <w:tcBorders>
              <w:top w:val="nil"/>
              <w:left w:val="nil"/>
              <w:bottom w:val="single" w:color="auto" w:sz="4" w:space="0"/>
              <w:right w:val="double" w:color="auto" w:sz="6" w:space="0"/>
            </w:tcBorders>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纸质（      ）                     电子（ ）</w:t>
            </w:r>
          </w:p>
        </w:tc>
      </w:tr>
      <w:tr>
        <w:tblPrEx>
          <w:tblCellMar>
            <w:top w:w="0" w:type="dxa"/>
            <w:left w:w="108" w:type="dxa"/>
            <w:bottom w:w="0" w:type="dxa"/>
            <w:right w:w="108" w:type="dxa"/>
          </w:tblCellMar>
        </w:tblPrEx>
        <w:trPr>
          <w:trHeight w:val="582" w:hRule="atLeast"/>
          <w:jc w:val="center"/>
        </w:trPr>
        <w:tc>
          <w:tcPr>
            <w:tcW w:w="2992" w:type="dxa"/>
            <w:tcBorders>
              <w:top w:val="nil"/>
              <w:left w:val="double" w:color="auto" w:sz="6" w:space="0"/>
              <w:bottom w:val="single" w:color="auto" w:sz="4" w:space="0"/>
              <w:right w:val="single" w:color="auto" w:sz="4" w:space="0"/>
            </w:tcBorders>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详细开票信息</w:t>
            </w:r>
          </w:p>
        </w:tc>
        <w:tc>
          <w:tcPr>
            <w:tcW w:w="6237" w:type="dxa"/>
            <w:tcBorders>
              <w:top w:val="nil"/>
              <w:left w:val="nil"/>
              <w:bottom w:val="single" w:color="auto" w:sz="4" w:space="0"/>
              <w:right w:val="double" w:color="auto" w:sz="6" w:space="0"/>
            </w:tcBorders>
            <w:vAlign w:val="center"/>
          </w:tcPr>
          <w:p>
            <w:pPr>
              <w:widowControl/>
              <w:jc w:val="left"/>
              <w:rPr>
                <w:rFonts w:ascii="仿宋" w:hAnsi="仿宋" w:eastAsia="仿宋" w:cs="宋体"/>
                <w:color w:val="auto"/>
                <w:kern w:val="0"/>
                <w:sz w:val="22"/>
              </w:rPr>
            </w:pPr>
          </w:p>
        </w:tc>
      </w:tr>
      <w:tr>
        <w:tblPrEx>
          <w:tblCellMar>
            <w:top w:w="0" w:type="dxa"/>
            <w:left w:w="108" w:type="dxa"/>
            <w:bottom w:w="0" w:type="dxa"/>
            <w:right w:w="108" w:type="dxa"/>
          </w:tblCellMar>
        </w:tblPrEx>
        <w:trPr>
          <w:trHeight w:val="582" w:hRule="atLeast"/>
          <w:jc w:val="center"/>
        </w:trPr>
        <w:tc>
          <w:tcPr>
            <w:tcW w:w="2992" w:type="dxa"/>
            <w:tcBorders>
              <w:top w:val="nil"/>
              <w:left w:val="double" w:color="auto" w:sz="6" w:space="0"/>
              <w:bottom w:val="single" w:color="auto" w:sz="4" w:space="0"/>
              <w:right w:val="single" w:color="auto" w:sz="4" w:space="0"/>
            </w:tcBorders>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纸质标书及发票邮寄地址</w:t>
            </w:r>
          </w:p>
        </w:tc>
        <w:tc>
          <w:tcPr>
            <w:tcW w:w="6237" w:type="dxa"/>
            <w:tcBorders>
              <w:top w:val="nil"/>
              <w:left w:val="nil"/>
              <w:bottom w:val="single" w:color="auto" w:sz="4" w:space="0"/>
              <w:right w:val="double" w:color="auto" w:sz="6" w:space="0"/>
            </w:tcBorders>
            <w:vAlign w:val="center"/>
          </w:tcPr>
          <w:p>
            <w:pPr>
              <w:widowControl/>
              <w:jc w:val="left"/>
              <w:rPr>
                <w:rFonts w:ascii="仿宋" w:hAnsi="仿宋" w:eastAsia="仿宋" w:cs="宋体"/>
                <w:color w:val="auto"/>
                <w:kern w:val="0"/>
                <w:sz w:val="22"/>
              </w:rPr>
            </w:pPr>
          </w:p>
        </w:tc>
      </w:tr>
      <w:tr>
        <w:tblPrEx>
          <w:tblCellMar>
            <w:top w:w="0" w:type="dxa"/>
            <w:left w:w="108" w:type="dxa"/>
            <w:bottom w:w="0" w:type="dxa"/>
            <w:right w:w="108" w:type="dxa"/>
          </w:tblCellMar>
        </w:tblPrEx>
        <w:trPr>
          <w:trHeight w:val="582" w:hRule="atLeast"/>
          <w:jc w:val="center"/>
        </w:trPr>
        <w:tc>
          <w:tcPr>
            <w:tcW w:w="2992" w:type="dxa"/>
            <w:tcBorders>
              <w:top w:val="nil"/>
              <w:left w:val="double" w:color="auto" w:sz="6" w:space="0"/>
              <w:bottom w:val="single" w:color="auto" w:sz="4" w:space="0"/>
              <w:right w:val="single" w:color="auto" w:sz="4" w:space="0"/>
            </w:tcBorders>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购买人签字</w:t>
            </w:r>
          </w:p>
        </w:tc>
        <w:tc>
          <w:tcPr>
            <w:tcW w:w="6237" w:type="dxa"/>
            <w:tcBorders>
              <w:top w:val="nil"/>
              <w:left w:val="nil"/>
              <w:bottom w:val="single" w:color="auto" w:sz="4" w:space="0"/>
              <w:right w:val="double" w:color="auto" w:sz="6" w:space="0"/>
            </w:tcBorders>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　</w:t>
            </w:r>
          </w:p>
        </w:tc>
      </w:tr>
      <w:tr>
        <w:tblPrEx>
          <w:tblCellMar>
            <w:top w:w="0" w:type="dxa"/>
            <w:left w:w="108" w:type="dxa"/>
            <w:bottom w:w="0" w:type="dxa"/>
            <w:right w:w="108" w:type="dxa"/>
          </w:tblCellMar>
        </w:tblPrEx>
        <w:trPr>
          <w:trHeight w:val="582" w:hRule="atLeast"/>
          <w:jc w:val="center"/>
        </w:trPr>
        <w:tc>
          <w:tcPr>
            <w:tcW w:w="2992" w:type="dxa"/>
            <w:tcBorders>
              <w:top w:val="nil"/>
              <w:left w:val="double" w:color="auto" w:sz="6" w:space="0"/>
              <w:bottom w:val="single" w:color="auto" w:sz="4" w:space="0"/>
              <w:right w:val="single" w:color="auto" w:sz="4" w:space="0"/>
            </w:tcBorders>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购买日期</w:t>
            </w:r>
          </w:p>
        </w:tc>
        <w:tc>
          <w:tcPr>
            <w:tcW w:w="6237" w:type="dxa"/>
            <w:tcBorders>
              <w:top w:val="nil"/>
              <w:left w:val="nil"/>
              <w:bottom w:val="single" w:color="auto" w:sz="4" w:space="0"/>
              <w:right w:val="double" w:color="auto" w:sz="6" w:space="0"/>
            </w:tcBorders>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　</w:t>
            </w:r>
          </w:p>
        </w:tc>
      </w:tr>
    </w:tbl>
    <w:p>
      <w:pPr>
        <w:rPr>
          <w:rFonts w:ascii="仿宋" w:hAnsi="仿宋" w:eastAsia="仿宋" w:cs="仿宋"/>
          <w:b/>
          <w:color w:val="auto"/>
          <w:sz w:val="24"/>
          <w:szCs w:val="24"/>
        </w:rPr>
      </w:pPr>
    </w:p>
    <w:p>
      <w:r>
        <w:br w:type="page"/>
      </w:r>
    </w:p>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采购标的技术规格及要求</w:t>
      </w:r>
    </w:p>
    <w:p>
      <w:pPr>
        <w:pStyle w:val="9"/>
        <w:tabs>
          <w:tab w:val="clear" w:pos="567"/>
        </w:tabs>
        <w:spacing w:line="360" w:lineRule="auto"/>
        <w:ind w:firstLine="0" w:firstLineChars="0"/>
        <w:rPr>
          <w:rFonts w:ascii="仿宋" w:hAnsi="仿宋" w:eastAsia="仿宋" w:cs="仿宋"/>
          <w:b/>
          <w:bCs/>
          <w:color w:val="auto"/>
          <w:sz w:val="24"/>
        </w:rPr>
      </w:pPr>
    </w:p>
    <w:p>
      <w:pPr>
        <w:pStyle w:val="9"/>
        <w:tabs>
          <w:tab w:val="clear" w:pos="567"/>
        </w:tabs>
        <w:spacing w:line="360" w:lineRule="auto"/>
        <w:ind w:firstLine="0" w:firstLineChars="0"/>
        <w:rPr>
          <w:rFonts w:ascii="仿宋" w:hAnsi="仿宋" w:eastAsia="仿宋" w:cs="仿宋"/>
          <w:b/>
          <w:bCs/>
          <w:color w:val="auto"/>
          <w:sz w:val="24"/>
        </w:rPr>
      </w:pPr>
      <w:r>
        <w:rPr>
          <w:rFonts w:hint="eastAsia" w:ascii="仿宋" w:hAnsi="仿宋" w:eastAsia="仿宋" w:cs="仿宋"/>
          <w:b/>
          <w:bCs/>
          <w:color w:val="auto"/>
          <w:sz w:val="24"/>
        </w:rPr>
        <w:t>超高效液相色谱-四极杆飞行时间质谱仪</w:t>
      </w:r>
    </w:p>
    <w:p>
      <w:pPr>
        <w:pStyle w:val="9"/>
        <w:tabs>
          <w:tab w:val="clear" w:pos="567"/>
        </w:tabs>
        <w:spacing w:line="360" w:lineRule="auto"/>
        <w:ind w:firstLine="0" w:firstLineChars="0"/>
        <w:rPr>
          <w:rFonts w:ascii="仿宋" w:hAnsi="仿宋" w:eastAsia="仿宋" w:cs="仿宋"/>
          <w:b/>
          <w:bCs/>
          <w:color w:val="auto"/>
          <w:sz w:val="24"/>
        </w:rPr>
      </w:pPr>
      <w:r>
        <w:rPr>
          <w:rFonts w:hint="eastAsia" w:ascii="仿宋" w:hAnsi="仿宋" w:eastAsia="仿宋" w:cs="仿宋"/>
          <w:b/>
          <w:bCs/>
          <w:color w:val="auto"/>
          <w:sz w:val="24"/>
        </w:rPr>
        <w:t>数量：1套</w:t>
      </w:r>
    </w:p>
    <w:p>
      <w:pPr>
        <w:pStyle w:val="9"/>
        <w:tabs>
          <w:tab w:val="clear" w:pos="567"/>
        </w:tabs>
        <w:spacing w:line="360" w:lineRule="auto"/>
        <w:ind w:firstLine="0" w:firstLineChars="0"/>
        <w:rPr>
          <w:rFonts w:hint="eastAsia" w:ascii="仿宋" w:hAnsi="仿宋" w:eastAsia="仿宋" w:cs="仿宋"/>
          <w:b/>
          <w:bCs/>
          <w:color w:val="auto"/>
          <w:sz w:val="24"/>
        </w:rPr>
      </w:pPr>
      <w:r>
        <w:rPr>
          <w:rFonts w:hint="eastAsia" w:ascii="仿宋" w:hAnsi="仿宋" w:eastAsia="仿宋" w:cs="仿宋"/>
          <w:b/>
          <w:bCs/>
          <w:color w:val="auto"/>
          <w:sz w:val="24"/>
          <w:lang w:val="en-US" w:eastAsia="zh-CN"/>
        </w:rPr>
        <w:t>#</w:t>
      </w:r>
      <w:r>
        <w:rPr>
          <w:rFonts w:hint="eastAsia" w:ascii="仿宋" w:hAnsi="仿宋" w:eastAsia="仿宋" w:cs="仿宋"/>
          <w:b/>
          <w:bCs/>
          <w:color w:val="auto"/>
          <w:sz w:val="24"/>
        </w:rPr>
        <w:t>交货期：</w:t>
      </w:r>
    </w:p>
    <w:p>
      <w:pPr>
        <w:pStyle w:val="9"/>
        <w:tabs>
          <w:tab w:val="clear" w:pos="567"/>
        </w:tabs>
        <w:spacing w:line="360" w:lineRule="auto"/>
        <w:ind w:firstLine="0" w:firstLineChars="0"/>
        <w:rPr>
          <w:rFonts w:hint="eastAsia" w:ascii="仿宋" w:hAnsi="仿宋" w:eastAsia="仿宋" w:cs="仿宋"/>
          <w:b/>
          <w:bCs/>
          <w:color w:val="auto"/>
          <w:sz w:val="24"/>
        </w:rPr>
      </w:pPr>
      <w:r>
        <w:rPr>
          <w:rFonts w:hint="eastAsia" w:ascii="仿宋" w:hAnsi="仿宋" w:eastAsia="仿宋" w:cs="仿宋"/>
          <w:b/>
          <w:bCs/>
          <w:color w:val="auto"/>
          <w:sz w:val="24"/>
        </w:rPr>
        <w:t>国产设备</w:t>
      </w:r>
      <w:r>
        <w:rPr>
          <w:rFonts w:hint="eastAsia" w:ascii="仿宋" w:hAnsi="仿宋" w:eastAsia="仿宋" w:cs="仿宋"/>
          <w:b/>
          <w:bCs/>
          <w:color w:val="auto"/>
          <w:sz w:val="24"/>
          <w:lang w:val="en-US" w:eastAsia="zh-CN"/>
        </w:rPr>
        <w:t>为</w:t>
      </w:r>
      <w:r>
        <w:rPr>
          <w:rFonts w:hint="eastAsia" w:ascii="仿宋" w:hAnsi="仿宋" w:eastAsia="仿宋" w:cs="仿宋"/>
          <w:b/>
          <w:bCs/>
          <w:color w:val="auto"/>
          <w:sz w:val="24"/>
        </w:rPr>
        <w:t>收到预付款后90天到货；进口设备</w:t>
      </w:r>
      <w:r>
        <w:rPr>
          <w:rFonts w:hint="eastAsia" w:ascii="仿宋" w:hAnsi="仿宋" w:eastAsia="仿宋" w:cs="仿宋"/>
          <w:b/>
          <w:bCs/>
          <w:color w:val="auto"/>
          <w:sz w:val="24"/>
          <w:lang w:val="en-US" w:eastAsia="zh-CN"/>
        </w:rPr>
        <w:t>为</w:t>
      </w:r>
      <w:r>
        <w:rPr>
          <w:rFonts w:hint="eastAsia" w:ascii="仿宋" w:hAnsi="仿宋" w:eastAsia="仿宋" w:cs="仿宋"/>
          <w:b/>
          <w:bCs/>
          <w:color w:val="auto"/>
          <w:sz w:val="24"/>
        </w:rPr>
        <w:t>开立信用证后90天内发货到客户现场</w:t>
      </w:r>
    </w:p>
    <w:p>
      <w:pPr>
        <w:pStyle w:val="9"/>
        <w:tabs>
          <w:tab w:val="clear" w:pos="567"/>
        </w:tabs>
        <w:spacing w:line="360" w:lineRule="auto"/>
        <w:ind w:firstLine="0" w:firstLineChars="0"/>
        <w:rPr>
          <w:rFonts w:ascii="仿宋" w:hAnsi="仿宋" w:eastAsia="仿宋" w:cs="仿宋"/>
          <w:b/>
          <w:bCs/>
          <w:color w:val="auto"/>
          <w:sz w:val="24"/>
        </w:rPr>
      </w:pPr>
      <w:r>
        <w:rPr>
          <w:rFonts w:hint="eastAsia" w:ascii="仿宋" w:hAnsi="仿宋" w:eastAsia="仿宋" w:cs="仿宋"/>
          <w:b/>
          <w:bCs/>
          <w:color w:val="auto"/>
          <w:sz w:val="24"/>
          <w:lang w:val="en-US" w:eastAsia="zh-CN"/>
        </w:rPr>
        <w:t>*</w:t>
      </w:r>
      <w:r>
        <w:rPr>
          <w:rFonts w:hint="eastAsia" w:ascii="仿宋" w:hAnsi="仿宋" w:eastAsia="仿宋" w:cs="仿宋"/>
          <w:b/>
          <w:bCs/>
          <w:color w:val="auto"/>
          <w:sz w:val="24"/>
        </w:rPr>
        <w:t>交货地点：按采购人要求</w:t>
      </w:r>
    </w:p>
    <w:p>
      <w:pPr>
        <w:pStyle w:val="16"/>
        <w:numPr>
          <w:ilvl w:val="0"/>
          <w:numId w:val="5"/>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配置包括：</w:t>
      </w:r>
    </w:p>
    <w:p>
      <w:pPr>
        <w:pStyle w:val="16"/>
        <w:numPr>
          <w:ilvl w:val="0"/>
          <w:numId w:val="6"/>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超高效二元泵1台（含超洁净管线包，实验室在线顾问高级软件）；</w:t>
      </w:r>
    </w:p>
    <w:p>
      <w:pPr>
        <w:pStyle w:val="16"/>
        <w:numPr>
          <w:ilvl w:val="0"/>
          <w:numId w:val="6"/>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超高效自动进样器1台；</w:t>
      </w:r>
    </w:p>
    <w:p>
      <w:pPr>
        <w:pStyle w:val="16"/>
        <w:numPr>
          <w:ilvl w:val="0"/>
          <w:numId w:val="6"/>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超高效集成式柱温箱1台；</w:t>
      </w:r>
    </w:p>
    <w:p>
      <w:pPr>
        <w:pStyle w:val="16"/>
        <w:numPr>
          <w:ilvl w:val="0"/>
          <w:numId w:val="6"/>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超高效二极管阵列检测器1台；</w:t>
      </w:r>
    </w:p>
    <w:p>
      <w:pPr>
        <w:pStyle w:val="16"/>
        <w:numPr>
          <w:ilvl w:val="0"/>
          <w:numId w:val="6"/>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四极杆飞行时间质谱仪1套（含ESI源，APCI源）；</w:t>
      </w:r>
    </w:p>
    <w:p>
      <w:pPr>
        <w:pStyle w:val="16"/>
        <w:numPr>
          <w:ilvl w:val="0"/>
          <w:numId w:val="6"/>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代谢组学分析软件1套（含Pathway分析软件）；</w:t>
      </w:r>
    </w:p>
    <w:p>
      <w:pPr>
        <w:pStyle w:val="16"/>
        <w:numPr>
          <w:ilvl w:val="0"/>
          <w:numId w:val="6"/>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代谢组学专用谱库1套（离线正版谱库）；</w:t>
      </w:r>
    </w:p>
    <w:p>
      <w:pPr>
        <w:pStyle w:val="16"/>
        <w:numPr>
          <w:ilvl w:val="0"/>
          <w:numId w:val="6"/>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天然产物谱库1套；</w:t>
      </w:r>
    </w:p>
    <w:p>
      <w:pPr>
        <w:pStyle w:val="16"/>
        <w:numPr>
          <w:ilvl w:val="0"/>
          <w:numId w:val="6"/>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高效液相色谱四元泵1套；</w:t>
      </w:r>
    </w:p>
    <w:p>
      <w:pPr>
        <w:pStyle w:val="16"/>
        <w:numPr>
          <w:ilvl w:val="0"/>
          <w:numId w:val="6"/>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高效液相色谱自动进样器1套；</w:t>
      </w:r>
    </w:p>
    <w:p>
      <w:pPr>
        <w:pStyle w:val="16"/>
        <w:numPr>
          <w:ilvl w:val="0"/>
          <w:numId w:val="6"/>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高效液相色谱集成式柱温箱1套；</w:t>
      </w:r>
    </w:p>
    <w:p>
      <w:pPr>
        <w:pStyle w:val="16"/>
        <w:numPr>
          <w:ilvl w:val="0"/>
          <w:numId w:val="6"/>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高效液相色谱二极管阵列检测器1台；</w:t>
      </w:r>
    </w:p>
    <w:p>
      <w:pPr>
        <w:pStyle w:val="16"/>
        <w:numPr>
          <w:ilvl w:val="0"/>
          <w:numId w:val="6"/>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高效液相色谱操作软件1套；</w:t>
      </w:r>
    </w:p>
    <w:p>
      <w:pPr>
        <w:pStyle w:val="16"/>
        <w:numPr>
          <w:ilvl w:val="0"/>
          <w:numId w:val="6"/>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氮气发生器1台；</w:t>
      </w:r>
    </w:p>
    <w:p>
      <w:pPr>
        <w:pStyle w:val="16"/>
        <w:numPr>
          <w:ilvl w:val="0"/>
          <w:numId w:val="6"/>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质谱专用软件操作系统1套；</w:t>
      </w:r>
    </w:p>
    <w:p>
      <w:pPr>
        <w:pStyle w:val="16"/>
        <w:numPr>
          <w:ilvl w:val="0"/>
          <w:numId w:val="6"/>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数据处理系统1套；</w:t>
      </w:r>
    </w:p>
    <w:p>
      <w:pPr>
        <w:pStyle w:val="16"/>
        <w:numPr>
          <w:ilvl w:val="0"/>
          <w:numId w:val="6"/>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UPS不间断电源1台（延迟1个小时，知名品牌）；</w:t>
      </w:r>
    </w:p>
    <w:p>
      <w:pPr>
        <w:pStyle w:val="16"/>
        <w:numPr>
          <w:ilvl w:val="0"/>
          <w:numId w:val="6"/>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备品备件1批：超高压色谱柱5套（含保护柱），备用毛细管1根，液相快速手拧接头2套，用于流动相瓶子的安全瓶盖4个，机械泵泵油3瓶，泵密封圈6个，透明样品瓶300个，棕色样品瓶300个，碰撞气用综合捕集阱1个，干燥气用综合捕集阱1个，机械泵油3瓶，两通不锈钢接头2个，ESI雾化器针头组件1套，毛细管接头工具包1套，废液桶1套。</w:t>
      </w:r>
    </w:p>
    <w:p>
      <w:pPr>
        <w:pStyle w:val="16"/>
        <w:numPr>
          <w:ilvl w:val="0"/>
          <w:numId w:val="5"/>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技术参数：</w:t>
      </w:r>
    </w:p>
    <w:p>
      <w:pPr>
        <w:pStyle w:val="16"/>
        <w:numPr>
          <w:ilvl w:val="0"/>
          <w:numId w:val="7"/>
        </w:numPr>
        <w:spacing w:line="360" w:lineRule="auto"/>
        <w:ind w:firstLineChars="0"/>
        <w:rPr>
          <w:rFonts w:hint="eastAsia" w:ascii="仿宋" w:hAnsi="仿宋" w:eastAsia="仿宋" w:cs="仿宋"/>
          <w:color w:val="auto"/>
          <w:kern w:val="2"/>
          <w:sz w:val="24"/>
          <w:szCs w:val="24"/>
          <w:lang w:val="en-US" w:eastAsia="zh-CN" w:bidi="ar-SA"/>
        </w:rPr>
      </w:pPr>
      <w:bookmarkStart w:id="0" w:name="_Hlk142557553"/>
      <w:r>
        <w:rPr>
          <w:rFonts w:hint="eastAsia" w:ascii="仿宋" w:hAnsi="仿宋" w:eastAsia="仿宋" w:cs="仿宋"/>
          <w:color w:val="auto"/>
          <w:kern w:val="2"/>
          <w:sz w:val="24"/>
          <w:szCs w:val="24"/>
          <w:lang w:val="en-US" w:eastAsia="zh-CN" w:bidi="ar-SA"/>
        </w:rPr>
        <w:t>超高效二元高压梯度泵</w:t>
      </w:r>
    </w:p>
    <w:p>
      <w:pPr>
        <w:pStyle w:val="16"/>
        <w:numPr>
          <w:ilvl w:val="0"/>
          <w:numId w:val="8"/>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*串联式双柱塞往复泵，自动连续可变冲程，齿轮传动，非皮带传动，20-100uL连续可变冲程设计；</w:t>
      </w:r>
    </w:p>
    <w:p>
      <w:pPr>
        <w:pStyle w:val="16"/>
        <w:numPr>
          <w:ilvl w:val="0"/>
          <w:numId w:val="8"/>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流量范围：0.001 mL/min – 5.0 mL/min；</w:t>
      </w:r>
    </w:p>
    <w:p>
      <w:pPr>
        <w:pStyle w:val="16"/>
        <w:numPr>
          <w:ilvl w:val="0"/>
          <w:numId w:val="8"/>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*流量精度：≤0.07%RSD；</w:t>
      </w:r>
    </w:p>
    <w:p>
      <w:pPr>
        <w:pStyle w:val="16"/>
        <w:numPr>
          <w:ilvl w:val="0"/>
          <w:numId w:val="8"/>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压力范围：0 – 18850 psi；</w:t>
      </w:r>
    </w:p>
    <w:p>
      <w:pPr>
        <w:pStyle w:val="16"/>
        <w:numPr>
          <w:ilvl w:val="0"/>
          <w:numId w:val="8"/>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混合精度：&lt; 0.15 %RSD；</w:t>
      </w:r>
    </w:p>
    <w:p>
      <w:pPr>
        <w:pStyle w:val="16"/>
        <w:numPr>
          <w:ilvl w:val="0"/>
          <w:numId w:val="8"/>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含真空在线脱气装置；</w:t>
      </w:r>
    </w:p>
    <w:p>
      <w:pPr>
        <w:pStyle w:val="16"/>
        <w:numPr>
          <w:ilvl w:val="0"/>
          <w:numId w:val="7"/>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超高效自动进样器：</w:t>
      </w:r>
    </w:p>
    <w:p>
      <w:pPr>
        <w:pStyle w:val="16"/>
        <w:numPr>
          <w:ilvl w:val="0"/>
          <w:numId w:val="9"/>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#样品容量：≥130位2 mL样品瓶；</w:t>
      </w:r>
    </w:p>
    <w:p>
      <w:pPr>
        <w:pStyle w:val="16"/>
        <w:numPr>
          <w:ilvl w:val="0"/>
          <w:numId w:val="9"/>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 xml:space="preserve">进样范围：0.1 – 20 </w:t>
      </w:r>
      <w:r>
        <w:rPr>
          <w:rFonts w:hint="eastAsia" w:ascii="仿宋" w:hAnsi="仿宋" w:eastAsia="仿宋" w:cs="仿宋"/>
          <w:color w:val="auto"/>
          <w:kern w:val="2"/>
          <w:sz w:val="24"/>
          <w:szCs w:val="24"/>
          <w:lang w:val="en-US" w:eastAsia="zh-CN" w:bidi="ar-SA"/>
        </w:rPr>
        <w:sym w:font="Symbol" w:char="F06D"/>
      </w:r>
      <w:r>
        <w:rPr>
          <w:rFonts w:hint="eastAsia" w:ascii="仿宋" w:hAnsi="仿宋" w:eastAsia="仿宋" w:cs="仿宋"/>
          <w:color w:val="auto"/>
          <w:kern w:val="2"/>
          <w:sz w:val="24"/>
          <w:szCs w:val="24"/>
          <w:lang w:val="en-US" w:eastAsia="zh-CN" w:bidi="ar-SA"/>
        </w:rPr>
        <w:t>L，改变进样体积无需更换定量环；</w:t>
      </w:r>
    </w:p>
    <w:p>
      <w:pPr>
        <w:pStyle w:val="16"/>
        <w:numPr>
          <w:ilvl w:val="0"/>
          <w:numId w:val="9"/>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进样精度：&lt; 0.25% RSD ；</w:t>
      </w:r>
    </w:p>
    <w:p>
      <w:pPr>
        <w:pStyle w:val="16"/>
        <w:numPr>
          <w:ilvl w:val="0"/>
          <w:numId w:val="9"/>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 xml:space="preserve">#交叉污染度：&lt; 0.005%； </w:t>
      </w:r>
    </w:p>
    <w:p>
      <w:pPr>
        <w:pStyle w:val="16"/>
        <w:numPr>
          <w:ilvl w:val="0"/>
          <w:numId w:val="9"/>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*控制：进样体积，自动洗针程序，柱前自动衍生程序，取样及进样速率；</w:t>
      </w:r>
    </w:p>
    <w:p>
      <w:pPr>
        <w:pStyle w:val="16"/>
        <w:numPr>
          <w:ilvl w:val="0"/>
          <w:numId w:val="7"/>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超高效集成式柱温箱</w:t>
      </w:r>
    </w:p>
    <w:p>
      <w:pPr>
        <w:pStyle w:val="16"/>
        <w:numPr>
          <w:ilvl w:val="0"/>
          <w:numId w:val="10"/>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 xml:space="preserve">#柱温范围：室温-80 </w:t>
      </w:r>
      <w:r>
        <w:rPr>
          <w:rFonts w:hint="eastAsia" w:ascii="仿宋" w:hAnsi="仿宋" w:eastAsia="仿宋" w:cs="仿宋"/>
          <w:color w:val="auto"/>
          <w:kern w:val="2"/>
          <w:sz w:val="24"/>
          <w:szCs w:val="24"/>
          <w:lang w:val="en-US" w:eastAsia="zh-CN" w:bidi="ar-SA"/>
        </w:rPr>
        <w:sym w:font="Symbol" w:char="F0B0"/>
      </w:r>
      <w:r>
        <w:rPr>
          <w:rFonts w:hint="eastAsia" w:ascii="仿宋" w:hAnsi="仿宋" w:eastAsia="仿宋" w:cs="仿宋"/>
          <w:color w:val="auto"/>
          <w:kern w:val="2"/>
          <w:sz w:val="24"/>
          <w:szCs w:val="24"/>
          <w:lang w:val="en-US" w:eastAsia="zh-CN" w:bidi="ar-SA"/>
        </w:rPr>
        <w:t>C;</w:t>
      </w:r>
    </w:p>
    <w:p>
      <w:pPr>
        <w:pStyle w:val="16"/>
        <w:numPr>
          <w:ilvl w:val="0"/>
          <w:numId w:val="10"/>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温度稳定性：±0.05 °C；</w:t>
      </w:r>
    </w:p>
    <w:p>
      <w:pPr>
        <w:pStyle w:val="16"/>
        <w:numPr>
          <w:ilvl w:val="0"/>
          <w:numId w:val="10"/>
        </w:numPr>
        <w:spacing w:line="360" w:lineRule="auto"/>
        <w:ind w:firstLineChars="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柱容量：同时放置30cm柱2根；</w:t>
      </w:r>
    </w:p>
    <w:p>
      <w:pPr>
        <w:pStyle w:val="16"/>
        <w:numPr>
          <w:ilvl w:val="0"/>
          <w:numId w:val="7"/>
        </w:numPr>
        <w:spacing w:line="360" w:lineRule="auto"/>
        <w:ind w:firstLineChars="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超高效二极管阵列检测器</w:t>
      </w:r>
    </w:p>
    <w:p>
      <w:pPr>
        <w:pStyle w:val="30"/>
        <w:numPr>
          <w:ilvl w:val="0"/>
          <w:numId w:val="11"/>
        </w:numPr>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*采样速率达到≥240Hz</w:t>
      </w:r>
    </w:p>
    <w:p>
      <w:pPr>
        <w:pStyle w:val="30"/>
        <w:numPr>
          <w:ilvl w:val="0"/>
          <w:numId w:val="11"/>
        </w:numPr>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波长范围：190-640nm；</w:t>
      </w:r>
    </w:p>
    <w:p>
      <w:pPr>
        <w:pStyle w:val="30"/>
        <w:numPr>
          <w:ilvl w:val="0"/>
          <w:numId w:val="11"/>
        </w:numPr>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*狭缝宽度：可编程，1,2,4, 8 nm</w:t>
      </w:r>
    </w:p>
    <w:p>
      <w:pPr>
        <w:pStyle w:val="30"/>
        <w:numPr>
          <w:ilvl w:val="0"/>
          <w:numId w:val="11"/>
        </w:numPr>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#短期噪音：&lt;±3*10-6 AU，漂移：&lt;±0.5*10-3 AU/h（230nm处）；</w:t>
      </w:r>
    </w:p>
    <w:p>
      <w:pPr>
        <w:pStyle w:val="30"/>
        <w:numPr>
          <w:ilvl w:val="0"/>
          <w:numId w:val="11"/>
        </w:numPr>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光学元件：1024对二极管</w:t>
      </w:r>
    </w:p>
    <w:p>
      <w:pPr>
        <w:pStyle w:val="30"/>
        <w:numPr>
          <w:ilvl w:val="0"/>
          <w:numId w:val="7"/>
        </w:numPr>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高效液相四元泵</w:t>
      </w:r>
    </w:p>
    <w:p>
      <w:pPr>
        <w:pStyle w:val="30"/>
        <w:numPr>
          <w:ilvl w:val="0"/>
          <w:numId w:val="12"/>
        </w:numPr>
        <w:spacing w:line="360" w:lineRule="auto"/>
        <w:ind w:left="36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四元泵，内置真空脱气机，在线柱塞清洗装置；</w:t>
      </w:r>
    </w:p>
    <w:p>
      <w:pPr>
        <w:pStyle w:val="30"/>
        <w:numPr>
          <w:ilvl w:val="0"/>
          <w:numId w:val="12"/>
        </w:numPr>
        <w:spacing w:line="360" w:lineRule="auto"/>
        <w:ind w:left="36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*串联式双柱塞往复泵，20-100 uL自动连续可变冲程，齿轮传动，非皮带传动；</w:t>
      </w:r>
    </w:p>
    <w:p>
      <w:pPr>
        <w:pStyle w:val="30"/>
        <w:numPr>
          <w:ilvl w:val="0"/>
          <w:numId w:val="12"/>
        </w:numPr>
        <w:spacing w:line="360" w:lineRule="auto"/>
        <w:ind w:left="36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流量范围：0.2~10.0mL/min，递增率0.001mL/min；</w:t>
      </w:r>
    </w:p>
    <w:p>
      <w:pPr>
        <w:pStyle w:val="30"/>
        <w:numPr>
          <w:ilvl w:val="0"/>
          <w:numId w:val="12"/>
        </w:numPr>
        <w:spacing w:line="360" w:lineRule="auto"/>
        <w:ind w:left="36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#流量精度：&lt;0.07%RSD ；</w:t>
      </w:r>
    </w:p>
    <w:p>
      <w:pPr>
        <w:pStyle w:val="30"/>
        <w:numPr>
          <w:ilvl w:val="0"/>
          <w:numId w:val="12"/>
        </w:numPr>
        <w:spacing w:line="360" w:lineRule="auto"/>
        <w:ind w:left="36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*压力范围：0-600bar；</w:t>
      </w:r>
    </w:p>
    <w:p>
      <w:pPr>
        <w:pStyle w:val="30"/>
        <w:numPr>
          <w:ilvl w:val="0"/>
          <w:numId w:val="12"/>
        </w:numPr>
        <w:spacing w:line="360" w:lineRule="auto"/>
        <w:ind w:left="36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压力脉动：在整个压力范围内，1mL/min流量时，&lt;1%；</w:t>
      </w:r>
    </w:p>
    <w:p>
      <w:pPr>
        <w:pStyle w:val="30"/>
        <w:numPr>
          <w:ilvl w:val="0"/>
          <w:numId w:val="7"/>
        </w:numPr>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高效液相色谱自动进样器</w:t>
      </w:r>
    </w:p>
    <w:p>
      <w:pPr>
        <w:pStyle w:val="30"/>
        <w:widowControl w:val="0"/>
        <w:numPr>
          <w:ilvl w:val="0"/>
          <w:numId w:val="13"/>
        </w:numPr>
        <w:spacing w:line="360" w:lineRule="auto"/>
        <w:ind w:left="360"/>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zh-CN" w:eastAsia="zh-CN" w:bidi="ar-SA"/>
        </w:rPr>
        <w:t>样品容量:≥130位2ml样品盘；</w:t>
      </w:r>
    </w:p>
    <w:p>
      <w:pPr>
        <w:pStyle w:val="30"/>
        <w:widowControl w:val="0"/>
        <w:numPr>
          <w:ilvl w:val="0"/>
          <w:numId w:val="13"/>
        </w:numPr>
        <w:spacing w:line="360" w:lineRule="auto"/>
        <w:ind w:left="360"/>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zh-CN" w:eastAsia="zh-CN" w:bidi="ar-SA"/>
        </w:rPr>
        <w:t>进样范围：0.1~100</w:t>
      </w:r>
      <w:r>
        <w:rPr>
          <w:rFonts w:hint="eastAsia" w:ascii="仿宋" w:hAnsi="仿宋" w:eastAsia="仿宋" w:cs="仿宋"/>
          <w:color w:val="auto"/>
          <w:kern w:val="2"/>
          <w:sz w:val="24"/>
          <w:szCs w:val="24"/>
          <w:lang w:val="zh-CN" w:eastAsia="zh-CN" w:bidi="ar-SA"/>
        </w:rPr>
        <w:sym w:font="Symbol" w:char="F06D"/>
      </w:r>
      <w:r>
        <w:rPr>
          <w:rFonts w:hint="eastAsia" w:ascii="仿宋" w:hAnsi="仿宋" w:eastAsia="仿宋" w:cs="仿宋"/>
          <w:color w:val="auto"/>
          <w:kern w:val="2"/>
          <w:sz w:val="24"/>
          <w:szCs w:val="24"/>
          <w:lang w:val="zh-CN" w:eastAsia="zh-CN" w:bidi="ar-SA"/>
        </w:rPr>
        <w:t>L；</w:t>
      </w:r>
    </w:p>
    <w:p>
      <w:pPr>
        <w:pStyle w:val="30"/>
        <w:widowControl w:val="0"/>
        <w:numPr>
          <w:ilvl w:val="0"/>
          <w:numId w:val="13"/>
        </w:numPr>
        <w:spacing w:line="360" w:lineRule="auto"/>
        <w:ind w:left="360"/>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zh-CN" w:eastAsia="zh-CN" w:bidi="ar-SA"/>
        </w:rPr>
        <w:t>进样精度：&lt; 0.25% RSD；</w:t>
      </w:r>
    </w:p>
    <w:p>
      <w:pPr>
        <w:pStyle w:val="30"/>
        <w:widowControl w:val="0"/>
        <w:numPr>
          <w:ilvl w:val="0"/>
          <w:numId w:val="13"/>
        </w:numPr>
        <w:spacing w:line="360" w:lineRule="auto"/>
        <w:ind w:left="360"/>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zh-CN" w:eastAsia="zh-CN" w:bidi="ar-SA"/>
        </w:rPr>
        <w:t>交叉污染：&lt;0.005%；</w:t>
      </w:r>
    </w:p>
    <w:p>
      <w:pPr>
        <w:pStyle w:val="30"/>
        <w:widowControl w:val="0"/>
        <w:numPr>
          <w:ilvl w:val="0"/>
          <w:numId w:val="13"/>
        </w:numPr>
        <w:spacing w:line="360" w:lineRule="auto"/>
        <w:ind w:left="360"/>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zh-CN" w:eastAsia="zh-CN" w:bidi="ar-SA"/>
        </w:rPr>
        <w:t>重复进样次数：1-99次/样品；</w:t>
      </w:r>
    </w:p>
    <w:p>
      <w:pPr>
        <w:pStyle w:val="30"/>
        <w:widowControl w:val="0"/>
        <w:numPr>
          <w:ilvl w:val="0"/>
          <w:numId w:val="13"/>
        </w:numPr>
        <w:spacing w:line="360" w:lineRule="auto"/>
        <w:ind w:left="360"/>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zh-CN" w:eastAsia="zh-CN" w:bidi="ar-SA"/>
        </w:rPr>
        <w:t>*控制功能：进样体积，自动洗针程序，柱前自动衍生程序，柱前样品自动稀释，自动混合，取样及进样速率</w:t>
      </w:r>
    </w:p>
    <w:p>
      <w:pPr>
        <w:pStyle w:val="30"/>
        <w:widowControl w:val="0"/>
        <w:numPr>
          <w:ilvl w:val="0"/>
          <w:numId w:val="13"/>
        </w:numPr>
        <w:spacing w:line="360" w:lineRule="auto"/>
        <w:ind w:left="360"/>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zh-CN" w:eastAsia="zh-CN" w:bidi="ar-SA"/>
        </w:rPr>
        <w:t>压力范围： 0-600bar；</w:t>
      </w:r>
    </w:p>
    <w:p>
      <w:pPr>
        <w:pStyle w:val="30"/>
        <w:widowControl w:val="0"/>
        <w:numPr>
          <w:ilvl w:val="0"/>
          <w:numId w:val="7"/>
        </w:numPr>
        <w:spacing w:line="360" w:lineRule="auto"/>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zh-CN" w:eastAsia="zh-CN" w:bidi="ar-SA"/>
        </w:rPr>
        <w:t>高效液相色谱集成式柱温箱</w:t>
      </w:r>
    </w:p>
    <w:p>
      <w:pPr>
        <w:pStyle w:val="30"/>
        <w:widowControl w:val="0"/>
        <w:numPr>
          <w:ilvl w:val="0"/>
          <w:numId w:val="14"/>
        </w:numPr>
        <w:spacing w:line="360" w:lineRule="auto"/>
        <w:ind w:left="360"/>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zh-CN" w:eastAsia="zh-CN" w:bidi="ar-SA"/>
        </w:rPr>
        <w:t>温控范围：室温 -80°C</w:t>
      </w:r>
    </w:p>
    <w:p>
      <w:pPr>
        <w:pStyle w:val="30"/>
        <w:widowControl w:val="0"/>
        <w:numPr>
          <w:ilvl w:val="0"/>
          <w:numId w:val="14"/>
        </w:numPr>
        <w:spacing w:line="360" w:lineRule="auto"/>
        <w:ind w:left="360"/>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zh-CN" w:eastAsia="zh-CN" w:bidi="ar-SA"/>
        </w:rPr>
        <w:t>控温准确度：± 0.5°C</w:t>
      </w:r>
    </w:p>
    <w:p>
      <w:pPr>
        <w:pStyle w:val="30"/>
        <w:widowControl w:val="0"/>
        <w:numPr>
          <w:ilvl w:val="0"/>
          <w:numId w:val="14"/>
        </w:numPr>
        <w:spacing w:line="360" w:lineRule="auto"/>
        <w:ind w:left="360"/>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zh-CN" w:eastAsia="zh-CN" w:bidi="ar-SA"/>
        </w:rPr>
        <w:t>柱箱容积：可同时放入</w:t>
      </w:r>
      <w:r>
        <w:rPr>
          <w:rFonts w:hint="eastAsia" w:ascii="仿宋" w:hAnsi="仿宋" w:eastAsia="仿宋" w:cs="仿宋"/>
          <w:color w:val="auto"/>
          <w:kern w:val="2"/>
          <w:sz w:val="24"/>
          <w:szCs w:val="24"/>
          <w:lang w:val="en-US" w:eastAsia="zh-CN" w:bidi="ar-SA"/>
        </w:rPr>
        <w:t>2</w:t>
      </w:r>
      <w:r>
        <w:rPr>
          <w:rFonts w:hint="eastAsia" w:ascii="仿宋" w:hAnsi="仿宋" w:eastAsia="仿宋" w:cs="仿宋"/>
          <w:color w:val="auto"/>
          <w:kern w:val="2"/>
          <w:sz w:val="24"/>
          <w:szCs w:val="24"/>
          <w:lang w:val="zh-CN" w:eastAsia="zh-CN" w:bidi="ar-SA"/>
        </w:rPr>
        <w:t>根250mm色谱柱；</w:t>
      </w:r>
    </w:p>
    <w:p>
      <w:pPr>
        <w:pStyle w:val="30"/>
        <w:widowControl w:val="0"/>
        <w:numPr>
          <w:ilvl w:val="0"/>
          <w:numId w:val="7"/>
        </w:numPr>
        <w:spacing w:line="360" w:lineRule="auto"/>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zh-CN" w:eastAsia="zh-CN" w:bidi="ar-SA"/>
        </w:rPr>
        <w:t>高效液相色谱二极管阵列检测器</w:t>
      </w:r>
    </w:p>
    <w:p>
      <w:pPr>
        <w:pStyle w:val="30"/>
        <w:widowControl w:val="0"/>
        <w:numPr>
          <w:ilvl w:val="0"/>
          <w:numId w:val="15"/>
        </w:numPr>
        <w:spacing w:line="360" w:lineRule="auto"/>
        <w:ind w:left="360"/>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zh-CN" w:eastAsia="zh-CN" w:bidi="ar-SA"/>
        </w:rPr>
        <w:t>二极管对数：1024对；</w:t>
      </w:r>
    </w:p>
    <w:p>
      <w:pPr>
        <w:pStyle w:val="30"/>
        <w:widowControl w:val="0"/>
        <w:numPr>
          <w:ilvl w:val="0"/>
          <w:numId w:val="15"/>
        </w:numPr>
        <w:spacing w:line="360" w:lineRule="auto"/>
        <w:ind w:left="360"/>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zh-CN" w:eastAsia="zh-CN" w:bidi="ar-SA"/>
        </w:rPr>
        <w:t>氘灯和钨灯双灯源；</w:t>
      </w:r>
    </w:p>
    <w:p>
      <w:pPr>
        <w:pStyle w:val="30"/>
        <w:widowControl w:val="0"/>
        <w:numPr>
          <w:ilvl w:val="0"/>
          <w:numId w:val="15"/>
        </w:numPr>
        <w:spacing w:line="360" w:lineRule="auto"/>
        <w:ind w:left="360"/>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zh-CN" w:eastAsia="zh-CN" w:bidi="ar-SA"/>
        </w:rPr>
        <w:t>#波长范围：190~950 nm；</w:t>
      </w:r>
    </w:p>
    <w:p>
      <w:pPr>
        <w:pStyle w:val="30"/>
        <w:widowControl w:val="0"/>
        <w:numPr>
          <w:ilvl w:val="0"/>
          <w:numId w:val="15"/>
        </w:numPr>
        <w:spacing w:line="360" w:lineRule="auto"/>
        <w:ind w:left="360"/>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zh-CN" w:eastAsia="zh-CN" w:bidi="ar-SA"/>
        </w:rPr>
        <w:t>二极管宽度：&lt;1 nm；</w:t>
      </w:r>
    </w:p>
    <w:p>
      <w:pPr>
        <w:pStyle w:val="30"/>
        <w:widowControl w:val="0"/>
        <w:numPr>
          <w:ilvl w:val="0"/>
          <w:numId w:val="15"/>
        </w:numPr>
        <w:spacing w:line="360" w:lineRule="auto"/>
        <w:ind w:left="36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zh-CN" w:eastAsia="zh-CN" w:bidi="ar-SA"/>
        </w:rPr>
        <w:t>短期噪音</w:t>
      </w:r>
      <w:r>
        <w:rPr>
          <w:rFonts w:hint="eastAsia" w:ascii="仿宋" w:hAnsi="仿宋" w:eastAsia="仿宋" w:cs="仿宋"/>
          <w:color w:val="auto"/>
          <w:kern w:val="2"/>
          <w:sz w:val="24"/>
          <w:szCs w:val="24"/>
          <w:lang w:val="en-US" w:eastAsia="zh-CN" w:bidi="ar-SA"/>
        </w:rPr>
        <w:t>：&lt; ±7x 10-6 AU；</w:t>
      </w:r>
    </w:p>
    <w:p>
      <w:pPr>
        <w:pStyle w:val="30"/>
        <w:widowControl w:val="0"/>
        <w:numPr>
          <w:ilvl w:val="0"/>
          <w:numId w:val="15"/>
        </w:numPr>
        <w:spacing w:line="360" w:lineRule="auto"/>
        <w:ind w:left="360"/>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zh-CN" w:eastAsia="zh-CN" w:bidi="ar-SA"/>
        </w:rPr>
        <w:t>漂移：&lt; 0.9 x 10-3 AU/hr；</w:t>
      </w:r>
    </w:p>
    <w:p>
      <w:pPr>
        <w:pStyle w:val="30"/>
        <w:widowControl w:val="0"/>
        <w:numPr>
          <w:ilvl w:val="0"/>
          <w:numId w:val="15"/>
        </w:numPr>
        <w:spacing w:line="360" w:lineRule="auto"/>
        <w:ind w:left="360"/>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zh-CN" w:eastAsia="zh-CN" w:bidi="ar-SA"/>
        </w:rPr>
        <w:t>*狭缝宽度：1，2，4，8，16nm，可调；</w:t>
      </w:r>
    </w:p>
    <w:p>
      <w:pPr>
        <w:pStyle w:val="30"/>
        <w:widowControl w:val="0"/>
        <w:numPr>
          <w:ilvl w:val="0"/>
          <w:numId w:val="15"/>
        </w:numPr>
        <w:spacing w:line="360" w:lineRule="auto"/>
        <w:ind w:left="360"/>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zh-CN" w:eastAsia="zh-CN" w:bidi="ar-SA"/>
        </w:rPr>
        <w:t>#采集速率：≥120Hz；</w:t>
      </w:r>
    </w:p>
    <w:p>
      <w:pPr>
        <w:pStyle w:val="16"/>
        <w:numPr>
          <w:ilvl w:val="0"/>
          <w:numId w:val="7"/>
        </w:numPr>
        <w:tabs>
          <w:tab w:val="left" w:pos="0"/>
        </w:tabs>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四极杆串联飞行时间质谱性能指标</w:t>
      </w:r>
    </w:p>
    <w:p>
      <w:pPr>
        <w:pStyle w:val="6"/>
        <w:numPr>
          <w:ilvl w:val="0"/>
          <w:numId w:val="16"/>
        </w:numPr>
        <w:spacing w:line="360" w:lineRule="auto"/>
        <w:ind w:left="0" w:firstLine="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灵敏度：</w:t>
      </w:r>
    </w:p>
    <w:p>
      <w:pPr>
        <w:pStyle w:val="6"/>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ESI MS正离子模式：柱上进样1 pg 利血平连续10针进样，考察母离子609.2807 m/z， S/N&gt; 500: 1；</w:t>
      </w:r>
    </w:p>
    <w:p>
      <w:pPr>
        <w:pStyle w:val="6"/>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ESI MS负模式：柱上进样1 pg 氯霉素连续10针进样，考察母离子321.0051 m/z， S/N&gt; 500: 1；</w:t>
      </w:r>
    </w:p>
    <w:p>
      <w:pPr>
        <w:pStyle w:val="6"/>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ESI MS/MS正离子模式：柱上进样1 pg 利血平考察子离子174, 195, 397, 448 m/z， S/N&gt; 1500:1；</w:t>
      </w:r>
    </w:p>
    <w:p>
      <w:pPr>
        <w:pStyle w:val="6"/>
        <w:numPr>
          <w:ilvl w:val="0"/>
          <w:numId w:val="16"/>
        </w:numPr>
        <w:spacing w:line="360" w:lineRule="auto"/>
        <w:ind w:left="0" w:firstLine="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*分辨率：&gt; 59,000 @ 2722 m/z；</w:t>
      </w:r>
    </w:p>
    <w:p>
      <w:pPr>
        <w:pStyle w:val="6"/>
        <w:numPr>
          <w:ilvl w:val="0"/>
          <w:numId w:val="16"/>
        </w:numPr>
        <w:spacing w:line="360" w:lineRule="auto"/>
        <w:ind w:left="0" w:firstLine="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动态范围：大于5个数量级</w:t>
      </w:r>
    </w:p>
    <w:p>
      <w:pPr>
        <w:pStyle w:val="6"/>
        <w:numPr>
          <w:ilvl w:val="0"/>
          <w:numId w:val="16"/>
        </w:numPr>
        <w:spacing w:line="360" w:lineRule="auto"/>
        <w:ind w:left="0" w:firstLine="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MS模式质量准确度：正模式：&lt; 0.8 ppm(m/z 609.2807)（连续5针进样）；</w:t>
      </w:r>
    </w:p>
    <w:p>
      <w:pPr>
        <w:pStyle w:val="6"/>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 xml:space="preserve">       负模式：&lt; 0.8 ppm (m/z 321.0051)（连续5针进样）；</w:t>
      </w:r>
    </w:p>
    <w:p>
      <w:pPr>
        <w:pStyle w:val="6"/>
        <w:numPr>
          <w:ilvl w:val="0"/>
          <w:numId w:val="16"/>
        </w:numPr>
        <w:spacing w:line="360" w:lineRule="auto"/>
        <w:ind w:left="0" w:firstLine="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 xml:space="preserve"> 质量范围： 四极杆部分：10-4000m/z，TOF 部分：50-8000m/z；</w:t>
      </w:r>
    </w:p>
    <w:p>
      <w:pPr>
        <w:pStyle w:val="6"/>
        <w:numPr>
          <w:ilvl w:val="0"/>
          <w:numId w:val="16"/>
        </w:numPr>
        <w:spacing w:line="360" w:lineRule="auto"/>
        <w:ind w:left="0" w:firstLine="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 xml:space="preserve">采样速度：MS采集模式，每秒扫描≥45张谱图 </w:t>
      </w:r>
    </w:p>
    <w:p>
      <w:pPr>
        <w:pStyle w:val="6"/>
        <w:numPr>
          <w:ilvl w:val="0"/>
          <w:numId w:val="16"/>
        </w:numPr>
        <w:spacing w:line="360" w:lineRule="auto"/>
        <w:ind w:left="0" w:firstLine="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大气压电离源: ESI离子源采用喷雾针和毛细管90度垂直以及加热反吹干燥气设计，并且采用样品和校正液双流路喷雾设计，以保证质量准确度。喷雾针位置无需调节，适应全流速范围，同时保持高灵敏度和优异的抗污染能力；</w:t>
      </w:r>
    </w:p>
    <w:p>
      <w:pPr>
        <w:pStyle w:val="6"/>
        <w:numPr>
          <w:ilvl w:val="0"/>
          <w:numId w:val="16"/>
        </w:numPr>
        <w:spacing w:line="360" w:lineRule="auto"/>
        <w:ind w:left="0" w:firstLine="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质谱调谐和校正系统： 采用内置调谐液传输系统(CDS)进行全自动质谱调谐及质量轴校正。通过软件控制，可自动进行正负模式的参数调谐及质量轴校正，并将调谐结果自动存储为分析方法的一部分。</w:t>
      </w:r>
    </w:p>
    <w:p>
      <w:pPr>
        <w:pStyle w:val="6"/>
        <w:numPr>
          <w:ilvl w:val="0"/>
          <w:numId w:val="16"/>
        </w:numPr>
        <w:spacing w:line="360" w:lineRule="auto"/>
        <w:ind w:left="0" w:firstLine="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全自动导入参比离子，配合双喷雾口设计，进行内标参比质量校正，可以针对≥3个不同质荷比范围进行针对性调谐；</w:t>
      </w:r>
    </w:p>
    <w:p>
      <w:pPr>
        <w:pStyle w:val="6"/>
        <w:numPr>
          <w:ilvl w:val="0"/>
          <w:numId w:val="16"/>
        </w:numPr>
        <w:spacing w:line="360" w:lineRule="auto"/>
        <w:ind w:left="0" w:firstLine="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 xml:space="preserve">质量分析器:  </w:t>
      </w:r>
    </w:p>
    <w:p>
      <w:pPr>
        <w:pStyle w:val="6"/>
        <w:numPr>
          <w:ilvl w:val="2"/>
          <w:numId w:val="17"/>
        </w:numPr>
        <w:spacing w:line="360" w:lineRule="auto"/>
        <w:ind w:left="36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*四极杆质量过滤器：可控温至100度，双曲面四极杆；</w:t>
      </w:r>
    </w:p>
    <w:p>
      <w:pPr>
        <w:pStyle w:val="6"/>
        <w:numPr>
          <w:ilvl w:val="2"/>
          <w:numId w:val="17"/>
        </w:numPr>
        <w:spacing w:line="360" w:lineRule="auto"/>
        <w:ind w:left="0" w:firstLine="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飞行管设计：飞行时间质量分析器采用V型反射技术非N型或W型，一次反射技术最大化保证TOF中的离子利用率；</w:t>
      </w:r>
    </w:p>
    <w:p>
      <w:pPr>
        <w:pStyle w:val="6"/>
        <w:numPr>
          <w:ilvl w:val="1"/>
          <w:numId w:val="18"/>
        </w:numPr>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 xml:space="preserve"> 检测器：采用模拟数字转换（ADC）操作模式；</w:t>
      </w:r>
    </w:p>
    <w:p>
      <w:pPr>
        <w:pStyle w:val="6"/>
        <w:numPr>
          <w:ilvl w:val="1"/>
          <w:numId w:val="18"/>
        </w:numPr>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 xml:space="preserve"> 采集数据速度：4G Hz。</w:t>
      </w:r>
    </w:p>
    <w:p>
      <w:pPr>
        <w:pStyle w:val="16"/>
        <w:numPr>
          <w:ilvl w:val="0"/>
          <w:numId w:val="19"/>
        </w:numPr>
        <w:spacing w:line="360" w:lineRule="auto"/>
        <w:ind w:left="360"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质谱工作站软件</w:t>
      </w:r>
    </w:p>
    <w:p>
      <w:pPr>
        <w:pStyle w:val="6"/>
        <w:numPr>
          <w:ilvl w:val="0"/>
          <w:numId w:val="20"/>
        </w:numPr>
        <w:spacing w:line="360" w:lineRule="auto"/>
        <w:ind w:left="0" w:firstLine="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单点控制所有的液相部分和质谱部分。可以实现数据采集，数据分析，液相和质谱同步控制，在线监测，反馈显示和序列采集。</w:t>
      </w:r>
    </w:p>
    <w:p>
      <w:pPr>
        <w:pStyle w:val="6"/>
        <w:numPr>
          <w:ilvl w:val="0"/>
          <w:numId w:val="20"/>
        </w:numPr>
        <w:spacing w:line="360" w:lineRule="auto"/>
        <w:ind w:left="0" w:firstLine="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数据采集模式</w:t>
      </w:r>
    </w:p>
    <w:p>
      <w:pPr>
        <w:pStyle w:val="6"/>
        <w:numPr>
          <w:ilvl w:val="0"/>
          <w:numId w:val="21"/>
        </w:numPr>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全扫描（SCAN）</w:t>
      </w:r>
    </w:p>
    <w:p>
      <w:pPr>
        <w:pStyle w:val="6"/>
        <w:numPr>
          <w:ilvl w:val="0"/>
          <w:numId w:val="21"/>
        </w:numPr>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目标离子的质谱/质谱采集(target MS/MS): 针对筛查出来的目标化合物进行结构分析和确定；</w:t>
      </w:r>
    </w:p>
    <w:p>
      <w:pPr>
        <w:pStyle w:val="6"/>
        <w:numPr>
          <w:ilvl w:val="0"/>
          <w:numId w:val="21"/>
        </w:numPr>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自动的质谱/质谱采集(auto MS/MS): 根据设定的阈值，自动选择母离子进行二级碎裂，同时得到含有精确质量数信息的母离子和子离子；</w:t>
      </w:r>
    </w:p>
    <w:p>
      <w:pPr>
        <w:pStyle w:val="6"/>
        <w:numPr>
          <w:ilvl w:val="0"/>
          <w:numId w:val="21"/>
        </w:numPr>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All IonMS/MS (AIM): 在一次采集中，自动设置高中低三个不同能量的源内碰撞诱导裂解电压或者三个不同能量碰撞池电压，同时采集母离子和子离子的信息；</w:t>
      </w:r>
    </w:p>
    <w:p>
      <w:pPr>
        <w:pStyle w:val="6"/>
        <w:numPr>
          <w:ilvl w:val="0"/>
          <w:numId w:val="20"/>
        </w:numPr>
        <w:spacing w:line="360" w:lineRule="auto"/>
        <w:ind w:left="0" w:firstLine="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数据定性分析</w:t>
      </w:r>
    </w:p>
    <w:p>
      <w:pPr>
        <w:pStyle w:val="6"/>
        <w:numPr>
          <w:ilvl w:val="0"/>
          <w:numId w:val="22"/>
        </w:numPr>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能同时处理多组数据；</w:t>
      </w:r>
    </w:p>
    <w:p>
      <w:pPr>
        <w:pStyle w:val="6"/>
        <w:numPr>
          <w:ilvl w:val="0"/>
          <w:numId w:val="22"/>
        </w:numPr>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分子特征提取(MFE)功能从海量数据提取化合物峰；</w:t>
      </w:r>
    </w:p>
    <w:p>
      <w:pPr>
        <w:pStyle w:val="6"/>
        <w:numPr>
          <w:ilvl w:val="0"/>
          <w:numId w:val="22"/>
        </w:numPr>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自动计算每个峰的化学式(MFG)，计算同位素比；</w:t>
      </w:r>
    </w:p>
    <w:p>
      <w:pPr>
        <w:pStyle w:val="6"/>
        <w:numPr>
          <w:ilvl w:val="0"/>
          <w:numId w:val="22"/>
        </w:numPr>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数据相关模式的MS/MS谱化合物找寻功能；</w:t>
      </w:r>
    </w:p>
    <w:p>
      <w:pPr>
        <w:pStyle w:val="6"/>
        <w:numPr>
          <w:ilvl w:val="0"/>
          <w:numId w:val="22"/>
        </w:numPr>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质量精确度，同位素比来确定最终化学式。</w:t>
      </w:r>
    </w:p>
    <w:p>
      <w:pPr>
        <w:pStyle w:val="6"/>
        <w:numPr>
          <w:ilvl w:val="0"/>
          <w:numId w:val="20"/>
        </w:numPr>
        <w:spacing w:line="360" w:lineRule="auto"/>
        <w:ind w:left="0" w:firstLine="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统计学数据处理与分析</w:t>
      </w:r>
    </w:p>
    <w:p>
      <w:pPr>
        <w:pStyle w:val="6"/>
        <w:numPr>
          <w:ilvl w:val="0"/>
          <w:numId w:val="23"/>
        </w:numPr>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能够自动对多个或多组数据进行全面的多变量和单变量统计分析；</w:t>
      </w:r>
    </w:p>
    <w:p>
      <w:pPr>
        <w:pStyle w:val="6"/>
        <w:numPr>
          <w:ilvl w:val="0"/>
          <w:numId w:val="23"/>
        </w:numPr>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可以使用方差分析 (ANOVA)、主成分分析 (PCA)、偏最小二乘分析（PLS-DA）、聚类分析、火山图、层次聚类、类预测以及用户自己编写的R脚本进行统计学差异分析；</w:t>
      </w:r>
    </w:p>
    <w:p>
      <w:pPr>
        <w:pStyle w:val="6"/>
        <w:numPr>
          <w:ilvl w:val="0"/>
          <w:numId w:val="23"/>
        </w:numPr>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能够自动进行生物通路分析，包括经典的Pathway分析和自动构建生物代谢通路功能，并且能自动将经典代谢通路上有而实验中未发现的生物标记物自动生成数据库，以进行靶标组学分析。Pathway分析能整合多组学信息（基因组学、转录组学、蛋白组学、代谢组学等），并标注在同一张通路图中，便于用户发表文章使用。</w:t>
      </w:r>
    </w:p>
    <w:p>
      <w:pPr>
        <w:pStyle w:val="6"/>
        <w:numPr>
          <w:ilvl w:val="0"/>
          <w:numId w:val="23"/>
        </w:numPr>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#代谢组学数据库：收录≥79000+代谢物的精确质量数据库，其中9000+化合物有精确质量数二级质谱图；</w:t>
      </w:r>
    </w:p>
    <w:p>
      <w:pPr>
        <w:pStyle w:val="6"/>
        <w:numPr>
          <w:ilvl w:val="0"/>
          <w:numId w:val="23"/>
        </w:numPr>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#天然产物谱库：收录≥ 20000 张高分辨准确质量 MS/MS 图谱，收载化合物信息包括：CAS 号、Chemspider 号、化合物结构式、类别和植物来源等。。</w:t>
      </w:r>
    </w:p>
    <w:p>
      <w:pPr>
        <w:pStyle w:val="6"/>
        <w:numPr>
          <w:ilvl w:val="0"/>
          <w:numId w:val="20"/>
        </w:numPr>
        <w:spacing w:line="360" w:lineRule="auto"/>
        <w:ind w:left="0" w:firstLine="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数据处理系统</w:t>
      </w:r>
    </w:p>
    <w:p>
      <w:pPr>
        <w:pStyle w:val="6"/>
        <w:numPr>
          <w:ilvl w:val="0"/>
          <w:numId w:val="24"/>
        </w:numPr>
        <w:spacing w:line="360" w:lineRule="auto"/>
        <w:ind w:left="418" w:hanging="418"/>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Microsoft windows 10 操作系统</w:t>
      </w:r>
    </w:p>
    <w:p>
      <w:pPr>
        <w:pStyle w:val="16"/>
        <w:numPr>
          <w:ilvl w:val="0"/>
          <w:numId w:val="24"/>
        </w:numPr>
        <w:spacing w:line="360" w:lineRule="auto"/>
        <w:ind w:left="418" w:hanging="418"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 xml:space="preserve"> Q-TOF工作站软件：仪器控制、定性和定量分析</w:t>
      </w:r>
    </w:p>
    <w:p>
      <w:pPr>
        <w:pStyle w:val="6"/>
        <w:numPr>
          <w:ilvl w:val="0"/>
          <w:numId w:val="24"/>
        </w:numPr>
        <w:spacing w:line="360" w:lineRule="auto"/>
        <w:ind w:left="418" w:hanging="418"/>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服务器级工作站：Intel 4核CPU, 8GB内存, 2×500 GB硬盘（一个备份）, 独立显卡，DVD/CD-RW, Windows 操作系统，24”液晶显示器；</w:t>
      </w:r>
    </w:p>
    <w:p>
      <w:pPr>
        <w:pStyle w:val="6"/>
        <w:numPr>
          <w:ilvl w:val="0"/>
          <w:numId w:val="19"/>
        </w:numPr>
        <w:spacing w:line="360" w:lineRule="auto"/>
        <w:ind w:left="36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氮气发生器</w:t>
      </w:r>
    </w:p>
    <w:p>
      <w:pPr>
        <w:pStyle w:val="16"/>
        <w:numPr>
          <w:ilvl w:val="0"/>
          <w:numId w:val="25"/>
        </w:numPr>
        <w:autoSpaceDE w:val="0"/>
        <w:autoSpaceDN w:val="0"/>
        <w:adjustRightInd w:val="0"/>
        <w:spacing w:line="360" w:lineRule="auto"/>
        <w:ind w:left="360"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输出压力：0~7bar可调;</w:t>
      </w:r>
    </w:p>
    <w:p>
      <w:pPr>
        <w:pStyle w:val="16"/>
        <w:numPr>
          <w:ilvl w:val="0"/>
          <w:numId w:val="25"/>
        </w:numPr>
        <w:autoSpaceDE w:val="0"/>
        <w:autoSpaceDN w:val="0"/>
        <w:adjustRightInd w:val="0"/>
        <w:spacing w:line="360" w:lineRule="auto"/>
        <w:ind w:left="360"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氮气流速：≥35L/min；</w:t>
      </w:r>
    </w:p>
    <w:p>
      <w:pPr>
        <w:pStyle w:val="16"/>
        <w:numPr>
          <w:ilvl w:val="0"/>
          <w:numId w:val="25"/>
        </w:numPr>
        <w:autoSpaceDE w:val="0"/>
        <w:autoSpaceDN w:val="0"/>
        <w:adjustRightInd w:val="0"/>
        <w:spacing w:line="360" w:lineRule="auto"/>
        <w:ind w:left="360"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氮气纯度：≥99.5%；</w:t>
      </w:r>
    </w:p>
    <w:p>
      <w:pPr>
        <w:pStyle w:val="16"/>
        <w:numPr>
          <w:ilvl w:val="0"/>
          <w:numId w:val="25"/>
        </w:numPr>
        <w:autoSpaceDE w:val="0"/>
        <w:autoSpaceDN w:val="0"/>
        <w:adjustRightInd w:val="0"/>
        <w:spacing w:line="360" w:lineRule="auto"/>
        <w:ind w:left="360"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采用超精细中空离子纤维膜分离技术。</w:t>
      </w:r>
    </w:p>
    <w:p>
      <w:pPr>
        <w:pStyle w:val="16"/>
        <w:numPr>
          <w:ilvl w:val="0"/>
          <w:numId w:val="25"/>
        </w:numPr>
        <w:autoSpaceDE w:val="0"/>
        <w:autoSpaceDN w:val="0"/>
        <w:adjustRightInd w:val="0"/>
        <w:spacing w:line="360" w:lineRule="auto"/>
        <w:ind w:left="360"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气体纯度稳定，后期运行成本低，更换耗材方便；</w:t>
      </w:r>
    </w:p>
    <w:p>
      <w:pPr>
        <w:pStyle w:val="16"/>
        <w:numPr>
          <w:ilvl w:val="0"/>
          <w:numId w:val="25"/>
        </w:numPr>
        <w:autoSpaceDE w:val="0"/>
        <w:autoSpaceDN w:val="0"/>
        <w:adjustRightInd w:val="0"/>
        <w:spacing w:line="360" w:lineRule="auto"/>
        <w:ind w:left="360"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整机配置有快速供气系统，保证开机后30分钟内就能快速提供高纯度的氮气；</w:t>
      </w:r>
    </w:p>
    <w:p>
      <w:pPr>
        <w:pStyle w:val="6"/>
        <w:numPr>
          <w:ilvl w:val="0"/>
          <w:numId w:val="25"/>
        </w:numPr>
        <w:spacing w:line="360" w:lineRule="auto"/>
        <w:ind w:hanging="72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氮气缓冲器1个，确保出口氮气流速、纯度以及压力的稳定性，同时在达到一定压力时，发生器进入经济待机运行模式，节约能耗与减少设备损耗，可有效延长使用寿命；</w:t>
      </w:r>
    </w:p>
    <w:bookmarkEnd w:id="0"/>
    <w:p>
      <w:pPr>
        <w:pStyle w:val="16"/>
        <w:numPr>
          <w:ilvl w:val="0"/>
          <w:numId w:val="26"/>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售后服务</w:t>
      </w:r>
    </w:p>
    <w:p>
      <w:pPr>
        <w:pStyle w:val="16"/>
        <w:numPr>
          <w:ilvl w:val="0"/>
          <w:numId w:val="27"/>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厂家针对仪器提供免费的安装，调试及现场培训；</w:t>
      </w:r>
    </w:p>
    <w:p>
      <w:pPr>
        <w:pStyle w:val="16"/>
        <w:numPr>
          <w:ilvl w:val="0"/>
          <w:numId w:val="27"/>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厂家提供5年的免费保修期，从验收合格开始计算；</w:t>
      </w:r>
    </w:p>
    <w:p>
      <w:pPr>
        <w:pStyle w:val="9"/>
        <w:spacing w:line="440" w:lineRule="exact"/>
        <w:ind w:firstLine="0"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厂家提供2个名额的培训中心培训，保证客户可以对仪器很快操作</w:t>
      </w:r>
    </w:p>
    <w:p>
      <w:pPr>
        <w:pStyle w:val="16"/>
        <w:numPr>
          <w:ilvl w:val="0"/>
          <w:numId w:val="26"/>
        </w:numPr>
        <w:spacing w:line="360" w:lineRule="auto"/>
        <w:ind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付款方式</w:t>
      </w:r>
    </w:p>
    <w:p>
      <w:pPr>
        <w:pStyle w:val="16"/>
        <w:numPr>
          <w:ilvl w:val="0"/>
          <w:numId w:val="0"/>
        </w:numPr>
        <w:spacing w:line="360" w:lineRule="auto"/>
        <w:ind w:left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如果是进口设备，90%信用证凭发货单据议付，10%电汇凭甲方盖章和签字的正本验收报告支付。</w:t>
      </w:r>
    </w:p>
    <w:p>
      <w:pPr>
        <w:pStyle w:val="9"/>
        <w:spacing w:line="440" w:lineRule="exact"/>
        <w:ind w:firstLine="0" w:firstLine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注：</w:t>
      </w:r>
    </w:p>
    <w:p>
      <w:pPr>
        <w:pStyle w:val="9"/>
        <w:tabs>
          <w:tab w:val="clear" w:pos="567"/>
        </w:tabs>
        <w:spacing w:line="44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 xml:space="preserve">对技术规格中“ </w:t>
      </w:r>
      <w:r>
        <w:rPr>
          <w:rFonts w:ascii="仿宋" w:hAnsi="仿宋" w:eastAsia="仿宋" w:cs="仿宋"/>
          <w:color w:val="auto"/>
          <w:sz w:val="24"/>
          <w:szCs w:val="24"/>
        </w:rPr>
        <w:t>*”号条款为关键技术条款，“#”号条款为重要技术条款。</w:t>
      </w:r>
      <w:r>
        <w:rPr>
          <w:rFonts w:hint="eastAsia" w:ascii="仿宋" w:hAnsi="仿宋" w:eastAsia="仿宋" w:cs="仿宋"/>
          <w:color w:val="auto"/>
          <w:sz w:val="24"/>
          <w:szCs w:val="24"/>
          <w:lang w:eastAsia="zh-CN"/>
        </w:rPr>
        <w:t>“</w:t>
      </w:r>
      <w:r>
        <w:rPr>
          <w:rFonts w:ascii="仿宋" w:hAnsi="仿宋" w:eastAsia="仿宋" w:cs="仿宋"/>
          <w:color w:val="auto"/>
          <w:sz w:val="24"/>
          <w:szCs w:val="24"/>
        </w:rPr>
        <w:t>* ”号条款的偏离将致导投标被否决</w:t>
      </w:r>
      <w:r>
        <w:rPr>
          <w:rFonts w:hint="eastAsia" w:ascii="仿宋" w:hAnsi="仿宋" w:eastAsia="仿宋" w:cs="仿宋"/>
          <w:color w:val="auto"/>
          <w:sz w:val="24"/>
          <w:szCs w:val="24"/>
        </w:rPr>
        <w:t>。</w:t>
      </w:r>
    </w:p>
    <w:p>
      <w:pPr>
        <w:pStyle w:val="9"/>
        <w:ind w:firstLine="0" w:firstLineChars="0"/>
        <w:rPr>
          <w:b/>
          <w:bCs/>
          <w:color w:val="auto"/>
          <w:sz w:val="28"/>
          <w:szCs w:val="28"/>
        </w:rPr>
      </w:pPr>
    </w:p>
    <w:p/>
    <w:p>
      <w:pPr>
        <w:jc w:val="center"/>
        <w:outlineLvl w:val="0"/>
        <w:rPr>
          <w:rFonts w:ascii="仿宋" w:hAnsi="仿宋" w:eastAsia="仿宋" w:cs="仿宋"/>
          <w:color w:val="auto"/>
          <w:sz w:val="24"/>
          <w:szCs w:val="24"/>
        </w:rPr>
      </w:pPr>
      <w:r>
        <w:rPr>
          <w:rFonts w:hint="eastAsia" w:ascii="仿宋" w:hAnsi="仿宋" w:eastAsia="仿宋" w:cs="仿宋"/>
          <w:b/>
          <w:color w:val="auto"/>
          <w:sz w:val="24"/>
          <w:szCs w:val="24"/>
        </w:rPr>
        <w:t>供应商须知资料表</w:t>
      </w:r>
    </w:p>
    <w:p>
      <w:pPr>
        <w:spacing w:before="120"/>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本资料表是关于本项目的具体资料，是对《供应商须知》的具体补充和修改，如有矛盾，应当以本资料表为准。</w:t>
      </w:r>
    </w:p>
    <w:p>
      <w:pPr>
        <w:spacing w:before="120"/>
        <w:ind w:firstLine="530" w:firstLineChars="221"/>
        <w:rPr>
          <w:rFonts w:ascii="仿宋" w:hAnsi="仿宋" w:eastAsia="仿宋" w:cs="仿宋"/>
          <w:bCs/>
          <w:color w:val="auto"/>
          <w:kern w:val="0"/>
          <w:sz w:val="24"/>
          <w:szCs w:val="24"/>
          <w:lang w:val="zh-CN"/>
        </w:rPr>
      </w:pPr>
      <w:r>
        <w:rPr>
          <w:rFonts w:hint="eastAsia" w:ascii="仿宋" w:hAnsi="仿宋" w:eastAsia="仿宋" w:cs="仿宋"/>
          <w:color w:val="auto"/>
          <w:sz w:val="24"/>
          <w:szCs w:val="24"/>
        </w:rPr>
        <w:t>本资料表中（不含技术文件中的*）加“*”号的条目为强制性要求。“*”号条目内容若有缺失或者无效，将导致投标视为无效且不允许在开标后补正。 该“*”若加在标题处，则该标题下所有涵盖内容均为强制性要求，若加在正文段落处，则该段内容为强制性要求。</w:t>
      </w:r>
    </w:p>
    <w:tbl>
      <w:tblPr>
        <w:tblStyle w:val="10"/>
        <w:tblW w:w="9311" w:type="dxa"/>
        <w:tblInd w:w="-24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620"/>
        <w:gridCol w:w="76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blHeader/>
        </w:trPr>
        <w:tc>
          <w:tcPr>
            <w:tcW w:w="1620" w:type="dxa"/>
            <w:vAlign w:val="center"/>
          </w:tcPr>
          <w:p>
            <w:pPr>
              <w:spacing w:before="120"/>
              <w:jc w:val="center"/>
              <w:rPr>
                <w:rFonts w:ascii="仿宋" w:hAnsi="仿宋" w:eastAsia="仿宋" w:cs="仿宋"/>
                <w:color w:val="auto"/>
                <w:sz w:val="24"/>
                <w:szCs w:val="24"/>
              </w:rPr>
            </w:pPr>
            <w:r>
              <w:rPr>
                <w:rFonts w:hint="eastAsia" w:ascii="仿宋" w:hAnsi="仿宋" w:eastAsia="仿宋" w:cs="仿宋"/>
                <w:color w:val="auto"/>
                <w:sz w:val="24"/>
                <w:szCs w:val="24"/>
              </w:rPr>
              <w:t>条款号</w:t>
            </w:r>
          </w:p>
        </w:tc>
        <w:tc>
          <w:tcPr>
            <w:tcW w:w="7691" w:type="dxa"/>
            <w:vAlign w:val="center"/>
          </w:tcPr>
          <w:p>
            <w:pPr>
              <w:spacing w:before="120"/>
              <w:jc w:val="center"/>
              <w:rPr>
                <w:rFonts w:ascii="仿宋" w:hAnsi="仿宋" w:eastAsia="仿宋" w:cs="仿宋"/>
                <w:color w:val="auto"/>
                <w:sz w:val="24"/>
                <w:szCs w:val="24"/>
              </w:rPr>
            </w:pPr>
            <w:r>
              <w:rPr>
                <w:rFonts w:hint="eastAsia" w:ascii="仿宋" w:hAnsi="仿宋" w:eastAsia="仿宋" w:cs="仿宋"/>
                <w:color w:val="auto"/>
                <w:sz w:val="24"/>
                <w:szCs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 w:hRule="atLeast"/>
        </w:trPr>
        <w:tc>
          <w:tcPr>
            <w:tcW w:w="1620" w:type="dxa"/>
            <w:vAlign w:val="center"/>
          </w:tcPr>
          <w:p>
            <w:pPr>
              <w:spacing w:before="120"/>
              <w:jc w:val="center"/>
              <w:rPr>
                <w:rFonts w:ascii="仿宋" w:hAnsi="仿宋" w:eastAsia="仿宋" w:cs="仿宋"/>
                <w:color w:val="auto"/>
                <w:sz w:val="24"/>
                <w:szCs w:val="24"/>
              </w:rPr>
            </w:pPr>
          </w:p>
        </w:tc>
        <w:tc>
          <w:tcPr>
            <w:tcW w:w="7691" w:type="dxa"/>
            <w:vAlign w:val="center"/>
          </w:tcPr>
          <w:p>
            <w:pPr>
              <w:spacing w:before="120"/>
              <w:jc w:val="left"/>
              <w:rPr>
                <w:rFonts w:ascii="仿宋" w:hAnsi="仿宋" w:eastAsia="仿宋" w:cs="仿宋"/>
                <w:color w:val="auto"/>
                <w:sz w:val="24"/>
                <w:szCs w:val="24"/>
                <w:u w:val="single"/>
              </w:rPr>
            </w:pPr>
            <w:r>
              <w:rPr>
                <w:rFonts w:hint="eastAsia" w:ascii="仿宋" w:hAnsi="仿宋" w:eastAsia="仿宋" w:cs="仿宋"/>
                <w:color w:val="auto"/>
                <w:sz w:val="24"/>
                <w:szCs w:val="24"/>
              </w:rPr>
              <w:t>本项目预算为：</w:t>
            </w:r>
            <w:r>
              <w:rPr>
                <w:rFonts w:hint="eastAsia" w:ascii="仿宋" w:hAnsi="仿宋" w:eastAsia="仿宋" w:cs="仿宋"/>
                <w:color w:val="auto"/>
                <w:sz w:val="24"/>
                <w:szCs w:val="24"/>
                <w:lang w:val="en-US" w:eastAsia="zh-CN"/>
              </w:rPr>
              <w:t>370</w:t>
            </w:r>
            <w:r>
              <w:rPr>
                <w:rFonts w:hint="eastAsia" w:ascii="仿宋" w:hAnsi="仿宋" w:eastAsia="仿宋" w:cs="仿宋"/>
                <w:color w:val="auto"/>
                <w:sz w:val="24"/>
                <w:szCs w:val="24"/>
              </w:rPr>
              <w:t>万元</w:t>
            </w:r>
          </w:p>
          <w:p>
            <w:pPr>
              <w:spacing w:before="120"/>
              <w:jc w:val="left"/>
              <w:rPr>
                <w:rFonts w:ascii="仿宋" w:hAnsi="仿宋" w:eastAsia="仿宋" w:cs="仿宋"/>
                <w:color w:val="auto"/>
                <w:kern w:val="0"/>
                <w:sz w:val="24"/>
                <w:szCs w:val="24"/>
                <w:lang w:val="zh-CN"/>
              </w:rPr>
            </w:pPr>
            <w:r>
              <w:rPr>
                <w:rFonts w:hint="eastAsia" w:ascii="仿宋" w:hAnsi="仿宋" w:eastAsia="仿宋" w:cs="仿宋"/>
                <w:color w:val="auto"/>
                <w:sz w:val="24"/>
                <w:szCs w:val="24"/>
              </w:rPr>
              <w:t>项目资金来源：自有资金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 w:hRule="atLeast"/>
        </w:trPr>
        <w:tc>
          <w:tcPr>
            <w:tcW w:w="1620" w:type="dxa"/>
            <w:vAlign w:val="center"/>
          </w:tcPr>
          <w:p>
            <w:pPr>
              <w:spacing w:before="120"/>
              <w:jc w:val="center"/>
              <w:rPr>
                <w:rFonts w:ascii="仿宋" w:hAnsi="仿宋" w:eastAsia="仿宋" w:cs="仿宋"/>
                <w:color w:val="auto"/>
                <w:sz w:val="24"/>
                <w:szCs w:val="24"/>
              </w:rPr>
            </w:pPr>
            <w:r>
              <w:rPr>
                <w:rFonts w:hint="eastAsia" w:ascii="仿宋" w:hAnsi="仿宋" w:eastAsia="仿宋" w:cs="仿宋"/>
                <w:color w:val="auto"/>
                <w:sz w:val="24"/>
                <w:szCs w:val="24"/>
              </w:rPr>
              <w:t>1.1</w:t>
            </w:r>
          </w:p>
        </w:tc>
        <w:tc>
          <w:tcPr>
            <w:tcW w:w="7691" w:type="dxa"/>
            <w:vAlign w:val="center"/>
          </w:tcPr>
          <w:p>
            <w:pPr>
              <w:spacing w:before="120"/>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采购人：</w:t>
            </w:r>
            <w:r>
              <w:rPr>
                <w:rFonts w:hint="eastAsia" w:ascii="仿宋" w:hAnsi="仿宋" w:eastAsia="仿宋" w:cs="仿宋"/>
                <w:color w:val="auto"/>
                <w:sz w:val="24"/>
                <w:szCs w:val="24"/>
                <w:lang w:eastAsia="zh-CN"/>
              </w:rPr>
              <w:t>广东粤港澳大湾区黄埔材料研究院</w:t>
            </w:r>
          </w:p>
          <w:p>
            <w:pPr>
              <w:spacing w:before="120"/>
              <w:jc w:val="left"/>
              <w:rPr>
                <w:rFonts w:ascii="仿宋" w:hAnsi="仿宋" w:eastAsia="仿宋" w:cs="仿宋"/>
                <w:color w:val="auto"/>
                <w:sz w:val="24"/>
                <w:szCs w:val="24"/>
              </w:rPr>
            </w:pPr>
            <w:r>
              <w:rPr>
                <w:rFonts w:hint="eastAsia" w:ascii="仿宋" w:hAnsi="仿宋" w:eastAsia="仿宋" w:cs="仿宋"/>
                <w:color w:val="auto"/>
                <w:sz w:val="24"/>
                <w:szCs w:val="24"/>
              </w:rPr>
              <w:t xml:space="preserve">地址：航空轮胎大科学中心（广东省广州市黄埔区九龙镇永龙大道埔之岭农庄对面） </w:t>
            </w:r>
          </w:p>
          <w:p>
            <w:pPr>
              <w:spacing w:before="120"/>
              <w:jc w:val="left"/>
              <w:rPr>
                <w:rFonts w:ascii="仿宋" w:hAnsi="仿宋" w:eastAsia="仿宋" w:cs="仿宋"/>
                <w:color w:val="auto"/>
                <w:sz w:val="24"/>
                <w:szCs w:val="24"/>
              </w:rPr>
            </w:pPr>
            <w:r>
              <w:rPr>
                <w:rFonts w:hint="eastAsia" w:ascii="仿宋" w:hAnsi="仿宋" w:eastAsia="仿宋" w:cs="仿宋"/>
                <w:color w:val="auto"/>
                <w:sz w:val="24"/>
                <w:szCs w:val="24"/>
              </w:rPr>
              <w:t>电话：</w:t>
            </w:r>
            <w:r>
              <w:rPr>
                <w:rFonts w:hint="eastAsia" w:ascii="仿宋_GB2312" w:eastAsia="仿宋_GB2312"/>
                <w:color w:val="auto"/>
                <w:sz w:val="24"/>
              </w:rPr>
              <w:t>姜老师 020-82879877</w:t>
            </w:r>
            <w:r>
              <w:rPr>
                <w:rFonts w:hint="eastAsia" w:ascii="仿宋" w:hAnsi="仿宋" w:eastAsia="仿宋" w:cs="仿宋"/>
                <w:color w:val="auto"/>
                <w:sz w:val="24"/>
                <w:szCs w:val="24"/>
              </w:rPr>
              <w:t xml:space="preserve">  </w:t>
            </w:r>
          </w:p>
          <w:p>
            <w:pPr>
              <w:spacing w:before="120"/>
              <w:jc w:val="left"/>
              <w:rPr>
                <w:rFonts w:ascii="仿宋" w:hAnsi="仿宋" w:eastAsia="仿宋" w:cs="仿宋"/>
                <w:color w:val="auto"/>
                <w:sz w:val="24"/>
                <w:szCs w:val="24"/>
              </w:rPr>
            </w:pPr>
            <w:r>
              <w:rPr>
                <w:rFonts w:hint="eastAsia" w:ascii="仿宋" w:hAnsi="仿宋" w:eastAsia="仿宋" w:cs="仿宋"/>
                <w:color w:val="auto"/>
                <w:sz w:val="24"/>
                <w:szCs w:val="24"/>
              </w:rPr>
              <w:t>采购代理机构：北京中储建国际工程管理有限公司</w:t>
            </w:r>
          </w:p>
          <w:p>
            <w:pPr>
              <w:spacing w:before="120"/>
              <w:jc w:val="left"/>
              <w:rPr>
                <w:rFonts w:ascii="仿宋" w:hAnsi="仿宋" w:eastAsia="仿宋" w:cs="仿宋"/>
                <w:color w:val="auto"/>
                <w:sz w:val="24"/>
                <w:szCs w:val="24"/>
              </w:rPr>
            </w:pPr>
            <w:r>
              <w:rPr>
                <w:rFonts w:hint="eastAsia" w:ascii="仿宋" w:hAnsi="仿宋" w:eastAsia="仿宋" w:cs="仿宋"/>
                <w:color w:val="auto"/>
                <w:sz w:val="24"/>
                <w:szCs w:val="24"/>
              </w:rPr>
              <w:t>地址：北京市通州区宋庄镇宋庄村2幢01层109号</w:t>
            </w:r>
          </w:p>
          <w:p>
            <w:pPr>
              <w:spacing w:before="120"/>
              <w:jc w:val="left"/>
              <w:rPr>
                <w:rFonts w:ascii="仿宋" w:hAnsi="仿宋" w:eastAsia="仿宋" w:cs="仿宋"/>
                <w:color w:val="auto"/>
                <w:sz w:val="24"/>
                <w:szCs w:val="24"/>
              </w:rPr>
            </w:pPr>
            <w:r>
              <w:rPr>
                <w:rFonts w:hint="eastAsia" w:ascii="仿宋" w:hAnsi="仿宋" w:eastAsia="仿宋" w:cs="仿宋"/>
                <w:color w:val="auto"/>
                <w:sz w:val="24"/>
                <w:szCs w:val="24"/>
              </w:rPr>
              <w:t xml:space="preserve">联系人：刘老师 </w:t>
            </w:r>
          </w:p>
          <w:p>
            <w:pPr>
              <w:spacing w:before="120"/>
              <w:jc w:val="left"/>
              <w:rPr>
                <w:rFonts w:ascii="仿宋" w:hAnsi="仿宋" w:eastAsia="仿宋" w:cs="仿宋"/>
                <w:color w:val="auto"/>
                <w:kern w:val="0"/>
                <w:sz w:val="24"/>
                <w:szCs w:val="24"/>
                <w:lang w:val="zh-CN"/>
              </w:rPr>
            </w:pPr>
            <w:r>
              <w:rPr>
                <w:rFonts w:hint="eastAsia" w:ascii="仿宋" w:hAnsi="仿宋" w:eastAsia="仿宋" w:cs="仿宋"/>
                <w:color w:val="auto"/>
                <w:sz w:val="24"/>
                <w:szCs w:val="24"/>
              </w:rPr>
              <w:t>电话：13810484956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20" w:type="dxa"/>
            <w:vAlign w:val="center"/>
          </w:tcPr>
          <w:p>
            <w:pPr>
              <w:spacing w:before="120"/>
              <w:jc w:val="center"/>
              <w:rPr>
                <w:rFonts w:ascii="仿宋" w:hAnsi="仿宋" w:eastAsia="仿宋" w:cs="仿宋"/>
                <w:color w:val="auto"/>
                <w:sz w:val="24"/>
                <w:szCs w:val="24"/>
              </w:rPr>
            </w:pPr>
            <w:r>
              <w:rPr>
                <w:rFonts w:hint="eastAsia" w:ascii="仿宋" w:hAnsi="仿宋" w:eastAsia="仿宋" w:cs="仿宋"/>
                <w:color w:val="auto"/>
                <w:sz w:val="24"/>
                <w:szCs w:val="24"/>
              </w:rPr>
              <w:t>*1.2.1</w:t>
            </w:r>
          </w:p>
        </w:tc>
        <w:tc>
          <w:tcPr>
            <w:tcW w:w="7691" w:type="dxa"/>
            <w:vAlign w:val="center"/>
          </w:tcPr>
          <w:p>
            <w:pPr>
              <w:spacing w:before="120"/>
              <w:jc w:val="left"/>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供应商的资格条件：</w:t>
            </w:r>
          </w:p>
          <w:p>
            <w:pPr>
              <w:rPr>
                <w:rFonts w:ascii="仿宋" w:hAnsi="仿宋" w:eastAsia="仿宋" w:cs="仿宋"/>
                <w:color w:val="auto"/>
                <w:sz w:val="24"/>
              </w:rPr>
            </w:pPr>
            <w:r>
              <w:rPr>
                <w:rFonts w:hint="eastAsia" w:ascii="仿宋" w:hAnsi="仿宋" w:eastAsia="仿宋" w:cs="仿宋"/>
                <w:color w:val="auto"/>
                <w:sz w:val="24"/>
              </w:rPr>
              <w:t>1、提供开标前最近</w:t>
            </w:r>
            <w:r>
              <w:rPr>
                <w:rFonts w:hint="eastAsia" w:ascii="仿宋" w:hAnsi="仿宋" w:eastAsia="仿宋" w:cs="仿宋"/>
                <w:color w:val="auto"/>
                <w:sz w:val="24"/>
                <w:u w:val="single"/>
              </w:rPr>
              <w:t>6</w:t>
            </w:r>
            <w:r>
              <w:rPr>
                <w:rFonts w:hint="eastAsia" w:ascii="仿宋" w:hAnsi="仿宋" w:eastAsia="仿宋" w:cs="仿宋"/>
                <w:color w:val="auto"/>
                <w:sz w:val="24"/>
              </w:rPr>
              <w:t>个月中任意1个月投标人缴纳的企业所得税或增值税的证明（缴纳证明复印件，加盖公章）或事业单位近期纳税证明（缴纳证明复印件，加盖公章）或自然人缴纳个人所得税证明；</w:t>
            </w:r>
          </w:p>
          <w:p>
            <w:pPr>
              <w:rPr>
                <w:rFonts w:ascii="仿宋" w:hAnsi="仿宋" w:eastAsia="仿宋" w:cs="仿宋"/>
                <w:color w:val="auto"/>
                <w:sz w:val="24"/>
              </w:rPr>
            </w:pPr>
            <w:r>
              <w:rPr>
                <w:rFonts w:hint="eastAsia" w:ascii="仿宋" w:hAnsi="仿宋" w:eastAsia="仿宋" w:cs="仿宋"/>
                <w:color w:val="auto"/>
                <w:sz w:val="24"/>
              </w:rPr>
              <w:t>2、提供开标前最近</w:t>
            </w:r>
            <w:r>
              <w:rPr>
                <w:rFonts w:hint="eastAsia" w:ascii="仿宋" w:hAnsi="仿宋" w:eastAsia="仿宋" w:cs="仿宋"/>
                <w:color w:val="auto"/>
                <w:sz w:val="24"/>
                <w:u w:val="single"/>
              </w:rPr>
              <w:t>6</w:t>
            </w:r>
            <w:r>
              <w:rPr>
                <w:rFonts w:hint="eastAsia" w:ascii="仿宋" w:hAnsi="仿宋" w:eastAsia="仿宋" w:cs="仿宋"/>
                <w:color w:val="auto"/>
                <w:sz w:val="24"/>
              </w:rPr>
              <w:t>个月中任意1个月投标人缴纳为职工缴纳社会保险的证明（</w:t>
            </w:r>
            <w:r>
              <w:rPr>
                <w:rFonts w:hint="eastAsia" w:ascii="仿宋" w:hAnsi="仿宋" w:eastAsia="仿宋" w:cs="仿宋"/>
                <w:color w:val="auto"/>
                <w:sz w:val="24"/>
                <w:lang w:val="en-US" w:eastAsia="zh-CN"/>
              </w:rPr>
              <w:t>如</w:t>
            </w:r>
            <w:r>
              <w:rPr>
                <w:rFonts w:hint="eastAsia" w:ascii="仿宋" w:hAnsi="仿宋" w:eastAsia="仿宋" w:cs="仿宋"/>
                <w:color w:val="auto"/>
                <w:sz w:val="24"/>
              </w:rPr>
              <w:t>基本养老保险费、基本医疗保险费、失业保险费等缴纳证明复印件，加盖公章）；</w:t>
            </w:r>
          </w:p>
          <w:p>
            <w:pPr>
              <w:rPr>
                <w:rFonts w:ascii="仿宋" w:hAnsi="仿宋" w:eastAsia="仿宋" w:cs="仿宋"/>
                <w:color w:val="auto"/>
                <w:sz w:val="24"/>
              </w:rPr>
            </w:pPr>
            <w:r>
              <w:rPr>
                <w:rFonts w:hint="eastAsia" w:ascii="仿宋" w:hAnsi="仿宋" w:eastAsia="仿宋" w:cs="仿宋"/>
                <w:color w:val="auto"/>
                <w:sz w:val="24"/>
              </w:rPr>
              <w:t>上述缴纳记录在法规范围内不能提供或提供不全的应提供书面说明和证明文件。</w:t>
            </w:r>
          </w:p>
          <w:p>
            <w:pPr>
              <w:numPr>
                <w:ilvl w:val="0"/>
                <w:numId w:val="28"/>
              </w:numPr>
              <w:spacing w:before="120"/>
              <w:jc w:val="left"/>
              <w:rPr>
                <w:rFonts w:ascii="仿宋" w:hAnsi="仿宋" w:eastAsia="仿宋" w:cs="仿宋"/>
                <w:color w:val="auto"/>
                <w:sz w:val="24"/>
              </w:rPr>
            </w:pPr>
            <w:r>
              <w:rPr>
                <w:rFonts w:hint="eastAsia" w:ascii="仿宋" w:hAnsi="仿宋" w:eastAsia="仿宋" w:cs="仿宋"/>
                <w:color w:val="auto"/>
                <w:sz w:val="24"/>
              </w:rPr>
              <w:t>投标人所投产品为进口产品需提供制造厂家的授权书、经销商(作为代理)的资格声明。</w:t>
            </w:r>
          </w:p>
          <w:p>
            <w:pPr>
              <w:numPr>
                <w:ilvl w:val="0"/>
                <w:numId w:val="28"/>
              </w:numPr>
              <w:spacing w:before="120"/>
              <w:jc w:val="left"/>
              <w:rPr>
                <w:rFonts w:ascii="仿宋" w:hAnsi="仿宋" w:eastAsia="仿宋" w:cs="仿宋"/>
                <w:color w:val="auto"/>
                <w:sz w:val="24"/>
              </w:rPr>
            </w:pPr>
            <w:r>
              <w:rPr>
                <w:rFonts w:hint="eastAsia" w:ascii="仿宋" w:hAnsi="仿宋" w:eastAsia="仿宋" w:cs="仿宋"/>
                <w:color w:val="auto"/>
                <w:sz w:val="24"/>
              </w:rPr>
              <w:t>供应商在投标文件中，必须提供</w:t>
            </w:r>
            <w:r>
              <w:rPr>
                <w:rFonts w:hint="eastAsia" w:ascii="仿宋" w:hAnsi="仿宋" w:eastAsia="仿宋" w:cs="仿宋"/>
                <w:b/>
                <w:bCs/>
                <w:color w:val="auto"/>
                <w:sz w:val="24"/>
                <w:lang w:val="en-US" w:eastAsia="zh-CN"/>
              </w:rPr>
              <w:t>2022年或2023年</w:t>
            </w:r>
            <w:r>
              <w:rPr>
                <w:rFonts w:hint="eastAsia" w:ascii="仿宋" w:hAnsi="仿宋" w:eastAsia="仿宋" w:cs="仿宋"/>
                <w:color w:val="auto"/>
                <w:sz w:val="24"/>
                <w:szCs w:val="24"/>
              </w:rPr>
              <w:t>的供应商财务状况证明文件</w:t>
            </w:r>
            <w:r>
              <w:rPr>
                <w:rFonts w:hint="eastAsia" w:ascii="仿宋" w:hAnsi="仿宋" w:eastAsia="仿宋" w:cs="仿宋"/>
                <w:color w:val="auto"/>
                <w:sz w:val="24"/>
              </w:rPr>
              <w:t>（经会计师事务所或者审计机构审计的财务报告复印件，</w:t>
            </w:r>
            <w:r>
              <w:rPr>
                <w:rFonts w:hint="eastAsia" w:ascii="仿宋" w:hAnsi="仿宋" w:eastAsia="仿宋" w:cs="仿宋"/>
                <w:color w:val="auto"/>
                <w:sz w:val="24"/>
                <w:lang w:val="en-US" w:eastAsia="zh-CN"/>
              </w:rPr>
              <w:t>至少</w:t>
            </w:r>
            <w:r>
              <w:rPr>
                <w:rFonts w:hint="eastAsia" w:ascii="仿宋" w:hAnsi="仿宋" w:eastAsia="仿宋" w:cs="仿宋"/>
                <w:color w:val="auto"/>
                <w:sz w:val="24"/>
              </w:rPr>
              <w:t>包括资产负债表、利润表、现金流量表），如果供应商为新成立单位，无法提供审计报告的，则需提供新企业验资报告复印件并加盖供应商单位公章。如供应商无法提供审计报告，则需提供开户银行出具</w:t>
            </w:r>
            <w:r>
              <w:rPr>
                <w:rFonts w:hint="eastAsia" w:ascii="仿宋" w:hAnsi="仿宋" w:eastAsia="仿宋" w:cs="仿宋"/>
                <w:b/>
                <w:bCs/>
                <w:color w:val="auto"/>
                <w:sz w:val="24"/>
              </w:rPr>
              <w:t>资信证明文件</w:t>
            </w:r>
            <w:r>
              <w:rPr>
                <w:rFonts w:hint="eastAsia" w:ascii="仿宋" w:hAnsi="仿宋" w:eastAsia="仿宋" w:cs="仿宋"/>
                <w:color w:val="auto"/>
                <w:sz w:val="24"/>
              </w:rPr>
              <w:t>原件或复印件，如资信证明中明确注明复印件无效的则必须提供原件。银行资信证明文件应当能说明供应商与银行之间业务往来正常、企业信誉良好等情况。银行出具的存款证明文件不能替代银行资信证明文件。</w:t>
            </w:r>
          </w:p>
          <w:p>
            <w:pPr>
              <w:numPr>
                <w:ilvl w:val="0"/>
                <w:numId w:val="28"/>
              </w:numPr>
              <w:spacing w:before="120"/>
              <w:jc w:val="left"/>
              <w:rPr>
                <w:rFonts w:ascii="仿宋" w:hAnsi="仿宋" w:eastAsia="仿宋" w:cs="仿宋"/>
                <w:b/>
                <w:bCs/>
                <w:color w:val="auto"/>
                <w:sz w:val="22"/>
                <w:szCs w:val="24"/>
              </w:rPr>
            </w:pPr>
            <w:r>
              <w:rPr>
                <w:rFonts w:hint="eastAsia" w:ascii="仿宋" w:hAnsi="仿宋" w:eastAsia="仿宋" w:cs="仿宋"/>
                <w:b/>
                <w:bCs/>
                <w:color w:val="auto"/>
                <w:sz w:val="22"/>
                <w:szCs w:val="24"/>
              </w:rPr>
              <w:t>注：</w:t>
            </w:r>
            <w:r>
              <w:rPr>
                <w:rFonts w:hint="eastAsia" w:ascii="仿宋" w:hAnsi="仿宋" w:eastAsia="仿宋" w:cs="仿宋"/>
                <w:b/>
                <w:color w:val="auto"/>
                <w:sz w:val="22"/>
                <w:szCs w:val="24"/>
              </w:rPr>
              <w:t>上述供应商须提供的资格文件均应为有效文件并加盖本单位公章，否则评标时不予认可</w:t>
            </w:r>
            <w:r>
              <w:rPr>
                <w:rFonts w:hint="eastAsia" w:ascii="仿宋" w:hAnsi="仿宋" w:eastAsia="仿宋" w:cs="仿宋"/>
                <w:b/>
                <w:bCs/>
                <w:color w:val="auto"/>
                <w:sz w:val="22"/>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20" w:type="dxa"/>
            <w:vAlign w:val="center"/>
          </w:tcPr>
          <w:p>
            <w:pPr>
              <w:spacing w:before="120"/>
              <w:jc w:val="center"/>
              <w:rPr>
                <w:rFonts w:ascii="仿宋" w:hAnsi="仿宋" w:eastAsia="仿宋" w:cs="仿宋"/>
                <w:color w:val="auto"/>
                <w:sz w:val="24"/>
                <w:szCs w:val="24"/>
              </w:rPr>
            </w:pPr>
            <w:r>
              <w:rPr>
                <w:rFonts w:hint="eastAsia" w:ascii="仿宋" w:hAnsi="仿宋" w:eastAsia="仿宋" w:cs="仿宋"/>
                <w:color w:val="auto"/>
                <w:sz w:val="24"/>
                <w:szCs w:val="24"/>
              </w:rPr>
              <w:t>1.3</w:t>
            </w:r>
          </w:p>
        </w:tc>
        <w:tc>
          <w:tcPr>
            <w:tcW w:w="7691" w:type="dxa"/>
            <w:vAlign w:val="center"/>
          </w:tcPr>
          <w:p>
            <w:pPr>
              <w:spacing w:before="120"/>
              <w:jc w:val="left"/>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本项目</w:t>
            </w:r>
            <w:r>
              <w:rPr>
                <w:rFonts w:ascii="仿宋" w:hAnsi="仿宋" w:eastAsia="仿宋" w:cs="仿宋"/>
                <w:color w:val="auto"/>
                <w:kern w:val="0"/>
                <w:sz w:val="24"/>
                <w:szCs w:val="24"/>
                <w:lang w:val="zh-CN"/>
              </w:rPr>
              <w:drawing>
                <wp:inline distT="0" distB="0" distL="0" distR="0">
                  <wp:extent cx="177800" cy="152400"/>
                  <wp:effectExtent l="0" t="0" r="3175" b="0"/>
                  <wp:docPr id="13600068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006824"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7800" cy="152400"/>
                          </a:xfrm>
                          <a:prstGeom prst="rect">
                            <a:avLst/>
                          </a:prstGeom>
                          <a:noFill/>
                          <a:ln>
                            <a:noFill/>
                          </a:ln>
                        </pic:spPr>
                      </pic:pic>
                    </a:graphicData>
                  </a:graphic>
                </wp:inline>
              </w:drawing>
            </w:r>
            <w:r>
              <w:rPr>
                <w:rFonts w:hint="eastAsia" w:ascii="仿宋" w:hAnsi="仿宋" w:eastAsia="仿宋" w:cs="仿宋"/>
                <w:color w:val="auto"/>
                <w:kern w:val="0"/>
                <w:sz w:val="24"/>
                <w:szCs w:val="24"/>
                <w:lang w:val="zh-CN"/>
              </w:rPr>
              <w:t>接受/■不接受联合体投标，联合体各方均为小型、微型企业的，联合体视同为小型、微型企业，适用本招标文件对中小企业的有关规定。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20" w:type="dxa"/>
            <w:vAlign w:val="center"/>
          </w:tcPr>
          <w:p>
            <w:pPr>
              <w:spacing w:before="120"/>
              <w:jc w:val="center"/>
              <w:rPr>
                <w:rFonts w:ascii="仿宋" w:hAnsi="仿宋" w:eastAsia="仿宋" w:cs="仿宋"/>
                <w:color w:val="auto"/>
                <w:sz w:val="24"/>
                <w:szCs w:val="24"/>
              </w:rPr>
            </w:pPr>
            <w:r>
              <w:rPr>
                <w:rFonts w:hint="eastAsia" w:ascii="仿宋" w:hAnsi="仿宋" w:eastAsia="仿宋" w:cs="仿宋"/>
                <w:color w:val="auto"/>
                <w:sz w:val="24"/>
                <w:szCs w:val="24"/>
              </w:rPr>
              <w:t>*1.8</w:t>
            </w:r>
          </w:p>
        </w:tc>
        <w:tc>
          <w:tcPr>
            <w:tcW w:w="7691" w:type="dxa"/>
            <w:vAlign w:val="center"/>
          </w:tcPr>
          <w:p>
            <w:pPr>
              <w:spacing w:before="120"/>
              <w:ind w:left="480" w:hanging="480" w:hangingChars="200"/>
              <w:jc w:val="left"/>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w:t>
            </w:r>
            <w:r>
              <w:rPr>
                <w:rFonts w:hint="eastAsia" w:ascii="仿宋" w:hAnsi="仿宋" w:eastAsia="仿宋" w:cs="仿宋"/>
                <w:color w:val="auto"/>
                <w:kern w:val="0"/>
                <w:sz w:val="24"/>
                <w:szCs w:val="24"/>
              </w:rPr>
              <w:t>1</w:t>
            </w:r>
            <w:r>
              <w:rPr>
                <w:rFonts w:hint="eastAsia" w:ascii="仿宋" w:hAnsi="仿宋" w:eastAsia="仿宋" w:cs="仿宋"/>
                <w:color w:val="auto"/>
                <w:kern w:val="0"/>
                <w:sz w:val="24"/>
                <w:szCs w:val="24"/>
                <w:lang w:val="zh-CN"/>
              </w:rPr>
              <w:t>）本项目</w:t>
            </w:r>
            <w:r>
              <w:rPr>
                <w:rFonts w:ascii="仿宋" w:hAnsi="仿宋" w:eastAsia="仿宋" w:cs="仿宋"/>
                <w:color w:val="auto"/>
                <w:kern w:val="0"/>
                <w:sz w:val="24"/>
                <w:szCs w:val="24"/>
                <w:lang w:val="zh-CN"/>
              </w:rPr>
              <w:drawing>
                <wp:inline distT="0" distB="0" distL="0" distR="0">
                  <wp:extent cx="177800" cy="152400"/>
                  <wp:effectExtent l="0" t="0" r="3175" b="0"/>
                  <wp:docPr id="172383085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830859" name="图片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7800" cy="152400"/>
                          </a:xfrm>
                          <a:prstGeom prst="rect">
                            <a:avLst/>
                          </a:prstGeom>
                          <a:noFill/>
                          <a:ln>
                            <a:noFill/>
                          </a:ln>
                        </pic:spPr>
                      </pic:pic>
                    </a:graphicData>
                  </a:graphic>
                </wp:inline>
              </w:drawing>
            </w:r>
            <w:r>
              <w:rPr>
                <w:rFonts w:hint="eastAsia" w:ascii="仿宋" w:hAnsi="仿宋" w:eastAsia="仿宋" w:cs="仿宋"/>
                <w:color w:val="auto"/>
                <w:kern w:val="0"/>
                <w:sz w:val="24"/>
                <w:szCs w:val="24"/>
                <w:lang w:val="zh-CN"/>
              </w:rPr>
              <w:t>是/■否专门面向中型、小型、微型企业采购，有关中</w:t>
            </w:r>
          </w:p>
          <w:p>
            <w:pPr>
              <w:spacing w:before="120"/>
              <w:ind w:left="598" w:leftChars="285"/>
              <w:jc w:val="left"/>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小企业的认定标准，按照《关于印发中小企业划型标准规定的通知》（工信部联企业【2011】300号）文件的规定执行。</w:t>
            </w:r>
          </w:p>
          <w:p>
            <w:pPr>
              <w:spacing w:before="120"/>
              <w:jc w:val="left"/>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w:t>
            </w:r>
            <w:r>
              <w:rPr>
                <w:rFonts w:hint="eastAsia" w:ascii="仿宋" w:hAnsi="仿宋" w:eastAsia="仿宋" w:cs="仿宋"/>
                <w:color w:val="auto"/>
                <w:kern w:val="0"/>
                <w:sz w:val="24"/>
                <w:szCs w:val="24"/>
              </w:rPr>
              <w:t>2</w:t>
            </w:r>
            <w:r>
              <w:rPr>
                <w:rFonts w:hint="eastAsia" w:ascii="仿宋" w:hAnsi="仿宋" w:eastAsia="仿宋" w:cs="仿宋"/>
                <w:color w:val="auto"/>
                <w:kern w:val="0"/>
                <w:sz w:val="24"/>
                <w:szCs w:val="24"/>
                <w:lang w:val="zh-CN"/>
              </w:rPr>
              <w:t>）除非本项目专门面向中小企业采购，如小型和微型企业参加本项</w:t>
            </w:r>
          </w:p>
          <w:p>
            <w:pPr>
              <w:spacing w:before="120"/>
              <w:ind w:left="598" w:leftChars="285"/>
              <w:jc w:val="left"/>
              <w:rPr>
                <w:rFonts w:ascii="仿宋" w:hAnsi="仿宋" w:eastAsia="仿宋" w:cs="仿宋"/>
                <w:color w:val="auto"/>
                <w:sz w:val="24"/>
                <w:szCs w:val="24"/>
              </w:rPr>
            </w:pPr>
            <w:r>
              <w:rPr>
                <w:rFonts w:hint="eastAsia" w:ascii="仿宋" w:hAnsi="仿宋" w:eastAsia="仿宋" w:cs="仿宋"/>
                <w:color w:val="auto"/>
                <w:kern w:val="0"/>
                <w:sz w:val="24"/>
                <w:szCs w:val="24"/>
                <w:lang w:val="zh-CN"/>
              </w:rPr>
              <w:t>目投标的，对小型和微型企业产品的价格将给予</w:t>
            </w:r>
            <w:r>
              <w:rPr>
                <w:rFonts w:hint="eastAsia" w:ascii="仿宋" w:hAnsi="仿宋" w:eastAsia="仿宋" w:cs="仿宋"/>
                <w:color w:val="auto"/>
                <w:kern w:val="0"/>
                <w:sz w:val="24"/>
                <w:szCs w:val="24"/>
              </w:rPr>
              <w:t>10</w:t>
            </w:r>
            <w:r>
              <w:rPr>
                <w:rFonts w:hint="eastAsia" w:ascii="仿宋" w:hAnsi="仿宋" w:eastAsia="仿宋" w:cs="仿宋"/>
                <w:color w:val="auto"/>
                <w:kern w:val="0"/>
                <w:sz w:val="24"/>
                <w:szCs w:val="24"/>
                <w:lang w:val="zh-CN"/>
              </w:rPr>
              <w:t>%的扣除，用扣除后的价格参与评审。</w:t>
            </w:r>
          </w:p>
          <w:p>
            <w:pPr>
              <w:spacing w:before="120"/>
              <w:jc w:val="left"/>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w:t>
            </w:r>
            <w:r>
              <w:rPr>
                <w:rFonts w:hint="eastAsia" w:ascii="仿宋" w:hAnsi="仿宋" w:eastAsia="仿宋" w:cs="仿宋"/>
                <w:color w:val="auto"/>
                <w:kern w:val="0"/>
                <w:sz w:val="24"/>
                <w:szCs w:val="24"/>
              </w:rPr>
              <w:t>3</w:t>
            </w:r>
            <w:r>
              <w:rPr>
                <w:rFonts w:hint="eastAsia" w:ascii="仿宋" w:hAnsi="仿宋" w:eastAsia="仿宋" w:cs="仿宋"/>
                <w:color w:val="auto"/>
                <w:kern w:val="0"/>
                <w:sz w:val="24"/>
                <w:szCs w:val="24"/>
                <w:lang w:val="zh-CN"/>
              </w:rPr>
              <w:t>）除非本项目专门面向中小企业采购，如大中型企业和其他自然人、</w:t>
            </w:r>
          </w:p>
          <w:p>
            <w:pPr>
              <w:spacing w:before="120"/>
              <w:ind w:left="479" w:leftChars="228"/>
              <w:jc w:val="left"/>
              <w:rPr>
                <w:rFonts w:ascii="仿宋" w:hAnsi="仿宋" w:eastAsia="仿宋" w:cs="仿宋"/>
                <w:color w:val="auto"/>
                <w:sz w:val="24"/>
                <w:szCs w:val="24"/>
              </w:rPr>
            </w:pPr>
            <w:r>
              <w:rPr>
                <w:rFonts w:hint="eastAsia" w:ascii="仿宋" w:hAnsi="仿宋" w:eastAsia="仿宋" w:cs="仿宋"/>
                <w:color w:val="auto"/>
                <w:kern w:val="0"/>
                <w:sz w:val="24"/>
                <w:szCs w:val="24"/>
                <w:lang w:val="zh-CN"/>
              </w:rPr>
              <w:t>法人或者其他组织与小型、微型企业组成联合体参加本项目投标的，若在联合协议中约定小型、微型企业的协议合同金额占到联合体协议合同总金额30%以上的，可以对该联合体给予</w:t>
            </w:r>
            <w:r>
              <w:rPr>
                <w:rFonts w:hint="eastAsia" w:ascii="仿宋" w:hAnsi="仿宋" w:eastAsia="仿宋" w:cs="仿宋"/>
                <w:color w:val="auto"/>
                <w:kern w:val="0"/>
                <w:sz w:val="24"/>
                <w:szCs w:val="24"/>
              </w:rPr>
              <w:t>10</w:t>
            </w:r>
            <w:r>
              <w:rPr>
                <w:rFonts w:hint="eastAsia" w:ascii="仿宋" w:hAnsi="仿宋" w:eastAsia="仿宋" w:cs="仿宋"/>
                <w:color w:val="auto"/>
                <w:kern w:val="0"/>
                <w:sz w:val="24"/>
                <w:szCs w:val="24"/>
                <w:lang w:val="zh-CN"/>
              </w:rPr>
              <w:t>%的价格扣除，用扣除后的价格参与评审。</w:t>
            </w:r>
          </w:p>
          <w:p>
            <w:pPr>
              <w:autoSpaceDE w:val="0"/>
              <w:autoSpaceDN w:val="0"/>
              <w:spacing w:before="120"/>
              <w:ind w:left="600" w:hanging="600" w:hangingChars="250"/>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w:t>
            </w:r>
            <w:r>
              <w:rPr>
                <w:rFonts w:hint="eastAsia" w:ascii="仿宋" w:hAnsi="仿宋" w:eastAsia="仿宋" w:cs="仿宋"/>
                <w:color w:val="auto"/>
                <w:kern w:val="0"/>
                <w:sz w:val="24"/>
                <w:szCs w:val="24"/>
              </w:rPr>
              <w:t>4</w:t>
            </w:r>
            <w:r>
              <w:rPr>
                <w:rFonts w:hint="eastAsia" w:ascii="仿宋" w:hAnsi="仿宋" w:eastAsia="仿宋" w:cs="仿宋"/>
                <w:color w:val="auto"/>
                <w:kern w:val="0"/>
                <w:sz w:val="24"/>
                <w:szCs w:val="24"/>
                <w:lang w:val="zh-CN"/>
              </w:rPr>
              <w:t>）大中型企业和其他自然人、法人或者其他组织与小型、微型企业组成联合体参加本项目投标的，组成联合体的大中型企业和其他自然人、法人或者其他组织，与小型、微型企业之间不得存在投资关系。</w:t>
            </w:r>
          </w:p>
          <w:p>
            <w:pPr>
              <w:autoSpaceDE w:val="0"/>
              <w:autoSpaceDN w:val="0"/>
              <w:spacing w:before="120"/>
              <w:ind w:left="600" w:hanging="600" w:hangingChars="250"/>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w:t>
            </w:r>
            <w:r>
              <w:rPr>
                <w:rFonts w:hint="eastAsia" w:ascii="仿宋" w:hAnsi="仿宋" w:eastAsia="仿宋" w:cs="仿宋"/>
                <w:color w:val="auto"/>
                <w:kern w:val="0"/>
                <w:sz w:val="24"/>
                <w:szCs w:val="24"/>
              </w:rPr>
              <w:t>5</w:t>
            </w:r>
            <w:r>
              <w:rPr>
                <w:rFonts w:hint="eastAsia" w:ascii="仿宋" w:hAnsi="仿宋" w:eastAsia="仿宋" w:cs="仿宋"/>
                <w:color w:val="auto"/>
                <w:kern w:val="0"/>
                <w:sz w:val="24"/>
                <w:szCs w:val="24"/>
                <w:lang w:val="zh-CN"/>
              </w:rPr>
              <w:t>）如因本项目专门面向中小企业、基于扶持政策对价格进行扣除后评审或者利用联合体优势而获取合同后，小型、微型企业不得分包或者转包给大型、中型企业，中型企业不得分包或者转包给大型企业。</w:t>
            </w:r>
          </w:p>
          <w:p>
            <w:pPr>
              <w:spacing w:before="120"/>
              <w:ind w:left="600" w:hanging="600" w:hangingChars="250"/>
              <w:jc w:val="left"/>
              <w:rPr>
                <w:rFonts w:ascii="仿宋" w:hAnsi="仿宋" w:eastAsia="仿宋" w:cs="仿宋"/>
                <w:color w:val="auto"/>
                <w:sz w:val="24"/>
                <w:szCs w:val="24"/>
              </w:rPr>
            </w:pPr>
            <w:r>
              <w:rPr>
                <w:rFonts w:hint="eastAsia" w:ascii="仿宋" w:hAnsi="仿宋" w:eastAsia="仿宋" w:cs="仿宋"/>
                <w:color w:val="auto"/>
                <w:kern w:val="0"/>
                <w:sz w:val="24"/>
                <w:szCs w:val="24"/>
                <w:lang w:val="zh-CN"/>
              </w:rPr>
              <w:t>（</w:t>
            </w:r>
            <w:r>
              <w:rPr>
                <w:rFonts w:hint="eastAsia" w:ascii="仿宋" w:hAnsi="仿宋" w:eastAsia="仿宋" w:cs="仿宋"/>
                <w:color w:val="auto"/>
                <w:kern w:val="0"/>
                <w:sz w:val="24"/>
                <w:szCs w:val="24"/>
              </w:rPr>
              <w:t>6</w:t>
            </w:r>
            <w:r>
              <w:rPr>
                <w:rFonts w:hint="eastAsia" w:ascii="仿宋" w:hAnsi="仿宋" w:eastAsia="仿宋" w:cs="仿宋"/>
                <w:color w:val="auto"/>
                <w:kern w:val="0"/>
                <w:sz w:val="24"/>
                <w:szCs w:val="24"/>
                <w:lang w:val="zh-CN"/>
              </w:rPr>
              <w:t>）参加本项目投标的中小企业，应当在其投标文件中提交《中小企业声明函》，声明函格式详见附件1</w:t>
            </w:r>
            <w:r>
              <w:rPr>
                <w:rFonts w:hint="eastAsia" w:ascii="仿宋" w:hAnsi="仿宋" w:eastAsia="仿宋" w:cs="仿宋"/>
                <w:color w:val="auto"/>
                <w:kern w:val="0"/>
                <w:sz w:val="24"/>
                <w:szCs w:val="24"/>
              </w:rPr>
              <w:t>0</w:t>
            </w:r>
            <w:r>
              <w:rPr>
                <w:rFonts w:hint="eastAsia" w:ascii="仿宋" w:hAnsi="仿宋" w:eastAsia="仿宋" w:cs="仿宋"/>
                <w:color w:val="auto"/>
                <w:kern w:val="0"/>
                <w:sz w:val="24"/>
                <w:szCs w:val="24"/>
                <w:lang w:val="zh-CN"/>
              </w:rPr>
              <w:t>-1《中小企业声明函》及附件1</w:t>
            </w:r>
            <w:r>
              <w:rPr>
                <w:rFonts w:hint="eastAsia" w:ascii="仿宋" w:hAnsi="仿宋" w:eastAsia="仿宋" w:cs="仿宋"/>
                <w:color w:val="auto"/>
                <w:kern w:val="0"/>
                <w:sz w:val="24"/>
                <w:szCs w:val="24"/>
              </w:rPr>
              <w:t>0</w:t>
            </w:r>
            <w:r>
              <w:rPr>
                <w:rFonts w:hint="eastAsia" w:ascii="仿宋" w:hAnsi="仿宋" w:eastAsia="仿宋" w:cs="仿宋"/>
                <w:color w:val="auto"/>
                <w:kern w:val="0"/>
                <w:sz w:val="24"/>
                <w:szCs w:val="24"/>
                <w:lang w:val="zh-CN"/>
              </w:rPr>
              <w:t>-2《小型和微型企业产品一览表》。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20" w:type="dxa"/>
            <w:vAlign w:val="center"/>
          </w:tcPr>
          <w:p>
            <w:pPr>
              <w:spacing w:before="120"/>
              <w:jc w:val="center"/>
              <w:rPr>
                <w:rFonts w:ascii="仿宋" w:hAnsi="仿宋" w:eastAsia="仿宋" w:cs="仿宋"/>
                <w:color w:val="auto"/>
                <w:sz w:val="24"/>
                <w:szCs w:val="24"/>
              </w:rPr>
            </w:pPr>
            <w:r>
              <w:rPr>
                <w:rFonts w:hint="eastAsia" w:ascii="仿宋" w:hAnsi="仿宋" w:eastAsia="仿宋" w:cs="仿宋"/>
                <w:color w:val="auto"/>
                <w:sz w:val="24"/>
                <w:szCs w:val="24"/>
              </w:rPr>
              <w:t>*3.2</w:t>
            </w:r>
          </w:p>
        </w:tc>
        <w:tc>
          <w:tcPr>
            <w:tcW w:w="7691" w:type="dxa"/>
            <w:vAlign w:val="center"/>
          </w:tcPr>
          <w:p>
            <w:pPr>
              <w:tabs>
                <w:tab w:val="left" w:pos="1200"/>
              </w:tabs>
              <w:ind w:left="1240" w:leftChars="24" w:hanging="1190" w:hangingChars="496"/>
              <w:jc w:val="left"/>
              <w:rPr>
                <w:rFonts w:ascii="仿宋" w:hAnsi="仿宋" w:eastAsia="仿宋" w:cs="仿宋"/>
                <w:color w:val="auto"/>
                <w:sz w:val="24"/>
                <w:szCs w:val="24"/>
              </w:rPr>
            </w:pPr>
            <w:r>
              <w:rPr>
                <w:rFonts w:hint="eastAsia" w:ascii="仿宋" w:hAnsi="仿宋" w:eastAsia="仿宋" w:cs="仿宋"/>
                <w:color w:val="auto"/>
                <w:sz w:val="24"/>
                <w:szCs w:val="24"/>
              </w:rPr>
              <w:t>合格的货物及其有关服务：</w:t>
            </w:r>
          </w:p>
          <w:p>
            <w:pPr>
              <w:tabs>
                <w:tab w:val="left" w:pos="720"/>
              </w:tabs>
              <w:ind w:left="600" w:hanging="600" w:hangingChars="250"/>
              <w:jc w:val="left"/>
              <w:rPr>
                <w:rFonts w:ascii="仿宋" w:hAnsi="仿宋" w:eastAsia="仿宋" w:cs="仿宋"/>
                <w:color w:val="auto"/>
                <w:sz w:val="24"/>
                <w:szCs w:val="24"/>
              </w:rPr>
            </w:pPr>
            <w:r>
              <w:rPr>
                <w:rFonts w:hint="eastAsia" w:ascii="仿宋" w:hAnsi="仿宋" w:eastAsia="仿宋" w:cs="仿宋"/>
                <w:color w:val="auto"/>
                <w:sz w:val="24"/>
                <w:szCs w:val="24"/>
              </w:rPr>
              <w:t>（1）本次招标第一章招标公告“招标内容”中标注“不接受进口产品”的投标货物的原产地应为中华人民共和国境内，不接受进口产品。</w:t>
            </w:r>
          </w:p>
          <w:p>
            <w:pPr>
              <w:tabs>
                <w:tab w:val="left" w:pos="18"/>
              </w:tabs>
              <w:ind w:left="600" w:hanging="600" w:hangingChars="250"/>
              <w:jc w:val="left"/>
              <w:rPr>
                <w:rFonts w:ascii="仿宋" w:hAnsi="仿宋" w:eastAsia="仿宋" w:cs="仿宋"/>
                <w:color w:val="auto"/>
                <w:sz w:val="24"/>
                <w:szCs w:val="24"/>
              </w:rPr>
            </w:pPr>
            <w:r>
              <w:rPr>
                <w:rFonts w:hint="eastAsia" w:ascii="仿宋" w:hAnsi="仿宋" w:eastAsia="仿宋" w:cs="仿宋"/>
                <w:color w:val="auto"/>
                <w:sz w:val="24"/>
                <w:szCs w:val="24"/>
              </w:rPr>
              <w:t>（2）本次招标第一章招标公告“招标内容”中标注“接受进口产品”的投标货物的原产地应为中华人民共和国境内或来自与之有正常贸易往来的国家或地区，接受进口产品。</w:t>
            </w:r>
          </w:p>
          <w:p>
            <w:pPr>
              <w:tabs>
                <w:tab w:val="left" w:pos="18"/>
              </w:tabs>
              <w:ind w:left="600" w:hanging="600" w:hangingChars="250"/>
              <w:jc w:val="left"/>
              <w:rPr>
                <w:rFonts w:hint="eastAsia" w:ascii="仿宋" w:hAnsi="仿宋" w:eastAsia="仿宋" w:cs="仿宋"/>
                <w:color w:val="auto"/>
                <w:sz w:val="24"/>
                <w:szCs w:val="24"/>
              </w:rPr>
            </w:pPr>
            <w:r>
              <w:rPr>
                <w:rFonts w:hint="eastAsia" w:ascii="仿宋" w:hAnsi="仿宋" w:eastAsia="仿宋" w:cs="仿宋"/>
                <w:color w:val="auto"/>
                <w:sz w:val="24"/>
                <w:szCs w:val="24"/>
              </w:rPr>
              <w:t>（3）如未在第一章招标公告中规定可以采购进口产品，供应商所投产品如为进口产品，其投标属于</w:t>
            </w:r>
            <w:r>
              <w:rPr>
                <w:rFonts w:hint="eastAsia" w:ascii="仿宋" w:hAnsi="仿宋" w:eastAsia="仿宋" w:cs="仿宋"/>
                <w:b/>
                <w:bCs/>
                <w:color w:val="auto"/>
                <w:sz w:val="24"/>
                <w:szCs w:val="24"/>
              </w:rPr>
              <w:t>无效投标</w:t>
            </w:r>
            <w:r>
              <w:rPr>
                <w:rFonts w:hint="eastAsia" w:ascii="仿宋" w:hAnsi="仿宋" w:eastAsia="仿宋" w:cs="仿宋"/>
                <w:color w:val="auto"/>
                <w:sz w:val="24"/>
                <w:szCs w:val="24"/>
              </w:rPr>
              <w:t>情形。</w:t>
            </w:r>
          </w:p>
          <w:p>
            <w:pPr>
              <w:tabs>
                <w:tab w:val="left" w:pos="18"/>
              </w:tabs>
              <w:ind w:left="600" w:hanging="600" w:hangingChars="250"/>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其他情况视为允许。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20" w:type="dxa"/>
            <w:vAlign w:val="center"/>
          </w:tcPr>
          <w:p>
            <w:pPr>
              <w:spacing w:before="120"/>
              <w:jc w:val="center"/>
              <w:rPr>
                <w:rFonts w:ascii="仿宋" w:hAnsi="仿宋" w:eastAsia="仿宋" w:cs="仿宋"/>
                <w:color w:val="auto"/>
                <w:sz w:val="24"/>
                <w:szCs w:val="24"/>
              </w:rPr>
            </w:pPr>
            <w:r>
              <w:rPr>
                <w:rFonts w:hint="eastAsia" w:ascii="仿宋" w:hAnsi="仿宋" w:eastAsia="仿宋" w:cs="仿宋"/>
                <w:color w:val="auto"/>
                <w:sz w:val="24"/>
                <w:szCs w:val="24"/>
              </w:rPr>
              <w:t>*3.5</w:t>
            </w:r>
          </w:p>
        </w:tc>
        <w:tc>
          <w:tcPr>
            <w:tcW w:w="7691" w:type="dxa"/>
            <w:vAlign w:val="center"/>
          </w:tcPr>
          <w:p>
            <w:pPr>
              <w:tabs>
                <w:tab w:val="left" w:pos="1200"/>
              </w:tabs>
              <w:ind w:left="50"/>
              <w:jc w:val="left"/>
              <w:rPr>
                <w:rFonts w:ascii="仿宋" w:hAnsi="仿宋" w:eastAsia="仿宋" w:cs="仿宋"/>
                <w:color w:val="auto"/>
                <w:sz w:val="24"/>
                <w:szCs w:val="24"/>
              </w:rPr>
            </w:pPr>
            <w:r>
              <w:rPr>
                <w:rFonts w:hint="eastAsia" w:ascii="仿宋" w:hAnsi="仿宋" w:eastAsia="仿宋" w:cs="仿宋"/>
                <w:color w:val="auto"/>
                <w:sz w:val="24"/>
                <w:szCs w:val="24"/>
              </w:rPr>
              <w:t>合格的货物及其有关服务：</w:t>
            </w:r>
          </w:p>
          <w:p>
            <w:pPr>
              <w:tabs>
                <w:tab w:val="left" w:pos="18"/>
              </w:tabs>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对于接受进口产品投标的品目且供应商以进口产品参加投标时，如投标货物非供应商所有或制造，供应商投标时须提供制造商（或其境内总代理的）</w:t>
            </w:r>
            <w:r>
              <w:rPr>
                <w:rFonts w:hint="eastAsia" w:ascii="仿宋" w:hAnsi="仿宋" w:eastAsia="仿宋" w:cs="仿宋"/>
                <w:b/>
                <w:bCs/>
                <w:color w:val="auto"/>
                <w:sz w:val="24"/>
                <w:szCs w:val="24"/>
              </w:rPr>
              <w:t>所提供的投标品牌产品授权书。</w:t>
            </w:r>
            <w:r>
              <w:rPr>
                <w:rFonts w:hint="eastAsia" w:ascii="仿宋" w:hAnsi="仿宋" w:eastAsia="仿宋" w:cs="仿宋"/>
                <w:color w:val="auto"/>
                <w:sz w:val="24"/>
                <w:szCs w:val="24"/>
              </w:rPr>
              <w:t>授权书格式可参考招标文件所附制造商（或境内总代理商）授权书格式，也可供应商自行拟定。如是境内总代理提供的产品授权书，供应商还须提供制造商给予境内总代理的正式授权文件的复印件，以证明所供货物来源的可靠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20" w:type="dxa"/>
            <w:vAlign w:val="center"/>
          </w:tcPr>
          <w:p>
            <w:pPr>
              <w:spacing w:before="120"/>
              <w:jc w:val="center"/>
              <w:rPr>
                <w:rFonts w:ascii="仿宋" w:hAnsi="仿宋" w:eastAsia="仿宋" w:cs="仿宋"/>
                <w:color w:val="auto"/>
                <w:sz w:val="24"/>
                <w:szCs w:val="24"/>
              </w:rPr>
            </w:pPr>
            <w:r>
              <w:rPr>
                <w:rFonts w:hint="eastAsia" w:ascii="仿宋" w:hAnsi="仿宋" w:eastAsia="仿宋" w:cs="仿宋"/>
                <w:color w:val="auto"/>
                <w:sz w:val="24"/>
                <w:szCs w:val="24"/>
              </w:rPr>
              <w:t>7.1</w:t>
            </w:r>
          </w:p>
        </w:tc>
        <w:tc>
          <w:tcPr>
            <w:tcW w:w="7691" w:type="dxa"/>
            <w:vAlign w:val="center"/>
          </w:tcPr>
          <w:p>
            <w:pPr>
              <w:spacing w:before="120"/>
              <w:ind w:firstLine="360" w:firstLineChars="150"/>
              <w:rPr>
                <w:rFonts w:ascii="仿宋" w:hAnsi="仿宋" w:eastAsia="仿宋" w:cs="仿宋"/>
                <w:color w:val="auto"/>
                <w:sz w:val="24"/>
                <w:szCs w:val="24"/>
              </w:rPr>
            </w:pPr>
            <w:r>
              <w:rPr>
                <w:rFonts w:hint="eastAsia" w:ascii="仿宋" w:hAnsi="仿宋" w:eastAsia="仿宋" w:cs="仿宋"/>
                <w:color w:val="auto"/>
                <w:sz w:val="24"/>
                <w:szCs w:val="24"/>
              </w:rPr>
              <w:t>任何要求对招标文件进行澄清的供应商，均应以书面形式通知招标采购单位。为了保证对招标文件的澄清和修改满足法律的时限要求，供应商应在投标截止期十五日前提出并送达澄清要求至招标采购单位。招标采购单位应以公告和书面形式通知每个购买招标文件的供应商（答复中不包括问题的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20" w:type="dxa"/>
            <w:vAlign w:val="center"/>
          </w:tcPr>
          <w:p>
            <w:pPr>
              <w:spacing w:before="120"/>
              <w:jc w:val="center"/>
              <w:rPr>
                <w:rFonts w:ascii="仿宋" w:hAnsi="仿宋" w:eastAsia="仿宋" w:cs="仿宋"/>
                <w:color w:val="auto"/>
                <w:sz w:val="24"/>
                <w:szCs w:val="24"/>
              </w:rPr>
            </w:pPr>
            <w:r>
              <w:rPr>
                <w:rFonts w:hint="eastAsia" w:ascii="仿宋" w:hAnsi="仿宋" w:eastAsia="仿宋" w:cs="仿宋"/>
                <w:color w:val="auto"/>
                <w:sz w:val="24"/>
                <w:szCs w:val="24"/>
              </w:rPr>
              <w:t>*12.1</w:t>
            </w:r>
          </w:p>
        </w:tc>
        <w:tc>
          <w:tcPr>
            <w:tcW w:w="7691" w:type="dxa"/>
            <w:vAlign w:val="center"/>
          </w:tcPr>
          <w:p>
            <w:pPr>
              <w:spacing w:before="120"/>
              <w:ind w:left="600" w:hanging="600" w:hangingChars="250"/>
              <w:jc w:val="left"/>
              <w:rPr>
                <w:rFonts w:ascii="仿宋" w:hAnsi="仿宋" w:eastAsia="仿宋" w:cs="仿宋"/>
                <w:color w:val="auto"/>
                <w:sz w:val="24"/>
                <w:szCs w:val="24"/>
                <w:u w:val="single"/>
              </w:rPr>
            </w:pPr>
            <w:r>
              <w:rPr>
                <w:rFonts w:hint="eastAsia" w:ascii="仿宋" w:hAnsi="仿宋" w:eastAsia="仿宋" w:cs="仿宋"/>
                <w:color w:val="auto"/>
                <w:sz w:val="24"/>
                <w:szCs w:val="24"/>
              </w:rPr>
              <w:t>1、（1）供应商须在投标截止时间前递交有效的投标保证金，投标保证金金额：</w:t>
            </w:r>
            <w:r>
              <w:rPr>
                <w:rFonts w:hint="eastAsia" w:ascii="仿宋" w:hAnsi="仿宋" w:eastAsia="仿宋" w:cs="仿宋"/>
                <w:color w:val="auto"/>
                <w:sz w:val="24"/>
                <w:szCs w:val="24"/>
                <w:u w:val="single"/>
              </w:rPr>
              <w:t>预算金额的1.8%</w:t>
            </w:r>
          </w:p>
          <w:p>
            <w:pPr>
              <w:spacing w:before="120"/>
              <w:ind w:firstLine="240" w:firstLineChars="100"/>
              <w:jc w:val="left"/>
              <w:rPr>
                <w:rFonts w:ascii="仿宋" w:hAnsi="仿宋" w:eastAsia="仿宋" w:cs="仿宋"/>
                <w:color w:val="auto"/>
                <w:sz w:val="24"/>
                <w:szCs w:val="24"/>
              </w:rPr>
            </w:pPr>
            <w:r>
              <w:rPr>
                <w:rFonts w:hint="eastAsia" w:ascii="仿宋" w:hAnsi="仿宋" w:eastAsia="仿宋" w:cs="仿宋"/>
                <w:color w:val="auto"/>
                <w:sz w:val="24"/>
                <w:szCs w:val="24"/>
              </w:rPr>
              <w:t>（2）投标保证金有效期：与投标有效期一致。</w:t>
            </w:r>
          </w:p>
          <w:p>
            <w:pPr>
              <w:spacing w:before="120"/>
              <w:ind w:left="599" w:leftChars="114" w:hanging="360" w:hangingChars="150"/>
              <w:jc w:val="left"/>
              <w:rPr>
                <w:rFonts w:ascii="仿宋" w:hAnsi="仿宋" w:eastAsia="仿宋" w:cs="仿宋"/>
                <w:color w:val="auto"/>
                <w:sz w:val="24"/>
                <w:szCs w:val="24"/>
              </w:rPr>
            </w:pPr>
            <w:r>
              <w:rPr>
                <w:rFonts w:hint="eastAsia" w:ascii="仿宋" w:hAnsi="仿宋" w:eastAsia="仿宋" w:cs="仿宋"/>
                <w:color w:val="auto"/>
                <w:sz w:val="24"/>
                <w:szCs w:val="24"/>
              </w:rPr>
              <w:t>（3）投标保证金形式：有效电汇（供应商应在投标截止时间前电汇到招标文件规定的采购代理机构银行账户）或者支票 ，不接受现金方式递交的投标保证金。</w:t>
            </w:r>
          </w:p>
          <w:p>
            <w:pPr>
              <w:jc w:val="left"/>
              <w:rPr>
                <w:rFonts w:ascii="仿宋" w:hAnsi="仿宋" w:eastAsia="仿宋" w:cs="仿宋"/>
                <w:color w:val="auto"/>
                <w:sz w:val="24"/>
                <w:szCs w:val="24"/>
              </w:rPr>
            </w:pPr>
            <w:r>
              <w:rPr>
                <w:rFonts w:hint="eastAsia" w:ascii="仿宋" w:hAnsi="仿宋" w:eastAsia="仿宋" w:cs="仿宋"/>
                <w:b/>
                <w:color w:val="auto"/>
                <w:sz w:val="24"/>
                <w:szCs w:val="24"/>
              </w:rPr>
              <w:t>特别提示：</w:t>
            </w:r>
            <w:r>
              <w:rPr>
                <w:rFonts w:hint="eastAsia" w:ascii="仿宋" w:hAnsi="仿宋" w:eastAsia="仿宋" w:cs="仿宋"/>
                <w:color w:val="auto"/>
                <w:sz w:val="24"/>
                <w:szCs w:val="24"/>
              </w:rPr>
              <w:t>采用电汇形式递交保证金的，须使用供应商单位账户一次性汇入采购人指定的账户（账户信息如下），并将银行汇款凭证复印件加盖供应商单位公章，按招标文件要求进行密封及送达。</w:t>
            </w:r>
          </w:p>
          <w:p>
            <w:pPr>
              <w:ind w:left="1592" w:hanging="1592"/>
              <w:jc w:val="left"/>
              <w:rPr>
                <w:rFonts w:ascii="仿宋" w:hAnsi="仿宋" w:eastAsia="仿宋" w:cs="仿宋"/>
                <w:color w:val="auto"/>
                <w:sz w:val="24"/>
                <w:szCs w:val="24"/>
              </w:rPr>
            </w:pPr>
            <w:r>
              <w:rPr>
                <w:rFonts w:hint="eastAsia" w:ascii="仿宋" w:hAnsi="仿宋" w:eastAsia="仿宋" w:cs="仿宋"/>
                <w:color w:val="auto"/>
                <w:sz w:val="24"/>
                <w:szCs w:val="24"/>
              </w:rPr>
              <w:t>采购人指定的保证金收款账户信息如下：</w:t>
            </w:r>
          </w:p>
          <w:p>
            <w:pPr>
              <w:adjustRightInd w:val="0"/>
              <w:snapToGrid w:val="0"/>
              <w:rPr>
                <w:rFonts w:ascii="仿宋" w:hAnsi="仿宋" w:eastAsia="仿宋" w:cs="仿宋"/>
                <w:color w:val="auto"/>
                <w:sz w:val="24"/>
                <w:szCs w:val="24"/>
              </w:rPr>
            </w:pPr>
            <w:r>
              <w:rPr>
                <w:rFonts w:hint="eastAsia" w:ascii="仿宋" w:hAnsi="仿宋" w:eastAsia="仿宋" w:cs="仿宋"/>
                <w:color w:val="auto"/>
                <w:sz w:val="24"/>
                <w:szCs w:val="24"/>
              </w:rPr>
              <w:t>开 户 名：北京中储建国际工程管理有限公司</w:t>
            </w:r>
          </w:p>
          <w:p>
            <w:pPr>
              <w:adjustRightInd w:val="0"/>
              <w:snapToGrid w:val="0"/>
              <w:rPr>
                <w:rFonts w:ascii="仿宋" w:hAnsi="仿宋" w:eastAsia="仿宋" w:cs="仿宋"/>
                <w:color w:val="auto"/>
                <w:sz w:val="24"/>
                <w:szCs w:val="24"/>
              </w:rPr>
            </w:pPr>
            <w:r>
              <w:rPr>
                <w:rFonts w:hint="eastAsia" w:ascii="仿宋" w:hAnsi="仿宋" w:eastAsia="仿宋" w:cs="仿宋"/>
                <w:color w:val="auto"/>
                <w:sz w:val="24"/>
                <w:szCs w:val="24"/>
              </w:rPr>
              <w:t>开户银行：招商银行股份有限公司北京城市副中心分行</w:t>
            </w:r>
          </w:p>
          <w:p>
            <w:pPr>
              <w:adjustRightInd w:val="0"/>
              <w:snapToGrid w:val="0"/>
              <w:rPr>
                <w:rFonts w:ascii="仿宋" w:hAnsi="仿宋" w:eastAsia="仿宋" w:cs="仿宋"/>
                <w:color w:val="auto"/>
                <w:sz w:val="24"/>
                <w:szCs w:val="24"/>
              </w:rPr>
            </w:pPr>
            <w:r>
              <w:rPr>
                <w:rFonts w:hint="eastAsia" w:ascii="仿宋" w:hAnsi="仿宋" w:eastAsia="仿宋" w:cs="仿宋"/>
                <w:color w:val="auto"/>
                <w:sz w:val="24"/>
                <w:szCs w:val="24"/>
              </w:rPr>
              <w:t>行    号：308100005738</w:t>
            </w:r>
          </w:p>
          <w:p>
            <w:pPr>
              <w:spacing w:before="120"/>
              <w:ind w:left="360" w:hanging="360" w:hangingChars="150"/>
              <w:rPr>
                <w:rFonts w:ascii="仿宋" w:hAnsi="仿宋" w:eastAsia="仿宋" w:cs="仿宋"/>
                <w:color w:val="auto"/>
                <w:sz w:val="24"/>
                <w:szCs w:val="24"/>
              </w:rPr>
            </w:pPr>
            <w:r>
              <w:rPr>
                <w:rFonts w:hint="eastAsia" w:ascii="仿宋" w:hAnsi="仿宋" w:eastAsia="仿宋" w:cs="仿宋"/>
                <w:color w:val="auto"/>
                <w:sz w:val="24"/>
                <w:szCs w:val="24"/>
              </w:rPr>
              <w:t>账    号：110915384110801</w:t>
            </w:r>
          </w:p>
          <w:p>
            <w:pPr>
              <w:spacing w:before="120"/>
              <w:ind w:left="360" w:hanging="360" w:hangingChars="150"/>
              <w:rPr>
                <w:rFonts w:ascii="仿宋" w:hAnsi="仿宋" w:eastAsia="仿宋" w:cs="仿宋"/>
                <w:color w:val="auto"/>
                <w:sz w:val="24"/>
                <w:szCs w:val="24"/>
              </w:rPr>
            </w:pPr>
            <w:r>
              <w:rPr>
                <w:rFonts w:hint="eastAsia" w:ascii="仿宋" w:hAnsi="仿宋" w:eastAsia="仿宋" w:cs="仿宋"/>
                <w:color w:val="auto"/>
                <w:sz w:val="24"/>
                <w:szCs w:val="24"/>
              </w:rPr>
              <w:t>2、如供应商采用银行保函形式，投标保证金的有效期应当覆盖或者超过投标有效期。</w:t>
            </w:r>
          </w:p>
          <w:p>
            <w:pPr>
              <w:spacing w:before="120"/>
              <w:rPr>
                <w:rFonts w:ascii="仿宋" w:hAnsi="仿宋" w:eastAsia="仿宋" w:cs="仿宋"/>
                <w:color w:val="auto"/>
                <w:sz w:val="24"/>
                <w:szCs w:val="24"/>
              </w:rPr>
            </w:pPr>
            <w:r>
              <w:rPr>
                <w:rFonts w:hint="eastAsia" w:ascii="仿宋" w:hAnsi="仿宋" w:eastAsia="仿宋" w:cs="仿宋"/>
                <w:color w:val="auto"/>
                <w:sz w:val="24"/>
                <w:szCs w:val="24"/>
              </w:rPr>
              <w:t>3、如供应商选择采用专业担保机构保函11、附件12；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20" w:type="dxa"/>
            <w:vAlign w:val="center"/>
          </w:tcPr>
          <w:p>
            <w:pPr>
              <w:spacing w:before="120"/>
              <w:jc w:val="center"/>
              <w:rPr>
                <w:rFonts w:ascii="仿宋" w:hAnsi="仿宋" w:eastAsia="仿宋" w:cs="仿宋"/>
                <w:color w:val="auto"/>
                <w:sz w:val="24"/>
                <w:szCs w:val="24"/>
              </w:rPr>
            </w:pPr>
            <w:r>
              <w:rPr>
                <w:rFonts w:hint="eastAsia" w:ascii="仿宋" w:hAnsi="仿宋" w:eastAsia="仿宋" w:cs="仿宋"/>
                <w:color w:val="auto"/>
                <w:sz w:val="24"/>
                <w:szCs w:val="24"/>
              </w:rPr>
              <w:t>13.1</w:t>
            </w:r>
          </w:p>
        </w:tc>
        <w:tc>
          <w:tcPr>
            <w:tcW w:w="7691" w:type="dxa"/>
            <w:vAlign w:val="center"/>
          </w:tcPr>
          <w:p>
            <w:pPr>
              <w:spacing w:before="120"/>
              <w:ind w:left="1592" w:hanging="1592"/>
              <w:jc w:val="left"/>
              <w:rPr>
                <w:rFonts w:ascii="仿宋" w:hAnsi="仿宋" w:eastAsia="仿宋" w:cs="仿宋"/>
                <w:b/>
                <w:color w:val="auto"/>
                <w:sz w:val="24"/>
                <w:szCs w:val="24"/>
              </w:rPr>
            </w:pPr>
            <w:r>
              <w:rPr>
                <w:rFonts w:hint="eastAsia" w:ascii="仿宋" w:hAnsi="仿宋" w:eastAsia="仿宋" w:cs="仿宋"/>
                <w:color w:val="auto"/>
                <w:sz w:val="24"/>
                <w:szCs w:val="24"/>
              </w:rPr>
              <w:t>投标有效期：自投标截止时间止起</w:t>
            </w:r>
            <w:r>
              <w:rPr>
                <w:rFonts w:hint="eastAsia" w:ascii="仿宋" w:hAnsi="仿宋" w:eastAsia="仿宋" w:cs="仿宋"/>
                <w:color w:val="auto"/>
                <w:sz w:val="24"/>
                <w:szCs w:val="24"/>
                <w:u w:val="single"/>
              </w:rPr>
              <w:t>90</w:t>
            </w:r>
            <w:r>
              <w:rPr>
                <w:rFonts w:hint="eastAsia" w:ascii="仿宋" w:hAnsi="仿宋" w:eastAsia="仿宋" w:cs="仿宋"/>
                <w:color w:val="auto"/>
                <w:sz w:val="24"/>
                <w:szCs w:val="24"/>
              </w:rPr>
              <w:t>个日历日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20" w:type="dxa"/>
            <w:vAlign w:val="center"/>
          </w:tcPr>
          <w:p>
            <w:pPr>
              <w:spacing w:before="120"/>
              <w:jc w:val="center"/>
              <w:rPr>
                <w:rFonts w:ascii="仿宋" w:hAnsi="仿宋" w:eastAsia="仿宋" w:cs="仿宋"/>
                <w:color w:val="auto"/>
                <w:sz w:val="24"/>
                <w:szCs w:val="24"/>
              </w:rPr>
            </w:pPr>
            <w:r>
              <w:rPr>
                <w:rFonts w:hint="eastAsia" w:ascii="仿宋" w:hAnsi="仿宋" w:eastAsia="仿宋" w:cs="仿宋"/>
                <w:color w:val="auto"/>
                <w:sz w:val="24"/>
                <w:szCs w:val="24"/>
              </w:rPr>
              <w:t>*14.1</w:t>
            </w:r>
          </w:p>
        </w:tc>
        <w:tc>
          <w:tcPr>
            <w:tcW w:w="7691" w:type="dxa"/>
            <w:vAlign w:val="center"/>
          </w:tcPr>
          <w:p>
            <w:pPr>
              <w:spacing w:before="120"/>
              <w:jc w:val="left"/>
              <w:rPr>
                <w:rFonts w:ascii="仿宋" w:hAnsi="仿宋" w:eastAsia="仿宋" w:cs="仿宋"/>
                <w:color w:val="auto"/>
                <w:sz w:val="24"/>
                <w:szCs w:val="24"/>
              </w:rPr>
            </w:pPr>
            <w:r>
              <w:rPr>
                <w:rFonts w:hint="eastAsia" w:ascii="仿宋" w:hAnsi="仿宋" w:eastAsia="仿宋" w:cs="仿宋"/>
                <w:color w:val="auto"/>
                <w:sz w:val="24"/>
                <w:szCs w:val="24"/>
              </w:rPr>
              <w:t>投标文件：</w:t>
            </w:r>
          </w:p>
          <w:p>
            <w:pPr>
              <w:spacing w:before="120"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（1）纸质正本份数：</w:t>
            </w:r>
            <w:r>
              <w:rPr>
                <w:rFonts w:hint="eastAsia" w:ascii="仿宋" w:hAnsi="仿宋" w:eastAsia="仿宋" w:cs="仿宋"/>
                <w:color w:val="auto"/>
                <w:sz w:val="24"/>
                <w:szCs w:val="24"/>
                <w:u w:val="single"/>
              </w:rPr>
              <w:t>1</w:t>
            </w:r>
            <w:r>
              <w:rPr>
                <w:rFonts w:hint="eastAsia" w:ascii="仿宋" w:hAnsi="仿宋" w:eastAsia="仿宋" w:cs="仿宋"/>
                <w:color w:val="auto"/>
                <w:sz w:val="24"/>
                <w:szCs w:val="24"/>
              </w:rPr>
              <w:t>份</w:t>
            </w:r>
          </w:p>
          <w:p>
            <w:pPr>
              <w:spacing w:before="120"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（2）纸质副本份数：</w:t>
            </w:r>
            <w:r>
              <w:rPr>
                <w:rFonts w:hint="eastAsia" w:ascii="仿宋" w:hAnsi="仿宋" w:eastAsia="仿宋" w:cs="仿宋"/>
                <w:color w:val="auto"/>
                <w:sz w:val="24"/>
                <w:szCs w:val="24"/>
                <w:u w:val="single"/>
                <w:lang w:val="en-US" w:eastAsia="zh-CN"/>
              </w:rPr>
              <w:t>4</w:t>
            </w:r>
            <w:r>
              <w:rPr>
                <w:rFonts w:hint="eastAsia" w:ascii="仿宋" w:hAnsi="仿宋" w:eastAsia="仿宋" w:cs="仿宋"/>
                <w:color w:val="auto"/>
                <w:sz w:val="24"/>
                <w:szCs w:val="24"/>
              </w:rPr>
              <w:t>份</w:t>
            </w:r>
          </w:p>
          <w:p>
            <w:pPr>
              <w:pStyle w:val="9"/>
              <w:spacing w:line="360" w:lineRule="auto"/>
              <w:ind w:firstLine="0" w:firstLineChars="0"/>
              <w:rPr>
                <w:rFonts w:eastAsia="仿宋"/>
                <w:color w:val="auto"/>
              </w:rPr>
            </w:pPr>
            <w:r>
              <w:rPr>
                <w:rFonts w:hint="eastAsia" w:ascii="仿宋" w:hAnsi="仿宋" w:eastAsia="仿宋" w:cs="仿宋"/>
                <w:color w:val="auto"/>
                <w:sz w:val="24"/>
              </w:rPr>
              <w:t>（3）开标一览表：</w:t>
            </w:r>
            <w:r>
              <w:rPr>
                <w:rFonts w:hint="eastAsia" w:ascii="仿宋" w:hAnsi="仿宋" w:eastAsia="仿宋" w:cs="仿宋"/>
                <w:color w:val="auto"/>
                <w:sz w:val="24"/>
                <w:u w:val="single"/>
              </w:rPr>
              <w:t>1</w:t>
            </w:r>
            <w:r>
              <w:rPr>
                <w:rFonts w:hint="eastAsia" w:ascii="仿宋" w:hAnsi="仿宋" w:eastAsia="仿宋" w:cs="仿宋"/>
                <w:color w:val="auto"/>
                <w:sz w:val="24"/>
              </w:rPr>
              <w:t>份</w:t>
            </w:r>
          </w:p>
          <w:p>
            <w:pPr>
              <w:spacing w:before="120" w:line="360" w:lineRule="auto"/>
              <w:ind w:left="1592" w:hanging="1592"/>
              <w:jc w:val="left"/>
              <w:rPr>
                <w:rFonts w:ascii="仿宋" w:hAnsi="仿宋" w:eastAsia="仿宋" w:cs="仿宋"/>
                <w:color w:val="auto"/>
                <w:sz w:val="24"/>
                <w:szCs w:val="24"/>
              </w:rPr>
            </w:pPr>
            <w:r>
              <w:rPr>
                <w:rFonts w:hint="eastAsia" w:ascii="仿宋" w:hAnsi="仿宋" w:eastAsia="仿宋" w:cs="仿宋"/>
                <w:color w:val="auto"/>
                <w:sz w:val="24"/>
                <w:szCs w:val="24"/>
              </w:rPr>
              <w:t>（4）电子文档：</w:t>
            </w:r>
            <w:r>
              <w:rPr>
                <w:rFonts w:hint="eastAsia" w:ascii="仿宋" w:hAnsi="仿宋" w:eastAsia="仿宋" w:cs="仿宋"/>
                <w:color w:val="auto"/>
                <w:sz w:val="24"/>
                <w:szCs w:val="24"/>
                <w:u w:val="single"/>
              </w:rPr>
              <w:t>2份</w:t>
            </w:r>
            <w:r>
              <w:rPr>
                <w:rFonts w:hint="eastAsia" w:ascii="仿宋" w:hAnsi="仿宋" w:eastAsia="仿宋" w:cs="仿宋"/>
                <w:color w:val="auto"/>
                <w:sz w:val="24"/>
                <w:szCs w:val="24"/>
              </w:rPr>
              <w:t>（U盘）</w:t>
            </w:r>
          </w:p>
          <w:p>
            <w:pPr>
              <w:spacing w:before="120"/>
              <w:rPr>
                <w:rFonts w:ascii="仿宋" w:hAnsi="仿宋" w:eastAsia="仿宋" w:cs="仿宋"/>
                <w:color w:val="auto"/>
                <w:sz w:val="24"/>
                <w:szCs w:val="24"/>
              </w:rPr>
            </w:pPr>
            <w:r>
              <w:rPr>
                <w:rFonts w:hint="eastAsia" w:ascii="仿宋" w:hAnsi="仿宋" w:eastAsia="仿宋" w:cs="仿宋"/>
                <w:color w:val="auto"/>
                <w:sz w:val="24"/>
                <w:szCs w:val="24"/>
              </w:rPr>
              <w:t>单独密封，随投标文件同时递交。每份u盘内电子文档应为PDF及word格式文件各一，PDF并应是投标文件正本（加盖公章）所有内容的清晰扫描件。电子文档内容和投标文件正本应保持完全一致，不能有缺漏。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618" w:hRule="atLeast"/>
        </w:trPr>
        <w:tc>
          <w:tcPr>
            <w:tcW w:w="1620" w:type="dxa"/>
            <w:vAlign w:val="center"/>
          </w:tcPr>
          <w:p>
            <w:pPr>
              <w:spacing w:before="120"/>
              <w:jc w:val="center"/>
              <w:rPr>
                <w:rFonts w:ascii="仿宋" w:hAnsi="仿宋" w:eastAsia="仿宋" w:cs="仿宋"/>
                <w:color w:val="auto"/>
                <w:sz w:val="24"/>
                <w:szCs w:val="24"/>
              </w:rPr>
            </w:pPr>
            <w:r>
              <w:rPr>
                <w:rFonts w:hint="eastAsia" w:ascii="仿宋" w:hAnsi="仿宋" w:eastAsia="仿宋" w:cs="仿宋"/>
                <w:color w:val="auto"/>
                <w:sz w:val="24"/>
                <w:szCs w:val="24"/>
              </w:rPr>
              <w:t>16</w:t>
            </w:r>
          </w:p>
        </w:tc>
        <w:tc>
          <w:tcPr>
            <w:tcW w:w="7691" w:type="dxa"/>
          </w:tcPr>
          <w:p>
            <w:pPr>
              <w:spacing w:before="120"/>
              <w:jc w:val="left"/>
              <w:rPr>
                <w:rFonts w:ascii="仿宋" w:hAnsi="仿宋" w:eastAsia="仿宋" w:cs="仿宋"/>
                <w:color w:val="auto"/>
                <w:sz w:val="24"/>
                <w:szCs w:val="24"/>
              </w:rPr>
            </w:pPr>
            <w:r>
              <w:rPr>
                <w:rFonts w:hint="eastAsia" w:ascii="仿宋" w:hAnsi="仿宋" w:eastAsia="仿宋" w:cs="仿宋"/>
                <w:color w:val="auto"/>
                <w:sz w:val="24"/>
                <w:szCs w:val="24"/>
              </w:rPr>
              <w:t>投标文件递交时间： 202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日</w:t>
            </w:r>
            <w:r>
              <w:rPr>
                <w:rFonts w:hint="eastAsia" w:ascii="仿宋" w:hAnsi="仿宋" w:eastAsia="仿宋" w:cs="仿宋"/>
                <w:color w:val="auto"/>
                <w:sz w:val="24"/>
                <w:szCs w:val="24"/>
                <w:lang w:val="en-US" w:eastAsia="zh-CN"/>
              </w:rPr>
              <w:t>13</w:t>
            </w:r>
            <w:r>
              <w:rPr>
                <w:rFonts w:hint="eastAsia" w:ascii="仿宋" w:hAnsi="仿宋" w:eastAsia="仿宋" w:cs="仿宋"/>
                <w:color w:val="auto"/>
                <w:sz w:val="24"/>
                <w:szCs w:val="24"/>
              </w:rPr>
              <w:t>点00分（北京时间）</w:t>
            </w:r>
          </w:p>
          <w:p>
            <w:pPr>
              <w:spacing w:before="120"/>
              <w:jc w:val="left"/>
              <w:rPr>
                <w:rFonts w:ascii="仿宋" w:hAnsi="仿宋" w:eastAsia="仿宋" w:cs="仿宋"/>
                <w:color w:val="auto"/>
                <w:sz w:val="24"/>
                <w:szCs w:val="24"/>
              </w:rPr>
            </w:pPr>
            <w:r>
              <w:rPr>
                <w:rFonts w:hint="eastAsia" w:ascii="仿宋" w:hAnsi="仿宋" w:eastAsia="仿宋" w:cs="仿宋"/>
                <w:color w:val="auto"/>
                <w:sz w:val="24"/>
                <w:szCs w:val="24"/>
              </w:rPr>
              <w:t>投标截止时间： 202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日</w:t>
            </w:r>
            <w:r>
              <w:rPr>
                <w:rFonts w:hint="eastAsia" w:ascii="仿宋" w:hAnsi="仿宋" w:eastAsia="仿宋" w:cs="仿宋"/>
                <w:color w:val="auto"/>
                <w:sz w:val="24"/>
                <w:szCs w:val="24"/>
                <w:lang w:val="en-US" w:eastAsia="zh-CN"/>
              </w:rPr>
              <w:t>13</w:t>
            </w:r>
            <w:r>
              <w:rPr>
                <w:rFonts w:hint="eastAsia" w:ascii="仿宋" w:hAnsi="仿宋" w:eastAsia="仿宋" w:cs="仿宋"/>
                <w:color w:val="auto"/>
                <w:sz w:val="24"/>
                <w:szCs w:val="24"/>
              </w:rPr>
              <w:t>点00分（北京时间）</w:t>
            </w:r>
          </w:p>
          <w:p>
            <w:pPr>
              <w:spacing w:before="120"/>
              <w:jc w:val="left"/>
              <w:rPr>
                <w:rFonts w:ascii="仿宋" w:hAnsi="仿宋" w:eastAsia="仿宋" w:cs="仿宋"/>
                <w:color w:val="auto"/>
                <w:sz w:val="24"/>
                <w:szCs w:val="24"/>
              </w:rPr>
            </w:pPr>
            <w:r>
              <w:rPr>
                <w:rFonts w:hint="eastAsia" w:ascii="仿宋" w:hAnsi="仿宋" w:eastAsia="仿宋" w:cs="仿宋"/>
                <w:color w:val="auto"/>
                <w:sz w:val="24"/>
                <w:szCs w:val="24"/>
              </w:rPr>
              <w:t>投标文件递交地点：航空轮胎大科学中心（广东省广州市黄埔区九龙镇永龙大道埔之岭农庄对面）1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层1</w:t>
            </w:r>
            <w:r>
              <w:rPr>
                <w:rFonts w:hint="eastAsia" w:ascii="仿宋" w:hAnsi="仿宋" w:eastAsia="仿宋" w:cs="仿宋"/>
                <w:color w:val="auto"/>
                <w:sz w:val="24"/>
                <w:szCs w:val="24"/>
                <w:lang w:val="en-US" w:eastAsia="zh-CN"/>
              </w:rPr>
              <w:t>218</w:t>
            </w:r>
            <w:r>
              <w:rPr>
                <w:rFonts w:hint="eastAsia" w:ascii="仿宋" w:hAnsi="仿宋" w:eastAsia="仿宋" w:cs="仿宋"/>
                <w:color w:val="auto"/>
                <w:sz w:val="24"/>
                <w:szCs w:val="24"/>
              </w:rPr>
              <w:t>会议室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20" w:type="dxa"/>
            <w:vAlign w:val="center"/>
          </w:tcPr>
          <w:p>
            <w:pPr>
              <w:spacing w:before="120"/>
              <w:jc w:val="center"/>
              <w:rPr>
                <w:rFonts w:ascii="仿宋" w:hAnsi="仿宋" w:eastAsia="仿宋" w:cs="仿宋"/>
                <w:color w:val="auto"/>
                <w:sz w:val="24"/>
                <w:szCs w:val="24"/>
              </w:rPr>
            </w:pPr>
            <w:r>
              <w:rPr>
                <w:rFonts w:hint="eastAsia" w:ascii="仿宋" w:hAnsi="仿宋" w:eastAsia="仿宋" w:cs="仿宋"/>
                <w:color w:val="auto"/>
                <w:sz w:val="24"/>
                <w:szCs w:val="24"/>
              </w:rPr>
              <w:t>18</w:t>
            </w:r>
          </w:p>
        </w:tc>
        <w:tc>
          <w:tcPr>
            <w:tcW w:w="7691" w:type="dxa"/>
            <w:vAlign w:val="center"/>
          </w:tcPr>
          <w:p>
            <w:pPr>
              <w:spacing w:before="120"/>
              <w:jc w:val="left"/>
              <w:rPr>
                <w:rFonts w:ascii="仿宋" w:hAnsi="仿宋" w:eastAsia="仿宋" w:cs="仿宋"/>
                <w:color w:val="auto"/>
                <w:sz w:val="24"/>
                <w:szCs w:val="24"/>
                <w:u w:val="single"/>
              </w:rPr>
            </w:pPr>
            <w:r>
              <w:rPr>
                <w:rFonts w:hint="eastAsia" w:ascii="仿宋" w:hAnsi="仿宋" w:eastAsia="仿宋" w:cs="仿宋"/>
                <w:color w:val="auto"/>
                <w:sz w:val="24"/>
                <w:szCs w:val="24"/>
              </w:rPr>
              <w:t>开标时间： 202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日</w:t>
            </w:r>
            <w:r>
              <w:rPr>
                <w:rFonts w:hint="eastAsia" w:ascii="仿宋" w:hAnsi="仿宋" w:eastAsia="仿宋" w:cs="仿宋"/>
                <w:color w:val="auto"/>
                <w:sz w:val="24"/>
                <w:szCs w:val="24"/>
                <w:lang w:val="en-US" w:eastAsia="zh-CN"/>
              </w:rPr>
              <w:t>13</w:t>
            </w:r>
            <w:r>
              <w:rPr>
                <w:rFonts w:hint="eastAsia" w:ascii="仿宋" w:hAnsi="仿宋" w:eastAsia="仿宋" w:cs="仿宋"/>
                <w:color w:val="auto"/>
                <w:sz w:val="24"/>
                <w:szCs w:val="24"/>
              </w:rPr>
              <w:t>点00分（北京时间）</w:t>
            </w:r>
          </w:p>
          <w:p>
            <w:pPr>
              <w:spacing w:before="120"/>
              <w:jc w:val="left"/>
              <w:rPr>
                <w:rFonts w:ascii="仿宋" w:hAnsi="仿宋" w:eastAsia="仿宋" w:cs="仿宋"/>
                <w:color w:val="auto"/>
                <w:sz w:val="24"/>
                <w:szCs w:val="24"/>
              </w:rPr>
            </w:pPr>
            <w:r>
              <w:rPr>
                <w:rFonts w:hint="eastAsia" w:ascii="仿宋" w:hAnsi="仿宋" w:eastAsia="仿宋" w:cs="仿宋"/>
                <w:color w:val="auto"/>
                <w:sz w:val="24"/>
                <w:szCs w:val="24"/>
              </w:rPr>
              <w:t>开标地点：航空轮胎大科学中心（广东省广州市黄埔区九龙镇永龙大道埔之岭农庄对面）1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层</w:t>
            </w:r>
            <w:r>
              <w:rPr>
                <w:rFonts w:hint="eastAsia" w:ascii="仿宋" w:hAnsi="仿宋" w:eastAsia="仿宋" w:cs="仿宋"/>
                <w:color w:val="auto"/>
                <w:sz w:val="24"/>
                <w:szCs w:val="24"/>
                <w:lang w:val="en-US" w:eastAsia="zh-CN"/>
              </w:rPr>
              <w:t>1218</w:t>
            </w:r>
            <w:r>
              <w:rPr>
                <w:rFonts w:hint="eastAsia" w:ascii="仿宋" w:hAnsi="仿宋" w:eastAsia="仿宋" w:cs="仿宋"/>
                <w:color w:val="auto"/>
                <w:sz w:val="24"/>
                <w:szCs w:val="24"/>
              </w:rPr>
              <w:t>会议室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20" w:type="dxa"/>
            <w:vAlign w:val="center"/>
          </w:tcPr>
          <w:p>
            <w:pPr>
              <w:spacing w:before="120"/>
              <w:jc w:val="center"/>
              <w:rPr>
                <w:rFonts w:ascii="仿宋" w:hAnsi="仿宋" w:eastAsia="仿宋" w:cs="仿宋"/>
                <w:color w:val="auto"/>
                <w:sz w:val="24"/>
                <w:szCs w:val="24"/>
              </w:rPr>
            </w:pPr>
            <w:r>
              <w:rPr>
                <w:rFonts w:hint="eastAsia" w:ascii="仿宋" w:hAnsi="仿宋" w:eastAsia="仿宋" w:cs="仿宋"/>
                <w:color w:val="auto"/>
                <w:sz w:val="24"/>
                <w:szCs w:val="24"/>
              </w:rPr>
              <w:t>*22.4</w:t>
            </w:r>
          </w:p>
        </w:tc>
        <w:tc>
          <w:tcPr>
            <w:tcW w:w="7691" w:type="dxa"/>
            <w:vAlign w:val="center"/>
          </w:tcPr>
          <w:p>
            <w:pPr>
              <w:spacing w:before="120"/>
              <w:jc w:val="left"/>
              <w:rPr>
                <w:rFonts w:ascii="仿宋" w:hAnsi="仿宋" w:eastAsia="仿宋" w:cs="仿宋"/>
                <w:color w:val="auto"/>
                <w:sz w:val="24"/>
                <w:szCs w:val="24"/>
              </w:rPr>
            </w:pPr>
            <w:r>
              <w:rPr>
                <w:rFonts w:hint="eastAsia" w:ascii="仿宋" w:hAnsi="仿宋" w:eastAsia="仿宋" w:cs="仿宋"/>
                <w:color w:val="auto"/>
                <w:sz w:val="24"/>
                <w:szCs w:val="24"/>
              </w:rPr>
              <w:t>本项目多家供应商提供的核心产品品牌相同的，按供应商须知22.4.2条规定处理。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20" w:type="dxa"/>
            <w:vAlign w:val="center"/>
          </w:tcPr>
          <w:p>
            <w:pPr>
              <w:spacing w:before="120"/>
              <w:jc w:val="center"/>
              <w:rPr>
                <w:rFonts w:ascii="仿宋" w:hAnsi="仿宋" w:eastAsia="仿宋" w:cs="仿宋"/>
                <w:color w:val="auto"/>
                <w:sz w:val="24"/>
                <w:szCs w:val="24"/>
              </w:rPr>
            </w:pPr>
            <w:r>
              <w:rPr>
                <w:rFonts w:hint="eastAsia" w:ascii="仿宋" w:hAnsi="仿宋" w:eastAsia="仿宋" w:cs="仿宋"/>
                <w:color w:val="auto"/>
                <w:sz w:val="24"/>
                <w:szCs w:val="24"/>
              </w:rPr>
              <w:t>23.1</w:t>
            </w:r>
          </w:p>
        </w:tc>
        <w:tc>
          <w:tcPr>
            <w:tcW w:w="7691" w:type="dxa"/>
          </w:tcPr>
          <w:p>
            <w:pPr>
              <w:spacing w:before="120"/>
              <w:jc w:val="left"/>
              <w:rPr>
                <w:rFonts w:ascii="仿宋" w:hAnsi="仿宋" w:eastAsia="仿宋" w:cs="仿宋"/>
                <w:color w:val="auto"/>
                <w:sz w:val="24"/>
                <w:szCs w:val="24"/>
              </w:rPr>
            </w:pPr>
            <w:r>
              <w:rPr>
                <w:rFonts w:hint="eastAsia" w:ascii="仿宋" w:hAnsi="仿宋" w:eastAsia="仿宋" w:cs="仿宋"/>
                <w:color w:val="auto"/>
                <w:sz w:val="24"/>
                <w:szCs w:val="24"/>
              </w:rPr>
              <w:t>评标方法：</w:t>
            </w:r>
            <w:r>
              <w:rPr>
                <w:rFonts w:hint="eastAsia" w:ascii="仿宋" w:hAnsi="仿宋" w:eastAsia="仿宋" w:cs="仿宋"/>
                <w:color w:val="auto"/>
                <w:sz w:val="24"/>
                <w:szCs w:val="24"/>
                <w:u w:val="single"/>
              </w:rPr>
              <w:t>综合评分法</w:t>
            </w:r>
          </w:p>
          <w:p>
            <w:pPr>
              <w:spacing w:before="120"/>
              <w:jc w:val="left"/>
              <w:rPr>
                <w:rFonts w:ascii="仿宋" w:hAnsi="仿宋" w:eastAsia="仿宋" w:cs="仿宋"/>
                <w:color w:val="auto"/>
                <w:sz w:val="24"/>
                <w:szCs w:val="24"/>
              </w:rPr>
            </w:pPr>
            <w:r>
              <w:rPr>
                <w:rFonts w:hint="eastAsia" w:ascii="仿宋" w:hAnsi="仿宋" w:eastAsia="仿宋" w:cs="仿宋"/>
                <w:iCs/>
                <w:color w:val="auto"/>
                <w:sz w:val="24"/>
                <w:szCs w:val="24"/>
              </w:rPr>
              <w:t>分值如下：</w:t>
            </w:r>
            <w:r>
              <w:rPr>
                <w:rFonts w:hint="eastAsia" w:ascii="仿宋" w:hAnsi="仿宋" w:eastAsia="仿宋" w:cs="仿宋"/>
                <w:color w:val="auto"/>
                <w:sz w:val="24"/>
                <w:szCs w:val="24"/>
                <w:u w:val="single"/>
              </w:rPr>
              <w:t>详见第七章</w:t>
            </w:r>
            <w:r>
              <w:rPr>
                <w:rFonts w:hint="eastAsia" w:ascii="仿宋" w:hAnsi="仿宋" w:eastAsia="仿宋" w:cs="仿宋"/>
                <w:bCs/>
                <w:color w:val="auto"/>
                <w:kern w:val="0"/>
                <w:sz w:val="24"/>
                <w:szCs w:val="24"/>
                <w:u w:val="single"/>
              </w:rPr>
              <w:t>《评标方法和标准》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20" w:type="dxa"/>
            <w:vAlign w:val="center"/>
          </w:tcPr>
          <w:p>
            <w:pPr>
              <w:spacing w:before="120"/>
              <w:jc w:val="center"/>
              <w:rPr>
                <w:rFonts w:ascii="仿宋" w:hAnsi="仿宋" w:eastAsia="仿宋" w:cs="仿宋"/>
                <w:color w:val="auto"/>
                <w:sz w:val="24"/>
                <w:szCs w:val="24"/>
              </w:rPr>
            </w:pPr>
            <w:r>
              <w:rPr>
                <w:rFonts w:hint="eastAsia" w:ascii="仿宋" w:hAnsi="仿宋" w:eastAsia="仿宋" w:cs="仿宋"/>
                <w:color w:val="auto"/>
                <w:sz w:val="24"/>
                <w:szCs w:val="24"/>
              </w:rPr>
              <w:t>*29.1</w:t>
            </w:r>
          </w:p>
        </w:tc>
        <w:tc>
          <w:tcPr>
            <w:tcW w:w="7691" w:type="dxa"/>
            <w:vAlign w:val="center"/>
          </w:tcPr>
          <w:p>
            <w:pPr>
              <w:spacing w:before="120"/>
              <w:jc w:val="left"/>
              <w:rPr>
                <w:rFonts w:ascii="仿宋" w:hAnsi="仿宋" w:eastAsia="仿宋" w:cs="仿宋"/>
                <w:color w:val="auto"/>
                <w:sz w:val="24"/>
                <w:szCs w:val="24"/>
              </w:rPr>
            </w:pPr>
            <w:r>
              <w:rPr>
                <w:rFonts w:hint="eastAsia" w:ascii="仿宋" w:hAnsi="仿宋" w:eastAsia="仿宋" w:cs="仿宋"/>
                <w:color w:val="auto"/>
                <w:sz w:val="24"/>
                <w:szCs w:val="24"/>
              </w:rPr>
              <w:t>本项目履约保证金：</w:t>
            </w:r>
            <w:r>
              <w:rPr>
                <w:rFonts w:hint="eastAsia" w:ascii="仿宋" w:hAnsi="仿宋" w:eastAsia="仿宋" w:cs="仿宋"/>
                <w:b/>
                <w:bCs/>
                <w:color w:val="auto"/>
                <w:sz w:val="24"/>
                <w:szCs w:val="24"/>
              </w:rPr>
              <w:t xml:space="preserve">本项目不适用 </w:t>
            </w:r>
          </w:p>
          <w:p>
            <w:pPr>
              <w:spacing w:before="120"/>
              <w:jc w:val="left"/>
              <w:rPr>
                <w:rFonts w:ascii="仿宋" w:hAnsi="仿宋" w:eastAsia="仿宋" w:cs="仿宋"/>
                <w:color w:val="auto"/>
                <w:sz w:val="24"/>
                <w:szCs w:val="24"/>
              </w:rPr>
            </w:pPr>
            <w:r>
              <w:rPr>
                <w:rFonts w:hint="eastAsia" w:ascii="仿宋" w:hAnsi="仿宋" w:eastAsia="仿宋" w:cs="仿宋"/>
                <w:color w:val="auto"/>
                <w:sz w:val="24"/>
                <w:szCs w:val="24"/>
              </w:rPr>
              <w:t>1、提交履约保证金的时间：签订合同后</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个日历日内</w:t>
            </w:r>
          </w:p>
          <w:p>
            <w:pPr>
              <w:spacing w:before="120"/>
              <w:jc w:val="left"/>
              <w:rPr>
                <w:rFonts w:ascii="仿宋" w:hAnsi="仿宋" w:eastAsia="仿宋" w:cs="仿宋"/>
                <w:color w:val="auto"/>
                <w:sz w:val="24"/>
                <w:szCs w:val="24"/>
              </w:rPr>
            </w:pPr>
            <w:r>
              <w:rPr>
                <w:rFonts w:hint="eastAsia" w:ascii="仿宋" w:hAnsi="仿宋" w:eastAsia="仿宋" w:cs="仿宋"/>
                <w:color w:val="auto"/>
                <w:sz w:val="24"/>
                <w:szCs w:val="24"/>
              </w:rPr>
              <w:t>2、履约保证金金额：</w:t>
            </w:r>
            <w:r>
              <w:rPr>
                <w:rFonts w:hint="eastAsia" w:ascii="仿宋" w:hAnsi="仿宋" w:eastAsia="仿宋" w:cs="仿宋"/>
                <w:color w:val="auto"/>
                <w:sz w:val="24"/>
                <w:szCs w:val="24"/>
                <w:u w:val="single"/>
              </w:rPr>
              <w:t xml:space="preserve"> 合同金额的10%</w:t>
            </w:r>
          </w:p>
          <w:p>
            <w:pPr>
              <w:widowControl/>
              <w:spacing w:before="120"/>
              <w:ind w:left="1"/>
              <w:rPr>
                <w:rFonts w:ascii="仿宋" w:hAnsi="仿宋" w:eastAsia="仿宋" w:cs="仿宋"/>
                <w:color w:val="auto"/>
                <w:sz w:val="24"/>
                <w:szCs w:val="24"/>
              </w:rPr>
            </w:pPr>
            <w:r>
              <w:rPr>
                <w:rFonts w:hint="eastAsia" w:ascii="仿宋" w:hAnsi="仿宋" w:eastAsia="仿宋" w:cs="仿宋"/>
                <w:color w:val="auto"/>
                <w:sz w:val="24"/>
                <w:szCs w:val="24"/>
              </w:rPr>
              <w:t>3、经采购人同意，中标人可以选择采用专业担保机构保函形式交纳履约保证金，保函格式构详见招标文件附件11、附件12；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20" w:type="dxa"/>
            <w:vAlign w:val="center"/>
          </w:tcPr>
          <w:p>
            <w:pPr>
              <w:spacing w:before="120"/>
              <w:jc w:val="center"/>
              <w:rPr>
                <w:rFonts w:ascii="仿宋" w:hAnsi="仿宋" w:eastAsia="仿宋" w:cs="仿宋"/>
                <w:color w:val="auto"/>
                <w:sz w:val="24"/>
                <w:szCs w:val="24"/>
              </w:rPr>
            </w:pPr>
            <w:r>
              <w:rPr>
                <w:rFonts w:hint="eastAsia" w:ascii="仿宋" w:hAnsi="仿宋" w:eastAsia="仿宋" w:cs="仿宋"/>
                <w:color w:val="auto"/>
                <w:sz w:val="24"/>
                <w:szCs w:val="24"/>
              </w:rPr>
              <w:t>其他</w:t>
            </w:r>
          </w:p>
        </w:tc>
        <w:tc>
          <w:tcPr>
            <w:tcW w:w="7691" w:type="dxa"/>
            <w:vAlign w:val="center"/>
          </w:tcPr>
          <w:p>
            <w:pPr>
              <w:ind w:left="14" w:hanging="14" w:hangingChars="6"/>
              <w:rPr>
                <w:rFonts w:ascii="仿宋" w:hAnsi="仿宋" w:eastAsia="仿宋" w:cs="仿宋"/>
                <w:color w:val="auto"/>
                <w:sz w:val="24"/>
              </w:rPr>
            </w:pPr>
            <w:r>
              <w:rPr>
                <w:rFonts w:hint="eastAsia" w:ascii="仿宋" w:hAnsi="仿宋" w:eastAsia="仿宋" w:cs="仿宋"/>
                <w:color w:val="auto"/>
                <w:sz w:val="24"/>
              </w:rPr>
              <w:t>1如允许采购进口产品，进口产品与服务报免税人民币总包价（包括：CIP指定到货港/机场的免税人民币价格加上外贸代理费加上进口环节的全部费用，包括但不限于报关费、卫检费、动、植物检验检疫费、商检费、仓储费、运保费、装卸费等其他费用。比例一般不超过货款金额的1%，实际发生费用实报实销。外贸代理公司由采购人指定。如涉及惩罚性关税，应承诺由中标商自行承担。</w:t>
            </w:r>
          </w:p>
          <w:p>
            <w:pPr>
              <w:ind w:left="374" w:hanging="374" w:hangingChars="156"/>
              <w:rPr>
                <w:rFonts w:ascii="仿宋" w:hAnsi="仿宋" w:eastAsia="仿宋" w:cs="仿宋"/>
                <w:color w:val="auto"/>
                <w:sz w:val="24"/>
              </w:rPr>
            </w:pPr>
            <w:r>
              <w:rPr>
                <w:rFonts w:hint="eastAsia" w:ascii="仿宋" w:hAnsi="仿宋" w:eastAsia="仿宋" w:cs="仿宋"/>
                <w:color w:val="auto"/>
                <w:sz w:val="24"/>
              </w:rPr>
              <w:t>外贸代理费标准如下，以外贸公司实际收费为准：</w:t>
            </w:r>
          </w:p>
          <w:tbl>
            <w:tblPr>
              <w:tblStyle w:val="10"/>
              <w:tblW w:w="7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073"/>
              <w:gridCol w:w="641"/>
              <w:gridCol w:w="1046"/>
              <w:gridCol w:w="1046"/>
              <w:gridCol w:w="1204"/>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shd w:val="clear" w:color="auto" w:fill="auto"/>
                </w:tcPr>
                <w:p>
                  <w:pPr>
                    <w:pStyle w:val="9"/>
                    <w:ind w:firstLine="0" w:firstLineChars="0"/>
                    <w:rPr>
                      <w:rFonts w:ascii="仿宋" w:hAnsi="仿宋" w:eastAsia="仿宋" w:cs="仿宋"/>
                      <w:color w:val="auto"/>
                      <w:sz w:val="24"/>
                    </w:rPr>
                  </w:pPr>
                  <w:r>
                    <w:rPr>
                      <w:rFonts w:hint="eastAsia" w:ascii="仿宋" w:hAnsi="仿宋" w:eastAsia="仿宋" w:cs="仿宋"/>
                      <w:color w:val="auto"/>
                      <w:sz w:val="24"/>
                    </w:rPr>
                    <w:t>进口合同货款金额（人民币：万元）</w:t>
                  </w:r>
                </w:p>
              </w:tc>
              <w:tc>
                <w:tcPr>
                  <w:tcW w:w="1073" w:type="dxa"/>
                  <w:shd w:val="clear" w:color="auto" w:fill="auto"/>
                </w:tcPr>
                <w:p>
                  <w:pPr>
                    <w:pStyle w:val="9"/>
                    <w:ind w:firstLine="0" w:firstLineChars="0"/>
                    <w:rPr>
                      <w:rFonts w:ascii="仿宋" w:hAnsi="仿宋" w:eastAsia="仿宋" w:cs="仿宋"/>
                      <w:color w:val="auto"/>
                      <w:sz w:val="24"/>
                    </w:rPr>
                  </w:pPr>
                  <w:r>
                    <w:rPr>
                      <w:rFonts w:hint="eastAsia" w:ascii="仿宋" w:hAnsi="仿宋" w:eastAsia="仿宋" w:cs="仿宋"/>
                      <w:color w:val="auto"/>
                      <w:sz w:val="24"/>
                    </w:rPr>
                    <w:t>最低代理费（元）</w:t>
                  </w:r>
                </w:p>
              </w:tc>
              <w:tc>
                <w:tcPr>
                  <w:tcW w:w="641" w:type="dxa"/>
                  <w:shd w:val="clear" w:color="auto" w:fill="auto"/>
                </w:tcPr>
                <w:p>
                  <w:pPr>
                    <w:pStyle w:val="9"/>
                    <w:ind w:firstLine="0" w:firstLineChars="0"/>
                    <w:rPr>
                      <w:rFonts w:ascii="仿宋" w:hAnsi="仿宋" w:eastAsia="仿宋" w:cs="仿宋"/>
                      <w:color w:val="auto"/>
                      <w:sz w:val="24"/>
                    </w:rPr>
                  </w:pPr>
                  <w:r>
                    <w:rPr>
                      <w:rFonts w:hint="eastAsia" w:ascii="仿宋" w:hAnsi="仿宋" w:eastAsia="仿宋" w:cs="仿宋"/>
                      <w:color w:val="auto"/>
                      <w:sz w:val="24"/>
                    </w:rPr>
                    <w:t>&lt;50</w:t>
                  </w:r>
                </w:p>
              </w:tc>
              <w:tc>
                <w:tcPr>
                  <w:tcW w:w="1046" w:type="dxa"/>
                  <w:shd w:val="clear" w:color="auto" w:fill="auto"/>
                </w:tcPr>
                <w:p>
                  <w:pPr>
                    <w:pStyle w:val="9"/>
                    <w:ind w:firstLine="240"/>
                    <w:rPr>
                      <w:rFonts w:ascii="仿宋" w:hAnsi="仿宋" w:eastAsia="仿宋" w:cs="仿宋"/>
                      <w:color w:val="auto"/>
                      <w:sz w:val="24"/>
                    </w:rPr>
                  </w:pPr>
                  <w:r>
                    <w:rPr>
                      <w:rFonts w:hint="eastAsia" w:ascii="仿宋" w:hAnsi="仿宋" w:eastAsia="仿宋" w:cs="仿宋"/>
                      <w:color w:val="auto"/>
                      <w:sz w:val="24"/>
                    </w:rPr>
                    <w:t>50~200(含50）</w:t>
                  </w:r>
                </w:p>
              </w:tc>
              <w:tc>
                <w:tcPr>
                  <w:tcW w:w="1046" w:type="dxa"/>
                  <w:shd w:val="clear" w:color="auto" w:fill="auto"/>
                </w:tcPr>
                <w:p>
                  <w:pPr>
                    <w:pStyle w:val="9"/>
                    <w:ind w:firstLine="240"/>
                    <w:rPr>
                      <w:rFonts w:ascii="仿宋" w:hAnsi="仿宋" w:eastAsia="仿宋" w:cs="仿宋"/>
                      <w:color w:val="auto"/>
                      <w:sz w:val="24"/>
                    </w:rPr>
                  </w:pPr>
                  <w:r>
                    <w:rPr>
                      <w:rFonts w:hint="eastAsia" w:ascii="仿宋" w:hAnsi="仿宋" w:eastAsia="仿宋" w:cs="仿宋"/>
                      <w:color w:val="auto"/>
                      <w:sz w:val="24"/>
                    </w:rPr>
                    <w:t>200~500（含200）</w:t>
                  </w:r>
                </w:p>
              </w:tc>
              <w:tc>
                <w:tcPr>
                  <w:tcW w:w="1204" w:type="dxa"/>
                  <w:shd w:val="clear" w:color="auto" w:fill="auto"/>
                </w:tcPr>
                <w:p>
                  <w:pPr>
                    <w:pStyle w:val="9"/>
                    <w:ind w:firstLine="0" w:firstLineChars="0"/>
                    <w:rPr>
                      <w:rFonts w:ascii="仿宋" w:hAnsi="仿宋" w:eastAsia="仿宋" w:cs="仿宋"/>
                      <w:color w:val="auto"/>
                      <w:sz w:val="24"/>
                    </w:rPr>
                  </w:pPr>
                  <w:r>
                    <w:rPr>
                      <w:rFonts w:hint="eastAsia" w:ascii="仿宋" w:hAnsi="仿宋" w:eastAsia="仿宋" w:cs="仿宋"/>
                      <w:color w:val="auto"/>
                      <w:sz w:val="24"/>
                    </w:rPr>
                    <w:t>500~1000（含500）</w:t>
                  </w:r>
                </w:p>
              </w:tc>
              <w:tc>
                <w:tcPr>
                  <w:tcW w:w="890" w:type="dxa"/>
                  <w:shd w:val="clear" w:color="auto" w:fill="auto"/>
                </w:tcPr>
                <w:p>
                  <w:pPr>
                    <w:pStyle w:val="9"/>
                    <w:ind w:firstLine="240"/>
                    <w:rPr>
                      <w:rFonts w:ascii="仿宋" w:hAnsi="仿宋" w:eastAsia="仿宋" w:cs="仿宋"/>
                      <w:color w:val="auto"/>
                      <w:sz w:val="24"/>
                    </w:rPr>
                  </w:pPr>
                  <w:r>
                    <w:rPr>
                      <w:rFonts w:hint="eastAsia" w:ascii="仿宋" w:hAnsi="仿宋" w:eastAsia="仿宋" w:cs="仿宋"/>
                      <w:color w:val="auto"/>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shd w:val="clear" w:color="auto" w:fill="auto"/>
                </w:tcPr>
                <w:p>
                  <w:pPr>
                    <w:pStyle w:val="9"/>
                    <w:ind w:firstLine="0" w:firstLineChars="0"/>
                    <w:rPr>
                      <w:rFonts w:ascii="仿宋" w:hAnsi="仿宋" w:eastAsia="仿宋" w:cs="仿宋"/>
                      <w:color w:val="auto"/>
                      <w:sz w:val="24"/>
                    </w:rPr>
                  </w:pPr>
                  <w:r>
                    <w:rPr>
                      <w:rFonts w:hint="eastAsia" w:ascii="仿宋" w:hAnsi="仿宋" w:eastAsia="仿宋" w:cs="仿宋"/>
                      <w:color w:val="auto"/>
                      <w:sz w:val="24"/>
                    </w:rPr>
                    <w:t>代理进口服务费率（百分比）</w:t>
                  </w:r>
                </w:p>
              </w:tc>
              <w:tc>
                <w:tcPr>
                  <w:tcW w:w="1073" w:type="dxa"/>
                  <w:shd w:val="clear" w:color="auto" w:fill="auto"/>
                </w:tcPr>
                <w:p>
                  <w:pPr>
                    <w:pStyle w:val="9"/>
                    <w:ind w:firstLine="240"/>
                    <w:rPr>
                      <w:rFonts w:ascii="仿宋" w:hAnsi="仿宋" w:eastAsia="仿宋" w:cs="仿宋"/>
                      <w:color w:val="auto"/>
                      <w:sz w:val="24"/>
                    </w:rPr>
                  </w:pPr>
                  <w:r>
                    <w:rPr>
                      <w:rFonts w:hint="eastAsia" w:ascii="仿宋" w:hAnsi="仿宋" w:eastAsia="仿宋" w:cs="仿宋"/>
                      <w:color w:val="auto"/>
                      <w:sz w:val="24"/>
                    </w:rPr>
                    <w:t>4000</w:t>
                  </w:r>
                </w:p>
              </w:tc>
              <w:tc>
                <w:tcPr>
                  <w:tcW w:w="641" w:type="dxa"/>
                  <w:shd w:val="clear" w:color="auto" w:fill="auto"/>
                </w:tcPr>
                <w:p>
                  <w:pPr>
                    <w:pStyle w:val="9"/>
                    <w:ind w:firstLine="0" w:firstLineChars="0"/>
                    <w:rPr>
                      <w:rFonts w:ascii="仿宋" w:hAnsi="仿宋" w:eastAsia="仿宋" w:cs="仿宋"/>
                      <w:color w:val="auto"/>
                      <w:sz w:val="24"/>
                    </w:rPr>
                  </w:pPr>
                  <w:r>
                    <w:rPr>
                      <w:rFonts w:hint="eastAsia" w:ascii="仿宋" w:hAnsi="仿宋" w:eastAsia="仿宋" w:cs="仿宋"/>
                      <w:color w:val="auto"/>
                      <w:sz w:val="24"/>
                    </w:rPr>
                    <w:t>2%</w:t>
                  </w:r>
                </w:p>
              </w:tc>
              <w:tc>
                <w:tcPr>
                  <w:tcW w:w="1046" w:type="dxa"/>
                  <w:shd w:val="clear" w:color="auto" w:fill="auto"/>
                </w:tcPr>
                <w:p>
                  <w:pPr>
                    <w:pStyle w:val="9"/>
                    <w:ind w:firstLine="240"/>
                    <w:rPr>
                      <w:rFonts w:ascii="仿宋" w:hAnsi="仿宋" w:eastAsia="仿宋" w:cs="仿宋"/>
                      <w:color w:val="auto"/>
                      <w:sz w:val="24"/>
                    </w:rPr>
                  </w:pPr>
                  <w:r>
                    <w:rPr>
                      <w:rFonts w:hint="eastAsia" w:ascii="仿宋" w:hAnsi="仿宋" w:eastAsia="仿宋" w:cs="仿宋"/>
                      <w:color w:val="auto"/>
                      <w:sz w:val="24"/>
                    </w:rPr>
                    <w:t>1.5%</w:t>
                  </w:r>
                </w:p>
              </w:tc>
              <w:tc>
                <w:tcPr>
                  <w:tcW w:w="1046" w:type="dxa"/>
                  <w:shd w:val="clear" w:color="auto" w:fill="auto"/>
                </w:tcPr>
                <w:p>
                  <w:pPr>
                    <w:pStyle w:val="9"/>
                    <w:ind w:firstLine="240"/>
                    <w:rPr>
                      <w:rFonts w:ascii="仿宋" w:hAnsi="仿宋" w:eastAsia="仿宋" w:cs="仿宋"/>
                      <w:color w:val="auto"/>
                      <w:sz w:val="24"/>
                    </w:rPr>
                  </w:pPr>
                  <w:r>
                    <w:rPr>
                      <w:rFonts w:hint="eastAsia" w:ascii="仿宋" w:hAnsi="仿宋" w:eastAsia="仿宋" w:cs="仿宋"/>
                      <w:color w:val="auto"/>
                      <w:sz w:val="24"/>
                    </w:rPr>
                    <w:t>1.1%</w:t>
                  </w:r>
                </w:p>
              </w:tc>
              <w:tc>
                <w:tcPr>
                  <w:tcW w:w="1204" w:type="dxa"/>
                  <w:shd w:val="clear" w:color="auto" w:fill="auto"/>
                </w:tcPr>
                <w:p>
                  <w:pPr>
                    <w:pStyle w:val="9"/>
                    <w:ind w:firstLine="240"/>
                    <w:rPr>
                      <w:rFonts w:ascii="仿宋" w:hAnsi="仿宋" w:eastAsia="仿宋" w:cs="仿宋"/>
                      <w:color w:val="auto"/>
                      <w:sz w:val="24"/>
                    </w:rPr>
                  </w:pPr>
                  <w:r>
                    <w:rPr>
                      <w:rFonts w:hint="eastAsia" w:ascii="仿宋" w:hAnsi="仿宋" w:eastAsia="仿宋" w:cs="仿宋"/>
                      <w:color w:val="auto"/>
                      <w:sz w:val="24"/>
                    </w:rPr>
                    <w:t>0.9%</w:t>
                  </w:r>
                </w:p>
              </w:tc>
              <w:tc>
                <w:tcPr>
                  <w:tcW w:w="890" w:type="dxa"/>
                  <w:shd w:val="clear" w:color="auto" w:fill="auto"/>
                </w:tcPr>
                <w:p>
                  <w:pPr>
                    <w:pStyle w:val="9"/>
                    <w:ind w:firstLine="0" w:firstLineChars="0"/>
                    <w:rPr>
                      <w:rFonts w:ascii="仿宋" w:hAnsi="仿宋" w:eastAsia="仿宋" w:cs="仿宋"/>
                      <w:color w:val="auto"/>
                      <w:sz w:val="24"/>
                    </w:rPr>
                  </w:pPr>
                  <w:r>
                    <w:rPr>
                      <w:rFonts w:hint="eastAsia" w:ascii="仿宋" w:hAnsi="仿宋" w:eastAsia="仿宋" w:cs="仿宋"/>
                      <w:color w:val="auto"/>
                      <w:sz w:val="24"/>
                    </w:rPr>
                    <w:t>0.7%</w:t>
                  </w:r>
                </w:p>
              </w:tc>
            </w:tr>
          </w:tbl>
          <w:p>
            <w:pPr>
              <w:pStyle w:val="9"/>
              <w:ind w:firstLine="210"/>
              <w:rPr>
                <w:color w:val="auto"/>
              </w:rPr>
            </w:pPr>
          </w:p>
          <w:p>
            <w:pPr>
              <w:ind w:left="12" w:hanging="12" w:hangingChars="5"/>
              <w:rPr>
                <w:rFonts w:ascii="仿宋" w:hAnsi="仿宋" w:eastAsia="仿宋" w:cs="仿宋"/>
                <w:color w:val="auto"/>
                <w:sz w:val="24"/>
              </w:rPr>
            </w:pPr>
            <w:r>
              <w:rPr>
                <w:rFonts w:hint="eastAsia" w:ascii="仿宋" w:hAnsi="仿宋" w:eastAsia="仿宋" w:cs="仿宋"/>
                <w:color w:val="auto"/>
                <w:sz w:val="24"/>
              </w:rPr>
              <w:t>2国产产品与服务报项目现场交货人民币价。报价中需包括制造、装配和发运货物所使用的材料、部件及货物本身已支付或将支付的产品税、销售税和其它税费。</w:t>
            </w:r>
          </w:p>
          <w:p>
            <w:pPr>
              <w:ind w:left="374" w:hanging="374" w:hangingChars="156"/>
              <w:rPr>
                <w:rFonts w:ascii="仿宋" w:hAnsi="仿宋" w:eastAsia="仿宋" w:cs="仿宋"/>
                <w:color w:val="auto"/>
                <w:sz w:val="24"/>
              </w:rPr>
            </w:pPr>
            <w:r>
              <w:rPr>
                <w:rFonts w:hint="eastAsia" w:ascii="仿宋" w:hAnsi="仿宋" w:eastAsia="仿宋" w:cs="仿宋"/>
                <w:color w:val="auto"/>
                <w:sz w:val="24"/>
              </w:rPr>
              <w:t>3上述价格的构成须按在分项报价表中格式要求详细列出。</w:t>
            </w:r>
          </w:p>
          <w:p>
            <w:pPr>
              <w:spacing w:before="120"/>
              <w:ind w:firstLine="7" w:firstLineChars="3"/>
              <w:rPr>
                <w:rFonts w:ascii="仿宋" w:hAnsi="仿宋" w:eastAsia="仿宋" w:cs="仿宋"/>
                <w:color w:val="auto"/>
                <w:sz w:val="24"/>
                <w:szCs w:val="24"/>
              </w:rPr>
            </w:pPr>
            <w:r>
              <w:rPr>
                <w:rFonts w:hint="eastAsia" w:ascii="仿宋" w:hAnsi="仿宋" w:eastAsia="仿宋" w:cs="仿宋"/>
                <w:color w:val="auto"/>
                <w:sz w:val="24"/>
              </w:rPr>
              <w:t>4对原产于美国的产品，进口时在正常科创免税之外，中国政府加征的特殊关税由中标人承担。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20" w:type="dxa"/>
            <w:vAlign w:val="center"/>
          </w:tcPr>
          <w:p>
            <w:pPr>
              <w:spacing w:before="120"/>
              <w:jc w:val="center"/>
              <w:rPr>
                <w:rFonts w:ascii="仿宋" w:hAnsi="仿宋" w:eastAsia="仿宋" w:cs="仿宋"/>
                <w:color w:val="auto"/>
                <w:sz w:val="24"/>
                <w:szCs w:val="24"/>
              </w:rPr>
            </w:pPr>
            <w:r>
              <w:rPr>
                <w:rFonts w:hint="eastAsia" w:ascii="仿宋" w:hAnsi="仿宋" w:eastAsia="仿宋" w:cs="仿宋"/>
                <w:color w:val="auto"/>
                <w:sz w:val="24"/>
                <w:szCs w:val="24"/>
              </w:rPr>
              <w:t>33</w:t>
            </w:r>
          </w:p>
        </w:tc>
        <w:tc>
          <w:tcPr>
            <w:tcW w:w="7691" w:type="dxa"/>
            <w:vAlign w:val="center"/>
          </w:tcPr>
          <w:p>
            <w:pPr>
              <w:spacing w:before="120"/>
              <w:ind w:firstLine="7" w:firstLineChars="3"/>
              <w:rPr>
                <w:rFonts w:ascii="仿宋" w:hAnsi="仿宋" w:eastAsia="仿宋" w:cs="仿宋"/>
                <w:color w:val="auto"/>
                <w:sz w:val="24"/>
              </w:rPr>
            </w:pPr>
            <w:r>
              <w:rPr>
                <w:rFonts w:hint="eastAsia" w:ascii="仿宋" w:hAnsi="仿宋" w:eastAsia="仿宋" w:cs="仿宋"/>
                <w:color w:val="auto"/>
                <w:sz w:val="24"/>
                <w:szCs w:val="24"/>
              </w:rPr>
              <w:t>中标服务费的具体收费办法和标准参照原国家发展计划委员会颁发的《招标代理服务收费管理暂行办法》（计价格[2002]1980号）和国家发展改革委办公厅关于招标代理服务收费有关问题的通知（发改办价格[2003]857号）及《国家发改委关于降低部分建设项目收费标准规范收费行为等有关问题的通知》（发改价格[2011]534号）的计算方式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620" w:type="dxa"/>
            <w:vAlign w:val="center"/>
          </w:tcPr>
          <w:p>
            <w:pPr>
              <w:spacing w:before="120"/>
              <w:jc w:val="center"/>
              <w:rPr>
                <w:rFonts w:ascii="仿宋" w:hAnsi="仿宋" w:eastAsia="仿宋" w:cs="仿宋"/>
                <w:color w:val="auto"/>
                <w:sz w:val="24"/>
                <w:szCs w:val="24"/>
              </w:rPr>
            </w:pPr>
          </w:p>
        </w:tc>
        <w:tc>
          <w:tcPr>
            <w:tcW w:w="7691" w:type="dxa"/>
            <w:vAlign w:val="center"/>
          </w:tcPr>
          <w:p>
            <w:pPr>
              <w:spacing w:before="120"/>
              <w:ind w:firstLine="7" w:firstLineChars="3"/>
              <w:rPr>
                <w:rFonts w:ascii="仿宋" w:hAnsi="仿宋" w:eastAsia="仿宋" w:cs="仿宋"/>
                <w:color w:val="auto"/>
                <w:sz w:val="24"/>
                <w:szCs w:val="24"/>
              </w:rPr>
            </w:pPr>
            <w:r>
              <w:rPr>
                <w:rFonts w:hint="eastAsia" w:ascii="仿宋" w:hAnsi="仿宋" w:eastAsia="仿宋" w:cs="仿宋"/>
                <w:b/>
                <w:bCs/>
                <w:color w:val="auto"/>
                <w:sz w:val="24"/>
                <w:szCs w:val="24"/>
              </w:rPr>
              <w:t>为方便评标，请投标人在响应文件目录前提供索引表，包括：商务符合性审查索引表、评分索引表</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Noto Sans Symbols">
    <w:altName w:val="Calibri"/>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BatangChe">
    <w:altName w:val="Malgun Gothic"/>
    <w:panose1 w:val="00000000000000000000"/>
    <w:charset w:val="81"/>
    <w:family w:val="modern"/>
    <w:pitch w:val="default"/>
    <w:sig w:usb0="00000000" w:usb1="00000000"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B344A6"/>
    <w:multiLevelType w:val="multilevel"/>
    <w:tmpl w:val="09B344A6"/>
    <w:lvl w:ilvl="0" w:tentative="0">
      <w:start w:val="1"/>
      <w:numFmt w:val="decimal"/>
      <w:suff w:val="space"/>
      <w:lvlText w:val="10.5.%1."/>
      <w:lvlJc w:val="left"/>
      <w:pPr>
        <w:ind w:left="78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AB2115A"/>
    <w:multiLevelType w:val="multilevel"/>
    <w:tmpl w:val="0AB2115A"/>
    <w:lvl w:ilvl="0" w:tentative="0">
      <w:start w:val="1"/>
      <w:numFmt w:val="decimal"/>
      <w:lvlText w:val="%1."/>
      <w:lvlJc w:val="left"/>
      <w:pPr>
        <w:tabs>
          <w:tab w:val="left" w:pos="794"/>
        </w:tabs>
        <w:ind w:left="794" w:hanging="681"/>
      </w:pPr>
      <w:rPr>
        <w:rFonts w:hint="eastAsia"/>
        <w:color w:val="000000"/>
      </w:rPr>
    </w:lvl>
    <w:lvl w:ilvl="1" w:tentative="0">
      <w:start w:val="2"/>
      <w:numFmt w:val="japaneseCounting"/>
      <w:lvlText w:val="第%2章"/>
      <w:lvlJc w:val="left"/>
      <w:pPr>
        <w:tabs>
          <w:tab w:val="left" w:pos="1500"/>
        </w:tabs>
        <w:ind w:left="1500" w:hanging="1080"/>
      </w:pPr>
      <w:rPr>
        <w:rFonts w:hint="default"/>
        <w:sz w:val="36"/>
        <w:szCs w:val="36"/>
      </w:rPr>
    </w:lvl>
    <w:lvl w:ilvl="2" w:tentative="0">
      <w:start w:val="1"/>
      <w:numFmt w:val="decimal"/>
      <w:lvlText w:val="（%3）"/>
      <w:lvlJc w:val="left"/>
      <w:pPr>
        <w:tabs>
          <w:tab w:val="left" w:pos="840"/>
        </w:tabs>
        <w:ind w:left="840" w:hanging="420"/>
      </w:pPr>
      <w:rPr>
        <w:rFonts w:hint="eastAsia"/>
      </w:rPr>
    </w:lvl>
    <w:lvl w:ilvl="3" w:tentative="0">
      <w:start w:val="1"/>
      <w:numFmt w:val="decimal"/>
      <w:lvlText w:val="7.%4."/>
      <w:lvlJc w:val="left"/>
      <w:pPr>
        <w:tabs>
          <w:tab w:val="left" w:pos="1644"/>
        </w:tabs>
        <w:ind w:left="1644" w:hanging="85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66B4561"/>
    <w:multiLevelType w:val="multilevel"/>
    <w:tmpl w:val="166B4561"/>
    <w:lvl w:ilvl="0" w:tentative="0">
      <w:start w:val="1"/>
      <w:numFmt w:val="decimal"/>
      <w:suff w:val="space"/>
      <w:lvlText w:val="%1）"/>
      <w:lvlJc w:val="left"/>
      <w:pPr>
        <w:ind w:left="0" w:firstLine="0"/>
      </w:pPr>
      <w:rPr>
        <w:rFonts w:hint="default"/>
        <w:b w:val="0"/>
        <w:bCs/>
      </w:rPr>
    </w:lvl>
    <w:lvl w:ilvl="1" w:tentative="0">
      <w:start w:val="1"/>
      <w:numFmt w:val="lowerLetter"/>
      <w:lvlText w:val="%2)"/>
      <w:lvlJc w:val="left"/>
      <w:pPr>
        <w:ind w:left="1350" w:hanging="420"/>
      </w:p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abstractNum w:abstractNumId="3">
    <w:nsid w:val="187C10F5"/>
    <w:multiLevelType w:val="multilevel"/>
    <w:tmpl w:val="187C10F5"/>
    <w:lvl w:ilvl="0" w:tentative="0">
      <w:start w:val="1"/>
      <w:numFmt w:val="decimal"/>
      <w:lvlText w:val="4.%1."/>
      <w:lvlJc w:val="left"/>
      <w:pPr>
        <w:ind w:left="440" w:hanging="440"/>
      </w:pPr>
      <w:rPr>
        <w:rFonts w:hint="default"/>
        <w:b w:val="0"/>
        <w:sz w:val="22"/>
        <w:szCs w:val="22"/>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19B52C13"/>
    <w:multiLevelType w:val="singleLevel"/>
    <w:tmpl w:val="19B52C13"/>
    <w:lvl w:ilvl="0" w:tentative="0">
      <w:start w:val="3"/>
      <w:numFmt w:val="decimal"/>
      <w:lvlText w:val="%1."/>
      <w:lvlJc w:val="left"/>
      <w:pPr>
        <w:tabs>
          <w:tab w:val="left" w:pos="312"/>
        </w:tabs>
      </w:pPr>
    </w:lvl>
  </w:abstractNum>
  <w:abstractNum w:abstractNumId="5">
    <w:nsid w:val="1AFF6C2F"/>
    <w:multiLevelType w:val="multilevel"/>
    <w:tmpl w:val="1AFF6C2F"/>
    <w:lvl w:ilvl="0" w:tentative="0">
      <w:start w:val="1"/>
      <w:numFmt w:val="decimal"/>
      <w:suff w:val="space"/>
      <w:lvlText w:val="11.%1."/>
      <w:lvlJc w:val="left"/>
      <w:pPr>
        <w:ind w:left="720" w:hanging="360"/>
      </w:pPr>
      <w:rPr>
        <w:rFonts w:hint="eastAsia"/>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CA239DC"/>
    <w:multiLevelType w:val="multilevel"/>
    <w:tmpl w:val="1CA239DC"/>
    <w:lvl w:ilvl="0" w:tentative="0">
      <w:start w:val="1"/>
      <w:numFmt w:val="decimal"/>
      <w:lvlText w:val="8.%1."/>
      <w:lvlJc w:val="left"/>
      <w:pPr>
        <w:ind w:left="720" w:hanging="360"/>
      </w:pPr>
      <w:rPr>
        <w:rFonts w:hint="eastAsia"/>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1003979"/>
    <w:multiLevelType w:val="multilevel"/>
    <w:tmpl w:val="21003979"/>
    <w:lvl w:ilvl="0" w:tentative="0">
      <w:start w:val="1"/>
      <w:numFmt w:val="decimal"/>
      <w:suff w:val="space"/>
      <w:lvlText w:val="10.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23216EC"/>
    <w:multiLevelType w:val="multilevel"/>
    <w:tmpl w:val="223216EC"/>
    <w:lvl w:ilvl="0" w:tentative="0">
      <w:start w:val="1"/>
      <w:numFmt w:val="decimal"/>
      <w:lvlText w:val="%1．"/>
      <w:lvlJc w:val="left"/>
      <w:pPr>
        <w:ind w:left="360" w:hanging="360"/>
      </w:pPr>
      <w:rPr>
        <w:rFonts w:hint="default"/>
        <w:b/>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9">
    <w:nsid w:val="25ED3C63"/>
    <w:multiLevelType w:val="multilevel"/>
    <w:tmpl w:val="25ED3C63"/>
    <w:lvl w:ilvl="0" w:tentative="0">
      <w:start w:val="1"/>
      <w:numFmt w:val="decimal"/>
      <w:suff w:val="space"/>
      <w:lvlText w:val="10.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B1D2B87"/>
    <w:multiLevelType w:val="multilevel"/>
    <w:tmpl w:val="2B1D2B87"/>
    <w:lvl w:ilvl="0" w:tentative="0">
      <w:start w:val="1"/>
      <w:numFmt w:val="decimal"/>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E2DCE59"/>
    <w:multiLevelType w:val="singleLevel"/>
    <w:tmpl w:val="2E2DCE59"/>
    <w:lvl w:ilvl="0" w:tentative="0">
      <w:start w:val="3"/>
      <w:numFmt w:val="decimal"/>
      <w:suff w:val="nothing"/>
      <w:lvlText w:val="%1、"/>
      <w:lvlJc w:val="left"/>
    </w:lvl>
  </w:abstractNum>
  <w:abstractNum w:abstractNumId="12">
    <w:nsid w:val="35036FE9"/>
    <w:multiLevelType w:val="multilevel"/>
    <w:tmpl w:val="35036FE9"/>
    <w:lvl w:ilvl="0" w:tentative="0">
      <w:start w:val="1"/>
      <w:numFmt w:val="decimal"/>
      <w:suff w:val="space"/>
      <w:lvlText w:val="10.%1."/>
      <w:lvlJc w:val="left"/>
      <w:pPr>
        <w:ind w:left="720" w:hanging="360"/>
      </w:pPr>
      <w:rPr>
        <w:rFonts w:hint="default" w:ascii="Times New Roman" w:hAnsi="Times New Roman" w:cs="Times New Roman"/>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3EA17228"/>
    <w:multiLevelType w:val="multilevel"/>
    <w:tmpl w:val="3EA17228"/>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F62623D"/>
    <w:multiLevelType w:val="multilevel"/>
    <w:tmpl w:val="3F62623D"/>
    <w:lvl w:ilvl="0" w:tentative="0">
      <w:start w:val="1"/>
      <w:numFmt w:val="decimal"/>
      <w:suff w:val="space"/>
      <w:lvlText w:val="10.4.%1."/>
      <w:lvlJc w:val="left"/>
      <w:pPr>
        <w:ind w:left="420" w:hanging="42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5">
    <w:nsid w:val="4A95723A"/>
    <w:multiLevelType w:val="multilevel"/>
    <w:tmpl w:val="4A95723A"/>
    <w:lvl w:ilvl="0" w:tentative="0">
      <w:start w:val="1"/>
      <w:numFmt w:val="decimal"/>
      <w:lvlText w:val="5.%1."/>
      <w:lvlJc w:val="left"/>
      <w:pPr>
        <w:ind w:left="720" w:hanging="360"/>
      </w:pPr>
      <w:rPr>
        <w:rFonts w:hint="default"/>
        <w:b w:val="0"/>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11D1EBF"/>
    <w:multiLevelType w:val="multilevel"/>
    <w:tmpl w:val="511D1EBF"/>
    <w:lvl w:ilvl="0" w:tentative="0">
      <w:start w:val="1"/>
      <w:numFmt w:val="decimal"/>
      <w:lvlText w:val="7.%1."/>
      <w:lvlJc w:val="left"/>
      <w:pPr>
        <w:ind w:left="72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A2054B1"/>
    <w:multiLevelType w:val="multilevel"/>
    <w:tmpl w:val="5A2054B1"/>
    <w:lvl w:ilvl="0" w:tentative="0">
      <w:start w:val="1"/>
      <w:numFmt w:val="decimal"/>
      <w:lvlText w:val="1.%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A5F39A7"/>
    <w:multiLevelType w:val="multilevel"/>
    <w:tmpl w:val="5A5F39A7"/>
    <w:lvl w:ilvl="0" w:tentative="0">
      <w:start w:val="1"/>
      <w:numFmt w:val="decimal"/>
      <w:lvlText w:val="6.%1."/>
      <w:lvlJc w:val="left"/>
      <w:pPr>
        <w:ind w:left="720" w:hanging="360"/>
      </w:pPr>
      <w:rPr>
        <w:rFonts w:hint="eastAsia"/>
        <w:b w:val="0"/>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5EFB3EB5"/>
    <w:multiLevelType w:val="singleLevel"/>
    <w:tmpl w:val="5EFB3EB5"/>
    <w:lvl w:ilvl="0" w:tentative="0">
      <w:start w:val="1"/>
      <w:numFmt w:val="decimal"/>
      <w:pStyle w:val="3"/>
      <w:suff w:val="nothing"/>
      <w:lvlText w:val="%1．"/>
      <w:lvlJc w:val="left"/>
      <w:pPr>
        <w:ind w:left="0" w:firstLine="400"/>
      </w:pPr>
      <w:rPr>
        <w:rFonts w:hint="default"/>
      </w:rPr>
    </w:lvl>
  </w:abstractNum>
  <w:abstractNum w:abstractNumId="20">
    <w:nsid w:val="617A4F92"/>
    <w:multiLevelType w:val="multilevel"/>
    <w:tmpl w:val="617A4F92"/>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A9F16AB"/>
    <w:multiLevelType w:val="multilevel"/>
    <w:tmpl w:val="6A9F16AB"/>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6BD805A4"/>
    <w:multiLevelType w:val="multilevel"/>
    <w:tmpl w:val="6BD805A4"/>
    <w:lvl w:ilvl="0" w:tentative="0">
      <w:start w:val="9"/>
      <w:numFmt w:val="decimal"/>
      <w:lvlText w:val="%1"/>
      <w:lvlJc w:val="left"/>
      <w:pPr>
        <w:ind w:left="380" w:hanging="380"/>
      </w:pPr>
      <w:rPr>
        <w:rFonts w:hint="default"/>
        <w:color w:val="auto"/>
      </w:rPr>
    </w:lvl>
    <w:lvl w:ilvl="1" w:tentative="0">
      <w:start w:val="11"/>
      <w:numFmt w:val="decimal"/>
      <w:lvlText w:val="%1.%2"/>
      <w:lvlJc w:val="left"/>
      <w:pPr>
        <w:ind w:left="380" w:hanging="380"/>
      </w:pPr>
      <w:rPr>
        <w:rFonts w:hint="default"/>
        <w:color w:val="auto"/>
      </w:rPr>
    </w:lvl>
    <w:lvl w:ilvl="2" w:tentative="0">
      <w:start w:val="1"/>
      <w:numFmt w:val="decimal"/>
      <w:lvlText w:val="%1.%2.%3"/>
      <w:lvlJc w:val="left"/>
      <w:pPr>
        <w:ind w:left="720" w:hanging="720"/>
      </w:pPr>
      <w:rPr>
        <w:rFonts w:hint="default"/>
        <w:color w:val="auto"/>
      </w:rPr>
    </w:lvl>
    <w:lvl w:ilvl="3" w:tentative="0">
      <w:start w:val="1"/>
      <w:numFmt w:val="decimal"/>
      <w:lvlText w:val="%1.%2.%3.%4"/>
      <w:lvlJc w:val="left"/>
      <w:pPr>
        <w:ind w:left="720" w:hanging="720"/>
      </w:pPr>
      <w:rPr>
        <w:rFonts w:hint="default"/>
        <w:color w:val="auto"/>
      </w:rPr>
    </w:lvl>
    <w:lvl w:ilvl="4" w:tentative="0">
      <w:start w:val="1"/>
      <w:numFmt w:val="decimal"/>
      <w:lvlText w:val="%1.%2.%3.%4.%5"/>
      <w:lvlJc w:val="left"/>
      <w:pPr>
        <w:ind w:left="1080" w:hanging="1080"/>
      </w:pPr>
      <w:rPr>
        <w:rFonts w:hint="default"/>
        <w:color w:val="auto"/>
      </w:rPr>
    </w:lvl>
    <w:lvl w:ilvl="5" w:tentative="0">
      <w:start w:val="1"/>
      <w:numFmt w:val="decimal"/>
      <w:lvlText w:val="%1.%2.%3.%4.%5.%6"/>
      <w:lvlJc w:val="left"/>
      <w:pPr>
        <w:ind w:left="1080" w:hanging="1080"/>
      </w:pPr>
      <w:rPr>
        <w:rFonts w:hint="default"/>
        <w:color w:val="auto"/>
      </w:rPr>
    </w:lvl>
    <w:lvl w:ilvl="6" w:tentative="0">
      <w:start w:val="1"/>
      <w:numFmt w:val="decimal"/>
      <w:lvlText w:val="%1.%2.%3.%4.%5.%6.%7"/>
      <w:lvlJc w:val="left"/>
      <w:pPr>
        <w:ind w:left="1440" w:hanging="1440"/>
      </w:pPr>
      <w:rPr>
        <w:rFonts w:hint="default"/>
        <w:color w:val="auto"/>
      </w:rPr>
    </w:lvl>
    <w:lvl w:ilvl="7" w:tentative="0">
      <w:start w:val="1"/>
      <w:numFmt w:val="decimal"/>
      <w:lvlText w:val="%1.%2.%3.%4.%5.%6.%7.%8"/>
      <w:lvlJc w:val="left"/>
      <w:pPr>
        <w:ind w:left="1440" w:hanging="1440"/>
      </w:pPr>
      <w:rPr>
        <w:rFonts w:hint="default"/>
        <w:color w:val="auto"/>
      </w:rPr>
    </w:lvl>
    <w:lvl w:ilvl="8" w:tentative="0">
      <w:start w:val="1"/>
      <w:numFmt w:val="decimal"/>
      <w:lvlText w:val="%1.%2.%3.%4.%5.%6.%7.%8.%9"/>
      <w:lvlJc w:val="left"/>
      <w:pPr>
        <w:ind w:left="1440" w:hanging="1440"/>
      </w:pPr>
      <w:rPr>
        <w:rFonts w:hint="default"/>
        <w:color w:val="auto"/>
      </w:rPr>
    </w:lvl>
  </w:abstractNum>
  <w:abstractNum w:abstractNumId="23">
    <w:nsid w:val="6D06BC10"/>
    <w:multiLevelType w:val="singleLevel"/>
    <w:tmpl w:val="6D06BC10"/>
    <w:lvl w:ilvl="0" w:tentative="0">
      <w:start w:val="6"/>
      <w:numFmt w:val="decimal"/>
      <w:lvlText w:val="%1."/>
      <w:lvlJc w:val="left"/>
      <w:pPr>
        <w:tabs>
          <w:tab w:val="left" w:pos="312"/>
        </w:tabs>
      </w:pPr>
    </w:lvl>
  </w:abstractNum>
  <w:abstractNum w:abstractNumId="24">
    <w:nsid w:val="707D3199"/>
    <w:multiLevelType w:val="multilevel"/>
    <w:tmpl w:val="707D3199"/>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2673303"/>
    <w:multiLevelType w:val="multilevel"/>
    <w:tmpl w:val="72673303"/>
    <w:lvl w:ilvl="0" w:tentative="0">
      <w:start w:val="1"/>
      <w:numFmt w:val="decimal"/>
      <w:suff w:val="space"/>
      <w:lvlText w:val="9.%1."/>
      <w:lvlJc w:val="left"/>
      <w:pPr>
        <w:ind w:left="720" w:hanging="360"/>
      </w:pPr>
      <w:rPr>
        <w:rFonts w:hint="eastAsia"/>
        <w:b w:val="0"/>
        <w:sz w:val="21"/>
        <w:szCs w:val="21"/>
      </w:rPr>
    </w:lvl>
    <w:lvl w:ilvl="1" w:tentative="0">
      <w:start w:val="1"/>
      <w:numFmt w:val="lowerLetter"/>
      <w:lvlText w:val="%2."/>
      <w:lvlJc w:val="left"/>
      <w:pPr>
        <w:ind w:left="1440" w:hanging="360"/>
      </w:pPr>
      <w:rPr>
        <w:rFonts w:hint="default"/>
        <w:color w:val="auto"/>
      </w:rPr>
    </w:lvl>
    <w:lvl w:ilvl="2" w:tentative="0">
      <w:start w:val="1"/>
      <w:numFmt w:val="lowerRoman"/>
      <w:lvlText w:val="%3."/>
      <w:lvlJc w:val="right"/>
      <w:pPr>
        <w:ind w:left="2160" w:hanging="180"/>
      </w:pPr>
      <w:rPr>
        <w:rFonts w:hint="default"/>
        <w:color w:val="auto"/>
      </w:rPr>
    </w:lvl>
    <w:lvl w:ilvl="3" w:tentative="0">
      <w:start w:val="1"/>
      <w:numFmt w:val="decimal"/>
      <w:lvlText w:val="%4."/>
      <w:lvlJc w:val="left"/>
      <w:pPr>
        <w:ind w:left="2880" w:hanging="360"/>
      </w:pPr>
      <w:rPr>
        <w:rFonts w:hint="default"/>
        <w:color w:val="auto"/>
      </w:rPr>
    </w:lvl>
    <w:lvl w:ilvl="4" w:tentative="0">
      <w:start w:val="1"/>
      <w:numFmt w:val="lowerLetter"/>
      <w:lvlText w:val="%5."/>
      <w:lvlJc w:val="left"/>
      <w:pPr>
        <w:ind w:left="3600" w:hanging="360"/>
      </w:pPr>
      <w:rPr>
        <w:rFonts w:hint="default"/>
        <w:color w:val="auto"/>
      </w:rPr>
    </w:lvl>
    <w:lvl w:ilvl="5" w:tentative="0">
      <w:start w:val="1"/>
      <w:numFmt w:val="lowerRoman"/>
      <w:lvlText w:val="%6."/>
      <w:lvlJc w:val="right"/>
      <w:pPr>
        <w:ind w:left="4320" w:hanging="180"/>
      </w:pPr>
      <w:rPr>
        <w:rFonts w:hint="default"/>
        <w:color w:val="auto"/>
      </w:rPr>
    </w:lvl>
    <w:lvl w:ilvl="6" w:tentative="0">
      <w:start w:val="1"/>
      <w:numFmt w:val="decimal"/>
      <w:lvlText w:val="%7."/>
      <w:lvlJc w:val="left"/>
      <w:pPr>
        <w:ind w:left="5040" w:hanging="360"/>
      </w:pPr>
      <w:rPr>
        <w:rFonts w:hint="default"/>
        <w:color w:val="auto"/>
      </w:rPr>
    </w:lvl>
    <w:lvl w:ilvl="7" w:tentative="0">
      <w:start w:val="1"/>
      <w:numFmt w:val="lowerLetter"/>
      <w:lvlText w:val="%8."/>
      <w:lvlJc w:val="left"/>
      <w:pPr>
        <w:ind w:left="5760" w:hanging="360"/>
      </w:pPr>
      <w:rPr>
        <w:rFonts w:hint="default"/>
        <w:color w:val="auto"/>
      </w:rPr>
    </w:lvl>
    <w:lvl w:ilvl="8" w:tentative="0">
      <w:start w:val="1"/>
      <w:numFmt w:val="lowerRoman"/>
      <w:lvlText w:val="%9."/>
      <w:lvlJc w:val="right"/>
      <w:pPr>
        <w:ind w:left="6480" w:hanging="180"/>
      </w:pPr>
      <w:rPr>
        <w:rFonts w:hint="default"/>
        <w:color w:val="auto"/>
      </w:rPr>
    </w:lvl>
  </w:abstractNum>
  <w:abstractNum w:abstractNumId="26">
    <w:nsid w:val="76555A68"/>
    <w:multiLevelType w:val="multilevel"/>
    <w:tmpl w:val="76555A68"/>
    <w:lvl w:ilvl="0" w:tentative="0">
      <w:start w:val="10"/>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7C0F315D"/>
    <w:multiLevelType w:val="multilevel"/>
    <w:tmpl w:val="7C0F315D"/>
    <w:lvl w:ilvl="0" w:tentative="0">
      <w:start w:val="4"/>
      <w:numFmt w:val="decimal"/>
      <w:lvlText w:val="%1"/>
      <w:lvlJc w:val="left"/>
      <w:pPr>
        <w:ind w:left="528" w:hanging="528"/>
      </w:pPr>
      <w:rPr>
        <w:rFonts w:hint="default" w:ascii="Segoe UI Symbol" w:hAnsi="Segoe UI Symbol" w:eastAsia="BatangChe"/>
      </w:rPr>
    </w:lvl>
    <w:lvl w:ilvl="1" w:tentative="0">
      <w:start w:val="10"/>
      <w:numFmt w:val="decimal"/>
      <w:lvlText w:val="%1.%2"/>
      <w:lvlJc w:val="left"/>
      <w:pPr>
        <w:ind w:left="528" w:hanging="528"/>
      </w:pPr>
      <w:rPr>
        <w:rFonts w:hint="default" w:ascii="Times New Roman" w:hAnsi="Times New Roman" w:eastAsia="BatangChe" w:cs="Times New Roman"/>
      </w:rPr>
    </w:lvl>
    <w:lvl w:ilvl="2" w:tentative="0">
      <w:start w:val="1"/>
      <w:numFmt w:val="decimal"/>
      <w:lvlText w:val="9.10.%3、"/>
      <w:lvlJc w:val="left"/>
      <w:pPr>
        <w:ind w:left="720" w:hanging="360"/>
      </w:pPr>
      <w:rPr>
        <w:rFonts w:hint="default"/>
      </w:rPr>
    </w:lvl>
    <w:lvl w:ilvl="3" w:tentative="0">
      <w:start w:val="1"/>
      <w:numFmt w:val="decimal"/>
      <w:lvlText w:val="%1.%2.%3.%4"/>
      <w:lvlJc w:val="left"/>
      <w:pPr>
        <w:ind w:left="720" w:hanging="720"/>
      </w:pPr>
      <w:rPr>
        <w:rFonts w:hint="default" w:ascii="Segoe UI Symbol" w:hAnsi="Segoe UI Symbol" w:eastAsia="BatangChe"/>
      </w:rPr>
    </w:lvl>
    <w:lvl w:ilvl="4" w:tentative="0">
      <w:start w:val="1"/>
      <w:numFmt w:val="decimal"/>
      <w:lvlText w:val="%1.%2.%3.%4.%5"/>
      <w:lvlJc w:val="left"/>
      <w:pPr>
        <w:ind w:left="1080" w:hanging="1080"/>
      </w:pPr>
      <w:rPr>
        <w:rFonts w:hint="default" w:ascii="Segoe UI Symbol" w:hAnsi="Segoe UI Symbol" w:eastAsia="BatangChe"/>
      </w:rPr>
    </w:lvl>
    <w:lvl w:ilvl="5" w:tentative="0">
      <w:start w:val="1"/>
      <w:numFmt w:val="decimal"/>
      <w:lvlText w:val="%1.%2.%3.%4.%5.%6"/>
      <w:lvlJc w:val="left"/>
      <w:pPr>
        <w:ind w:left="1080" w:hanging="1080"/>
      </w:pPr>
      <w:rPr>
        <w:rFonts w:hint="default" w:ascii="Segoe UI Symbol" w:hAnsi="Segoe UI Symbol" w:eastAsia="BatangChe"/>
      </w:rPr>
    </w:lvl>
    <w:lvl w:ilvl="6" w:tentative="0">
      <w:start w:val="1"/>
      <w:numFmt w:val="decimal"/>
      <w:lvlText w:val="%1.%2.%3.%4.%5.%6.%7"/>
      <w:lvlJc w:val="left"/>
      <w:pPr>
        <w:ind w:left="1440" w:hanging="1440"/>
      </w:pPr>
      <w:rPr>
        <w:rFonts w:hint="default" w:ascii="Segoe UI Symbol" w:hAnsi="Segoe UI Symbol" w:eastAsia="BatangChe"/>
      </w:rPr>
    </w:lvl>
    <w:lvl w:ilvl="7" w:tentative="0">
      <w:start w:val="1"/>
      <w:numFmt w:val="decimal"/>
      <w:lvlText w:val="%1.%2.%3.%4.%5.%6.%7.%8"/>
      <w:lvlJc w:val="left"/>
      <w:pPr>
        <w:ind w:left="1440" w:hanging="1440"/>
      </w:pPr>
      <w:rPr>
        <w:rFonts w:hint="default" w:ascii="Segoe UI Symbol" w:hAnsi="Segoe UI Symbol" w:eastAsia="BatangChe"/>
      </w:rPr>
    </w:lvl>
    <w:lvl w:ilvl="8" w:tentative="0">
      <w:start w:val="1"/>
      <w:numFmt w:val="decimal"/>
      <w:lvlText w:val="%1.%2.%3.%4.%5.%6.%7.%8.%9"/>
      <w:lvlJc w:val="left"/>
      <w:pPr>
        <w:ind w:left="1800" w:hanging="1800"/>
      </w:pPr>
      <w:rPr>
        <w:rFonts w:hint="default" w:ascii="Segoe UI Symbol" w:hAnsi="Segoe UI Symbol" w:eastAsia="BatangChe"/>
      </w:rPr>
    </w:lvl>
  </w:abstractNum>
  <w:num w:numId="1">
    <w:abstractNumId w:val="19"/>
  </w:num>
  <w:num w:numId="2">
    <w:abstractNumId w:val="23"/>
  </w:num>
  <w:num w:numId="3">
    <w:abstractNumId w:val="4"/>
  </w:num>
  <w:num w:numId="4">
    <w:abstractNumId w:val="1"/>
  </w:num>
  <w:num w:numId="5">
    <w:abstractNumId w:val="13"/>
  </w:num>
  <w:num w:numId="6">
    <w:abstractNumId w:val="2"/>
  </w:num>
  <w:num w:numId="7">
    <w:abstractNumId w:val="8"/>
  </w:num>
  <w:num w:numId="8">
    <w:abstractNumId w:val="17"/>
  </w:num>
  <w:num w:numId="9">
    <w:abstractNumId w:val="20"/>
  </w:num>
  <w:num w:numId="10">
    <w:abstractNumId w:val="10"/>
  </w:num>
  <w:num w:numId="11">
    <w:abstractNumId w:val="3"/>
  </w:num>
  <w:num w:numId="12">
    <w:abstractNumId w:val="15"/>
  </w:num>
  <w:num w:numId="13">
    <w:abstractNumId w:val="18"/>
  </w:num>
  <w:num w:numId="14">
    <w:abstractNumId w:val="16"/>
  </w:num>
  <w:num w:numId="15">
    <w:abstractNumId w:val="6"/>
  </w:num>
  <w:num w:numId="16">
    <w:abstractNumId w:val="25"/>
  </w:num>
  <w:num w:numId="17">
    <w:abstractNumId w:val="27"/>
  </w:num>
  <w:num w:numId="18">
    <w:abstractNumId w:val="22"/>
  </w:num>
  <w:num w:numId="19">
    <w:abstractNumId w:val="26"/>
  </w:num>
  <w:num w:numId="20">
    <w:abstractNumId w:val="12"/>
  </w:num>
  <w:num w:numId="21">
    <w:abstractNumId w:val="9"/>
  </w:num>
  <w:num w:numId="22">
    <w:abstractNumId w:val="7"/>
  </w:num>
  <w:num w:numId="23">
    <w:abstractNumId w:val="14"/>
  </w:num>
  <w:num w:numId="24">
    <w:abstractNumId w:val="0"/>
  </w:num>
  <w:num w:numId="25">
    <w:abstractNumId w:val="5"/>
  </w:num>
  <w:num w:numId="26">
    <w:abstractNumId w:val="24"/>
  </w:num>
  <w:num w:numId="27">
    <w:abstractNumId w:val="2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11E7544B"/>
    <w:rsid w:val="0AFA1F55"/>
    <w:rsid w:val="11E7544B"/>
    <w:rsid w:val="1339388D"/>
    <w:rsid w:val="141C0605"/>
    <w:rsid w:val="145E6E6F"/>
    <w:rsid w:val="1DA55027"/>
    <w:rsid w:val="254044DE"/>
    <w:rsid w:val="264D464E"/>
    <w:rsid w:val="2C2346F8"/>
    <w:rsid w:val="3862667F"/>
    <w:rsid w:val="39936183"/>
    <w:rsid w:val="3E9E1B1C"/>
    <w:rsid w:val="4083468B"/>
    <w:rsid w:val="4D0C2882"/>
    <w:rsid w:val="64FB738F"/>
    <w:rsid w:val="6E8C763E"/>
    <w:rsid w:val="72E66F89"/>
    <w:rsid w:val="75E53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autoRedefine/>
    <w:qFormat/>
    <w:uiPriority w:val="0"/>
    <w:pPr>
      <w:keepNext/>
      <w:keepLines/>
      <w:spacing w:before="240"/>
      <w:outlineLvl w:val="0"/>
    </w:pPr>
    <w:rPr>
      <w:rFonts w:ascii="Cambria" w:hAnsi="Cambria" w:eastAsia="华文仿宋" w:cs="Times New Roman"/>
      <w:b/>
      <w:color w:val="000000" w:themeColor="text1"/>
      <w:sz w:val="28"/>
      <w:szCs w:val="32"/>
      <w14:textFill>
        <w14:solidFill>
          <w14:schemeClr w14:val="tx1"/>
        </w14:solidFill>
      </w14:textFill>
    </w:rPr>
  </w:style>
  <w:style w:type="paragraph" w:styleId="3">
    <w:name w:val="heading 2"/>
    <w:basedOn w:val="1"/>
    <w:next w:val="1"/>
    <w:qFormat/>
    <w:uiPriority w:val="0"/>
    <w:pPr>
      <w:keepNext/>
      <w:keepLines/>
      <w:numPr>
        <w:ilvl w:val="0"/>
        <w:numId w:val="1"/>
      </w:numPr>
      <w:spacing w:before="100" w:after="100"/>
      <w:ind w:firstLine="1134" w:firstLineChars="200"/>
      <w:outlineLvl w:val="1"/>
    </w:pPr>
    <w:rPr>
      <w:rFonts w:ascii="Arial" w:hAnsi="Arial" w:eastAsia="楷体_GB2312"/>
      <w:b/>
      <w:sz w:val="32"/>
    </w:rPr>
  </w:style>
  <w:style w:type="paragraph" w:styleId="4">
    <w:name w:val="heading 3"/>
    <w:basedOn w:val="1"/>
    <w:next w:val="1"/>
    <w:qFormat/>
    <w:uiPriority w:val="0"/>
    <w:pPr>
      <w:keepNext/>
      <w:keepLines/>
      <w:spacing w:before="260" w:after="260" w:line="416" w:lineRule="auto"/>
      <w:outlineLvl w:val="2"/>
    </w:pPr>
    <w:rPr>
      <w:rFonts w:ascii="Times New Roman" w:hAnsi="Times New Roman"/>
      <w:b/>
      <w:bCs/>
      <w:sz w:val="32"/>
      <w:szCs w:val="32"/>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5">
    <w:name w:val="caption"/>
    <w:basedOn w:val="1"/>
    <w:next w:val="1"/>
    <w:qFormat/>
    <w:uiPriority w:val="0"/>
    <w:pPr>
      <w:widowControl/>
      <w:pBdr>
        <w:bottom w:val="single" w:color="000000" w:sz="4" w:space="1"/>
      </w:pBdr>
      <w:spacing w:before="120" w:after="120"/>
      <w:ind w:left="1191" w:hanging="1191"/>
    </w:pPr>
    <w:rPr>
      <w:rFonts w:ascii="宋体" w:hAnsi="宋体" w:cs="宋体"/>
      <w:kern w:val="0"/>
      <w:sz w:val="20"/>
      <w:szCs w:val="20"/>
      <w:lang w:bidi="zh-CN"/>
    </w:rPr>
  </w:style>
  <w:style w:type="paragraph" w:styleId="6">
    <w:name w:val="Body Text"/>
    <w:basedOn w:val="1"/>
    <w:autoRedefine/>
    <w:qFormat/>
    <w:uiPriority w:val="0"/>
    <w:pPr>
      <w:spacing w:after="120"/>
    </w:pPr>
    <w:rPr>
      <w:rFonts w:ascii="Times New Roman" w:hAnsi="Times New Roman" w:eastAsia="宋体" w:cs="Times New Roman"/>
      <w:szCs w:val="24"/>
    </w:rPr>
  </w:style>
  <w:style w:type="paragraph" w:styleId="7">
    <w:name w:val="Plain Text"/>
    <w:basedOn w:val="1"/>
    <w:autoRedefine/>
    <w:qFormat/>
    <w:uiPriority w:val="0"/>
    <w:rPr>
      <w:rFonts w:ascii="宋体" w:hAnsi="Courier New" w:eastAsia="宋体" w:cs="Times New Roman"/>
      <w:kern w:val="0"/>
      <w:sz w:val="20"/>
      <w:szCs w:val="20"/>
    </w:rPr>
  </w:style>
  <w:style w:type="paragraph" w:styleId="8">
    <w:name w:val="Title"/>
    <w:basedOn w:val="1"/>
    <w:next w:val="1"/>
    <w:qFormat/>
    <w:uiPriority w:val="1"/>
    <w:pPr>
      <w:keepNext/>
      <w:keepLines/>
      <w:spacing w:before="480" w:after="120"/>
    </w:pPr>
    <w:rPr>
      <w:b/>
      <w:sz w:val="72"/>
      <w:szCs w:val="72"/>
    </w:rPr>
  </w:style>
  <w:style w:type="paragraph" w:styleId="9">
    <w:name w:val="Body Text First Indent"/>
    <w:basedOn w:val="6"/>
    <w:unhideWhenUsed/>
    <w:qFormat/>
    <w:uiPriority w:val="99"/>
    <w:pPr>
      <w:tabs>
        <w:tab w:val="left" w:pos="567"/>
      </w:tabs>
      <w:ind w:firstLine="420" w:firstLineChars="1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autoRedefine/>
    <w:qFormat/>
    <w:uiPriority w:val="0"/>
    <w:rPr>
      <w:color w:val="363636"/>
      <w:u w:val="none"/>
    </w:rPr>
  </w:style>
  <w:style w:type="paragraph" w:customStyle="1" w:styleId="14">
    <w:name w:val="cm4"/>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
    <w:name w:val="default"/>
    <w:basedOn w:val="1"/>
    <w:autoRedefine/>
    <w:qFormat/>
    <w:uiPriority w:val="0"/>
    <w:pPr>
      <w:widowControl/>
      <w:spacing w:before="100" w:beforeAutospacing="1" w:after="100" w:afterAutospacing="1"/>
      <w:jc w:val="left"/>
    </w:pPr>
    <w:rPr>
      <w:rFonts w:ascii="宋体" w:hAnsi="宋体" w:cs="宋体"/>
      <w:kern w:val="0"/>
      <w:sz w:val="24"/>
    </w:rPr>
  </w:style>
  <w:style w:type="paragraph" w:styleId="16">
    <w:name w:val="List Paragraph"/>
    <w:basedOn w:val="1"/>
    <w:qFormat/>
    <w:uiPriority w:val="99"/>
    <w:pPr>
      <w:ind w:firstLine="420"/>
    </w:pPr>
  </w:style>
  <w:style w:type="paragraph" w:customStyle="1" w:styleId="17">
    <w:name w:val="_Style 19"/>
    <w:basedOn w:val="1"/>
    <w:next w:val="16"/>
    <w:qFormat/>
    <w:uiPriority w:val="34"/>
    <w:pPr>
      <w:ind w:firstLine="420" w:firstLineChars="200"/>
    </w:pPr>
    <w:rPr>
      <w:rFonts w:ascii="Calibri" w:hAnsi="Calibri" w:eastAsia="宋体" w:cs="Times New Roman"/>
    </w:rPr>
  </w:style>
  <w:style w:type="paragraph" w:customStyle="1" w:styleId="18">
    <w:name w:val="列出段落1"/>
    <w:basedOn w:val="1"/>
    <w:unhideWhenUsed/>
    <w:qFormat/>
    <w:uiPriority w:val="99"/>
    <w:pPr>
      <w:ind w:firstLine="420" w:firstLineChars="200"/>
    </w:pPr>
  </w:style>
  <w:style w:type="character" w:customStyle="1" w:styleId="19">
    <w:name w:val="标题 1 字符"/>
    <w:link w:val="2"/>
    <w:autoRedefine/>
    <w:qFormat/>
    <w:uiPriority w:val="0"/>
    <w:rPr>
      <w:rFonts w:ascii="Cambria" w:hAnsi="Cambria" w:eastAsia="华文仿宋" w:cs="Times New Roman"/>
      <w:b/>
      <w:color w:val="000000" w:themeColor="text1"/>
      <w:sz w:val="28"/>
      <w:szCs w:val="32"/>
      <w14:textFill>
        <w14:solidFill>
          <w14:schemeClr w14:val="tx1"/>
        </w14:solidFill>
      </w14:textFill>
    </w:rPr>
  </w:style>
  <w:style w:type="table" w:customStyle="1" w:styleId="20">
    <w:name w:val="网格型2"/>
    <w:basedOn w:val="10"/>
    <w:autoRedefine/>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
    <w:name w:val="_Style 43"/>
    <w:basedOn w:val="22"/>
    <w:autoRedefine/>
    <w:qFormat/>
    <w:uiPriority w:val="0"/>
    <w:tblPr>
      <w:tblCellMar>
        <w:left w:w="108" w:type="dxa"/>
        <w:right w:w="108" w:type="dxa"/>
      </w:tblCellMar>
    </w:tblPr>
  </w:style>
  <w:style w:type="table" w:customStyle="1" w:styleId="22">
    <w:name w:val="Table Normal"/>
    <w:autoRedefine/>
    <w:qFormat/>
    <w:uiPriority w:val="0"/>
    <w:tblPr>
      <w:tblCellMar>
        <w:top w:w="0" w:type="dxa"/>
        <w:left w:w="0" w:type="dxa"/>
        <w:bottom w:w="0" w:type="dxa"/>
        <w:right w:w="0" w:type="dxa"/>
      </w:tblCellMar>
    </w:tblPr>
  </w:style>
  <w:style w:type="table" w:customStyle="1" w:styleId="23">
    <w:name w:val="_Style 44"/>
    <w:basedOn w:val="22"/>
    <w:autoRedefine/>
    <w:qFormat/>
    <w:uiPriority w:val="0"/>
    <w:tblPr>
      <w:tblCellMar>
        <w:left w:w="108" w:type="dxa"/>
        <w:right w:w="108" w:type="dxa"/>
      </w:tblCellMar>
    </w:tblPr>
  </w:style>
  <w:style w:type="character" w:customStyle="1" w:styleId="24">
    <w:name w:val="ts-alignment-element"/>
    <w:basedOn w:val="12"/>
    <w:autoRedefine/>
    <w:qFormat/>
    <w:uiPriority w:val="0"/>
  </w:style>
  <w:style w:type="paragraph" w:customStyle="1" w:styleId="25">
    <w:name w:val="Default"/>
    <w:autoRedefine/>
    <w:qFormat/>
    <w:uiPriority w:val="0"/>
    <w:pPr>
      <w:widowControl w:val="0"/>
      <w:autoSpaceDE w:val="0"/>
      <w:autoSpaceDN w:val="0"/>
      <w:adjustRightInd w:val="0"/>
    </w:pPr>
    <w:rPr>
      <w:rFonts w:ascii="Arial" w:hAnsi="Arial" w:cs="Arial" w:eastAsiaTheme="minorEastAsia"/>
      <w:color w:val="000000"/>
      <w:sz w:val="24"/>
      <w:szCs w:val="24"/>
      <w:lang w:val="en-US" w:eastAsia="zh-CN" w:bidi="ar-SA"/>
    </w:rPr>
  </w:style>
  <w:style w:type="character" w:customStyle="1" w:styleId="26">
    <w:name w:val="ts-alignment-element-highlighted"/>
    <w:basedOn w:val="12"/>
    <w:autoRedefine/>
    <w:qFormat/>
    <w:uiPriority w:val="0"/>
  </w:style>
  <w:style w:type="table" w:customStyle="1" w:styleId="27">
    <w:name w:val="_Style 46"/>
    <w:basedOn w:val="22"/>
    <w:autoRedefine/>
    <w:qFormat/>
    <w:uiPriority w:val="0"/>
    <w:tblPr>
      <w:tblCellMar>
        <w:left w:w="115" w:type="dxa"/>
        <w:right w:w="115" w:type="dxa"/>
      </w:tblCellMar>
    </w:tblPr>
  </w:style>
  <w:style w:type="table" w:customStyle="1" w:styleId="28">
    <w:name w:val="_Style 49"/>
    <w:basedOn w:val="22"/>
    <w:autoRedefine/>
    <w:qFormat/>
    <w:uiPriority w:val="0"/>
    <w:tblPr>
      <w:tblCellMar>
        <w:left w:w="115" w:type="dxa"/>
        <w:right w:w="115" w:type="dxa"/>
      </w:tblCellMar>
    </w:tblPr>
  </w:style>
  <w:style w:type="paragraph" w:customStyle="1" w:styleId="29">
    <w:name w:val="rientrato"/>
    <w:basedOn w:val="6"/>
    <w:autoRedefine/>
    <w:qFormat/>
    <w:uiPriority w:val="0"/>
    <w:pPr>
      <w:widowControl/>
      <w:tabs>
        <w:tab w:val="left" w:pos="709"/>
      </w:tabs>
      <w:spacing w:after="0"/>
      <w:ind w:left="709"/>
    </w:pPr>
    <w:rPr>
      <w:rFonts w:ascii="宋体" w:hAnsi="宋体" w:cs="宋体"/>
      <w:snapToGrid w:val="0"/>
      <w:kern w:val="0"/>
      <w:sz w:val="22"/>
      <w:szCs w:val="20"/>
      <w:lang w:bidi="zh-CN"/>
    </w:rPr>
  </w:style>
  <w:style w:type="paragraph" w:styleId="30">
    <w:name w:val="No Spacing"/>
    <w:autoRedefine/>
    <w:qFormat/>
    <w:uiPriority w:val="1"/>
    <w:rPr>
      <w:rFonts w:ascii="Times New Roman" w:hAnsi="Times New Roman" w:eastAsia="宋体" w:cs="Times New Roman"/>
      <w:lang w:val="de-DE" w:eastAsia="de-DE"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2023-05-08T01:57:00Z</dcterms:created>
  <dc:creator>澍昧平生</dc:creator>
  <cp:lastModifiedBy>澍</cp:lastModifiedBy>
  <dcterms:modified xsi:type="dcterms:W3CDTF">2024-03-12T03:51:33Z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BCA8A1075F1245848545EDA53BB6AD70_11</vt:lpwstr>
  </property>
</Properties>
</file>