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F4" w:rsidRPr="00BC33F4" w:rsidRDefault="00BC33F4" w:rsidP="00BC33F4">
      <w:pPr>
        <w:widowControl/>
        <w:shd w:val="clear" w:color="auto" w:fill="FFFFFF"/>
        <w:spacing w:before="300" w:beforeAutospacing="0" w:after="330" w:afterAutospacing="0" w:line="360" w:lineRule="auto"/>
        <w:jc w:val="left"/>
        <w:rPr>
          <w:rFonts w:ascii="微软雅黑" w:eastAsia="微软雅黑" w:hAnsi="微软雅黑" w:cs="宋体"/>
          <w:color w:val="383838"/>
          <w:kern w:val="0"/>
          <w:sz w:val="24"/>
          <w:szCs w:val="24"/>
        </w:rPr>
      </w:pPr>
      <w:r w:rsidRPr="00BC33F4">
        <w:rPr>
          <w:rFonts w:ascii="微软雅黑" w:eastAsia="微软雅黑" w:hAnsi="微软雅黑" w:cs="宋体" w:hint="eastAsia"/>
          <w:color w:val="383838"/>
          <w:kern w:val="0"/>
          <w:sz w:val="24"/>
          <w:szCs w:val="24"/>
        </w:rPr>
        <w:t>招标编号：0658-18701A42873</w:t>
      </w:r>
    </w:p>
    <w:p w:rsidR="00BC33F4" w:rsidRPr="00BC33F4" w:rsidRDefault="00BC33F4" w:rsidP="00BC33F4">
      <w:pPr>
        <w:widowControl/>
        <w:shd w:val="clear" w:color="auto" w:fill="FFFFFF"/>
        <w:spacing w:before="75"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深圳市国际招标有限公司（以下简称“招标机构”）受招标人委托，邀请国内合格投标人就深圳海关(原深圳出入境检验检疫局)免疫分析仪等设备采购项目的下列货物和有关服务提交密封投标：</w:t>
      </w:r>
    </w:p>
    <w:tbl>
      <w:tblPr>
        <w:tblW w:w="8130" w:type="dxa"/>
        <w:tblInd w:w="468" w:type="dxa"/>
        <w:tblCellMar>
          <w:left w:w="0" w:type="dxa"/>
          <w:right w:w="0" w:type="dxa"/>
        </w:tblCellMar>
        <w:tblLook w:val="04A0"/>
      </w:tblPr>
      <w:tblGrid>
        <w:gridCol w:w="2445"/>
        <w:gridCol w:w="3150"/>
        <w:gridCol w:w="990"/>
        <w:gridCol w:w="1545"/>
      </w:tblGrid>
      <w:tr w:rsidR="00BC33F4" w:rsidRPr="00BC33F4" w:rsidTr="00BC33F4">
        <w:trPr>
          <w:trHeight w:val="450"/>
        </w:trPr>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包号</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货物名称</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数 量</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单 位</w:t>
            </w:r>
          </w:p>
        </w:tc>
      </w:tr>
      <w:tr w:rsidR="00BC33F4" w:rsidRPr="00BC33F4" w:rsidTr="00BC33F4">
        <w:trPr>
          <w:trHeight w:val="45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0658-18701A42873-1</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left"/>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免疫分析仪</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center"/>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1</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套</w:t>
            </w:r>
          </w:p>
        </w:tc>
      </w:tr>
      <w:tr w:rsidR="00BC33F4" w:rsidRPr="00BC33F4" w:rsidTr="00BC33F4">
        <w:trPr>
          <w:trHeight w:val="45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0658-18701A42873-2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left"/>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病原体快速检测仪</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center"/>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1</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套</w:t>
            </w:r>
          </w:p>
        </w:tc>
      </w:tr>
      <w:tr w:rsidR="00BC33F4" w:rsidRPr="00BC33F4" w:rsidTr="00BC33F4">
        <w:trPr>
          <w:trHeight w:val="45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0658-18701A42873-3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left"/>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显微镜</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center"/>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1</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套</w:t>
            </w:r>
          </w:p>
        </w:tc>
      </w:tr>
      <w:tr w:rsidR="00BC33F4" w:rsidRPr="00BC33F4" w:rsidTr="00BC33F4">
        <w:trPr>
          <w:trHeight w:val="45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0658-18701A42873-4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left"/>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手持式有毒有害物质识别仪</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center"/>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2</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套</w:t>
            </w:r>
          </w:p>
        </w:tc>
      </w:tr>
      <w:tr w:rsidR="00BC33F4" w:rsidRPr="00BC33F4" w:rsidTr="00BC33F4">
        <w:trPr>
          <w:trHeight w:val="45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0658-18701A42873-5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left"/>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智能流调机</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center"/>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2</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套</w:t>
            </w:r>
          </w:p>
        </w:tc>
      </w:tr>
      <w:tr w:rsidR="00BC33F4" w:rsidRPr="00BC33F4" w:rsidTr="00BC33F4">
        <w:trPr>
          <w:trHeight w:val="45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0658-18701A42873-6</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left"/>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旅检智能查验机器人</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360" w:lineRule="atLeast"/>
              <w:jc w:val="center"/>
              <w:textAlignment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4</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F4" w:rsidRPr="00BC33F4" w:rsidRDefault="00BC33F4" w:rsidP="00BC33F4">
            <w:pPr>
              <w:widowControl/>
              <w:spacing w:before="75" w:beforeAutospacing="0" w:after="330" w:afterAutospacing="0" w:line="400" w:lineRule="atLeast"/>
              <w:jc w:val="center"/>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套</w:t>
            </w:r>
          </w:p>
        </w:tc>
      </w:tr>
    </w:tbl>
    <w:p w:rsidR="00BC33F4" w:rsidRPr="00BC33F4" w:rsidRDefault="00BC33F4" w:rsidP="00BC33F4">
      <w:pPr>
        <w:widowControl/>
        <w:numPr>
          <w:ilvl w:val="0"/>
          <w:numId w:val="1"/>
        </w:numPr>
        <w:shd w:val="clear" w:color="auto" w:fill="FFFFFF"/>
        <w:spacing w:before="120" w:beforeAutospacing="0" w:after="0" w:afterAutospacing="0" w:line="480" w:lineRule="atLeast"/>
        <w:ind w:left="244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 xml:space="preserve">有意向的合格投标人可在深圳市国际招标有限公司得到进一步的信息。 </w:t>
      </w:r>
    </w:p>
    <w:p w:rsidR="00BC33F4" w:rsidRPr="00BC33F4" w:rsidRDefault="00BC33F4" w:rsidP="00BC33F4">
      <w:pPr>
        <w:widowControl/>
        <w:numPr>
          <w:ilvl w:val="0"/>
          <w:numId w:val="1"/>
        </w:numPr>
        <w:shd w:val="clear" w:color="auto" w:fill="FFFFFF"/>
        <w:spacing w:before="120" w:beforeAutospacing="0" w:after="0" w:afterAutospacing="0" w:line="480" w:lineRule="atLeast"/>
        <w:ind w:left="244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lastRenderedPageBreak/>
        <w:t>招标文件的获取：2018年 11月09日起至2018年11月28日止，每天9：00至11：30、14：00至17：00（北京时间，节假日除外）。</w:t>
      </w:r>
    </w:p>
    <w:p w:rsidR="00BC33F4" w:rsidRPr="00BC33F4" w:rsidRDefault="00BC33F4" w:rsidP="00BC33F4">
      <w:pPr>
        <w:widowControl/>
        <w:shd w:val="clear" w:color="auto" w:fill="FFFFFF"/>
        <w:spacing w:before="109" w:beforeAutospacing="0" w:after="0" w:afterAutospacing="0" w:line="285" w:lineRule="atLeast"/>
        <w:ind w:left="208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具体操作方法：会员登入后，点击【投标管理】——【文件下载】——选择报名的项目——填写相关信息——付款——下载文件，下载文件后即报名成功。</w:t>
      </w:r>
    </w:p>
    <w:p w:rsidR="00BC33F4" w:rsidRPr="00BC33F4" w:rsidRDefault="00BC33F4" w:rsidP="00BC33F4">
      <w:pPr>
        <w:widowControl/>
        <w:shd w:val="clear" w:color="auto" w:fill="FFFFFF"/>
        <w:spacing w:before="109" w:beforeAutospacing="0" w:after="0" w:afterAutospacing="0" w:line="285" w:lineRule="atLeast"/>
        <w:ind w:left="208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（1）未注册的供应商，必须在深圳国际招标采购网（www.sztc.com）首页，按“投标指南”中“供应商手册”的指引进行注册。</w:t>
      </w:r>
    </w:p>
    <w:p w:rsidR="00BC33F4" w:rsidRPr="00BC33F4" w:rsidRDefault="00BC33F4" w:rsidP="00BC33F4">
      <w:pPr>
        <w:widowControl/>
        <w:shd w:val="clear" w:color="auto" w:fill="FFFFFF"/>
        <w:spacing w:before="109" w:beforeAutospacing="0" w:after="0" w:afterAutospacing="0" w:line="285" w:lineRule="atLeast"/>
        <w:ind w:left="208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（2）报名成功的供应商，缴纳平台使用费500或600元，具体缴纳金额及流程参见帮助中心《平台使用费缴纳操作指南》。</w:t>
      </w:r>
    </w:p>
    <w:p w:rsidR="00BC33F4" w:rsidRPr="00BC33F4" w:rsidRDefault="00BC33F4" w:rsidP="00BC33F4">
      <w:pPr>
        <w:widowControl/>
        <w:shd w:val="clear" w:color="auto" w:fill="FFFFFF"/>
        <w:spacing w:before="109" w:beforeAutospacing="0" w:after="0" w:afterAutospacing="0" w:line="285" w:lineRule="atLeast"/>
        <w:ind w:left="208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（3）本项目在评标环节进行资格审查，投标人在网上投标报名前自行核查是否符合资格要求；</w:t>
      </w:r>
    </w:p>
    <w:p w:rsidR="00BC33F4" w:rsidRPr="00BC33F4" w:rsidRDefault="00BC33F4" w:rsidP="00BC33F4">
      <w:pPr>
        <w:widowControl/>
        <w:shd w:val="clear" w:color="auto" w:fill="FFFFFF"/>
        <w:spacing w:before="120" w:beforeAutospacing="0" w:after="0" w:afterAutospacing="0" w:line="360" w:lineRule="auto"/>
        <w:ind w:left="2082"/>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（4）投标人必须将“投标人资格要求”中要求的资质响应证明文件放入投标文件中，投标文件中资质证明文件未提供或提供不完全将导致废标。</w:t>
      </w:r>
    </w:p>
    <w:p w:rsidR="00BC33F4" w:rsidRPr="00BC33F4" w:rsidRDefault="00BC33F4" w:rsidP="00BC33F4">
      <w:pPr>
        <w:widowControl/>
        <w:numPr>
          <w:ilvl w:val="0"/>
          <w:numId w:val="2"/>
        </w:numPr>
        <w:shd w:val="clear" w:color="auto" w:fill="FFFFFF"/>
        <w:spacing w:before="120" w:beforeAutospacing="0" w:after="150" w:afterAutospacing="0" w:line="480" w:lineRule="atLeast"/>
        <w:ind w:left="244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资格标准：</w:t>
      </w:r>
    </w:p>
    <w:tbl>
      <w:tblPr>
        <w:tblW w:w="0" w:type="auto"/>
        <w:tblCellMar>
          <w:left w:w="0" w:type="dxa"/>
          <w:right w:w="0" w:type="dxa"/>
        </w:tblCellMar>
        <w:tblLook w:val="04A0"/>
      </w:tblPr>
      <w:tblGrid>
        <w:gridCol w:w="1002"/>
        <w:gridCol w:w="7520"/>
      </w:tblGrid>
      <w:tr w:rsidR="00BC33F4" w:rsidRPr="00BC33F4" w:rsidTr="00BC33F4">
        <w:tc>
          <w:tcPr>
            <w:tcW w:w="1005" w:type="dxa"/>
            <w:tcMar>
              <w:top w:w="0" w:type="dxa"/>
              <w:left w:w="108" w:type="dxa"/>
              <w:bottom w:w="0" w:type="dxa"/>
              <w:right w:w="108" w:type="dxa"/>
            </w:tcMar>
            <w:hideMark/>
          </w:tcPr>
          <w:p w:rsidR="00BC33F4" w:rsidRPr="00BC33F4" w:rsidRDefault="00BC33F4" w:rsidP="00BC33F4">
            <w:pPr>
              <w:widowControl/>
              <w:spacing w:before="75" w:beforeAutospacing="0" w:after="330" w:afterAutospacing="0" w:line="400" w:lineRule="atLeast"/>
              <w:ind w:left="170"/>
              <w:jc w:val="left"/>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★1.1</w:t>
            </w:r>
          </w:p>
        </w:tc>
        <w:tc>
          <w:tcPr>
            <w:tcW w:w="7560" w:type="dxa"/>
            <w:tcMar>
              <w:top w:w="0" w:type="dxa"/>
              <w:left w:w="108" w:type="dxa"/>
              <w:bottom w:w="0" w:type="dxa"/>
              <w:right w:w="108" w:type="dxa"/>
            </w:tcMar>
            <w:hideMark/>
          </w:tcPr>
          <w:p w:rsidR="00BC33F4" w:rsidRPr="00BC33F4" w:rsidRDefault="00BC33F4" w:rsidP="00BC33F4">
            <w:pPr>
              <w:widowControl/>
              <w:spacing w:before="75" w:beforeAutospacing="0" w:after="330" w:afterAutospacing="0" w:line="400" w:lineRule="atLeast"/>
              <w:jc w:val="left"/>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投标人法人代表证明书；</w:t>
            </w:r>
          </w:p>
        </w:tc>
      </w:tr>
      <w:tr w:rsidR="00BC33F4" w:rsidRPr="00BC33F4" w:rsidTr="00BC33F4">
        <w:tc>
          <w:tcPr>
            <w:tcW w:w="1005" w:type="dxa"/>
            <w:tcMar>
              <w:top w:w="0" w:type="dxa"/>
              <w:left w:w="108" w:type="dxa"/>
              <w:bottom w:w="0" w:type="dxa"/>
              <w:right w:w="108" w:type="dxa"/>
            </w:tcMar>
            <w:hideMark/>
          </w:tcPr>
          <w:p w:rsidR="00BC33F4" w:rsidRPr="00BC33F4" w:rsidRDefault="00BC33F4" w:rsidP="00BC33F4">
            <w:pPr>
              <w:widowControl/>
              <w:spacing w:before="75" w:beforeAutospacing="0" w:after="330" w:afterAutospacing="0" w:line="400" w:lineRule="atLeast"/>
              <w:ind w:left="170"/>
              <w:jc w:val="left"/>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lastRenderedPageBreak/>
              <w:t>★1.2</w:t>
            </w:r>
          </w:p>
        </w:tc>
        <w:tc>
          <w:tcPr>
            <w:tcW w:w="7560" w:type="dxa"/>
            <w:tcMar>
              <w:top w:w="0" w:type="dxa"/>
              <w:left w:w="108" w:type="dxa"/>
              <w:bottom w:w="0" w:type="dxa"/>
              <w:right w:w="108" w:type="dxa"/>
            </w:tcMar>
            <w:hideMark/>
          </w:tcPr>
          <w:p w:rsidR="00BC33F4" w:rsidRPr="00BC33F4" w:rsidRDefault="00BC33F4" w:rsidP="00BC33F4">
            <w:pPr>
              <w:widowControl/>
              <w:spacing w:before="75" w:beforeAutospacing="0" w:after="330" w:afterAutospacing="0" w:line="400" w:lineRule="atLeast"/>
              <w:jc w:val="left"/>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投标人法人代表授权书；</w:t>
            </w:r>
          </w:p>
        </w:tc>
      </w:tr>
      <w:tr w:rsidR="00BC33F4" w:rsidRPr="00BC33F4" w:rsidTr="00BC33F4">
        <w:tc>
          <w:tcPr>
            <w:tcW w:w="1005" w:type="dxa"/>
            <w:tcMar>
              <w:top w:w="0" w:type="dxa"/>
              <w:left w:w="108" w:type="dxa"/>
              <w:bottom w:w="0" w:type="dxa"/>
              <w:right w:w="108" w:type="dxa"/>
            </w:tcMar>
            <w:hideMark/>
          </w:tcPr>
          <w:p w:rsidR="00BC33F4" w:rsidRPr="00BC33F4" w:rsidRDefault="00BC33F4" w:rsidP="00BC33F4">
            <w:pPr>
              <w:widowControl/>
              <w:spacing w:before="75" w:beforeAutospacing="0" w:after="330" w:afterAutospacing="0" w:line="400" w:lineRule="atLeast"/>
              <w:ind w:left="170"/>
              <w:jc w:val="left"/>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★1.3</w:t>
            </w:r>
          </w:p>
        </w:tc>
        <w:tc>
          <w:tcPr>
            <w:tcW w:w="7560" w:type="dxa"/>
            <w:tcMar>
              <w:top w:w="0" w:type="dxa"/>
              <w:left w:w="108" w:type="dxa"/>
              <w:bottom w:w="0" w:type="dxa"/>
              <w:right w:w="108" w:type="dxa"/>
            </w:tcMar>
            <w:hideMark/>
          </w:tcPr>
          <w:p w:rsidR="00BC33F4" w:rsidRPr="00BC33F4" w:rsidRDefault="00BC33F4" w:rsidP="00BC33F4">
            <w:pPr>
              <w:widowControl/>
              <w:spacing w:before="75" w:beforeAutospacing="0" w:after="330" w:afterAutospacing="0" w:line="400" w:lineRule="atLeast"/>
              <w:jc w:val="left"/>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投标人必须是在中华人民共和国境内注册并合法运作的独立法人机构；投标人必须具有投标产品的销售代理证书，或是产品生产厂家或总代理商或区域代理商或具有对本项目的授权书原件，逐级提供授权书（提供授权书原件）；多家投标人所投设备为同一品牌同一型号的，按一家供应商计算；（如果同一品牌型号授权超过1家代理商投标，由通过符合性审查的代理商进入评分阶段，若通过符合性审查的代理商为1家以上，由报价最低的一家投标人进入评分阶段。）；投标人需在招标机构登记并获取了招标文件，提供营业执照副本的复印件（加盖公章）。</w:t>
            </w:r>
          </w:p>
        </w:tc>
      </w:tr>
      <w:tr w:rsidR="00BC33F4" w:rsidRPr="00BC33F4" w:rsidTr="00BC33F4">
        <w:tc>
          <w:tcPr>
            <w:tcW w:w="1005" w:type="dxa"/>
            <w:tcMar>
              <w:top w:w="0" w:type="dxa"/>
              <w:left w:w="108" w:type="dxa"/>
              <w:bottom w:w="0" w:type="dxa"/>
              <w:right w:w="108" w:type="dxa"/>
            </w:tcMar>
            <w:hideMark/>
          </w:tcPr>
          <w:p w:rsidR="00BC33F4" w:rsidRPr="00BC33F4" w:rsidRDefault="00BC33F4" w:rsidP="00BC33F4">
            <w:pPr>
              <w:widowControl/>
              <w:spacing w:before="75" w:beforeAutospacing="0" w:after="330" w:afterAutospacing="0" w:line="400" w:lineRule="atLeast"/>
              <w:ind w:left="170"/>
              <w:jc w:val="left"/>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★1.4</w:t>
            </w:r>
          </w:p>
        </w:tc>
        <w:tc>
          <w:tcPr>
            <w:tcW w:w="7560" w:type="dxa"/>
            <w:tcMar>
              <w:top w:w="0" w:type="dxa"/>
              <w:left w:w="108" w:type="dxa"/>
              <w:bottom w:w="0" w:type="dxa"/>
              <w:right w:w="108" w:type="dxa"/>
            </w:tcMar>
            <w:hideMark/>
          </w:tcPr>
          <w:p w:rsidR="00BC33F4" w:rsidRPr="00BC33F4" w:rsidRDefault="00BC33F4" w:rsidP="00BC33F4">
            <w:pPr>
              <w:widowControl/>
              <w:spacing w:before="75" w:beforeAutospacing="0" w:after="330" w:afterAutospacing="0" w:line="400" w:lineRule="atLeast"/>
              <w:jc w:val="left"/>
              <w:rPr>
                <w:rFonts w:ascii="微软雅黑" w:eastAsia="微软雅黑" w:hAnsi="微软雅黑" w:cs="宋体"/>
                <w:color w:val="02396F"/>
                <w:kern w:val="0"/>
                <w:szCs w:val="21"/>
              </w:rPr>
            </w:pPr>
            <w:r w:rsidRPr="00BC33F4">
              <w:rPr>
                <w:rFonts w:ascii="微软雅黑" w:eastAsia="微软雅黑" w:hAnsi="微软雅黑" w:cs="宋体" w:hint="eastAsia"/>
                <w:color w:val="02396F"/>
                <w:kern w:val="0"/>
                <w:szCs w:val="21"/>
              </w:rPr>
              <w:t>投标人近三年内，在经营活动中没有重大违法、违纪、失信记录（未被列入中国政府采购网或其他公开媒体政府采购严重违法失信行为记录名单或其他不良记录，正在接受处罚期间；未被列入“信用中国”网站（www.creditchina.gov.cn）失信被执行人和重大税收违法案件当事人名单），投标人自行提供承诺函并加盖公章。</w:t>
            </w:r>
          </w:p>
        </w:tc>
      </w:tr>
    </w:tbl>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主要技术参数：</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b/>
          <w:bCs/>
          <w:color w:val="383838"/>
          <w:kern w:val="0"/>
          <w:sz w:val="24"/>
          <w:szCs w:val="24"/>
        </w:rPr>
        <w:t>01包</w:t>
      </w:r>
      <w:r w:rsidRPr="00BC33F4">
        <w:rPr>
          <w:rFonts w:ascii="微软雅黑" w:eastAsia="微软雅黑" w:hAnsi="微软雅黑" w:cs="宋体" w:hint="eastAsia"/>
          <w:color w:val="383838"/>
          <w:kern w:val="0"/>
          <w:sz w:val="24"/>
          <w:szCs w:val="24"/>
        </w:rPr>
        <w:t xml:space="preserve">  </w:t>
      </w:r>
      <w:r w:rsidRPr="00BC33F4">
        <w:rPr>
          <w:rFonts w:ascii="微软雅黑" w:eastAsia="微软雅黑" w:hAnsi="微软雅黑" w:cs="宋体" w:hint="eastAsia"/>
          <w:b/>
          <w:bCs/>
          <w:color w:val="383838"/>
          <w:kern w:val="0"/>
          <w:sz w:val="24"/>
          <w:szCs w:val="24"/>
        </w:rPr>
        <w:t>免疫分析仪：</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★1、检测光源：红外半导体激光器；</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★2、检测激发波长/发射光谱：激发波长960nm-995nm，发射光谱主峰波长525nm-575nm；</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lastRenderedPageBreak/>
        <w:t>★12、灵敏性：不受外界的背景干扰, 检测限为细菌类1000-10000CFU/ml，毒素类50-100pg；</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b/>
          <w:bCs/>
          <w:color w:val="383838"/>
          <w:kern w:val="0"/>
          <w:sz w:val="24"/>
          <w:szCs w:val="24"/>
        </w:rPr>
        <w:t>02包</w:t>
      </w:r>
      <w:r w:rsidRPr="00BC33F4">
        <w:rPr>
          <w:rFonts w:ascii="微软雅黑" w:eastAsia="微软雅黑" w:hAnsi="微软雅黑" w:cs="宋体" w:hint="eastAsia"/>
          <w:color w:val="383838"/>
          <w:kern w:val="0"/>
          <w:sz w:val="24"/>
          <w:szCs w:val="24"/>
        </w:rPr>
        <w:t xml:space="preserve">    </w:t>
      </w:r>
      <w:r w:rsidRPr="00BC33F4">
        <w:rPr>
          <w:rFonts w:ascii="微软雅黑" w:eastAsia="微软雅黑" w:hAnsi="微软雅黑" w:cs="宋体" w:hint="eastAsia"/>
          <w:b/>
          <w:bCs/>
          <w:color w:val="383838"/>
          <w:kern w:val="0"/>
          <w:sz w:val="24"/>
          <w:szCs w:val="24"/>
        </w:rPr>
        <w:t>病原体快速检测仪：</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★1.变温性能：最大升温速度不小于10℃/秒，最大降温速度不小于2.5℃/秒；</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★5.光学检测通道：≥4通道；</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★9.控制方式：模块化操作，模块独立工作互不影响，可在同一时间内进行最多8个不同检测程序实现不同病原体同时检测；</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b/>
          <w:bCs/>
          <w:color w:val="383838"/>
          <w:kern w:val="0"/>
          <w:sz w:val="24"/>
          <w:szCs w:val="24"/>
        </w:rPr>
        <w:t>03包</w:t>
      </w:r>
      <w:r w:rsidRPr="00BC33F4">
        <w:rPr>
          <w:rFonts w:ascii="微软雅黑" w:eastAsia="微软雅黑" w:hAnsi="微软雅黑" w:cs="宋体" w:hint="eastAsia"/>
          <w:color w:val="383838"/>
          <w:kern w:val="0"/>
          <w:sz w:val="24"/>
          <w:szCs w:val="24"/>
        </w:rPr>
        <w:t xml:space="preserve">    </w:t>
      </w:r>
      <w:r w:rsidRPr="00BC33F4">
        <w:rPr>
          <w:rFonts w:ascii="微软雅黑" w:eastAsia="微软雅黑" w:hAnsi="微软雅黑" w:cs="宋体" w:hint="eastAsia"/>
          <w:b/>
          <w:bCs/>
          <w:color w:val="383838"/>
          <w:kern w:val="0"/>
          <w:sz w:val="24"/>
          <w:szCs w:val="24"/>
        </w:rPr>
        <w:t>显微镜：</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★2、复合光学技术，左路光通道为高景深通道，右路光通道为高分辨通道，通过左右光路合成既是高分辨又是高景深的图像；</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★3、电动变倍器，变倍比为20.5:1，可连续变倍；</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★5、在1倍物镜下分辨率≥525线对/毫米，最高分辨率≥1050线对/毫米；</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b/>
          <w:bCs/>
          <w:color w:val="383838"/>
          <w:kern w:val="0"/>
          <w:sz w:val="24"/>
          <w:szCs w:val="24"/>
        </w:rPr>
        <w:t>04包</w:t>
      </w:r>
      <w:r w:rsidRPr="00BC33F4">
        <w:rPr>
          <w:rFonts w:ascii="微软雅黑" w:eastAsia="微软雅黑" w:hAnsi="微软雅黑" w:cs="宋体" w:hint="eastAsia"/>
          <w:color w:val="383838"/>
          <w:kern w:val="0"/>
          <w:sz w:val="24"/>
          <w:szCs w:val="24"/>
        </w:rPr>
        <w:t xml:space="preserve">    </w:t>
      </w:r>
      <w:r w:rsidRPr="00BC33F4">
        <w:rPr>
          <w:rFonts w:ascii="微软雅黑" w:eastAsia="微软雅黑" w:hAnsi="微软雅黑" w:cs="宋体" w:hint="eastAsia"/>
          <w:b/>
          <w:bCs/>
          <w:color w:val="383838"/>
          <w:kern w:val="0"/>
          <w:sz w:val="24"/>
          <w:szCs w:val="24"/>
        </w:rPr>
        <w:t>手持式有毒有害物质识别仪：</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★3.可配远焦镜头，实现远程遥测功能：通过远焦光学镜头可对≥1m距离范围外的可疑物质进行无接触远程直接检测，减少人员威胁；</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lastRenderedPageBreak/>
        <w:t>★6.可配柱状探头，实现侵入式直接测量功能：可直接接触样品或者透过包装材料进行样品测量，可将柱状探头插入容器或者液体介质直接对内藏物进行测量；</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★13. 数据库至少包含1200种物质：子库包含常见的有毒有害化学物质库（如沙林、梭曼、塔崩、VX、氢氰酸、麻醉性强效镇痛剂、常见的剧毒化学工业品等）、易致毒易致爆化学物质库、毒品库、爆炸品库四类，用户可根据现场实际情况在仪器端直接选择子库，以获得更好的匹配度；</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b/>
          <w:bCs/>
          <w:color w:val="383838"/>
          <w:kern w:val="0"/>
          <w:sz w:val="24"/>
          <w:szCs w:val="24"/>
        </w:rPr>
        <w:t>05包</w:t>
      </w:r>
      <w:r w:rsidRPr="00BC33F4">
        <w:rPr>
          <w:rFonts w:ascii="微软雅黑" w:eastAsia="微软雅黑" w:hAnsi="微软雅黑" w:cs="宋体" w:hint="eastAsia"/>
          <w:color w:val="383838"/>
          <w:kern w:val="0"/>
          <w:sz w:val="24"/>
          <w:szCs w:val="24"/>
        </w:rPr>
        <w:t xml:space="preserve">  </w:t>
      </w:r>
      <w:r w:rsidRPr="00BC33F4">
        <w:rPr>
          <w:rFonts w:ascii="微软雅黑" w:eastAsia="微软雅黑" w:hAnsi="微软雅黑" w:cs="宋体" w:hint="eastAsia"/>
          <w:b/>
          <w:bCs/>
          <w:color w:val="383838"/>
          <w:kern w:val="0"/>
          <w:sz w:val="24"/>
          <w:szCs w:val="24"/>
        </w:rPr>
        <w:t>智能流调机：</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1、旅客自助终端硬件：★1.1支持旅客触摸输入，承受超过6000万次以上的单点触摸，触摸分辨率：4096 x 4096；响应速度 &lt;15ms</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2、旅客自助终端前端交互系统：★2.5个性化流调：建立基于风险评估的个性化流调库，涵盖重大传染病、新发传染病、旅行常见传染病、人兽共患病、生物恐怖等传染病的风险评估算法</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b/>
          <w:bCs/>
          <w:color w:val="383838"/>
          <w:kern w:val="0"/>
          <w:sz w:val="24"/>
          <w:szCs w:val="24"/>
        </w:rPr>
        <w:t>06包</w:t>
      </w:r>
      <w:r w:rsidRPr="00BC33F4">
        <w:rPr>
          <w:rFonts w:ascii="微软雅黑" w:eastAsia="微软雅黑" w:hAnsi="微软雅黑" w:cs="宋体" w:hint="eastAsia"/>
          <w:color w:val="383838"/>
          <w:kern w:val="0"/>
          <w:sz w:val="24"/>
          <w:szCs w:val="24"/>
        </w:rPr>
        <w:t xml:space="preserve">  </w:t>
      </w:r>
      <w:r w:rsidRPr="00BC33F4">
        <w:rPr>
          <w:rFonts w:ascii="微软雅黑" w:eastAsia="微软雅黑" w:hAnsi="微软雅黑" w:cs="宋体" w:hint="eastAsia"/>
          <w:b/>
          <w:bCs/>
          <w:color w:val="383838"/>
          <w:kern w:val="0"/>
          <w:sz w:val="24"/>
          <w:szCs w:val="24"/>
        </w:rPr>
        <w:t>旅检智能查验机器人：</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2、携带物红外低温探测：机器人内嵌红外热成像设备，实现携带物低温探测，结合设定阈值，主动将报警图像推送到监控平台及手持终端上。测温精度≤0.3℃，热灵敏度(NETD)≤35mk，测温范围-20℃-70℃。支持目标跟踪、目标渲染，支持H.265/ONVIF2.2/RTSP。可对接“深圳海关智慧旅检2.0系统”，实现低温报警对接；对接能够对接海关现有单兵设备，可将报警推送至海关单兵设备。</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lastRenderedPageBreak/>
        <w:t>★4、物品分析与识别：机器人内嵌X光智能图像分析算法，可实现对旅客行李X光图的智能分析，识别出超过20类禁限物品；通过内嵌的可见光智能物品分析算法，可实现对开包查验区旅客携带物品的分析识别，并将分析数据推送到监控平台及手持终端上。可对接“出入境人员携带物检验检疫管理系统”，提供旅客截留物品查询功能，方便查验旅客对截留物目前查验状态进行查询。</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5、人脸识别：机器人内嵌人脸识别模块，对机器人视角内的旅客自动进行人脸识别，支持白名单认证、黑名单报警提示，支持本地30000人脸库离线识别，1：N检索时间小于0.5s；能够利用深圳海关现有人脸识别系统基于Restful的标准接口，将人脸抓拍图片上传至深圳海关人脸识别系统进行比对，支持黑名单报警提示。并可自动提醒已申报旅客查验，对于通关频次多的旅客自动报警提醒。识别参数：人脸两眼瞳距大于50像素，人脸左右偏转小于30度，上下偏转小于15度。</w:t>
      </w:r>
    </w:p>
    <w:p w:rsidR="00BC33F4" w:rsidRPr="00BC33F4" w:rsidRDefault="00BC33F4" w:rsidP="00BC33F4">
      <w:pPr>
        <w:widowControl/>
        <w:numPr>
          <w:ilvl w:val="0"/>
          <w:numId w:val="3"/>
        </w:numPr>
        <w:shd w:val="clear" w:color="auto" w:fill="FFFFFF"/>
        <w:spacing w:before="120" w:beforeAutospacing="0" w:after="0" w:afterAutospacing="0" w:line="480" w:lineRule="atLeast"/>
        <w:ind w:left="244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 xml:space="preserve">投标开始时间：2018年12月04日 09：00时（北京时间） </w:t>
      </w:r>
    </w:p>
    <w:p w:rsidR="00BC33F4" w:rsidRPr="00BC33F4" w:rsidRDefault="00BC33F4" w:rsidP="00BC33F4">
      <w:pPr>
        <w:widowControl/>
        <w:numPr>
          <w:ilvl w:val="0"/>
          <w:numId w:val="4"/>
        </w:numPr>
        <w:shd w:val="clear" w:color="auto" w:fill="FFFFFF"/>
        <w:spacing w:before="120" w:beforeAutospacing="0" w:after="0" w:afterAutospacing="0" w:line="480" w:lineRule="atLeast"/>
        <w:ind w:left="244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 xml:space="preserve">投标截止及开标时间：2018年12月04日 09：30时（北京时间） </w:t>
      </w:r>
    </w:p>
    <w:p w:rsidR="00BC33F4" w:rsidRPr="00BC33F4" w:rsidRDefault="00BC33F4" w:rsidP="00BC33F4">
      <w:pPr>
        <w:widowControl/>
        <w:numPr>
          <w:ilvl w:val="0"/>
          <w:numId w:val="5"/>
        </w:numPr>
        <w:shd w:val="clear" w:color="auto" w:fill="FFFFFF"/>
        <w:spacing w:before="120" w:beforeAutospacing="0" w:after="0" w:afterAutospacing="0" w:line="480" w:lineRule="atLeast"/>
        <w:ind w:left="244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 xml:space="preserve">投标及开标地点：深圳市罗湖区嘉宾路2018号深华商业大厦6楼613室。届时请参加投标的代表出席开标仪式。 </w:t>
      </w:r>
    </w:p>
    <w:p w:rsidR="00BC33F4" w:rsidRPr="00BC33F4" w:rsidRDefault="00BC33F4" w:rsidP="00BC33F4">
      <w:pPr>
        <w:widowControl/>
        <w:numPr>
          <w:ilvl w:val="0"/>
          <w:numId w:val="6"/>
        </w:numPr>
        <w:shd w:val="clear" w:color="auto" w:fill="FFFFFF"/>
        <w:spacing w:before="120" w:beforeAutospacing="0" w:after="0" w:afterAutospacing="0" w:line="480" w:lineRule="atLeast"/>
        <w:ind w:left="2445"/>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获取了招标文件，而不参加投标的供应人，请在开标前3日以书面形式通知招标机构。</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lastRenderedPageBreak/>
        <w:t>招标机构名称：深圳市国际招标有限公司</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详细地址：深圳市罗湖区嘉宾路2018号深华商业大厦6楼</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邮    编：518040</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联 系 人：陈小姐、叶工</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电    话： 0755-83500967（18675524329）  或  0755-83500957</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传    真：0755-82158057  </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邮    箱：241784297@qq.com</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收款单位：深圳市国际招标有限公司</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开户银行：平安银行深圳江苏大厦支行</w:t>
      </w:r>
    </w:p>
    <w:p w:rsidR="00BC33F4" w:rsidRPr="00BC33F4" w:rsidRDefault="00BC33F4" w:rsidP="00BC33F4">
      <w:pPr>
        <w:widowControl/>
        <w:shd w:val="clear" w:color="auto" w:fill="FFFFFF"/>
        <w:spacing w:before="120" w:beforeAutospacing="0" w:after="330" w:afterAutospacing="0" w:line="360" w:lineRule="auto"/>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帐    号：（人民币）11002982389701</w:t>
      </w:r>
    </w:p>
    <w:p w:rsidR="00BC33F4" w:rsidRPr="00BC33F4" w:rsidRDefault="00BC33F4" w:rsidP="00BC33F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BC33F4">
        <w:rPr>
          <w:rFonts w:ascii="微软雅黑" w:eastAsia="微软雅黑" w:hAnsi="微软雅黑" w:cs="宋体" w:hint="eastAsia"/>
          <w:color w:val="383838"/>
          <w:kern w:val="0"/>
          <w:sz w:val="24"/>
          <w:szCs w:val="24"/>
        </w:rPr>
        <w:t> </w:t>
      </w:r>
    </w:p>
    <w:p w:rsidR="00FB2F15" w:rsidRDefault="00FB2F15"/>
    <w:sectPr w:rsidR="00FB2F1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5BDC"/>
    <w:multiLevelType w:val="multilevel"/>
    <w:tmpl w:val="8F94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5459A5"/>
    <w:multiLevelType w:val="multilevel"/>
    <w:tmpl w:val="BFB4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296CD3"/>
    <w:multiLevelType w:val="multilevel"/>
    <w:tmpl w:val="401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3"/>
    </w:lvlOverride>
  </w:num>
  <w:num w:numId="3">
    <w:abstractNumId w:val="1"/>
    <w:lvlOverride w:ilvl="0">
      <w:startOverride w:val="4"/>
    </w:lvlOverride>
  </w:num>
  <w:num w:numId="4">
    <w:abstractNumId w:val="1"/>
    <w:lvlOverride w:ilvl="0">
      <w:startOverride w:val="5"/>
    </w:lvlOverride>
  </w:num>
  <w:num w:numId="5">
    <w:abstractNumId w:val="1"/>
    <w:lvlOverride w:ilvl="0">
      <w:startOverride w:val="6"/>
    </w:lvlOverride>
  </w:num>
  <w:num w:numId="6">
    <w:abstractNumId w:val="1"/>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33F4"/>
    <w:rsid w:val="006049F7"/>
    <w:rsid w:val="007A61A4"/>
    <w:rsid w:val="00AC2CC6"/>
    <w:rsid w:val="00BC33F4"/>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13684">
      <w:bodyDiv w:val="1"/>
      <w:marLeft w:val="0"/>
      <w:marRight w:val="0"/>
      <w:marTop w:val="0"/>
      <w:marBottom w:val="0"/>
      <w:divBdr>
        <w:top w:val="none" w:sz="0" w:space="0" w:color="auto"/>
        <w:left w:val="none" w:sz="0" w:space="0" w:color="auto"/>
        <w:bottom w:val="none" w:sz="0" w:space="0" w:color="auto"/>
        <w:right w:val="none" w:sz="0" w:space="0" w:color="auto"/>
      </w:divBdr>
      <w:divsChild>
        <w:div w:id="1380401590">
          <w:marLeft w:val="0"/>
          <w:marRight w:val="0"/>
          <w:marTop w:val="0"/>
          <w:marBottom w:val="0"/>
          <w:divBdr>
            <w:top w:val="none" w:sz="0" w:space="0" w:color="auto"/>
            <w:left w:val="none" w:sz="0" w:space="0" w:color="auto"/>
            <w:bottom w:val="none" w:sz="0" w:space="0" w:color="auto"/>
            <w:right w:val="none" w:sz="0" w:space="0" w:color="auto"/>
          </w:divBdr>
          <w:divsChild>
            <w:div w:id="885331411">
              <w:marLeft w:val="0"/>
              <w:marRight w:val="0"/>
              <w:marTop w:val="0"/>
              <w:marBottom w:val="0"/>
              <w:divBdr>
                <w:top w:val="none" w:sz="0" w:space="0" w:color="auto"/>
                <w:left w:val="none" w:sz="0" w:space="0" w:color="auto"/>
                <w:bottom w:val="none" w:sz="0" w:space="0" w:color="auto"/>
                <w:right w:val="none" w:sz="0" w:space="0" w:color="auto"/>
              </w:divBdr>
              <w:divsChild>
                <w:div w:id="224146881">
                  <w:marLeft w:val="0"/>
                  <w:marRight w:val="0"/>
                  <w:marTop w:val="150"/>
                  <w:marBottom w:val="0"/>
                  <w:divBdr>
                    <w:top w:val="none" w:sz="0" w:space="0" w:color="auto"/>
                    <w:left w:val="none" w:sz="0" w:space="0" w:color="auto"/>
                    <w:bottom w:val="none" w:sz="0" w:space="0" w:color="auto"/>
                    <w:right w:val="none" w:sz="0" w:space="0" w:color="auto"/>
                  </w:divBdr>
                  <w:divsChild>
                    <w:div w:id="1218324319">
                      <w:marLeft w:val="150"/>
                      <w:marRight w:val="0"/>
                      <w:marTop w:val="300"/>
                      <w:marBottom w:val="150"/>
                      <w:divBdr>
                        <w:top w:val="none" w:sz="0" w:space="0" w:color="auto"/>
                        <w:left w:val="none" w:sz="0" w:space="0" w:color="auto"/>
                        <w:bottom w:val="none" w:sz="0" w:space="0" w:color="auto"/>
                        <w:right w:val="none" w:sz="0" w:space="0" w:color="auto"/>
                      </w:divBdr>
                      <w:divsChild>
                        <w:div w:id="387071289">
                          <w:marLeft w:val="1425"/>
                          <w:marRight w:val="0"/>
                          <w:marTop w:val="0"/>
                          <w:marBottom w:val="0"/>
                          <w:divBdr>
                            <w:top w:val="none" w:sz="0" w:space="0" w:color="auto"/>
                            <w:left w:val="none" w:sz="0" w:space="0" w:color="auto"/>
                            <w:bottom w:val="none" w:sz="0" w:space="0" w:color="auto"/>
                            <w:right w:val="none" w:sz="0" w:space="0" w:color="auto"/>
                          </w:divBdr>
                          <w:divsChild>
                            <w:div w:id="51427302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455</Words>
  <Characters>2598</Characters>
  <Application>Microsoft Office Word</Application>
  <DocSecurity>0</DocSecurity>
  <Lines>21</Lines>
  <Paragraphs>6</Paragraphs>
  <ScaleCrop>false</ScaleCrop>
  <Company>Microsoft</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2018-11-12T07:18:00Z</dcterms:created>
  <dcterms:modified xsi:type="dcterms:W3CDTF">2018-11-12T07:18:00Z</dcterms:modified>
</cp:coreProperties>
</file>