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招标编号：0658-18008A40369</w:t>
      </w:r>
    </w:p>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深圳市国际招标有限公司(以下简称“招标机构”)受招标人委托，邀请国内合格投标人就深圳出入境检验检疫局红外热成像体温监测系统采购项目的下列货物和有关服务提交密封投标：</w:t>
      </w:r>
    </w:p>
    <w:tbl>
      <w:tblPr>
        <w:tblW w:w="8130" w:type="dxa"/>
        <w:tblInd w:w="468" w:type="dxa"/>
        <w:tblCellMar>
          <w:left w:w="0" w:type="dxa"/>
          <w:right w:w="0" w:type="dxa"/>
        </w:tblCellMar>
        <w:tblLook w:val="04A0"/>
      </w:tblPr>
      <w:tblGrid>
        <w:gridCol w:w="2567"/>
        <w:gridCol w:w="2804"/>
        <w:gridCol w:w="1248"/>
        <w:gridCol w:w="1511"/>
      </w:tblGrid>
      <w:tr w:rsidR="00923CD8" w:rsidRPr="009A485A" w:rsidTr="007E3A6D">
        <w:trPr>
          <w:trHeight w:val="408"/>
        </w:trPr>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485A" w:rsidRPr="009A485A" w:rsidRDefault="00923CD8" w:rsidP="007E3A6D">
            <w:pPr>
              <w:widowControl/>
              <w:spacing w:before="100" w:beforeAutospacing="1" w:after="100" w:afterAutospacing="1" w:line="400" w:lineRule="atLeast"/>
              <w:jc w:val="center"/>
              <w:rPr>
                <w:rFonts w:ascii="宋体" w:eastAsia="宋体" w:hAnsi="宋体" w:cs="宋体"/>
                <w:kern w:val="0"/>
                <w:sz w:val="24"/>
                <w:szCs w:val="24"/>
              </w:rPr>
            </w:pPr>
            <w:r w:rsidRPr="009A485A">
              <w:rPr>
                <w:rFonts w:ascii="宋体" w:eastAsia="宋体" w:hAnsi="宋体" w:cs="宋体"/>
                <w:kern w:val="0"/>
                <w:sz w:val="24"/>
                <w:szCs w:val="24"/>
              </w:rPr>
              <w:t>包号</w:t>
            </w:r>
          </w:p>
        </w:tc>
        <w:tc>
          <w:tcPr>
            <w:tcW w:w="2595" w:type="dxa"/>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hideMark/>
          </w:tcPr>
          <w:p w:rsidR="009A485A" w:rsidRPr="009A485A" w:rsidRDefault="00923CD8" w:rsidP="007E3A6D">
            <w:pPr>
              <w:widowControl/>
              <w:spacing w:before="100" w:beforeAutospacing="1" w:after="100" w:afterAutospacing="1" w:line="400" w:lineRule="atLeast"/>
              <w:jc w:val="center"/>
              <w:rPr>
                <w:rFonts w:ascii="宋体" w:eastAsia="宋体" w:hAnsi="宋体" w:cs="宋体"/>
                <w:kern w:val="0"/>
                <w:sz w:val="24"/>
                <w:szCs w:val="24"/>
              </w:rPr>
            </w:pPr>
            <w:r w:rsidRPr="009A485A">
              <w:rPr>
                <w:rFonts w:ascii="宋体" w:eastAsia="宋体" w:hAnsi="宋体" w:cs="宋体"/>
                <w:kern w:val="0"/>
                <w:sz w:val="24"/>
                <w:szCs w:val="24"/>
              </w:rPr>
              <w:t>货物名称</w:t>
            </w:r>
          </w:p>
        </w:tc>
        <w:tc>
          <w:tcPr>
            <w:tcW w:w="1155" w:type="dxa"/>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9A485A" w:rsidRPr="009A485A" w:rsidRDefault="00923CD8" w:rsidP="007E3A6D">
            <w:pPr>
              <w:widowControl/>
              <w:spacing w:before="100" w:beforeAutospacing="1" w:after="100" w:afterAutospacing="1" w:line="400" w:lineRule="atLeast"/>
              <w:jc w:val="center"/>
              <w:rPr>
                <w:rFonts w:ascii="宋体" w:eastAsia="宋体" w:hAnsi="宋体" w:cs="宋体"/>
                <w:kern w:val="0"/>
                <w:sz w:val="24"/>
                <w:szCs w:val="24"/>
              </w:rPr>
            </w:pPr>
            <w:r w:rsidRPr="009A485A">
              <w:rPr>
                <w:rFonts w:ascii="宋体" w:eastAsia="宋体" w:hAnsi="宋体" w:cs="宋体"/>
                <w:kern w:val="0"/>
                <w:sz w:val="24"/>
                <w:szCs w:val="24"/>
              </w:rPr>
              <w:t>数 量</w:t>
            </w:r>
          </w:p>
        </w:tc>
        <w:tc>
          <w:tcPr>
            <w:tcW w:w="1399" w:type="dxa"/>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9A485A" w:rsidRPr="009A485A" w:rsidRDefault="00923CD8" w:rsidP="007E3A6D">
            <w:pPr>
              <w:widowControl/>
              <w:spacing w:before="100" w:beforeAutospacing="1" w:after="100" w:afterAutospacing="1" w:line="400" w:lineRule="atLeast"/>
              <w:jc w:val="center"/>
              <w:rPr>
                <w:rFonts w:ascii="宋体" w:eastAsia="宋体" w:hAnsi="宋体" w:cs="宋体"/>
                <w:kern w:val="0"/>
                <w:sz w:val="24"/>
                <w:szCs w:val="24"/>
              </w:rPr>
            </w:pPr>
            <w:r w:rsidRPr="009A485A">
              <w:rPr>
                <w:rFonts w:ascii="宋体" w:eastAsia="宋体" w:hAnsi="宋体" w:cs="宋体"/>
                <w:kern w:val="0"/>
                <w:sz w:val="24"/>
                <w:szCs w:val="24"/>
              </w:rPr>
              <w:t>单 位</w:t>
            </w:r>
          </w:p>
        </w:tc>
      </w:tr>
      <w:tr w:rsidR="00923CD8" w:rsidRPr="009A485A" w:rsidTr="007E3A6D">
        <w:trPr>
          <w:trHeight w:val="408"/>
        </w:trPr>
        <w:tc>
          <w:tcPr>
            <w:tcW w:w="2214"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485A" w:rsidRPr="009A485A" w:rsidRDefault="00923CD8" w:rsidP="007E3A6D">
            <w:pPr>
              <w:widowControl/>
              <w:spacing w:before="100" w:beforeAutospacing="1" w:after="100" w:afterAutospacing="1" w:line="400" w:lineRule="atLeast"/>
              <w:jc w:val="center"/>
              <w:rPr>
                <w:rFonts w:ascii="宋体" w:eastAsia="宋体" w:hAnsi="宋体" w:cs="宋体"/>
                <w:kern w:val="0"/>
                <w:sz w:val="24"/>
                <w:szCs w:val="24"/>
              </w:rPr>
            </w:pPr>
            <w:r w:rsidRPr="009A485A">
              <w:rPr>
                <w:rFonts w:ascii="宋体" w:eastAsia="宋体" w:hAnsi="宋体" w:cs="宋体"/>
                <w:kern w:val="0"/>
                <w:sz w:val="24"/>
                <w:szCs w:val="24"/>
              </w:rPr>
              <w:t>0658-18008A40369-1</w:t>
            </w:r>
          </w:p>
        </w:tc>
        <w:tc>
          <w:tcPr>
            <w:tcW w:w="2595"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9A485A" w:rsidRPr="009A485A" w:rsidRDefault="00923CD8" w:rsidP="007E3A6D">
            <w:pPr>
              <w:widowControl/>
              <w:spacing w:before="100" w:beforeAutospacing="1" w:after="100" w:afterAutospacing="1"/>
              <w:jc w:val="center"/>
              <w:rPr>
                <w:rFonts w:ascii="宋体" w:eastAsia="宋体" w:hAnsi="宋体" w:cs="宋体"/>
                <w:kern w:val="0"/>
                <w:sz w:val="24"/>
                <w:szCs w:val="24"/>
              </w:rPr>
            </w:pPr>
            <w:r w:rsidRPr="009A485A">
              <w:rPr>
                <w:rFonts w:ascii="宋体" w:eastAsia="宋体" w:hAnsi="宋体" w:cs="宋体"/>
                <w:kern w:val="0"/>
                <w:sz w:val="24"/>
                <w:szCs w:val="24"/>
              </w:rPr>
              <w:t>红外热成像体温监测系统</w:t>
            </w:r>
          </w:p>
        </w:tc>
        <w:tc>
          <w:tcPr>
            <w:tcW w:w="1155"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9A485A" w:rsidRPr="009A485A" w:rsidRDefault="00923CD8" w:rsidP="007E3A6D">
            <w:pPr>
              <w:widowControl/>
              <w:spacing w:before="100" w:beforeAutospacing="1" w:after="100" w:afterAutospacing="1"/>
              <w:jc w:val="center"/>
              <w:rPr>
                <w:rFonts w:ascii="宋体" w:eastAsia="宋体" w:hAnsi="宋体" w:cs="宋体"/>
                <w:kern w:val="0"/>
                <w:sz w:val="24"/>
                <w:szCs w:val="24"/>
              </w:rPr>
            </w:pPr>
            <w:r w:rsidRPr="009A485A">
              <w:rPr>
                <w:rFonts w:ascii="宋体" w:eastAsia="宋体" w:hAnsi="宋体" w:cs="宋体"/>
                <w:kern w:val="0"/>
                <w:sz w:val="24"/>
                <w:szCs w:val="24"/>
              </w:rPr>
              <w:t>24</w:t>
            </w:r>
          </w:p>
        </w:tc>
        <w:tc>
          <w:tcPr>
            <w:tcW w:w="139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9A485A" w:rsidRPr="009A485A" w:rsidRDefault="00923CD8" w:rsidP="007E3A6D">
            <w:pPr>
              <w:widowControl/>
              <w:spacing w:before="100" w:beforeAutospacing="1" w:after="100" w:afterAutospacing="1" w:line="400" w:lineRule="atLeast"/>
              <w:jc w:val="center"/>
              <w:rPr>
                <w:rFonts w:ascii="宋体" w:eastAsia="宋体" w:hAnsi="宋体" w:cs="宋体"/>
                <w:kern w:val="0"/>
                <w:sz w:val="24"/>
                <w:szCs w:val="24"/>
              </w:rPr>
            </w:pPr>
            <w:r w:rsidRPr="009A485A">
              <w:rPr>
                <w:rFonts w:ascii="宋体" w:eastAsia="宋体" w:hAnsi="宋体" w:cs="宋体"/>
                <w:kern w:val="0"/>
                <w:sz w:val="24"/>
                <w:szCs w:val="24"/>
              </w:rPr>
              <w:t>套</w:t>
            </w:r>
          </w:p>
        </w:tc>
      </w:tr>
    </w:tbl>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有意向的合格投标人可在深圳市国际招标有限公司得到进一步的信息。</w:t>
      </w:r>
    </w:p>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招标文件售价：每包售价为500元人民币，售后不退。</w:t>
      </w:r>
    </w:p>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购买招标文件时间：2018年3月20日起至2018年 4月4日止，每天9：00至11：30、14：00至17：00(北京时间，节假日除外)。</w:t>
      </w:r>
    </w:p>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购买招标文件地点：登录http://www.sztc.com/后点击【我要报名/买标书】——选择要报名的项目——【购买招标文件】——填写相关资料，如果是转帐的需上传相关转帐凭证——【提交】，提交后请与财务确认转帐，并下载标书。在线或直接转账缴纳报名费人民币500元(请备注招标编号)。</w:t>
      </w:r>
    </w:p>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资格标准：</w:t>
      </w:r>
    </w:p>
    <w:tbl>
      <w:tblPr>
        <w:tblW w:w="8565" w:type="dxa"/>
        <w:tblCellMar>
          <w:left w:w="0" w:type="dxa"/>
          <w:right w:w="0" w:type="dxa"/>
        </w:tblCellMar>
        <w:tblLook w:val="04A0"/>
      </w:tblPr>
      <w:tblGrid>
        <w:gridCol w:w="1005"/>
        <w:gridCol w:w="7560"/>
      </w:tblGrid>
      <w:tr w:rsidR="00923CD8" w:rsidRPr="009A485A" w:rsidTr="007E3A6D">
        <w:tc>
          <w:tcPr>
            <w:tcW w:w="910" w:type="dxa"/>
            <w:tcBorders>
              <w:top w:val="nil"/>
              <w:left w:val="nil"/>
              <w:bottom w:val="nil"/>
              <w:right w:val="nil"/>
            </w:tcBorders>
            <w:tcMar>
              <w:top w:w="0" w:type="dxa"/>
              <w:left w:w="108" w:type="dxa"/>
              <w:bottom w:w="0" w:type="dxa"/>
              <w:right w:w="108" w:type="dxa"/>
            </w:tcMar>
            <w:hideMark/>
          </w:tcPr>
          <w:p w:rsidR="009A485A" w:rsidRPr="009A485A" w:rsidRDefault="00923CD8" w:rsidP="007E3A6D">
            <w:pPr>
              <w:widowControl/>
              <w:spacing w:line="400" w:lineRule="atLeast"/>
              <w:ind w:left="170"/>
              <w:jc w:val="left"/>
              <w:rPr>
                <w:rFonts w:ascii="宋体" w:eastAsia="宋体" w:hAnsi="宋体" w:cs="宋体"/>
                <w:kern w:val="0"/>
                <w:sz w:val="24"/>
                <w:szCs w:val="24"/>
              </w:rPr>
            </w:pPr>
            <w:r w:rsidRPr="009A485A">
              <w:rPr>
                <w:rFonts w:ascii="宋体" w:eastAsia="宋体" w:hAnsi="宋体" w:cs="宋体"/>
                <w:kern w:val="0"/>
                <w:sz w:val="24"/>
                <w:szCs w:val="24"/>
              </w:rPr>
              <w:t>*1.1</w:t>
            </w:r>
          </w:p>
        </w:tc>
        <w:tc>
          <w:tcPr>
            <w:tcW w:w="6847" w:type="dxa"/>
            <w:tcBorders>
              <w:top w:val="nil"/>
              <w:left w:val="nil"/>
              <w:bottom w:val="nil"/>
              <w:right w:val="nil"/>
            </w:tcBorders>
            <w:tcMar>
              <w:top w:w="0" w:type="dxa"/>
              <w:left w:w="108" w:type="dxa"/>
              <w:bottom w:w="0" w:type="dxa"/>
              <w:right w:w="108" w:type="dxa"/>
            </w:tcMar>
            <w:hideMark/>
          </w:tcPr>
          <w:p w:rsidR="009A485A" w:rsidRPr="009A485A" w:rsidRDefault="00923CD8" w:rsidP="007E3A6D">
            <w:pPr>
              <w:widowControl/>
              <w:spacing w:before="100" w:beforeAutospacing="1" w:after="100" w:afterAutospacing="1" w:line="400" w:lineRule="atLeast"/>
              <w:jc w:val="left"/>
              <w:rPr>
                <w:rFonts w:ascii="宋体" w:eastAsia="宋体" w:hAnsi="宋体" w:cs="宋体"/>
                <w:kern w:val="0"/>
                <w:sz w:val="24"/>
                <w:szCs w:val="24"/>
              </w:rPr>
            </w:pPr>
            <w:r w:rsidRPr="009A485A">
              <w:rPr>
                <w:rFonts w:ascii="宋体" w:eastAsia="宋体" w:hAnsi="宋体" w:cs="宋体"/>
                <w:kern w:val="0"/>
                <w:sz w:val="24"/>
                <w:szCs w:val="24"/>
              </w:rPr>
              <w:t>投标人法人代表证明书；</w:t>
            </w:r>
          </w:p>
        </w:tc>
      </w:tr>
      <w:tr w:rsidR="00923CD8" w:rsidRPr="009A485A" w:rsidTr="007E3A6D">
        <w:tc>
          <w:tcPr>
            <w:tcW w:w="910" w:type="dxa"/>
            <w:tcBorders>
              <w:top w:val="nil"/>
              <w:left w:val="nil"/>
              <w:bottom w:val="nil"/>
              <w:right w:val="nil"/>
            </w:tcBorders>
            <w:tcMar>
              <w:top w:w="0" w:type="dxa"/>
              <w:left w:w="108" w:type="dxa"/>
              <w:bottom w:w="0" w:type="dxa"/>
              <w:right w:w="108" w:type="dxa"/>
            </w:tcMar>
            <w:hideMark/>
          </w:tcPr>
          <w:p w:rsidR="009A485A" w:rsidRPr="009A485A" w:rsidRDefault="00923CD8" w:rsidP="007E3A6D">
            <w:pPr>
              <w:widowControl/>
              <w:spacing w:line="400" w:lineRule="atLeast"/>
              <w:ind w:left="170"/>
              <w:jc w:val="left"/>
              <w:rPr>
                <w:rFonts w:ascii="宋体" w:eastAsia="宋体" w:hAnsi="宋体" w:cs="宋体"/>
                <w:kern w:val="0"/>
                <w:sz w:val="24"/>
                <w:szCs w:val="24"/>
              </w:rPr>
            </w:pPr>
            <w:r w:rsidRPr="009A485A">
              <w:rPr>
                <w:rFonts w:ascii="宋体" w:eastAsia="宋体" w:hAnsi="宋体" w:cs="宋体"/>
                <w:kern w:val="0"/>
                <w:sz w:val="24"/>
                <w:szCs w:val="24"/>
              </w:rPr>
              <w:t>*1.2</w:t>
            </w:r>
          </w:p>
        </w:tc>
        <w:tc>
          <w:tcPr>
            <w:tcW w:w="6847" w:type="dxa"/>
            <w:tcBorders>
              <w:top w:val="nil"/>
              <w:left w:val="nil"/>
              <w:bottom w:val="nil"/>
              <w:right w:val="nil"/>
            </w:tcBorders>
            <w:tcMar>
              <w:top w:w="0" w:type="dxa"/>
              <w:left w:w="108" w:type="dxa"/>
              <w:bottom w:w="0" w:type="dxa"/>
              <w:right w:w="108" w:type="dxa"/>
            </w:tcMar>
            <w:hideMark/>
          </w:tcPr>
          <w:p w:rsidR="009A485A" w:rsidRPr="009A485A" w:rsidRDefault="00923CD8" w:rsidP="007E3A6D">
            <w:pPr>
              <w:widowControl/>
              <w:spacing w:before="100" w:beforeAutospacing="1" w:after="100" w:afterAutospacing="1" w:line="400" w:lineRule="atLeast"/>
              <w:jc w:val="left"/>
              <w:rPr>
                <w:rFonts w:ascii="宋体" w:eastAsia="宋体" w:hAnsi="宋体" w:cs="宋体"/>
                <w:kern w:val="0"/>
                <w:sz w:val="24"/>
                <w:szCs w:val="24"/>
              </w:rPr>
            </w:pPr>
            <w:r w:rsidRPr="009A485A">
              <w:rPr>
                <w:rFonts w:ascii="宋体" w:eastAsia="宋体" w:hAnsi="宋体" w:cs="宋体"/>
                <w:kern w:val="0"/>
                <w:sz w:val="24"/>
                <w:szCs w:val="24"/>
              </w:rPr>
              <w:t>投标人法人代表授权书；</w:t>
            </w:r>
          </w:p>
        </w:tc>
      </w:tr>
      <w:tr w:rsidR="00923CD8" w:rsidRPr="009A485A" w:rsidTr="007E3A6D">
        <w:tc>
          <w:tcPr>
            <w:tcW w:w="910" w:type="dxa"/>
            <w:tcBorders>
              <w:top w:val="nil"/>
              <w:left w:val="nil"/>
              <w:bottom w:val="nil"/>
              <w:right w:val="nil"/>
            </w:tcBorders>
            <w:tcMar>
              <w:top w:w="0" w:type="dxa"/>
              <w:left w:w="108" w:type="dxa"/>
              <w:bottom w:w="0" w:type="dxa"/>
              <w:right w:w="108" w:type="dxa"/>
            </w:tcMar>
            <w:hideMark/>
          </w:tcPr>
          <w:p w:rsidR="009A485A" w:rsidRPr="009A485A" w:rsidRDefault="00923CD8" w:rsidP="007E3A6D">
            <w:pPr>
              <w:widowControl/>
              <w:spacing w:line="400" w:lineRule="atLeast"/>
              <w:ind w:left="170"/>
              <w:jc w:val="left"/>
              <w:rPr>
                <w:rFonts w:ascii="宋体" w:eastAsia="宋体" w:hAnsi="宋体" w:cs="宋体"/>
                <w:kern w:val="0"/>
                <w:sz w:val="24"/>
                <w:szCs w:val="24"/>
              </w:rPr>
            </w:pPr>
            <w:r w:rsidRPr="009A485A">
              <w:rPr>
                <w:rFonts w:ascii="宋体" w:eastAsia="宋体" w:hAnsi="宋体" w:cs="宋体"/>
                <w:kern w:val="0"/>
                <w:sz w:val="24"/>
                <w:szCs w:val="24"/>
              </w:rPr>
              <w:t>*1.3</w:t>
            </w:r>
          </w:p>
        </w:tc>
        <w:tc>
          <w:tcPr>
            <w:tcW w:w="6847" w:type="dxa"/>
            <w:tcBorders>
              <w:top w:val="nil"/>
              <w:left w:val="nil"/>
              <w:bottom w:val="nil"/>
              <w:right w:val="nil"/>
            </w:tcBorders>
            <w:tcMar>
              <w:top w:w="0" w:type="dxa"/>
              <w:left w:w="108" w:type="dxa"/>
              <w:bottom w:w="0" w:type="dxa"/>
              <w:right w:w="108" w:type="dxa"/>
            </w:tcMar>
            <w:hideMark/>
          </w:tcPr>
          <w:p w:rsidR="009A485A" w:rsidRPr="009A485A" w:rsidRDefault="00923CD8" w:rsidP="007E3A6D">
            <w:pPr>
              <w:widowControl/>
              <w:spacing w:before="100" w:beforeAutospacing="1" w:after="100" w:afterAutospacing="1" w:line="400" w:lineRule="atLeast"/>
              <w:jc w:val="left"/>
              <w:rPr>
                <w:rFonts w:ascii="宋体" w:eastAsia="宋体" w:hAnsi="宋体" w:cs="宋体"/>
                <w:kern w:val="0"/>
                <w:sz w:val="24"/>
                <w:szCs w:val="24"/>
              </w:rPr>
            </w:pPr>
            <w:r w:rsidRPr="009A485A">
              <w:rPr>
                <w:rFonts w:ascii="宋体" w:eastAsia="宋体" w:hAnsi="宋体" w:cs="宋体"/>
                <w:kern w:val="0"/>
                <w:sz w:val="24"/>
                <w:szCs w:val="24"/>
              </w:rPr>
              <w:t>投标人必须是在中华人民共和国境内注册并合法运作的独立法人机构；投标人在广东省内或香港有常驻售后服务机构（需提供相关证明材料）；投标人必须具有投标产品的销售代理证书，或产品生产厂家或总代理商或区域代理商对本项目的授权书原件，逐级提供授权书（提供授权书原件）；多家投标人所投设备为同一品牌同一型号的，按一家供应商计算；（如果同一品牌型号授权超过1家代理商投标，由通过符合性审查的代理商进入评分阶段，若通过符合性审查的代理商为1家以上，由报价最低的一家投标人进入评分阶段。）；投标人需在招标机构登记并购买了招标文件，提供营业执照副本的复印件（加盖公章）。</w:t>
            </w:r>
          </w:p>
        </w:tc>
      </w:tr>
      <w:tr w:rsidR="00923CD8" w:rsidRPr="009A485A" w:rsidTr="007E3A6D">
        <w:tc>
          <w:tcPr>
            <w:tcW w:w="910" w:type="dxa"/>
            <w:tcBorders>
              <w:top w:val="nil"/>
              <w:left w:val="nil"/>
              <w:bottom w:val="nil"/>
              <w:right w:val="nil"/>
            </w:tcBorders>
            <w:tcMar>
              <w:top w:w="0" w:type="dxa"/>
              <w:left w:w="108" w:type="dxa"/>
              <w:bottom w:w="0" w:type="dxa"/>
              <w:right w:w="108" w:type="dxa"/>
            </w:tcMar>
            <w:hideMark/>
          </w:tcPr>
          <w:p w:rsidR="009A485A" w:rsidRPr="009A485A" w:rsidRDefault="00923CD8" w:rsidP="007E3A6D">
            <w:pPr>
              <w:widowControl/>
              <w:spacing w:line="400" w:lineRule="atLeast"/>
              <w:ind w:left="170"/>
              <w:jc w:val="left"/>
              <w:rPr>
                <w:rFonts w:ascii="宋体" w:eastAsia="宋体" w:hAnsi="宋体" w:cs="宋体"/>
                <w:kern w:val="0"/>
                <w:sz w:val="24"/>
                <w:szCs w:val="24"/>
              </w:rPr>
            </w:pPr>
            <w:r w:rsidRPr="009A485A">
              <w:rPr>
                <w:rFonts w:ascii="宋体" w:eastAsia="宋体" w:hAnsi="宋体" w:cs="宋体"/>
                <w:kern w:val="0"/>
                <w:sz w:val="24"/>
                <w:szCs w:val="24"/>
              </w:rPr>
              <w:t>*1.4</w:t>
            </w:r>
          </w:p>
        </w:tc>
        <w:tc>
          <w:tcPr>
            <w:tcW w:w="6847" w:type="dxa"/>
            <w:tcBorders>
              <w:top w:val="nil"/>
              <w:left w:val="nil"/>
              <w:bottom w:val="nil"/>
              <w:right w:val="nil"/>
            </w:tcBorders>
            <w:tcMar>
              <w:top w:w="0" w:type="dxa"/>
              <w:left w:w="108" w:type="dxa"/>
              <w:bottom w:w="0" w:type="dxa"/>
              <w:right w:w="108" w:type="dxa"/>
            </w:tcMar>
            <w:hideMark/>
          </w:tcPr>
          <w:p w:rsidR="009A485A" w:rsidRPr="009A485A" w:rsidRDefault="00923CD8" w:rsidP="007E3A6D">
            <w:pPr>
              <w:widowControl/>
              <w:spacing w:before="100" w:beforeAutospacing="1" w:after="100" w:afterAutospacing="1" w:line="400" w:lineRule="atLeast"/>
              <w:jc w:val="left"/>
              <w:rPr>
                <w:rFonts w:ascii="宋体" w:eastAsia="宋体" w:hAnsi="宋体" w:cs="宋体"/>
                <w:kern w:val="0"/>
                <w:sz w:val="24"/>
                <w:szCs w:val="24"/>
              </w:rPr>
            </w:pPr>
            <w:r w:rsidRPr="009A485A">
              <w:rPr>
                <w:rFonts w:ascii="宋体" w:eastAsia="宋体" w:hAnsi="宋体" w:cs="宋体"/>
                <w:kern w:val="0"/>
                <w:sz w:val="24"/>
                <w:szCs w:val="24"/>
              </w:rPr>
              <w:t>投标人近三年内，在经营活动中没有重大违法、违纪、失信记录（未被列入中国政府采购网或其他公开媒体政府采购严重违法失信行为记录名单或其他不良记录，正在接受处罚期间；未被列入“信用中国”网站（www.creditchina.gov.cn）失信被执行人和重大税收违法案件当事人名单），投标人自行提供承诺函并加盖公章。</w:t>
            </w:r>
          </w:p>
        </w:tc>
      </w:tr>
    </w:tbl>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*13、实现单路机头人脸识别，屏蔽发热携带物有效率95%。(提供口岸现场运行视频)</w:t>
      </w:r>
    </w:p>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lastRenderedPageBreak/>
        <w:t xml:space="preserve">　　*14、黑体温度实时采集，现场温湿度实时采集，测温校正系数自适应调整。(需在技术方案中具体体现)</w:t>
      </w:r>
    </w:p>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*15、实现1台电脑控制四台机头，1台显示器同软件同屏显示四路机头红外及可见光画面。(提供软件运行视频)</w:t>
      </w:r>
    </w:p>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*18、实现同一软件界面内四路机头可见光视频图像全景拼接。(需在技术方案中具体体现)</w:t>
      </w:r>
    </w:p>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*19、本项目包不接受进口设备。</w:t>
      </w:r>
    </w:p>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投标开始时间：2018年 4月 10日 9：00时(北京时间)</w:t>
      </w:r>
    </w:p>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投标截止及开标时间：2018年4 月10日9：30时(北京时间)</w:t>
      </w:r>
    </w:p>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投标及开标地点：深圳市罗湖区嘉宾路2018号深华商业大厦6楼615室。届时请参加投标的代表出席开标仪式。</w:t>
      </w:r>
    </w:p>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购买了招标文件，而不参加投标的供应人，请在开标前3日以书面形式通知招标机构。</w:t>
      </w:r>
    </w:p>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招标机构名称：深圳市国际招标有限公司</w:t>
      </w:r>
    </w:p>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详细地址：深圳市罗湖区嘉宾路2018号深华商业大厦6楼</w:t>
      </w:r>
    </w:p>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邮 编：518040</w:t>
      </w:r>
    </w:p>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联 系 人：龙工、叶工</w:t>
      </w:r>
    </w:p>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电 话： 0755-83054561(13760103127) 或 0755-83500957</w:t>
      </w:r>
    </w:p>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传 真：0755-82158057</w:t>
      </w:r>
    </w:p>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邮箱：409823135@qq.com</w:t>
      </w:r>
    </w:p>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收款单位：深圳市国际招标有限公司</w:t>
      </w:r>
    </w:p>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开户银行：平安银行深圳江苏大厦支行</w:t>
      </w:r>
    </w:p>
    <w:p w:rsidR="00923CD8" w:rsidRPr="009A485A" w:rsidRDefault="00923CD8" w:rsidP="00923CD8">
      <w:pPr>
        <w:widowControl/>
        <w:spacing w:before="100" w:beforeAutospacing="1" w:after="100" w:afterAutospacing="1"/>
        <w:jc w:val="left"/>
        <w:rPr>
          <w:rFonts w:ascii="宋体" w:eastAsia="宋体" w:hAnsi="宋体" w:cs="宋体"/>
          <w:kern w:val="0"/>
          <w:sz w:val="16"/>
          <w:szCs w:val="16"/>
        </w:rPr>
      </w:pPr>
      <w:r w:rsidRPr="009A485A">
        <w:rPr>
          <w:rFonts w:ascii="宋体" w:eastAsia="宋体" w:hAnsi="宋体" w:cs="宋体"/>
          <w:kern w:val="0"/>
          <w:sz w:val="16"/>
          <w:szCs w:val="16"/>
        </w:rPr>
        <w:t xml:space="preserve">　　帐 号：(人民币)11002982389701</w:t>
      </w:r>
    </w:p>
    <w:p w:rsidR="00FB2F15" w:rsidRDefault="00FB2F15"/>
    <w:sectPr w:rsidR="00FB2F15"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3CD8"/>
    <w:rsid w:val="006049F7"/>
    <w:rsid w:val="00923CD8"/>
    <w:rsid w:val="00AC2CC6"/>
    <w:rsid w:val="00D21D7B"/>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D8"/>
    <w:pPr>
      <w:widowControl w:val="0"/>
      <w:spacing w:before="0" w:beforeAutospacing="0" w:after="0" w:afterAutospacing="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1312</Characters>
  <Application>Microsoft Office Word</Application>
  <DocSecurity>0</DocSecurity>
  <Lines>10</Lines>
  <Paragraphs>3</Paragraphs>
  <ScaleCrop>false</ScaleCrop>
  <Company>Microsoft</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2018-03-20T02:11:00Z</dcterms:created>
  <dcterms:modified xsi:type="dcterms:W3CDTF">2018-03-20T02:11:00Z</dcterms:modified>
</cp:coreProperties>
</file>