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Cs/>
          <w:szCs w:val="32"/>
        </w:rPr>
      </w:pPr>
      <w:r>
        <w:rPr>
          <w:rFonts w:hint="eastAsia"/>
          <w:b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31115</wp:posOffset>
            </wp:positionV>
            <wp:extent cx="1628775" cy="600075"/>
            <wp:effectExtent l="0" t="0" r="9525" b="9525"/>
            <wp:wrapTight wrapText="bothSides">
              <wp:wrapPolygon>
                <wp:start x="0" y="0"/>
                <wp:lineTo x="0" y="21029"/>
                <wp:lineTo x="21389" y="21029"/>
                <wp:lineTo x="21389" y="0"/>
                <wp:lineTo x="0" y="0"/>
              </wp:wrapPolygon>
            </wp:wrapTight>
            <wp:docPr id="1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无标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 xml:space="preserve">                                           </w:t>
      </w:r>
    </w:p>
    <w:p>
      <w:pPr>
        <w:ind w:right="-281"/>
        <w:jc w:val="right"/>
        <w:rPr>
          <w:rFonts w:ascii="Bookman Old Style" w:hAnsi="Bookman Old Style"/>
          <w:b/>
          <w:sz w:val="28"/>
        </w:rPr>
      </w:pPr>
    </w:p>
    <w:p>
      <w:pPr>
        <w:spacing w:after="312" w:afterLines="100" w:line="500" w:lineRule="exact"/>
        <w:jc w:val="center"/>
        <w:rPr>
          <w:b/>
          <w:sz w:val="44"/>
          <w:szCs w:val="44"/>
        </w:rPr>
      </w:pPr>
    </w:p>
    <w:p>
      <w:pPr>
        <w:spacing w:after="312" w:afterLines="100" w:line="500" w:lineRule="exact"/>
        <w:jc w:val="center"/>
        <w:rPr>
          <w:b/>
          <w:sz w:val="52"/>
          <w:szCs w:val="52"/>
        </w:rPr>
      </w:pPr>
    </w:p>
    <w:p>
      <w:pPr>
        <w:spacing w:after="312" w:afterLines="100" w:line="5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中国科学院城市环境研究所</w:t>
      </w:r>
    </w:p>
    <w:p>
      <w:pPr>
        <w:spacing w:after="312" w:afterLines="10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u w:val="single"/>
        </w:rPr>
        <w:t>高通量实时PCR系统</w:t>
      </w:r>
      <w:r>
        <w:rPr>
          <w:rFonts w:hint="eastAsia"/>
          <w:b/>
          <w:sz w:val="52"/>
          <w:szCs w:val="52"/>
        </w:rPr>
        <w:t>采购项目</w:t>
      </w: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rPr>
          <w:b/>
          <w:sz w:val="44"/>
        </w:rPr>
      </w:pPr>
    </w:p>
    <w:p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72"/>
          <w:szCs w:val="52"/>
        </w:rPr>
        <w:t>招</w:t>
      </w:r>
      <w:r>
        <w:rPr>
          <w:rFonts w:ascii="宋体" w:hAnsi="宋体"/>
          <w:b/>
          <w:sz w:val="72"/>
          <w:szCs w:val="52"/>
        </w:rPr>
        <w:t xml:space="preserve">  </w:t>
      </w:r>
      <w:r>
        <w:rPr>
          <w:rFonts w:hint="eastAsia" w:ascii="宋体" w:hAnsi="宋体"/>
          <w:b/>
          <w:sz w:val="72"/>
          <w:szCs w:val="52"/>
        </w:rPr>
        <w:t>标</w:t>
      </w:r>
      <w:r>
        <w:rPr>
          <w:rFonts w:ascii="宋体" w:hAnsi="宋体"/>
          <w:b/>
          <w:sz w:val="72"/>
          <w:szCs w:val="52"/>
        </w:rPr>
        <w:t xml:space="preserve">  </w:t>
      </w:r>
      <w:r>
        <w:rPr>
          <w:rFonts w:hint="eastAsia" w:ascii="宋体" w:hAnsi="宋体"/>
          <w:b/>
          <w:sz w:val="72"/>
          <w:szCs w:val="52"/>
        </w:rPr>
        <w:t>文</w:t>
      </w:r>
      <w:r>
        <w:rPr>
          <w:rFonts w:ascii="宋体" w:hAnsi="宋体"/>
          <w:b/>
          <w:sz w:val="72"/>
          <w:szCs w:val="52"/>
        </w:rPr>
        <w:t xml:space="preserve">  </w:t>
      </w:r>
      <w:r>
        <w:rPr>
          <w:rFonts w:hint="eastAsia" w:ascii="宋体" w:hAnsi="宋体"/>
          <w:b/>
          <w:sz w:val="72"/>
          <w:szCs w:val="52"/>
        </w:rPr>
        <w:t>件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第二册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（专用册）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>
      <w:pPr>
        <w:spacing w:line="360" w:lineRule="auto"/>
        <w:ind w:firstLine="2168" w:firstLineChars="600"/>
        <w:rPr>
          <w:b/>
          <w:sz w:val="32"/>
          <w:u w:val="single"/>
        </w:rPr>
      </w:pPr>
      <w:r>
        <w:rPr>
          <w:rFonts w:hint="eastAsia" w:ascii="宋体" w:hAnsi="宋体"/>
          <w:b/>
          <w:sz w:val="36"/>
          <w:szCs w:val="36"/>
        </w:rPr>
        <w:t>招标编号：</w:t>
      </w:r>
      <w:r>
        <w:rPr>
          <w:rFonts w:hint="eastAsia" w:ascii="宋体" w:hAnsi="宋体"/>
          <w:b/>
          <w:sz w:val="36"/>
          <w:szCs w:val="36"/>
          <w:u w:val="single"/>
        </w:rPr>
        <w:t>OITC-G210301486-</w:t>
      </w:r>
      <w:r>
        <w:rPr>
          <w:rFonts w:ascii="宋体" w:hAnsi="宋体"/>
          <w:b/>
          <w:sz w:val="36"/>
          <w:szCs w:val="36"/>
          <w:u w:val="single"/>
        </w:rPr>
        <w:t>1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adjustRightInd w:val="0"/>
        <w:snapToGrid w:val="0"/>
        <w:spacing w:before="120"/>
        <w:jc w:val="center"/>
        <w:rPr>
          <w:rFonts w:ascii="宋体" w:hAnsi="宋体"/>
          <w:b/>
          <w:bCs/>
          <w:snapToGrid w:val="0"/>
          <w:spacing w:val="20"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spacing w:val="20"/>
          <w:sz w:val="36"/>
          <w:szCs w:val="36"/>
        </w:rPr>
        <w:t>东方国际招标有限责任公司</w:t>
      </w:r>
    </w:p>
    <w:p>
      <w:pPr>
        <w:adjustRightInd w:val="0"/>
        <w:snapToGrid w:val="0"/>
        <w:jc w:val="center"/>
        <w:rPr>
          <w:rFonts w:ascii="宋体" w:hAnsi="宋体"/>
          <w:b/>
          <w:snapToGrid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hint="eastAsia" w:ascii="宋体" w:hAnsi="宋体"/>
          <w:b/>
          <w:snapToGrid w:val="0"/>
          <w:sz w:val="36"/>
          <w:szCs w:val="36"/>
        </w:rPr>
        <w:t>中国 · 北京</w:t>
      </w:r>
    </w:p>
    <w:p>
      <w:pPr>
        <w:adjustRightInd w:val="0"/>
        <w:snapToGrid w:val="0"/>
        <w:jc w:val="center"/>
        <w:rPr>
          <w:rFonts w:ascii="宋体" w:hAnsi="宋体"/>
          <w:b/>
          <w:snapToGrid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napToGrid w:val="0"/>
          <w:sz w:val="36"/>
          <w:szCs w:val="36"/>
        </w:rPr>
        <w:t>2021年</w:t>
      </w:r>
      <w:r>
        <w:rPr>
          <w:rFonts w:ascii="宋体" w:hAnsi="宋体"/>
          <w:b/>
          <w:snapToGrid w:val="0"/>
          <w:sz w:val="36"/>
          <w:szCs w:val="36"/>
        </w:rPr>
        <w:t>10</w:t>
      </w:r>
      <w:r>
        <w:rPr>
          <w:rFonts w:hint="eastAsia" w:ascii="宋体" w:hAnsi="宋体"/>
          <w:b/>
          <w:snapToGrid w:val="0"/>
          <w:sz w:val="36"/>
          <w:szCs w:val="36"/>
        </w:rPr>
        <w:t>月</w:t>
      </w: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  <w:bookmarkStart w:id="1" w:name="_GoBack"/>
      <w:bookmarkEnd w:id="1"/>
      <w:bookmarkStart w:id="0" w:name="_Toc512937852"/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before="936" w:beforeLines="300"/>
        <w:jc w:val="center"/>
        <w:rPr>
          <w:rFonts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bookmarkEnd w:id="0"/>
    <w:p>
      <w:pPr>
        <w:numPr>
          <w:ilvl w:val="2"/>
          <w:numId w:val="1"/>
        </w:num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tbl>
      <w:tblPr>
        <w:tblStyle w:val="10"/>
        <w:tblW w:w="964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2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指定到货港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hint="eastAsia" w:ascii="Bookman Old Style" w:hAnsi="Bookman Old Style"/>
                <w:sz w:val="24"/>
              </w:rPr>
              <w:t>高通量实时PCR系统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1套</w:t>
            </w:r>
          </w:p>
        </w:tc>
        <w:tc>
          <w:tcPr>
            <w:tcW w:w="5605" w:type="dxa"/>
            <w:gridSpan w:val="3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详见具体技术规格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>
      <w:pPr>
        <w:rPr>
          <w:rFonts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szCs w:val="21"/>
        </w:rPr>
      </w:pPr>
    </w:p>
    <w:p>
      <w:pPr>
        <w:adjustRightInd w:val="0"/>
        <w:snapToGrid w:val="0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须是成熟的全新的产品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4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</w:p>
    <w:p>
      <w:pPr>
        <w:pStyle w:val="4"/>
        <w:spacing w:line="360" w:lineRule="auto"/>
        <w:ind w:left="410" w:hanging="410" w:hangingChars="170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4"/>
        <w:spacing w:line="360" w:lineRule="auto"/>
        <w:rPr>
          <w:rFonts w:hAnsi="宋体"/>
          <w:b/>
          <w:sz w:val="24"/>
          <w:szCs w:val="24"/>
        </w:rPr>
      </w:pPr>
    </w:p>
    <w:p>
      <w:pPr>
        <w:pStyle w:val="4"/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rPr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高通量实时PCR系统</w:t>
      </w:r>
    </w:p>
    <w:p>
      <w:pPr>
        <w:spacing w:after="156" w:afterLines="50"/>
        <w:ind w:left="601" w:hanging="601"/>
        <w:rPr>
          <w:rFonts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工作条件：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.1</w:t>
      </w:r>
      <w:r>
        <w:rPr>
          <w:rFonts w:hint="eastAsia"/>
          <w:sz w:val="24"/>
        </w:rPr>
        <w:t xml:space="preserve"> 见总则第3条。（如无特殊要求）</w:t>
      </w:r>
    </w:p>
    <w:p>
      <w:pPr>
        <w:spacing w:line="360" w:lineRule="auto"/>
        <w:rPr>
          <w:position w:val="-20"/>
          <w:sz w:val="24"/>
        </w:rPr>
      </w:pPr>
      <w:r>
        <w:rPr>
          <w:position w:val="-20"/>
          <w:sz w:val="24"/>
        </w:rPr>
        <w:t xml:space="preserve">1.2 </w:t>
      </w:r>
      <w:r>
        <w:rPr>
          <w:rFonts w:hint="eastAsia"/>
          <w:position w:val="-20"/>
          <w:sz w:val="24"/>
        </w:rPr>
        <w:t>如有特殊要求应逐项列出有关工作环境条件的要求</w:t>
      </w:r>
    </w:p>
    <w:p>
      <w:pPr>
        <w:spacing w:line="360" w:lineRule="auto"/>
        <w:rPr>
          <w:position w:val="-14"/>
          <w:sz w:val="24"/>
        </w:rPr>
      </w:pPr>
      <w:r>
        <w:rPr>
          <w:position w:val="-14"/>
          <w:sz w:val="24"/>
        </w:rPr>
        <w:t>1.3</w:t>
      </w:r>
      <w:r>
        <w:rPr>
          <w:rFonts w:hint="eastAsia"/>
          <w:position w:val="-14"/>
          <w:sz w:val="24"/>
        </w:rPr>
        <w:t>如供电、供水、温度、湿度、抗振动、抗干扰要求等等</w:t>
      </w:r>
    </w:p>
    <w:p>
      <w:pPr>
        <w:spacing w:line="360" w:lineRule="auto"/>
        <w:ind w:left="435" w:firstLine="240"/>
        <w:rPr>
          <w:sz w:val="24"/>
        </w:rPr>
      </w:pPr>
    </w:p>
    <w:p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设备用途：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高通量实时 PCR 系统是一种高通量、高密度、纳升级别的实时定量 PCR 系统。该系统包括一台纳升级多样品自动加样器、高密度实时定量 PCR 仪及分析软件，可广泛应用于基因表达定量、基因分型等研究领域。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技术规格：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#3.1运行通量：每块反应板不低于5000反应。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3.2精确度：对照模板5000-10000个拷贝标准差&lt;0.2Ct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3.3升降温速度：65-95℃&lt;20秒，95-65℃&lt;15秒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#3.4单次运行可进行5000个或以上qPCR/PCR反应。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*3.5同时支持探针法、染料法和普通PCR检测。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#3.6单次运行可检测或富集192及以上样品量，样品数量与位点数量可自由组合，组合形式不低于10种。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*3.7样品无需预扩增，可以对1ng/ul的核酸样品进行荧光定量检测，对人口腔上皮或血液基因组核酸样品不用预扩增。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3.8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hint="eastAsia" w:ascii="宋体" w:hAnsi="宋体" w:cs="宋体"/>
          <w:shd w:val="clear" w:color="auto" w:fill="FFFFFF"/>
        </w:rPr>
        <w:t>qPCR反应体系≤1</w:t>
      </w:r>
      <w:r>
        <w:rPr>
          <w:rFonts w:ascii="Times New Roman" w:hAnsi="Times New Roman"/>
          <w:shd w:val="clear" w:color="auto" w:fill="FFFFFF"/>
        </w:rPr>
        <w:t>μ</w:t>
      </w:r>
      <w:r>
        <w:rPr>
          <w:rFonts w:hint="eastAsia" w:ascii="宋体" w:hAnsi="宋体" w:cs="宋体"/>
          <w:shd w:val="clear" w:color="auto" w:fill="FFFFFF"/>
        </w:rPr>
        <w:t>l，小于20拷贝的核酸可直接检测单个位点。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3.9使用λDNA标准样品时，同一张芯片或反应板重复样品间标准偏差&lt;0.2Ct。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3.10芯片与芯片间，或反应板与反应板之间R2&gt;0.95或CV&lt;4%。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3.11具有FAM、VIC、ROX及SYBR四色荧光检测通道。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420" w:hanging="420"/>
        <w:rPr>
          <w:rFonts w:ascii="Arial" w:hAnsi="Arial" w:cs="Arial"/>
        </w:rPr>
      </w:pPr>
      <w:r>
        <w:rPr>
          <w:rFonts w:hint="eastAsia" w:ascii="宋体" w:hAnsi="宋体" w:cs="宋体"/>
          <w:shd w:val="clear" w:color="auto" w:fill="FFFFFF"/>
        </w:rPr>
        <w:t>3.12支持qPCR溶解曲线功能，温度梯度≤0.5℃。</w:t>
      </w:r>
    </w:p>
    <w:p>
      <w:pPr>
        <w:pStyle w:val="9"/>
        <w:widowControl/>
        <w:shd w:val="clear" w:color="auto" w:fill="FFFFFF"/>
        <w:spacing w:before="100" w:beforeAutospacing="1" w:after="100" w:afterAutospacing="1" w:line="360" w:lineRule="auto"/>
        <w:ind w:left="720" w:hanging="720" w:hangingChars="300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3.13核酸样品置入指定载体，由自动移液工作站进行加样，加样精确度&lt;7%CV值。</w:t>
      </w:r>
    </w:p>
    <w:p>
      <w:pPr>
        <w:spacing w:line="360" w:lineRule="auto"/>
        <w:rPr>
          <w:sz w:val="24"/>
        </w:rPr>
      </w:pPr>
      <w:r>
        <w:rPr>
          <w:rFonts w:ascii="宋体" w:hAnsi="宋体" w:cs="宋体"/>
          <w:sz w:val="24"/>
          <w:shd w:val="clear" w:color="auto" w:fill="FFFFFF"/>
        </w:rPr>
        <w:t>3.1</w:t>
      </w:r>
      <w:r>
        <w:rPr>
          <w:rFonts w:hint="eastAsia" w:ascii="宋体" w:hAnsi="宋体" w:cs="宋体"/>
          <w:sz w:val="24"/>
          <w:shd w:val="clear" w:color="auto" w:fill="FFFFFF"/>
        </w:rPr>
        <w:t>4配置要求：具有两个功能模块，功能模块一，需要具备纳升级别的移液功能；功能模块二，核酸扩增和荧光检测功能。</w:t>
      </w:r>
      <w:r>
        <w:rPr>
          <w:rFonts w:hint="eastAsia"/>
          <w:sz w:val="24"/>
        </w:rPr>
        <w:t xml:space="preserve">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</w:t>
      </w:r>
    </w:p>
    <w:p>
      <w:pPr>
        <w:tabs>
          <w:tab w:val="left" w:pos="540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4.  技术文件：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4.1 请参考总则第1.2条。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4.2 请参考总则第2.3条。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5.  技术服务：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5.1 保修期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高通量实时PCR系统的保修期为自安装验收合格后1年。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5.2 维修响应时间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维修响应时间为故障报修后2</w:t>
      </w:r>
      <w:r>
        <w:rPr>
          <w:sz w:val="24"/>
        </w:rPr>
        <w:t>4</w:t>
      </w:r>
      <w:r>
        <w:rPr>
          <w:rFonts w:hint="eastAsia"/>
          <w:sz w:val="24"/>
        </w:rPr>
        <w:t>h，一般于</w:t>
      </w:r>
      <w:r>
        <w:rPr>
          <w:sz w:val="24"/>
        </w:rPr>
        <w:t>48</w:t>
      </w:r>
      <w:r>
        <w:rPr>
          <w:rFonts w:hint="eastAsia"/>
          <w:sz w:val="24"/>
        </w:rPr>
        <w:t>h给出维修方案，并于7个工作日内完成维修。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6. 订货数量：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高通量实时PCR系统  1套。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7. 交货地：浙江宁波。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8. 交货日期：</w:t>
      </w:r>
      <w:r>
        <w:rPr>
          <w:rFonts w:hint="eastAsia"/>
          <w:sz w:val="24"/>
        </w:rPr>
        <w:t xml:space="preserve">合同签订后3个月。                      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9．执行的相关标准</w:t>
      </w:r>
    </w:p>
    <w:p>
      <w:pPr>
        <w:spacing w:line="360" w:lineRule="auto"/>
        <w:rPr>
          <w:rFonts w:ascii="inherit" w:hAnsi="inherit" w:cs="宋体"/>
          <w:kern w:val="0"/>
          <w:sz w:val="24"/>
        </w:rPr>
      </w:pPr>
      <w:r>
        <w:rPr>
          <w:rFonts w:hint="eastAsia" w:ascii="inherit" w:hAnsi="inherit" w:cs="宋体"/>
          <w:kern w:val="0"/>
          <w:sz w:val="24"/>
        </w:rPr>
        <w:t xml:space="preserve">   如有，</w:t>
      </w:r>
      <w:r>
        <w:rPr>
          <w:rFonts w:ascii="inherit" w:hAnsi="inherit" w:cs="宋体"/>
          <w:kern w:val="0"/>
          <w:sz w:val="24"/>
        </w:rPr>
        <w:t>需</w:t>
      </w:r>
      <w:r>
        <w:rPr>
          <w:rFonts w:hint="eastAsia" w:ascii="inherit" w:hAnsi="inherit" w:cs="宋体"/>
          <w:kern w:val="0"/>
          <w:sz w:val="24"/>
        </w:rPr>
        <w:t>在此列出</w:t>
      </w:r>
      <w:r>
        <w:rPr>
          <w:rFonts w:ascii="inherit" w:hAnsi="inherit" w:cs="宋体"/>
          <w:kern w:val="0"/>
          <w:sz w:val="24"/>
        </w:rPr>
        <w:t>执行的国家相关标准、行业标准、地方标准或者其他标准、规范</w:t>
      </w:r>
    </w:p>
    <w:p>
      <w:pPr>
        <w:spacing w:line="360" w:lineRule="auto"/>
        <w:rPr>
          <w:rFonts w:ascii="inherit" w:hAnsi="inherit" w:cs="宋体"/>
          <w:kern w:val="0"/>
          <w:sz w:val="24"/>
        </w:rPr>
      </w:pPr>
      <w:r>
        <w:rPr>
          <w:rFonts w:hint="eastAsia" w:ascii="inherit" w:hAnsi="inherit" w:cs="宋体"/>
          <w:kern w:val="0"/>
          <w:sz w:val="24"/>
        </w:rPr>
        <w:t xml:space="preserve">   如没有，请写“无”</w:t>
      </w:r>
    </w:p>
    <w:p>
      <w:pPr>
        <w:widowControl/>
        <w:spacing w:line="360" w:lineRule="atLeast"/>
        <w:rPr>
          <w:rFonts w:ascii="宋体" w:hAnsi="宋体"/>
          <w:b/>
          <w:sz w:val="30"/>
          <w:szCs w:val="30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of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rPr>
        <w:rFonts w:hint="eastAsia"/>
        <w:i/>
      </w:rPr>
      <w:t>东方国际招标有限责任公司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5B42B3"/>
    <w:multiLevelType w:val="multilevel"/>
    <w:tmpl w:val="4E5B42B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DC"/>
    <w:rsid w:val="000432C3"/>
    <w:rsid w:val="00072DD9"/>
    <w:rsid w:val="00184CDC"/>
    <w:rsid w:val="00221E60"/>
    <w:rsid w:val="00256A0E"/>
    <w:rsid w:val="004742E2"/>
    <w:rsid w:val="006C1734"/>
    <w:rsid w:val="006F5B2D"/>
    <w:rsid w:val="00837A84"/>
    <w:rsid w:val="0084366E"/>
    <w:rsid w:val="00A606F3"/>
    <w:rsid w:val="00B7282C"/>
    <w:rsid w:val="00BC7615"/>
    <w:rsid w:val="00FB5989"/>
    <w:rsid w:val="10C5381C"/>
    <w:rsid w:val="1F6F3A5F"/>
    <w:rsid w:val="1FBF570F"/>
    <w:rsid w:val="2D63552D"/>
    <w:rsid w:val="34FF0F3F"/>
    <w:rsid w:val="433633CB"/>
    <w:rsid w:val="50C273A1"/>
    <w:rsid w:val="517D1223"/>
    <w:rsid w:val="539F5829"/>
    <w:rsid w:val="5A3051E3"/>
    <w:rsid w:val="76FA4D26"/>
    <w:rsid w:val="7DB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eastAsia="宋体" w:cs="Times New Roman"/>
      <w:b/>
      <w:kern w:val="44"/>
      <w:sz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5">
    <w:name w:val="Date"/>
    <w:next w:val="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9">
    <w:name w:val="Normal (Web)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paragraph" w:customStyle="1" w:styleId="14">
    <w:name w:val="正文文本 21"/>
    <w:qFormat/>
    <w:uiPriority w:val="0"/>
    <w:pPr>
      <w:widowControl w:val="0"/>
      <w:adjustRightInd w:val="0"/>
      <w:spacing w:before="120" w:line="360" w:lineRule="auto"/>
      <w:ind w:firstLine="480"/>
      <w:jc w:val="both"/>
      <w:textAlignment w:val="baseline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customStyle="1" w:styleId="15">
    <w:name w:val="批注框文本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95912-0DEC-4A57-8020-D954E9C0FE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1832</Words>
  <Characters>10449</Characters>
  <Lines>87</Lines>
  <Paragraphs>24</Paragraphs>
  <TotalTime>23</TotalTime>
  <ScaleCrop>false</ScaleCrop>
  <LinksUpToDate>false</LinksUpToDate>
  <CharactersWithSpaces>12257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2021-09-26T03:21:00Z</dcterms:created>
  <dc:creator>swwan</dc:creator>
  <cp:lastModifiedBy>sw wang</cp:lastModifiedBy>
  <dcterms:modified xsi:type="dcterms:W3CDTF">2021-10-15T06:56:35Z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58327F09744B4A70BB292459115D55E5</vt:lpwstr>
  </property>
</Properties>
</file>