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福建国诚招标有限公司受福建医科大学委托，根据《中华人民共和国政府采购法》等有关规定，现对福建医科大学多功能酶标仪等设备采购项目进行公开招标，欢迎合格的供应商前来投标。</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项目名称：福建医科大学多功能酶标仪等设备采购项目</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项目编号：[3500]FJGC[GK]2020030</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项目联系方式：</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项目联系人：李萍</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项目联系电话：0591-83393306、83393307</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采购单位联系方式：</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采购单位：福建医科大学</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地址：福建省福州市大学新区学府北路1号</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联系方式：尹老师/0591-22862528</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代理机构联系方式：</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代理机构：福建国诚招标有限公司</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代理机构联系人：李萍/0591-83393306、83393307</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代理机构地址： 福州市古田路107号中美大厦24层</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一、采购项目的名称、数量、简要规格描述或项目基本概况介绍：</w:t>
      </w:r>
    </w:p>
    <w:tbl>
      <w:tblPr>
        <w:tblW w:w="7668" w:type="dxa"/>
        <w:shd w:val="clear" w:color="auto" w:fill="FFFFFF"/>
        <w:tblCellMar>
          <w:left w:w="0" w:type="dxa"/>
          <w:right w:w="0" w:type="dxa"/>
        </w:tblCellMar>
        <w:tblLook w:val="04A0"/>
      </w:tblPr>
      <w:tblGrid>
        <w:gridCol w:w="444"/>
        <w:gridCol w:w="633"/>
        <w:gridCol w:w="1247"/>
        <w:gridCol w:w="683"/>
        <w:gridCol w:w="683"/>
        <w:gridCol w:w="3978"/>
      </w:tblGrid>
      <w:tr w:rsidR="00E23A74" w:rsidRPr="00E23A74" w:rsidTr="00E23A74">
        <w:trPr>
          <w:trHeight w:val="408"/>
        </w:trPr>
        <w:tc>
          <w:tcPr>
            <w:tcW w:w="4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合同包</w:t>
            </w:r>
          </w:p>
        </w:tc>
        <w:tc>
          <w:tcPr>
            <w:tcW w:w="6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品目号</w:t>
            </w:r>
          </w:p>
        </w:tc>
        <w:tc>
          <w:tcPr>
            <w:tcW w:w="12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品目名称</w:t>
            </w:r>
          </w:p>
        </w:tc>
        <w:tc>
          <w:tcPr>
            <w:tcW w:w="6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用途</w:t>
            </w:r>
          </w:p>
        </w:tc>
        <w:tc>
          <w:tcPr>
            <w:tcW w:w="6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数量</w:t>
            </w:r>
          </w:p>
        </w:tc>
        <w:tc>
          <w:tcPr>
            <w:tcW w:w="3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简要技术要求</w:t>
            </w:r>
          </w:p>
        </w:tc>
      </w:tr>
      <w:tr w:rsidR="00E23A74" w:rsidRPr="00E23A74" w:rsidTr="00E23A74">
        <w:trPr>
          <w:trHeight w:val="336"/>
        </w:trPr>
        <w:tc>
          <w:tcPr>
            <w:tcW w:w="4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line="500" w:lineRule="atLeast"/>
              <w:jc w:val="center"/>
              <w:textAlignment w:val="baseline"/>
              <w:rPr>
                <w:rFonts w:ascii="inherit" w:eastAsia="微软雅黑" w:hAnsi="inherit" w:cs="宋体"/>
                <w:color w:val="383838"/>
                <w:kern w:val="0"/>
                <w:sz w:val="19"/>
                <w:szCs w:val="19"/>
              </w:rPr>
            </w:pPr>
            <w:r w:rsidRPr="00E23A74">
              <w:rPr>
                <w:rFonts w:ascii="inherit" w:eastAsia="微软雅黑" w:hAnsi="inherit" w:cs="宋体"/>
                <w:color w:val="383838"/>
                <w:kern w:val="0"/>
                <w:sz w:val="19"/>
                <w:szCs w:val="19"/>
              </w:rPr>
              <w:t>1</w:t>
            </w: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1-1</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多功能酶标仪</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实验</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3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left"/>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检测模式：超灵敏荧光强度检测、荧光顶读和底读、荧光光谱扫描、荧光共振能量转移(FRET)，光吸收检测、光吸收扫描，化学发光</w:t>
            </w:r>
            <w:r w:rsidRPr="00E23A74">
              <w:rPr>
                <w:rFonts w:ascii="微软雅黑" w:eastAsia="微软雅黑" w:hAnsi="微软雅黑" w:cs="宋体" w:hint="eastAsia"/>
                <w:color w:val="383838"/>
                <w:kern w:val="0"/>
                <w:sz w:val="19"/>
                <w:szCs w:val="19"/>
              </w:rPr>
              <w:lastRenderedPageBreak/>
              <w:t>检测(含闪光和辉光)、化学发光顶读和底读、化学发光扫描、生物共振能量转移(BRET)，多检测模式多参数同时测定(吸收、化学发光和荧光的同时测定)，时间分辨荧光检测等。(详细内容见招标文件第五章招标内容及要求)</w:t>
            </w:r>
          </w:p>
        </w:tc>
      </w:tr>
      <w:tr w:rsidR="00E23A74" w:rsidRPr="00E23A74" w:rsidTr="00E23A74">
        <w:trPr>
          <w:trHeight w:val="336"/>
        </w:trPr>
        <w:tc>
          <w:tcPr>
            <w:tcW w:w="4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line="500" w:lineRule="atLeast"/>
              <w:jc w:val="center"/>
              <w:textAlignment w:val="baseline"/>
              <w:rPr>
                <w:rFonts w:ascii="inherit" w:eastAsia="微软雅黑" w:hAnsi="inherit" w:cs="宋体"/>
                <w:color w:val="383838"/>
                <w:kern w:val="0"/>
                <w:sz w:val="19"/>
                <w:szCs w:val="19"/>
              </w:rPr>
            </w:pPr>
            <w:r w:rsidRPr="00E23A74">
              <w:rPr>
                <w:rFonts w:ascii="inherit" w:eastAsia="微软雅黑" w:hAnsi="inherit" w:cs="宋体"/>
                <w:color w:val="383838"/>
                <w:kern w:val="0"/>
                <w:sz w:val="19"/>
                <w:szCs w:val="19"/>
              </w:rPr>
              <w:lastRenderedPageBreak/>
              <w:t>2</w:t>
            </w: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2-1</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模块化智能型高级流变仪</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实验</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3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left"/>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▲1、仪器配备无刷直流马达，能进行实时主动惯量扭矩补偿；(详细内容见招标文件第五章招标内容及要求)</w:t>
            </w:r>
          </w:p>
        </w:tc>
      </w:tr>
      <w:tr w:rsidR="00E23A74" w:rsidRPr="00E23A74" w:rsidTr="00E23A74">
        <w:trPr>
          <w:trHeight w:val="336"/>
        </w:trPr>
        <w:tc>
          <w:tcPr>
            <w:tcW w:w="4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line="500" w:lineRule="atLeast"/>
              <w:jc w:val="center"/>
              <w:textAlignment w:val="baseline"/>
              <w:rPr>
                <w:rFonts w:ascii="inherit" w:eastAsia="微软雅黑" w:hAnsi="inherit" w:cs="宋体"/>
                <w:color w:val="383838"/>
                <w:kern w:val="0"/>
                <w:sz w:val="19"/>
                <w:szCs w:val="19"/>
              </w:rPr>
            </w:pPr>
            <w:r w:rsidRPr="00E23A74">
              <w:rPr>
                <w:rFonts w:ascii="inherit" w:eastAsia="微软雅黑" w:hAnsi="inherit" w:cs="宋体"/>
                <w:color w:val="383838"/>
                <w:kern w:val="0"/>
                <w:sz w:val="19"/>
                <w:szCs w:val="19"/>
              </w:rPr>
              <w:t>3</w:t>
            </w: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3-1</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真空冷冻干燥机</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实验</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3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left"/>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冷肼容积≥10L,材质：316L不锈钢；(详细内容见招标文件第五章招标内容及要求)</w:t>
            </w:r>
          </w:p>
        </w:tc>
      </w:tr>
      <w:tr w:rsidR="00E23A74" w:rsidRPr="00E23A74" w:rsidTr="00E23A74">
        <w:trPr>
          <w:trHeight w:val="924"/>
        </w:trPr>
        <w:tc>
          <w:tcPr>
            <w:tcW w:w="4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line="500" w:lineRule="atLeast"/>
              <w:jc w:val="center"/>
              <w:textAlignment w:val="baseline"/>
              <w:rPr>
                <w:rFonts w:ascii="inherit" w:eastAsia="微软雅黑" w:hAnsi="inherit" w:cs="宋体"/>
                <w:color w:val="383838"/>
                <w:kern w:val="0"/>
                <w:sz w:val="19"/>
                <w:szCs w:val="19"/>
              </w:rPr>
            </w:pPr>
            <w:r w:rsidRPr="00E23A74">
              <w:rPr>
                <w:rFonts w:ascii="inherit" w:eastAsia="微软雅黑" w:hAnsi="inherit" w:cs="宋体"/>
                <w:color w:val="383838"/>
                <w:kern w:val="0"/>
                <w:sz w:val="19"/>
                <w:szCs w:val="19"/>
              </w:rPr>
              <w:t>4</w:t>
            </w: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4-1</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液相氧电极</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实验</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3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left"/>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测定范围：①氧：0-100%；②pH：0-14pH(选配)；(详细内容见招标文件第五章招标内容及要求)</w:t>
            </w:r>
          </w:p>
        </w:tc>
      </w:tr>
      <w:tr w:rsidR="00E23A74" w:rsidRPr="00E23A74" w:rsidTr="00E23A74">
        <w:trPr>
          <w:trHeight w:val="672"/>
        </w:trPr>
        <w:tc>
          <w:tcPr>
            <w:tcW w:w="4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line="500" w:lineRule="atLeast"/>
              <w:jc w:val="center"/>
              <w:textAlignment w:val="baseline"/>
              <w:rPr>
                <w:rFonts w:ascii="inherit" w:eastAsia="微软雅黑" w:hAnsi="inherit" w:cs="宋体"/>
                <w:color w:val="383838"/>
                <w:kern w:val="0"/>
                <w:sz w:val="19"/>
                <w:szCs w:val="19"/>
              </w:rPr>
            </w:pPr>
            <w:r w:rsidRPr="00E23A74">
              <w:rPr>
                <w:rFonts w:ascii="inherit" w:eastAsia="微软雅黑" w:hAnsi="inherit" w:cs="宋体"/>
                <w:color w:val="383838"/>
                <w:kern w:val="0"/>
                <w:sz w:val="19"/>
                <w:szCs w:val="19"/>
              </w:rPr>
              <w:t>5</w:t>
            </w: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5-1</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倒置荧光显微镜</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实验</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3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left"/>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HCS高级无限远色差校正的光学系统，支持一套物镜实现明场、相差、荧光、浮雕反差等观察方式。可实现长时间LED照明和不低于1000万像素正版成像分析；(详细内容见招标文件第五章招标内容及要求)</w:t>
            </w:r>
          </w:p>
        </w:tc>
      </w:tr>
      <w:tr w:rsidR="00E23A74" w:rsidRPr="00E23A74" w:rsidTr="00E23A74">
        <w:trPr>
          <w:trHeight w:val="336"/>
        </w:trPr>
        <w:tc>
          <w:tcPr>
            <w:tcW w:w="4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line="500" w:lineRule="atLeast"/>
              <w:jc w:val="center"/>
              <w:textAlignment w:val="baseline"/>
              <w:rPr>
                <w:rFonts w:ascii="inherit" w:eastAsia="微软雅黑" w:hAnsi="inherit" w:cs="宋体"/>
                <w:color w:val="383838"/>
                <w:kern w:val="0"/>
                <w:sz w:val="19"/>
                <w:szCs w:val="19"/>
              </w:rPr>
            </w:pPr>
            <w:r w:rsidRPr="00E23A74">
              <w:rPr>
                <w:rFonts w:ascii="inherit" w:eastAsia="微软雅黑" w:hAnsi="inherit" w:cs="宋体"/>
                <w:color w:val="383838"/>
                <w:kern w:val="0"/>
                <w:sz w:val="19"/>
                <w:szCs w:val="19"/>
              </w:rPr>
              <w:t>6</w:t>
            </w: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6-1</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实时荧光定</w:t>
            </w:r>
            <w:r w:rsidRPr="00E23A74">
              <w:rPr>
                <w:rFonts w:ascii="微软雅黑" w:eastAsia="微软雅黑" w:hAnsi="微软雅黑" w:cs="宋体" w:hint="eastAsia"/>
                <w:color w:val="383838"/>
                <w:kern w:val="0"/>
                <w:sz w:val="19"/>
                <w:szCs w:val="19"/>
              </w:rPr>
              <w:lastRenderedPageBreak/>
              <w:t>量PCR仪</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lastRenderedPageBreak/>
              <w:t>实验</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3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left"/>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荧光检测通道≥6通道，至少可同时检测5个</w:t>
            </w:r>
            <w:r w:rsidRPr="00E23A74">
              <w:rPr>
                <w:rFonts w:ascii="微软雅黑" w:eastAsia="微软雅黑" w:hAnsi="微软雅黑" w:cs="宋体" w:hint="eastAsia"/>
                <w:color w:val="383838"/>
                <w:kern w:val="0"/>
                <w:sz w:val="19"/>
                <w:szCs w:val="19"/>
              </w:rPr>
              <w:lastRenderedPageBreak/>
              <w:t>目的基因，1个荧光共振能量转移通道；(详细内容见招标文件第五章招标内容及要求)</w:t>
            </w:r>
          </w:p>
        </w:tc>
      </w:tr>
      <w:tr w:rsidR="00E23A74" w:rsidRPr="00E23A74" w:rsidTr="00E23A74">
        <w:trPr>
          <w:trHeight w:val="336"/>
        </w:trPr>
        <w:tc>
          <w:tcPr>
            <w:tcW w:w="44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line="500" w:lineRule="atLeast"/>
              <w:jc w:val="center"/>
              <w:textAlignment w:val="baseline"/>
              <w:rPr>
                <w:rFonts w:ascii="inherit" w:eastAsia="微软雅黑" w:hAnsi="inherit" w:cs="宋体"/>
                <w:color w:val="383838"/>
                <w:kern w:val="0"/>
                <w:sz w:val="19"/>
                <w:szCs w:val="19"/>
              </w:rPr>
            </w:pPr>
            <w:r w:rsidRPr="00E23A74">
              <w:rPr>
                <w:rFonts w:ascii="inherit" w:eastAsia="微软雅黑" w:hAnsi="inherit" w:cs="宋体"/>
                <w:color w:val="383838"/>
                <w:kern w:val="0"/>
                <w:sz w:val="19"/>
                <w:szCs w:val="19"/>
              </w:rPr>
              <w:lastRenderedPageBreak/>
              <w:t>7</w:t>
            </w: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7-1</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移液器</w:t>
            </w:r>
          </w:p>
        </w:tc>
        <w:tc>
          <w:tcPr>
            <w:tcW w:w="68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实验</w:t>
            </w: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12个</w:t>
            </w:r>
          </w:p>
        </w:tc>
        <w:tc>
          <w:tcPr>
            <w:tcW w:w="398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left"/>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控制按钮和数字显示窗口的位置和形状采取最优化设计，减少移液操作过程中的重复性劳损；(详细内容见招标文件第五章招标内容及要求)</w:t>
            </w: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7-2</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负20度立式冷藏柜</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7-3</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水平电泳槽</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7-4</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双光束紫外可见分光光度计</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7-5</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冷冻摇床</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7-6</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超净工作台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7-7</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超净工作台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3台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7-8</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电泳仪</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7-9</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梯度扩增仪</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7-10</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湿电转膜仪</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7-11</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垂直电泳槽</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4台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7-12</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电子天平</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7-13</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电子天平</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7-14</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4度立式玻璃门冷柜</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7-15</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4度立式冷藏柜</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7-16</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超低温冰箱</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7-17</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大容量冷冻离心机</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7-18</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细胞计数仪</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7-19</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核酸自动提取仪</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7-20</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全自动高压灭菌锅</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r w:rsidR="00E23A74" w:rsidRPr="00E23A74" w:rsidTr="00E23A74">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23A74" w:rsidRPr="00E23A74" w:rsidRDefault="00E23A74" w:rsidP="00E23A74">
            <w:pPr>
              <w:widowControl/>
              <w:jc w:val="left"/>
              <w:rPr>
                <w:rFonts w:ascii="inherit" w:eastAsia="微软雅黑" w:hAnsi="inherit" w:cs="宋体"/>
                <w:color w:val="383838"/>
                <w:kern w:val="0"/>
                <w:sz w:val="19"/>
                <w:szCs w:val="19"/>
              </w:rPr>
            </w:pPr>
          </w:p>
        </w:tc>
        <w:tc>
          <w:tcPr>
            <w:tcW w:w="6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7-21</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台式高速冷</w:t>
            </w:r>
            <w:r w:rsidRPr="00E23A74">
              <w:rPr>
                <w:rFonts w:ascii="微软雅黑" w:eastAsia="微软雅黑" w:hAnsi="微软雅黑" w:cs="宋体" w:hint="eastAsia"/>
                <w:color w:val="383838"/>
                <w:kern w:val="0"/>
                <w:sz w:val="19"/>
                <w:szCs w:val="19"/>
              </w:rPr>
              <w:lastRenderedPageBreak/>
              <w:t>冻离心机</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c>
          <w:tcPr>
            <w:tcW w:w="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23A74" w:rsidRPr="00E23A74" w:rsidRDefault="00E23A74" w:rsidP="00E23A74">
            <w:pPr>
              <w:widowControl/>
              <w:spacing w:before="60" w:after="264"/>
              <w:jc w:val="center"/>
              <w:textAlignment w:val="baseline"/>
              <w:rPr>
                <w:rFonts w:ascii="微软雅黑" w:eastAsia="微软雅黑" w:hAnsi="微软雅黑" w:cs="宋体"/>
                <w:color w:val="383838"/>
                <w:kern w:val="0"/>
                <w:sz w:val="19"/>
                <w:szCs w:val="19"/>
              </w:rPr>
            </w:pPr>
            <w:r w:rsidRPr="00E23A74">
              <w:rPr>
                <w:rFonts w:ascii="微软雅黑" w:eastAsia="微软雅黑" w:hAnsi="微软雅黑" w:cs="宋体" w:hint="eastAsia"/>
                <w:color w:val="383838"/>
                <w:kern w:val="0"/>
                <w:sz w:val="19"/>
                <w:szCs w:val="19"/>
              </w:rPr>
              <w:t>1台</w:t>
            </w:r>
          </w:p>
        </w:tc>
        <w:tc>
          <w:tcPr>
            <w:tcW w:w="0" w:type="auto"/>
            <w:vMerge/>
            <w:tcBorders>
              <w:top w:val="nil"/>
              <w:left w:val="nil"/>
              <w:bottom w:val="single" w:sz="8" w:space="0" w:color="auto"/>
              <w:right w:val="single" w:sz="8" w:space="0" w:color="auto"/>
            </w:tcBorders>
            <w:shd w:val="clear" w:color="auto" w:fill="FFFFFF"/>
            <w:vAlign w:val="bottom"/>
            <w:hideMark/>
          </w:tcPr>
          <w:p w:rsidR="00E23A74" w:rsidRPr="00E23A74" w:rsidRDefault="00E23A74" w:rsidP="00E23A74">
            <w:pPr>
              <w:widowControl/>
              <w:jc w:val="left"/>
              <w:rPr>
                <w:rFonts w:ascii="微软雅黑" w:eastAsia="微软雅黑" w:hAnsi="微软雅黑" w:cs="宋体"/>
                <w:color w:val="383838"/>
                <w:kern w:val="0"/>
                <w:sz w:val="19"/>
                <w:szCs w:val="19"/>
              </w:rPr>
            </w:pPr>
          </w:p>
        </w:tc>
      </w:tr>
    </w:tbl>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lastRenderedPageBreak/>
        <w:t xml:space="preserve">　　二、投标人的资格要求：</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合同包一、三、四、五、六、七：2.1、符合《中华人民共和国政府采购法》第二十二条规定条件。2.2、单位负责人授权书：①、企业(银行、保险、石油石化、电力、电信等行业除外)、事业单位和社会团体法人的“单位负责人”指法定代表人，即与实际提交的“营业执照等证明文件”载明的一致。②、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③、投标人(自然人除外)：若投标人代表为单位负责人授权的委托代 理人，应提供本授权书;若投标人代表为单位负责人，应在此项下提交其身份证正反面复印件，可不提供本授权书。④、投标人为自然人的，可不填写本授权书。⑤、纸质投标文件正本中的本授权书应为原件。※投标人应按照招标文件第七章规定提供。2.3、执行本合同包所需的设备及专业技术能力特别要求：是指提供具备履行合同所必需的设备和专业技术能力的声明函。2.4、本项目非专门面向小微企业采购：无;2.5、无行贿犯罪记录情形(本文件中其他有关行贿犯罪记录要求与此处不一致，以此处为准)投标人须提供参加采购活动前三年内无行贿犯罪记录的书面承诺。2.6、本项目不接受联合体投标。合同包二：2.1、符合《中华人民共和国政府采购法》第二十二条规定条件。2.2、单位负责人授权书：①、企业(银行、保险、石油石化、电力、电信等行业除外)、事业单位和社会团体法人的“单位负责人”指法定代表人，即与实际提交的“营业执照等证明文件”载明的一致。②、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③、投标人(自然人除外)：若投标人代表为单位负责人授权的委托代 理人，应提供本授权书;若投标人代表为单位负责人，应在此项下提交其身份证正反面复印件，可不提供本授权书。④、投标人为自然人的，可不填写本授权书。⑤、纸质投标文件正本中的本授权书应为原件。※投标人应按照招标文件第七章规定提供。2.3、执行本合同包所需的设备及专业技术能力特别要求：是指提供具备履行合同所必需的设备和专业技术能力的声明函。2.4、本项目非专门面向小微企业采购：无;2.5、本项目不接受联合体投标。</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三、招标文件的发售时间及地点等：</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预算金额：268.8 万元(人民币)</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时间：2020年06月11日 11:00 至 2020年06月30日 18:00(双休日及法定节假日除外)</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地点：在福建省政府采购网上下载招标文件。</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招标文件售价：￥0.0 元，本公告包含的招标文件售价总和</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招标文件获取方式：招标文件随同本项目招标公告一并发布;投标人应先在福建省政府采购网(http://cz.fjzfcg.gov.cn)注册会员，再通过会员账号在福建省政府采购网上公开信息系统按项目进行报名及下载招标文件(请根据项目所在地，登录对应的(省本级/市级/区县))福建省政府采购网上公开信息系统报名。</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四、投标截止时间：2020年07月08日 09:00</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五、开标时间：2020年07月08日 09:00</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六、开标地点：</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福州市古田路107号中美大厦福建国诚招标有限公司。</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lastRenderedPageBreak/>
        <w:t xml:space="preserve">　　七、其它补充事宜</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1、公告期限：5个工作日。</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2、采购计划备案编号：K-YKU-GK-202004-B2928-FJGC。</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3、项目负责人：吴晓君/0591-83393301</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八、采购项目需要落实的政府采购政策：</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(1) 财政部、工信部《政府采购促进中小企业发展暂行办法》财库〔2011〕181号。</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(2)《福建省省 级政府集中采购目录及限额标准》的政府采购政策。</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(3) 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(4)《国务院办公厅关于建立政府强制采购节能产品制度的通知》国办发[2007]51号、财政部、发展改革委发布的《节能产品政府采购实施意见》财库[2004]185号、财政部 发展改革委 生态环境部 市场监管总局印发《关于调整优化节能产品、环境标志产品政府采购执行机制的通知》(财库〔2019〕9号)。</w:t>
      </w:r>
    </w:p>
    <w:p w:rsidR="00E23A74" w:rsidRPr="00E23A74" w:rsidRDefault="00E23A74" w:rsidP="00E23A74">
      <w:pPr>
        <w:widowControl/>
        <w:spacing w:before="100" w:beforeAutospacing="1" w:after="100" w:afterAutospacing="1"/>
        <w:jc w:val="left"/>
        <w:rPr>
          <w:rFonts w:ascii="宋体" w:eastAsia="宋体" w:hAnsi="宋体" w:cs="宋体"/>
          <w:kern w:val="0"/>
          <w:sz w:val="14"/>
          <w:szCs w:val="14"/>
        </w:rPr>
      </w:pPr>
      <w:r w:rsidRPr="00E23A74">
        <w:rPr>
          <w:rFonts w:ascii="宋体" w:eastAsia="宋体" w:hAnsi="宋体" w:cs="宋体"/>
          <w:kern w:val="0"/>
          <w:sz w:val="14"/>
          <w:szCs w:val="14"/>
        </w:rPr>
        <w:t xml:space="preserve">　　(5)《福建省财政厅关于运用政府采购政策促进中小企业发展的通知》闽财购〔2020〕11号。</w:t>
      </w:r>
    </w:p>
    <w:p w:rsidR="000C7629" w:rsidRPr="00E23A74" w:rsidRDefault="000C7629"/>
    <w:sectPr w:rsidR="000C7629" w:rsidRPr="00E23A74"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3A74"/>
    <w:rsid w:val="000C7629"/>
    <w:rsid w:val="00535E2F"/>
    <w:rsid w:val="006128D3"/>
    <w:rsid w:val="00E23A74"/>
    <w:rsid w:val="00E972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unhideWhenUsed/>
    <w:rsid w:val="00E23A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61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518</Words>
  <Characters>2953</Characters>
  <Application>Microsoft Office Word</Application>
  <DocSecurity>0</DocSecurity>
  <Lines>24</Lines>
  <Paragraphs>6</Paragraphs>
  <ScaleCrop>false</ScaleCrop>
  <Company>Microsoft</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2020-06-11T06:49:00Z</dcterms:created>
  <dcterms:modified xsi:type="dcterms:W3CDTF">2020-06-11T06:49:00Z</dcterms:modified>
</cp:coreProperties>
</file>