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b/>
          <w:color w:val="auto"/>
          <w:sz w:val="30"/>
          <w:szCs w:val="30"/>
          <w:highlight w:val="none"/>
        </w:rPr>
      </w:pPr>
      <w:bookmarkStart w:id="521" w:name="_GoBack"/>
      <w:bookmarkEnd w:id="521"/>
    </w:p>
    <w:p>
      <w:pPr>
        <w:spacing w:line="240" w:lineRule="atLeast"/>
        <w:jc w:val="center"/>
        <w:rPr>
          <w:rFonts w:ascii="宋体" w:hAnsi="宋体"/>
          <w:b/>
          <w:color w:val="auto"/>
          <w:sz w:val="30"/>
          <w:szCs w:val="30"/>
          <w:highlight w:val="none"/>
        </w:rPr>
      </w:pPr>
    </w:p>
    <w:p>
      <w:pPr>
        <w:spacing w:line="240" w:lineRule="atLeast"/>
        <w:jc w:val="center"/>
        <w:rPr>
          <w:rFonts w:ascii="宋体" w:hAnsi="宋体"/>
          <w:b/>
          <w:color w:val="auto"/>
          <w:sz w:val="30"/>
          <w:szCs w:val="30"/>
          <w:highlight w:val="none"/>
        </w:rPr>
      </w:pPr>
    </w:p>
    <w:p>
      <w:pPr>
        <w:spacing w:line="240" w:lineRule="atLeast"/>
        <w:jc w:val="center"/>
        <w:rPr>
          <w:rFonts w:ascii="宋体" w:hAnsi="宋体"/>
          <w:b/>
          <w:color w:val="auto"/>
          <w:sz w:val="30"/>
          <w:szCs w:val="30"/>
          <w:highlight w:val="none"/>
        </w:rPr>
      </w:pPr>
    </w:p>
    <w:p>
      <w:pPr>
        <w:spacing w:line="240" w:lineRule="atLeast"/>
        <w:jc w:val="center"/>
        <w:rPr>
          <w:rFonts w:ascii="宋体" w:hAnsi="宋体"/>
          <w:b/>
          <w:color w:val="auto"/>
          <w:sz w:val="52"/>
          <w:szCs w:val="52"/>
          <w:highlight w:val="none"/>
        </w:rPr>
      </w:pPr>
      <w:r>
        <w:rPr>
          <w:rFonts w:hint="eastAsia" w:ascii="宋体" w:hAnsi="宋体"/>
          <w:b/>
          <w:color w:val="auto"/>
          <w:sz w:val="52"/>
          <w:szCs w:val="52"/>
          <w:highlight w:val="none"/>
        </w:rPr>
        <w:t>政府采购</w:t>
      </w:r>
    </w:p>
    <w:p>
      <w:pPr>
        <w:spacing w:line="240" w:lineRule="atLeast"/>
        <w:jc w:val="center"/>
        <w:rPr>
          <w:rFonts w:ascii="宋体" w:hAnsi="宋体"/>
          <w:b/>
          <w:color w:val="auto"/>
          <w:sz w:val="52"/>
          <w:szCs w:val="52"/>
          <w:highlight w:val="none"/>
        </w:rPr>
      </w:pPr>
      <w:r>
        <w:rPr>
          <w:rFonts w:hint="eastAsia" w:ascii="宋体" w:hAnsi="宋体"/>
          <w:b/>
          <w:color w:val="auto"/>
          <w:sz w:val="52"/>
          <w:szCs w:val="52"/>
          <w:highlight w:val="none"/>
        </w:rPr>
        <w:t>货物公开招标文件</w:t>
      </w:r>
    </w:p>
    <w:p>
      <w:pPr>
        <w:spacing w:line="240" w:lineRule="atLeast"/>
        <w:jc w:val="center"/>
        <w:rPr>
          <w:rFonts w:ascii="宋体" w:hAnsi="宋体"/>
          <w:b/>
          <w:color w:val="auto"/>
          <w:sz w:val="28"/>
          <w:highlight w:val="none"/>
        </w:rPr>
      </w:pPr>
    </w:p>
    <w:p>
      <w:pPr>
        <w:spacing w:line="240" w:lineRule="atLeast"/>
        <w:jc w:val="center"/>
        <w:rPr>
          <w:rFonts w:ascii="宋体" w:hAnsi="宋体"/>
          <w:b/>
          <w:color w:val="auto"/>
          <w:sz w:val="28"/>
          <w:highlight w:val="none"/>
        </w:rPr>
      </w:pPr>
    </w:p>
    <w:p>
      <w:pPr>
        <w:spacing w:line="240" w:lineRule="atLeast"/>
        <w:jc w:val="center"/>
        <w:rPr>
          <w:rFonts w:ascii="宋体" w:hAnsi="宋体"/>
          <w:b/>
          <w:color w:val="auto"/>
          <w:sz w:val="28"/>
          <w:highlight w:val="none"/>
        </w:rPr>
      </w:pPr>
    </w:p>
    <w:p>
      <w:pPr>
        <w:spacing w:line="240" w:lineRule="atLeast"/>
        <w:jc w:val="center"/>
        <w:rPr>
          <w:rFonts w:ascii="宋体" w:hAnsi="宋体"/>
          <w:b/>
          <w:color w:val="auto"/>
          <w:sz w:val="28"/>
          <w:highlight w:val="none"/>
        </w:rPr>
      </w:pPr>
    </w:p>
    <w:p>
      <w:pPr>
        <w:spacing w:line="240" w:lineRule="atLeast"/>
        <w:jc w:val="center"/>
        <w:rPr>
          <w:rFonts w:ascii="宋体" w:hAnsi="宋体"/>
          <w:b/>
          <w:color w:val="auto"/>
          <w:sz w:val="28"/>
          <w:highlight w:val="none"/>
        </w:rPr>
      </w:pPr>
    </w:p>
    <w:p>
      <w:pPr>
        <w:spacing w:line="240" w:lineRule="atLeast"/>
        <w:jc w:val="center"/>
        <w:rPr>
          <w:rFonts w:ascii="宋体" w:hAnsi="宋体"/>
          <w:b/>
          <w:color w:val="auto"/>
          <w:sz w:val="28"/>
          <w:highlight w:val="none"/>
        </w:rPr>
      </w:pPr>
    </w:p>
    <w:p>
      <w:pPr>
        <w:spacing w:line="240" w:lineRule="atLeast"/>
        <w:jc w:val="center"/>
        <w:rPr>
          <w:rFonts w:ascii="宋体" w:hAnsi="宋体"/>
          <w:b/>
          <w:color w:val="auto"/>
          <w:sz w:val="28"/>
          <w:highlight w:val="none"/>
        </w:rPr>
      </w:pPr>
    </w:p>
    <w:p>
      <w:pPr>
        <w:spacing w:line="560" w:lineRule="atLeast"/>
        <w:ind w:left="2267" w:leftChars="154" w:hanging="1944" w:hangingChars="538"/>
        <w:jc w:val="left"/>
        <w:rPr>
          <w:rFonts w:ascii="宋体" w:hAnsi="宋体"/>
          <w:b/>
          <w:color w:val="auto"/>
          <w:sz w:val="36"/>
          <w:szCs w:val="36"/>
          <w:highlight w:val="none"/>
          <w:u w:color="FF0000"/>
        </w:rPr>
      </w:pPr>
      <w:r>
        <w:rPr>
          <w:rFonts w:hint="eastAsia" w:ascii="宋体" w:hAnsi="宋体"/>
          <w:b/>
          <w:color w:val="auto"/>
          <w:sz w:val="36"/>
          <w:szCs w:val="36"/>
          <w:highlight w:val="none"/>
        </w:rPr>
        <w:t>项目名称：工业和信息化部电子第五研究所安全检测综合试验设备采购项目</w:t>
      </w:r>
    </w:p>
    <w:p>
      <w:pPr>
        <w:spacing w:line="560" w:lineRule="atLeast"/>
        <w:ind w:left="2126" w:leftChars="154" w:hanging="1803" w:hangingChars="499"/>
        <w:jc w:val="left"/>
        <w:rPr>
          <w:rFonts w:ascii="宋体" w:hAnsi="宋体"/>
          <w:b/>
          <w:color w:val="auto"/>
          <w:sz w:val="36"/>
          <w:szCs w:val="36"/>
          <w:highlight w:val="none"/>
          <w:u w:color="FF0000"/>
        </w:rPr>
      </w:pPr>
    </w:p>
    <w:p>
      <w:pPr>
        <w:spacing w:line="560" w:lineRule="atLeast"/>
        <w:ind w:left="1269" w:leftChars="136" w:hanging="983" w:hangingChars="272"/>
        <w:jc w:val="left"/>
        <w:rPr>
          <w:rFonts w:ascii="宋体" w:hAnsi="宋体"/>
          <w:b/>
          <w:color w:val="auto"/>
          <w:sz w:val="36"/>
          <w:szCs w:val="36"/>
          <w:highlight w:val="none"/>
        </w:rPr>
      </w:pPr>
      <w:r>
        <w:rPr>
          <w:rFonts w:hint="eastAsia" w:ascii="宋体" w:hAnsi="宋体"/>
          <w:b/>
          <w:color w:val="auto"/>
          <w:sz w:val="36"/>
          <w:szCs w:val="36"/>
          <w:highlight w:val="none"/>
        </w:rPr>
        <w:t>招标编号：</w:t>
      </w:r>
      <w:r>
        <w:rPr>
          <w:rFonts w:ascii="宋体" w:hAnsi="宋体"/>
          <w:b/>
          <w:color w:val="auto"/>
          <w:sz w:val="36"/>
          <w:szCs w:val="36"/>
          <w:highlight w:val="none"/>
        </w:rPr>
        <w:t xml:space="preserve"> </w:t>
      </w:r>
      <w:r>
        <w:rPr>
          <w:rFonts w:hint="eastAsia" w:ascii="宋体" w:hAnsi="宋体"/>
          <w:b/>
          <w:color w:val="auto"/>
          <w:sz w:val="36"/>
          <w:szCs w:val="36"/>
          <w:highlight w:val="none"/>
        </w:rPr>
        <w:t>0809-2041GZG14308</w:t>
      </w:r>
    </w:p>
    <w:p>
      <w:pPr>
        <w:spacing w:line="560" w:lineRule="atLeast"/>
        <w:ind w:left="1269" w:leftChars="136" w:hanging="983" w:hangingChars="272"/>
        <w:jc w:val="left"/>
        <w:rPr>
          <w:rFonts w:ascii="宋体" w:hAnsi="宋体"/>
          <w:b/>
          <w:color w:val="auto"/>
          <w:sz w:val="36"/>
          <w:szCs w:val="36"/>
          <w:highlight w:val="none"/>
        </w:rPr>
      </w:pPr>
    </w:p>
    <w:p>
      <w:pPr>
        <w:spacing w:line="240" w:lineRule="atLeast"/>
        <w:jc w:val="center"/>
        <w:rPr>
          <w:rFonts w:ascii="宋体" w:hAnsi="宋体"/>
          <w:b/>
          <w:color w:val="auto"/>
          <w:sz w:val="52"/>
          <w:highlight w:val="none"/>
        </w:rPr>
      </w:pPr>
    </w:p>
    <w:p>
      <w:pPr>
        <w:spacing w:line="240" w:lineRule="atLeast"/>
        <w:jc w:val="center"/>
        <w:rPr>
          <w:rFonts w:ascii="宋体" w:hAnsi="宋体"/>
          <w:b/>
          <w:color w:val="auto"/>
          <w:sz w:val="52"/>
          <w:highlight w:val="none"/>
        </w:rPr>
      </w:pPr>
    </w:p>
    <w:p>
      <w:pPr>
        <w:spacing w:line="240" w:lineRule="atLeast"/>
        <w:rPr>
          <w:rFonts w:ascii="宋体" w:hAnsi="宋体"/>
          <w:b/>
          <w:color w:val="auto"/>
          <w:sz w:val="52"/>
          <w:highlight w:val="none"/>
        </w:rPr>
      </w:pPr>
    </w:p>
    <w:p>
      <w:pPr>
        <w:spacing w:line="240" w:lineRule="atLeast"/>
        <w:rPr>
          <w:rFonts w:ascii="宋体" w:hAnsi="宋体"/>
          <w:b/>
          <w:color w:val="auto"/>
          <w:sz w:val="52"/>
          <w:highlight w:val="none"/>
        </w:rPr>
      </w:pPr>
    </w:p>
    <w:p>
      <w:pPr>
        <w:spacing w:line="240" w:lineRule="atLeast"/>
        <w:ind w:left="989" w:hanging="989"/>
        <w:jc w:val="center"/>
        <w:rPr>
          <w:rFonts w:ascii="宋体" w:hAnsi="宋体"/>
          <w:b/>
          <w:color w:val="auto"/>
          <w:sz w:val="36"/>
          <w:szCs w:val="36"/>
          <w:highlight w:val="none"/>
        </w:rPr>
      </w:pPr>
      <w:r>
        <w:rPr>
          <w:rFonts w:hint="eastAsia" w:ascii="宋体" w:hAnsi="宋体"/>
          <w:b/>
          <w:color w:val="auto"/>
          <w:sz w:val="36"/>
          <w:szCs w:val="36"/>
          <w:highlight w:val="none"/>
        </w:rPr>
        <w:t>工业和信息化部电子第五研究所</w:t>
      </w:r>
    </w:p>
    <w:p>
      <w:pPr>
        <w:spacing w:line="240" w:lineRule="atLeast"/>
        <w:ind w:left="989" w:hanging="989"/>
        <w:jc w:val="center"/>
        <w:rPr>
          <w:rFonts w:ascii="宋体" w:hAnsi="宋体"/>
          <w:b/>
          <w:color w:val="auto"/>
          <w:sz w:val="36"/>
          <w:szCs w:val="36"/>
          <w:highlight w:val="none"/>
        </w:rPr>
      </w:pPr>
      <w:r>
        <w:rPr>
          <w:rFonts w:hint="eastAsia" w:ascii="宋体" w:hAnsi="宋体"/>
          <w:b/>
          <w:color w:val="auto"/>
          <w:sz w:val="36"/>
          <w:szCs w:val="36"/>
          <w:highlight w:val="none"/>
        </w:rPr>
        <w:t>广东华伦招标有限公司</w:t>
      </w:r>
    </w:p>
    <w:p>
      <w:pPr>
        <w:spacing w:line="240" w:lineRule="atLeast"/>
        <w:ind w:left="989" w:hanging="989"/>
        <w:jc w:val="center"/>
        <w:rPr>
          <w:rFonts w:ascii="宋体" w:hAnsi="宋体"/>
          <w:b/>
          <w:color w:val="auto"/>
          <w:sz w:val="36"/>
          <w:szCs w:val="36"/>
          <w:highlight w:val="none"/>
        </w:rPr>
      </w:pPr>
      <w:r>
        <w:rPr>
          <w:rFonts w:ascii="宋体" w:hAnsi="宋体"/>
          <w:b/>
          <w:color w:val="auto"/>
          <w:sz w:val="36"/>
          <w:szCs w:val="36"/>
          <w:highlight w:val="none"/>
        </w:rPr>
        <w:t>2020年3月</w:t>
      </w:r>
    </w:p>
    <w:p>
      <w:pPr>
        <w:spacing w:line="240" w:lineRule="atLeast"/>
        <w:ind w:left="989" w:hanging="989"/>
        <w:rPr>
          <w:rFonts w:ascii="宋体" w:hAnsi="宋体"/>
          <w:color w:val="auto"/>
          <w:sz w:val="44"/>
          <w:szCs w:val="44"/>
          <w:highlight w:val="none"/>
        </w:rPr>
        <w:sectPr>
          <w:headerReference r:id="rId3" w:type="default"/>
          <w:footerReference r:id="rId4" w:type="default"/>
          <w:footerReference r:id="rId5" w:type="even"/>
          <w:type w:val="nextColumn"/>
          <w:pgSz w:w="11906" w:h="16838"/>
          <w:pgMar w:top="1440" w:right="1797" w:bottom="1440" w:left="1797" w:header="851" w:footer="992" w:gutter="0"/>
          <w:cols w:space="720" w:num="1"/>
          <w:docGrid w:linePitch="312" w:charSpace="0"/>
        </w:sectPr>
      </w:pPr>
    </w:p>
    <w:p>
      <w:pPr>
        <w:autoSpaceDE w:val="0"/>
        <w:autoSpaceDN w:val="0"/>
        <w:adjustRightInd w:val="0"/>
        <w:spacing w:line="360" w:lineRule="auto"/>
        <w:jc w:val="center"/>
        <w:rPr>
          <w:rFonts w:ascii="宋体" w:hAnsi="宋体"/>
          <w:b/>
          <w:color w:val="auto"/>
          <w:kern w:val="0"/>
          <w:sz w:val="24"/>
          <w:highlight w:val="none"/>
        </w:rPr>
      </w:pPr>
      <w:r>
        <w:rPr>
          <w:rFonts w:hint="eastAsia" w:ascii="宋体" w:hAnsi="宋体"/>
          <w:b/>
          <w:color w:val="auto"/>
          <w:kern w:val="0"/>
          <w:sz w:val="24"/>
          <w:highlight w:val="none"/>
        </w:rPr>
        <w:t>工业和信息化部电子第五研究所安全检测综合试验设备采购项目</w:t>
      </w:r>
    </w:p>
    <w:p>
      <w:pPr>
        <w:autoSpaceDE w:val="0"/>
        <w:autoSpaceDN w:val="0"/>
        <w:adjustRightInd w:val="0"/>
        <w:spacing w:line="360" w:lineRule="auto"/>
        <w:jc w:val="center"/>
        <w:rPr>
          <w:rFonts w:ascii="宋体" w:hAnsi="宋体"/>
          <w:b/>
          <w:color w:val="auto"/>
          <w:kern w:val="0"/>
          <w:sz w:val="24"/>
          <w:highlight w:val="none"/>
        </w:rPr>
      </w:pPr>
      <w:r>
        <w:rPr>
          <w:rFonts w:hint="eastAsia" w:ascii="宋体" w:hAnsi="宋体"/>
          <w:b/>
          <w:color w:val="auto"/>
          <w:kern w:val="0"/>
          <w:sz w:val="24"/>
          <w:highlight w:val="none"/>
        </w:rPr>
        <w:t>投标邀请书</w:t>
      </w:r>
    </w:p>
    <w:p>
      <w:pPr>
        <w:spacing w:line="360" w:lineRule="auto"/>
        <w:rPr>
          <w:rFonts w:ascii="宋体" w:hAnsi="宋体"/>
          <w:color w:val="auto"/>
          <w:sz w:val="24"/>
          <w:highlight w:val="none"/>
        </w:rPr>
      </w:pPr>
      <w:r>
        <w:rPr>
          <w:rFonts w:hint="eastAsia" w:ascii="宋体" w:hAnsi="宋体"/>
          <w:color w:val="auto"/>
          <w:sz w:val="24"/>
          <w:highlight w:val="none"/>
        </w:rPr>
        <w:t xml:space="preserve">    广东华伦招标有限公司受</w:t>
      </w:r>
      <w:r>
        <w:rPr>
          <w:rFonts w:hint="eastAsia" w:ascii="宋体" w:hAnsi="宋体"/>
          <w:color w:val="auto"/>
          <w:sz w:val="24"/>
          <w:highlight w:val="none"/>
          <w:u w:val="single"/>
        </w:rPr>
        <w:t>工业和信息化部电子第五研究所</w:t>
      </w:r>
      <w:r>
        <w:rPr>
          <w:rFonts w:hint="eastAsia" w:ascii="宋体" w:hAnsi="宋体"/>
          <w:color w:val="auto"/>
          <w:sz w:val="24"/>
          <w:highlight w:val="none"/>
        </w:rPr>
        <w:t>委托，对下述货物及服务进行国内</w:t>
      </w:r>
      <w:r>
        <w:rPr>
          <w:rFonts w:hint="eastAsia" w:ascii="宋体" w:hAnsi="宋体"/>
          <w:color w:val="auto"/>
          <w:sz w:val="24"/>
          <w:highlight w:val="none"/>
          <w:u w:val="single"/>
        </w:rPr>
        <w:t>公开</w:t>
      </w:r>
      <w:r>
        <w:rPr>
          <w:rFonts w:hint="eastAsia" w:ascii="宋体" w:hAnsi="宋体"/>
          <w:color w:val="auto"/>
          <w:sz w:val="24"/>
          <w:highlight w:val="none"/>
        </w:rPr>
        <w:t>招标。现邀请合格的投标人前来投标。</w:t>
      </w:r>
    </w:p>
    <w:p>
      <w:pPr>
        <w:spacing w:line="360" w:lineRule="auto"/>
        <w:ind w:left="539"/>
        <w:rPr>
          <w:rFonts w:ascii="宋体" w:hAnsi="宋体"/>
          <w:color w:val="auto"/>
          <w:sz w:val="24"/>
          <w:highlight w:val="none"/>
        </w:rPr>
      </w:pPr>
      <w:r>
        <w:rPr>
          <w:rFonts w:ascii="宋体" w:hAnsi="宋体"/>
          <w:color w:val="auto"/>
          <w:sz w:val="24"/>
          <w:highlight w:val="none"/>
        </w:rPr>
        <w:t xml:space="preserve">1.招标编号： </w:t>
      </w:r>
      <w:r>
        <w:rPr>
          <w:rFonts w:hint="eastAsia" w:ascii="宋体" w:hAnsi="宋体"/>
          <w:color w:val="auto"/>
          <w:sz w:val="24"/>
          <w:highlight w:val="none"/>
        </w:rPr>
        <w:t>0809-2041GZG14308</w:t>
      </w:r>
    </w:p>
    <w:p>
      <w:pPr>
        <w:spacing w:line="360" w:lineRule="auto"/>
        <w:ind w:firstLine="540" w:firstLineChars="225"/>
        <w:rPr>
          <w:rFonts w:ascii="宋体" w:hAnsi="宋体"/>
          <w:color w:val="auto"/>
          <w:kern w:val="0"/>
          <w:sz w:val="24"/>
          <w:highlight w:val="none"/>
          <w:u w:val="single"/>
        </w:rPr>
      </w:pPr>
      <w:r>
        <w:rPr>
          <w:rFonts w:hint="eastAsia" w:ascii="宋体" w:hAnsi="宋体"/>
          <w:color w:val="auto"/>
          <w:sz w:val="24"/>
          <w:highlight w:val="none"/>
        </w:rPr>
        <w:t>2.项目信息：</w:t>
      </w:r>
      <w:r>
        <w:rPr>
          <w:rFonts w:hint="eastAsia" w:ascii="宋体" w:hAnsi="宋体" w:cs="宋体"/>
          <w:color w:val="auto"/>
          <w:sz w:val="24"/>
          <w:highlight w:val="none"/>
          <w:u w:val="single"/>
        </w:rPr>
        <w:t>本次招标货物为冷凝水试验箱、冰水冲击试验机、复合盐雾试验机、盐雾试验机、漏电流测试仪、压敏电阻参数测试仪、电线电缆削片机、</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插拔耐久试验机、高温压力实验装置、耦合器加热试验装置、各一套，高低温湿热试验箱</w:t>
      </w:r>
      <w:r>
        <w:rPr>
          <w:rFonts w:ascii="宋体" w:hAnsi="宋体" w:cs="宋体"/>
          <w:color w:val="auto"/>
          <w:sz w:val="24"/>
          <w:highlight w:val="none"/>
          <w:u w:val="single"/>
        </w:rPr>
        <w:t>3台</w:t>
      </w:r>
      <w:r>
        <w:rPr>
          <w:rFonts w:hint="eastAsia" w:ascii="宋体" w:hAnsi="宋体" w:cs="宋体"/>
          <w:color w:val="auto"/>
          <w:sz w:val="24"/>
          <w:highlight w:val="none"/>
          <w:u w:val="single"/>
        </w:rPr>
        <w:t>。招标内容包括</w:t>
      </w:r>
      <w:r>
        <w:rPr>
          <w:rFonts w:hint="eastAsia" w:ascii="宋体" w:hAnsi="宋体" w:cs="宋体"/>
          <w:bCs/>
          <w:color w:val="auto"/>
          <w:sz w:val="24"/>
          <w:highlight w:val="none"/>
          <w:u w:val="single"/>
        </w:rPr>
        <w:t>所有设备的</w:t>
      </w:r>
      <w:r>
        <w:rPr>
          <w:rFonts w:hint="eastAsia" w:ascii="宋体" w:hAnsi="宋体" w:cs="宋体"/>
          <w:color w:val="auto"/>
          <w:sz w:val="24"/>
          <w:highlight w:val="none"/>
          <w:u w:val="single"/>
        </w:rPr>
        <w:t>安装、调试、试运行、验收和质保期服务等服务内容在内的一揽子项目。该项目为交钥匙工程。</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3.投标供应商资格要求：</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3.1供应商应具备《政府采购法》第二十二条规定的条件，提供下列材料：</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1）供应商必须是具有独立承担民事责任能力的在中华人民共和国境内注册的法人或其他组织或自然人（提供有效的营业执照（或事业法人登记证或身份证等相关证明）副本复印件</w:t>
      </w:r>
      <w:r>
        <w:rPr>
          <w:rFonts w:hint="eastAsia" w:ascii="宋体" w:hAnsi="宋体" w:cs="宋体"/>
          <w:color w:val="auto"/>
          <w:kern w:val="0"/>
          <w:sz w:val="24"/>
          <w:highlight w:val="none"/>
        </w:rPr>
        <w:t>并加盖公章</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2）供应商必须具有良好的商业信誉和健全的财务会计制度（提供2018年的财务状况报告（成立时间不满1年的，提供投标截止时间前近3个月内，任意1个月的财务状况报告）或者基本户开户银行出具的资信证明复印件</w:t>
      </w:r>
      <w:r>
        <w:rPr>
          <w:rFonts w:hint="eastAsia" w:ascii="宋体" w:hAnsi="宋体" w:cs="宋体"/>
          <w:color w:val="auto"/>
          <w:kern w:val="0"/>
          <w:sz w:val="24"/>
          <w:highlight w:val="none"/>
        </w:rPr>
        <w:t>并加盖公章</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3）供应商有依法缴纳税收和社会保障资金的良好记录（提供投标截止时间前12个月内任意1个月依法缴纳税收和社会保障资金的相关证明材料复印件</w:t>
      </w:r>
      <w:r>
        <w:rPr>
          <w:rFonts w:hint="eastAsia" w:ascii="宋体" w:hAnsi="宋体" w:cs="宋体"/>
          <w:color w:val="auto"/>
          <w:kern w:val="0"/>
          <w:sz w:val="24"/>
          <w:highlight w:val="none"/>
        </w:rPr>
        <w:t>并加盖公章</w:t>
      </w:r>
      <w:r>
        <w:rPr>
          <w:rFonts w:hint="eastAsia" w:ascii="宋体" w:hAnsi="宋体"/>
          <w:color w:val="auto"/>
          <w:sz w:val="24"/>
          <w:highlight w:val="none"/>
        </w:rPr>
        <w:t>。如依法免税或不需要缴纳社会保障资金的，提供相应证明材料）。</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4）供应商具备履行合同所必需的设备和专业技术能力（</w:t>
      </w:r>
      <w:r>
        <w:rPr>
          <w:rFonts w:hint="eastAsia" w:ascii="宋体" w:hAnsi="宋体" w:cs="宋体"/>
          <w:color w:val="auto"/>
          <w:kern w:val="0"/>
          <w:sz w:val="24"/>
          <w:highlight w:val="none"/>
        </w:rPr>
        <w:t>提供设备的清单以及技术人员的名单材料并加盖公章或做出承诺</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5）供应商参加政府采购活动前三年内，在经营活动中没有重大违法记录</w:t>
      </w:r>
      <w:r>
        <w:rPr>
          <w:rFonts w:hint="eastAsia" w:ascii="宋体" w:hAnsi="宋体" w:cs="Tahoma"/>
          <w:color w:val="auto"/>
          <w:sz w:val="24"/>
          <w:szCs w:val="21"/>
          <w:highlight w:val="none"/>
        </w:rPr>
        <w:t>的书面声明（原件）。</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6）供应商必须符合法律、行政法规规定的其他条件。</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www.ccgp.gov.cn)查询结果为准，如相关失信记录已失效，供应商需提供相关证明材料复印件</w:t>
      </w:r>
      <w:r>
        <w:rPr>
          <w:rFonts w:hint="eastAsia" w:ascii="宋体" w:hAnsi="宋体" w:cs="宋体"/>
          <w:color w:val="auto"/>
          <w:kern w:val="0"/>
          <w:sz w:val="24"/>
          <w:highlight w:val="none"/>
        </w:rPr>
        <w:t>并加盖公章</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3.3单位负责人为同一人或者存在直接控股、管理关系的不同供应商，不得同时参加本采购项目投标。</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3.4.为本项目提供整体设计、规范编制或者项目管理、监理、检测等服务的供应商，不得再参与本项目投标。</w:t>
      </w:r>
    </w:p>
    <w:p>
      <w:pPr>
        <w:spacing w:line="360" w:lineRule="auto"/>
        <w:ind w:left="888" w:hanging="403"/>
        <w:rPr>
          <w:rFonts w:ascii="宋体" w:hAnsi="宋体" w:cs="Tahoma"/>
          <w:color w:val="auto"/>
          <w:sz w:val="24"/>
          <w:szCs w:val="21"/>
          <w:highlight w:val="none"/>
        </w:rPr>
      </w:pPr>
      <w:r>
        <w:rPr>
          <w:rFonts w:hint="eastAsia" w:ascii="宋体" w:hAnsi="宋体" w:cs="Tahoma"/>
          <w:color w:val="auto"/>
          <w:sz w:val="24"/>
          <w:szCs w:val="21"/>
          <w:highlight w:val="none"/>
        </w:rPr>
        <w:t>3.5本项目不允许联合体投标。</w:t>
      </w:r>
    </w:p>
    <w:p>
      <w:pPr>
        <w:spacing w:line="360" w:lineRule="auto"/>
        <w:ind w:left="888" w:hanging="403"/>
        <w:rPr>
          <w:rFonts w:ascii="宋体" w:hAnsi="宋体" w:cs="Tahoma"/>
          <w:color w:val="auto"/>
          <w:sz w:val="24"/>
          <w:szCs w:val="21"/>
          <w:highlight w:val="none"/>
        </w:rPr>
      </w:pPr>
      <w:r>
        <w:rPr>
          <w:rFonts w:hint="eastAsia" w:ascii="宋体" w:hAnsi="宋体" w:cs="Tahoma"/>
          <w:color w:val="auto"/>
          <w:sz w:val="24"/>
          <w:szCs w:val="21"/>
          <w:highlight w:val="none"/>
        </w:rPr>
        <w:t>3.6已获取本项目招标文件。</w:t>
      </w:r>
    </w:p>
    <w:p>
      <w:pPr>
        <w:spacing w:line="360" w:lineRule="auto"/>
        <w:ind w:left="1080" w:leftChars="257" w:hanging="54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w:t>
      </w:r>
      <w:r>
        <w:rPr>
          <w:rFonts w:hint="eastAsia" w:ascii="宋体" w:hAnsi="宋体"/>
          <w:color w:val="auto"/>
          <w:sz w:val="24"/>
          <w:highlight w:val="none"/>
        </w:rPr>
        <w:t>招标文件售价：每套人民币</w:t>
      </w:r>
      <w:r>
        <w:rPr>
          <w:rFonts w:hint="eastAsia" w:ascii="宋体" w:hAnsi="宋体"/>
          <w:color w:val="auto"/>
          <w:sz w:val="24"/>
          <w:highlight w:val="none"/>
          <w:u w:val="single"/>
        </w:rPr>
        <w:t>200</w:t>
      </w:r>
      <w:r>
        <w:rPr>
          <w:rFonts w:hint="eastAsia" w:ascii="宋体" w:hAnsi="宋体"/>
          <w:color w:val="auto"/>
          <w:sz w:val="24"/>
          <w:highlight w:val="none"/>
        </w:rPr>
        <w:t>元，招标文件售后不退。</w:t>
      </w:r>
    </w:p>
    <w:p>
      <w:pPr>
        <w:spacing w:line="360" w:lineRule="auto"/>
        <w:ind w:left="1080" w:leftChars="257" w:hanging="54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w:t>
      </w:r>
      <w:r>
        <w:rPr>
          <w:rFonts w:hint="eastAsia" w:ascii="宋体" w:hAnsi="宋体"/>
          <w:color w:val="auto"/>
          <w:sz w:val="24"/>
          <w:highlight w:val="none"/>
        </w:rPr>
        <w:t>招标文件的获取：</w:t>
      </w:r>
    </w:p>
    <w:p>
      <w:pPr>
        <w:pStyle w:val="17"/>
        <w:tabs>
          <w:tab w:val="left" w:pos="3460"/>
          <w:tab w:val="clear" w:pos="567"/>
        </w:tabs>
        <w:kinsoku w:val="0"/>
        <w:overflowPunct w:val="0"/>
        <w:spacing w:line="360" w:lineRule="auto"/>
        <w:ind w:left="520"/>
        <w:rPr>
          <w:rFonts w:asciiTheme="minorEastAsia" w:hAnsiTheme="minorEastAsia" w:eastAsiaTheme="minorEastAsia"/>
          <w:color w:val="auto"/>
          <w:highlight w:val="none"/>
        </w:rPr>
      </w:pPr>
      <w:r>
        <w:rPr>
          <w:rFonts w:hint="eastAsia"/>
          <w:color w:val="auto"/>
          <w:highlight w:val="none"/>
        </w:rPr>
        <w:t xml:space="preserve">   </w:t>
      </w:r>
      <w:r>
        <w:rPr>
          <w:rFonts w:hint="eastAsia" w:asciiTheme="minorEastAsia" w:hAnsiTheme="minorEastAsia" w:eastAsiaTheme="minorEastAsia"/>
          <w:color w:val="auto"/>
          <w:highlight w:val="none"/>
        </w:rPr>
        <w:t>5.1.获取招标文件的方式：网上购买方式（只接受网上支付）。</w:t>
      </w:r>
    </w:p>
    <w:p>
      <w:pPr>
        <w:pStyle w:val="17"/>
        <w:tabs>
          <w:tab w:val="left" w:pos="3460"/>
          <w:tab w:val="clear" w:pos="567"/>
        </w:tabs>
        <w:kinsoku w:val="0"/>
        <w:overflowPunct w:val="0"/>
        <w:spacing w:line="360" w:lineRule="auto"/>
        <w:ind w:left="520" w:firstLine="319" w:firstLineChars="13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5.2.获取招标文件的时间期限：2020年 </w:t>
      </w:r>
      <w:r>
        <w:rPr>
          <w:rFonts w:hint="eastAsia" w:asciiTheme="minorEastAsia" w:hAnsiTheme="minorEastAsia" w:eastAsiaTheme="minorEastAsia"/>
          <w:color w:val="auto"/>
          <w:highlight w:val="none"/>
          <w:lang w:val="en-US" w:eastAsia="zh-CN"/>
        </w:rPr>
        <w:t>03</w:t>
      </w:r>
      <w:r>
        <w:rPr>
          <w:rFonts w:hint="eastAsia" w:asciiTheme="minorEastAsia" w:hAnsiTheme="minorEastAsia" w:eastAsiaTheme="minorEastAsia"/>
          <w:color w:val="auto"/>
          <w:highlight w:val="none"/>
        </w:rPr>
        <w:t xml:space="preserve"> 月 </w:t>
      </w:r>
      <w:r>
        <w:rPr>
          <w:rFonts w:hint="eastAsia" w:asciiTheme="minorEastAsia" w:hAnsiTheme="minorEastAsia" w:eastAsiaTheme="minorEastAsia"/>
          <w:color w:val="auto"/>
          <w:highlight w:val="none"/>
          <w:lang w:val="en-US" w:eastAsia="zh-CN"/>
        </w:rPr>
        <w:t>23</w:t>
      </w:r>
      <w:r>
        <w:rPr>
          <w:rFonts w:hint="eastAsia" w:asciiTheme="minorEastAsia" w:hAnsiTheme="minorEastAsia" w:eastAsiaTheme="minorEastAsia"/>
          <w:color w:val="auto"/>
          <w:highlight w:val="none"/>
        </w:rPr>
        <w:t xml:space="preserve"> 日～2020年 </w:t>
      </w:r>
      <w:r>
        <w:rPr>
          <w:rFonts w:hint="eastAsia" w:asciiTheme="minorEastAsia" w:hAnsiTheme="minorEastAsia" w:eastAsiaTheme="minorEastAsia"/>
          <w:color w:val="auto"/>
          <w:highlight w:val="none"/>
          <w:lang w:val="en-US" w:eastAsia="zh-CN"/>
        </w:rPr>
        <w:t>03</w:t>
      </w:r>
      <w:r>
        <w:rPr>
          <w:rFonts w:hint="eastAsia" w:asciiTheme="minorEastAsia" w:hAnsiTheme="minorEastAsia" w:eastAsiaTheme="minorEastAsia"/>
          <w:color w:val="auto"/>
          <w:highlight w:val="none"/>
        </w:rPr>
        <w:t xml:space="preserve"> 月 </w:t>
      </w:r>
      <w:r>
        <w:rPr>
          <w:rFonts w:hint="eastAsia" w:asciiTheme="minorEastAsia" w:hAnsiTheme="minorEastAsia" w:eastAsiaTheme="minorEastAsia"/>
          <w:color w:val="auto"/>
          <w:highlight w:val="none"/>
          <w:lang w:val="en-US" w:eastAsia="zh-CN"/>
        </w:rPr>
        <w:t>27</w:t>
      </w:r>
      <w:r>
        <w:rPr>
          <w:rFonts w:hint="eastAsia" w:asciiTheme="minorEastAsia" w:hAnsiTheme="minorEastAsia" w:eastAsiaTheme="minorEastAsia"/>
          <w:color w:val="auto"/>
          <w:highlight w:val="none"/>
        </w:rPr>
        <w:t xml:space="preserve"> 日。获取时间段为上述日期每天全日（法定节假日可以正常获取）。</w:t>
      </w:r>
    </w:p>
    <w:p>
      <w:pPr>
        <w:pStyle w:val="17"/>
        <w:tabs>
          <w:tab w:val="left" w:pos="3460"/>
          <w:tab w:val="clear" w:pos="567"/>
        </w:tabs>
        <w:kinsoku w:val="0"/>
        <w:overflowPunct w:val="0"/>
        <w:spacing w:line="360" w:lineRule="auto"/>
        <w:ind w:left="520" w:firstLine="319" w:firstLineChars="133"/>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5.3.凡有意购买文件的单位请在标书发售截止时间前登录</w:t>
      </w:r>
      <w:r>
        <w:rPr>
          <w:rFonts w:hint="eastAsia"/>
          <w:color w:val="auto"/>
          <w:highlight w:val="none"/>
        </w:rPr>
        <w:t xml:space="preserve">我公司官网“供应商在线服务”：http:// </w:t>
      </w:r>
      <w:r>
        <w:rPr>
          <w:rFonts w:hint="eastAsia"/>
          <w:color w:val="auto"/>
          <w:highlight w:val="none"/>
        </w:rPr>
        <w:fldChar w:fldCharType="begin"/>
      </w:r>
      <w:r>
        <w:rPr>
          <w:rFonts w:hint="eastAsia"/>
          <w:color w:val="auto"/>
          <w:highlight w:val="none"/>
        </w:rPr>
        <w:instrText xml:space="preserve"> HYPERLINK "http://www.gdhualun.com.cn/）进行注册，" </w:instrText>
      </w:r>
      <w:r>
        <w:rPr>
          <w:rFonts w:hint="eastAsia"/>
          <w:color w:val="auto"/>
          <w:highlight w:val="none"/>
        </w:rPr>
        <w:fldChar w:fldCharType="separate"/>
      </w:r>
      <w:r>
        <w:rPr>
          <w:rFonts w:hint="eastAsia"/>
          <w:color w:val="auto"/>
          <w:highlight w:val="none"/>
        </w:rPr>
        <w:t>www.gdhualun.com.cn/进行免费注册</w:t>
      </w:r>
      <w:r>
        <w:rPr>
          <w:rFonts w:hint="eastAsia"/>
          <w:color w:val="auto"/>
          <w:highlight w:val="none"/>
        </w:rPr>
        <w:fldChar w:fldCharType="end"/>
      </w:r>
      <w:r>
        <w:rPr>
          <w:rFonts w:hint="eastAsia" w:asciiTheme="minorEastAsia" w:hAnsiTheme="minorEastAsia" w:eastAsiaTheme="minorEastAsia"/>
          <w:color w:val="auto"/>
          <w:highlight w:val="none"/>
        </w:rPr>
        <w:t>、标书购买操作。平台操作相关问题请查询网站“帮助中心”-“投标人注册操作手册 ”或咨询网站客服或中招联合（010-86397110，010-62108037）。</w:t>
      </w:r>
    </w:p>
    <w:p>
      <w:pPr>
        <w:pStyle w:val="17"/>
        <w:tabs>
          <w:tab w:val="left" w:pos="3460"/>
          <w:tab w:val="clear" w:pos="567"/>
        </w:tabs>
        <w:kinsoku w:val="0"/>
        <w:overflowPunct w:val="0"/>
        <w:spacing w:line="360" w:lineRule="auto"/>
        <w:ind w:left="520" w:firstLine="319" w:firstLineChars="133"/>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5.4除标书款外，投标人还需向中招联合招标采购平台支付交易服务费，收费标准为每标包200元，平台交易服务费一经收取不予退还，由中招联合信息股份有限公司出具增值税电子普通发票。</w:t>
      </w:r>
    </w:p>
    <w:p>
      <w:pPr>
        <w:pStyle w:val="17"/>
        <w:tabs>
          <w:tab w:val="left" w:pos="3460"/>
          <w:tab w:val="clear" w:pos="567"/>
        </w:tabs>
        <w:kinsoku w:val="0"/>
        <w:overflowPunct w:val="0"/>
        <w:spacing w:line="360" w:lineRule="auto"/>
        <w:ind w:left="520" w:firstLine="319" w:firstLineChars="13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5.5.获取招标文件相关事项的联系人：苏小姐，联系电话：020-83172166-810</w:t>
      </w:r>
    </w:p>
    <w:p>
      <w:pPr>
        <w:pStyle w:val="17"/>
        <w:tabs>
          <w:tab w:val="left" w:pos="3460"/>
          <w:tab w:val="clear" w:pos="567"/>
        </w:tabs>
        <w:kinsoku w:val="0"/>
        <w:overflowPunct w:val="0"/>
        <w:spacing w:line="360" w:lineRule="auto"/>
        <w:ind w:left="520" w:firstLine="319" w:firstLineChars="13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5.6.本公司只接受通过以上方式正式获取招标文件的投标人投标。</w:t>
      </w:r>
    </w:p>
    <w:p>
      <w:pPr>
        <w:spacing w:line="360" w:lineRule="auto"/>
        <w:ind w:left="1079" w:leftChars="371" w:hanging="300" w:hangingChars="125"/>
        <w:rPr>
          <w:rFonts w:ascii="宋体" w:hAnsi="宋体"/>
          <w:color w:val="auto"/>
          <w:sz w:val="24"/>
          <w:highlight w:val="none"/>
        </w:rPr>
      </w:pPr>
    </w:p>
    <w:p>
      <w:pPr>
        <w:spacing w:line="360" w:lineRule="auto"/>
        <w:ind w:left="718" w:leftChars="256" w:hanging="180" w:hangingChars="75"/>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w:t>
      </w:r>
      <w:r>
        <w:rPr>
          <w:rFonts w:hint="eastAsia" w:ascii="宋体" w:hAnsi="宋体"/>
          <w:color w:val="auto"/>
          <w:sz w:val="24"/>
          <w:highlight w:val="none"/>
        </w:rPr>
        <w:t>投标截止时间：2020年</w:t>
      </w:r>
      <w:r>
        <w:rPr>
          <w:rFonts w:hint="eastAsia" w:ascii="宋体" w:hAnsi="宋体"/>
          <w:color w:val="auto"/>
          <w:sz w:val="24"/>
          <w:highlight w:val="none"/>
          <w:lang w:val="en-US" w:eastAsia="zh-CN"/>
        </w:rPr>
        <w:t xml:space="preserve"> 04</w:t>
      </w:r>
      <w:r>
        <w:rPr>
          <w:rFonts w:hint="eastAsia" w:ascii="宋体" w:hAnsi="宋体"/>
          <w:color w:val="auto"/>
          <w:sz w:val="24"/>
          <w:highlight w:val="none"/>
        </w:rPr>
        <w:t xml:space="preserve"> 月 </w:t>
      </w:r>
      <w:r>
        <w:rPr>
          <w:rFonts w:hint="eastAsia" w:ascii="宋体" w:hAnsi="宋体"/>
          <w:color w:val="auto"/>
          <w:sz w:val="24"/>
          <w:highlight w:val="none"/>
          <w:lang w:val="en-US" w:eastAsia="zh-CN"/>
        </w:rPr>
        <w:t>14</w:t>
      </w:r>
      <w:r>
        <w:rPr>
          <w:rFonts w:hint="eastAsia" w:ascii="宋体" w:hAnsi="宋体"/>
          <w:color w:val="auto"/>
          <w:sz w:val="24"/>
          <w:highlight w:val="none"/>
        </w:rPr>
        <w:t xml:space="preserve"> 日</w:t>
      </w:r>
      <w:r>
        <w:rPr>
          <w:rFonts w:hint="eastAsia" w:ascii="宋体" w:hAnsi="宋体"/>
          <w:color w:val="auto"/>
          <w:sz w:val="24"/>
          <w:highlight w:val="none"/>
          <w:lang w:eastAsia="zh-CN"/>
        </w:rPr>
        <w:t>1</w:t>
      </w:r>
      <w:r>
        <w:rPr>
          <w:rFonts w:hint="eastAsia" w:ascii="宋体" w:hAnsi="宋体"/>
          <w:color w:val="auto"/>
          <w:sz w:val="24"/>
          <w:highlight w:val="none"/>
          <w:lang w:val="en-US" w:eastAsia="zh-CN"/>
        </w:rPr>
        <w:t>0</w:t>
      </w:r>
      <w:r>
        <w:rPr>
          <w:rFonts w:ascii="宋体" w:hAnsi="宋体"/>
          <w:color w:val="auto"/>
          <w:sz w:val="24"/>
          <w:highlight w:val="none"/>
        </w:rPr>
        <w:t>时30分</w:t>
      </w:r>
      <w:r>
        <w:rPr>
          <w:rFonts w:hint="eastAsia" w:ascii="宋体" w:hAnsi="宋体"/>
          <w:color w:val="auto"/>
          <w:sz w:val="24"/>
          <w:highlight w:val="none"/>
        </w:rPr>
        <w:t>（北京时间），逾期送达或未按招标</w:t>
      </w:r>
      <w:r>
        <w:rPr>
          <w:rFonts w:ascii="宋体" w:hAnsi="宋体"/>
          <w:color w:val="auto"/>
          <w:sz w:val="24"/>
          <w:highlight w:val="none"/>
        </w:rPr>
        <w:t>文件要求密封</w:t>
      </w:r>
      <w:r>
        <w:rPr>
          <w:rFonts w:hint="eastAsia" w:ascii="宋体" w:hAnsi="宋体"/>
          <w:color w:val="auto"/>
          <w:sz w:val="24"/>
          <w:highlight w:val="none"/>
        </w:rPr>
        <w:t>的投标文件恕不接收。</w:t>
      </w:r>
    </w:p>
    <w:p>
      <w:pPr>
        <w:spacing w:line="360" w:lineRule="auto"/>
        <w:ind w:left="1080" w:leftChars="257" w:hanging="540"/>
        <w:rPr>
          <w:rFonts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开标时间：2020年</w:t>
      </w:r>
      <w:r>
        <w:rPr>
          <w:rFonts w:hint="eastAsia" w:ascii="宋体" w:hAnsi="宋体"/>
          <w:color w:val="auto"/>
          <w:sz w:val="24"/>
          <w:highlight w:val="none"/>
          <w:lang w:val="en-US" w:eastAsia="zh-CN"/>
        </w:rPr>
        <w:t xml:space="preserve"> 04</w:t>
      </w:r>
      <w:r>
        <w:rPr>
          <w:rFonts w:hint="eastAsia" w:ascii="宋体" w:hAnsi="宋体"/>
          <w:color w:val="auto"/>
          <w:sz w:val="24"/>
          <w:highlight w:val="none"/>
        </w:rPr>
        <w:t xml:space="preserve"> 月 </w:t>
      </w:r>
      <w:r>
        <w:rPr>
          <w:rFonts w:hint="eastAsia" w:ascii="宋体" w:hAnsi="宋体"/>
          <w:color w:val="auto"/>
          <w:sz w:val="24"/>
          <w:highlight w:val="none"/>
          <w:lang w:val="en-US" w:eastAsia="zh-CN"/>
        </w:rPr>
        <w:t>14</w:t>
      </w:r>
      <w:r>
        <w:rPr>
          <w:rFonts w:hint="eastAsia" w:ascii="宋体" w:hAnsi="宋体"/>
          <w:color w:val="auto"/>
          <w:sz w:val="24"/>
          <w:highlight w:val="none"/>
        </w:rPr>
        <w:t xml:space="preserve"> 日</w:t>
      </w:r>
      <w:r>
        <w:rPr>
          <w:rFonts w:hint="eastAsia" w:ascii="宋体" w:hAnsi="宋体"/>
          <w:color w:val="auto"/>
          <w:sz w:val="24"/>
          <w:highlight w:val="none"/>
          <w:lang w:eastAsia="zh-CN"/>
        </w:rPr>
        <w:t>1</w:t>
      </w:r>
      <w:r>
        <w:rPr>
          <w:rFonts w:hint="eastAsia" w:ascii="宋体" w:hAnsi="宋体"/>
          <w:color w:val="auto"/>
          <w:sz w:val="24"/>
          <w:highlight w:val="none"/>
          <w:lang w:val="en-US" w:eastAsia="zh-CN"/>
        </w:rPr>
        <w:t>0</w:t>
      </w:r>
      <w:r>
        <w:rPr>
          <w:rFonts w:ascii="宋体" w:hAnsi="宋体"/>
          <w:color w:val="auto"/>
          <w:sz w:val="24"/>
          <w:highlight w:val="none"/>
        </w:rPr>
        <w:t>时30分</w:t>
      </w:r>
      <w:r>
        <w:rPr>
          <w:rFonts w:hint="eastAsia" w:ascii="宋体" w:hAnsi="宋体"/>
          <w:color w:val="auto"/>
          <w:sz w:val="24"/>
          <w:highlight w:val="none"/>
        </w:rPr>
        <w:t>（北京时间）。</w:t>
      </w:r>
    </w:p>
    <w:p>
      <w:pPr>
        <w:spacing w:line="360" w:lineRule="auto"/>
        <w:ind w:left="539"/>
        <w:rPr>
          <w:rFonts w:ascii="宋体" w:hAnsi="宋体"/>
          <w:color w:val="auto"/>
          <w:sz w:val="24"/>
          <w:highlight w:val="none"/>
        </w:rPr>
      </w:pPr>
      <w:r>
        <w:rPr>
          <w:rFonts w:hint="eastAsia" w:ascii="宋体" w:hAnsi="宋体"/>
          <w:color w:val="auto"/>
          <w:sz w:val="24"/>
          <w:highlight w:val="none"/>
        </w:rPr>
        <w:t>8.投标、开标地点：</w:t>
      </w:r>
      <w:r>
        <w:rPr>
          <w:rFonts w:hint="eastAsia" w:ascii="宋体" w:hAnsi="宋体"/>
          <w:color w:val="auto"/>
          <w:kern w:val="0"/>
          <w:sz w:val="24"/>
          <w:highlight w:val="none"/>
          <w:u w:val="single"/>
        </w:rPr>
        <w:t>广州市越秀区广仁路1号广仁大厦6楼会议室。</w:t>
      </w:r>
    </w:p>
    <w:p>
      <w:pPr>
        <w:spacing w:line="360" w:lineRule="auto"/>
        <w:ind w:left="718" w:leftChars="256" w:hanging="180"/>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w:t>
      </w:r>
      <w:r>
        <w:rPr>
          <w:rFonts w:hint="eastAsia" w:ascii="宋体" w:hAnsi="宋体"/>
          <w:color w:val="auto"/>
          <w:sz w:val="24"/>
          <w:highlight w:val="none"/>
        </w:rPr>
        <w:t>凡对本次招标提出询问，请按照招标文件的规定方式与广东华伦招标有限公司联系。</w:t>
      </w:r>
    </w:p>
    <w:p>
      <w:pPr>
        <w:pStyle w:val="22"/>
        <w:spacing w:line="360" w:lineRule="auto"/>
        <w:ind w:firstLine="720" w:firstLineChars="300"/>
        <w:rPr>
          <w:rFonts w:hAnsi="宋体"/>
          <w:color w:val="auto"/>
          <w:sz w:val="24"/>
          <w:szCs w:val="24"/>
          <w:highlight w:val="none"/>
        </w:rPr>
      </w:pPr>
      <w:r>
        <w:rPr>
          <w:rFonts w:hint="eastAsia" w:hAnsi="宋体"/>
          <w:color w:val="auto"/>
          <w:sz w:val="24"/>
          <w:szCs w:val="24"/>
          <w:highlight w:val="none"/>
        </w:rPr>
        <w:t>联系人：</w:t>
      </w:r>
      <w:r>
        <w:rPr>
          <w:rFonts w:hint="eastAsia" w:hAnsi="宋体"/>
          <w:color w:val="auto"/>
          <w:sz w:val="24"/>
          <w:szCs w:val="24"/>
          <w:highlight w:val="none"/>
          <w:u w:val="single"/>
        </w:rPr>
        <w:t>田工</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kern w:val="0"/>
          <w:sz w:val="24"/>
          <w:highlight w:val="none"/>
          <w:u w:val="single"/>
        </w:rPr>
        <w:t>广州市越秀区广仁路1号广仁大厦7楼</w:t>
      </w:r>
    </w:p>
    <w:p>
      <w:pPr>
        <w:spacing w:line="360" w:lineRule="auto"/>
        <w:ind w:firstLine="720" w:firstLineChars="300"/>
        <w:rPr>
          <w:rFonts w:ascii="宋体" w:hAnsi="宋体"/>
          <w:color w:val="auto"/>
          <w:sz w:val="24"/>
          <w:highlight w:val="none"/>
          <w:u w:val="single"/>
        </w:rPr>
      </w:pPr>
      <w:r>
        <w:rPr>
          <w:rFonts w:hint="eastAsia" w:ascii="宋体" w:hAnsi="宋体"/>
          <w:color w:val="auto"/>
          <w:sz w:val="24"/>
          <w:highlight w:val="none"/>
        </w:rPr>
        <w:t>邮    编：</w:t>
      </w:r>
      <w:r>
        <w:rPr>
          <w:rFonts w:hint="eastAsia" w:ascii="宋体" w:hAnsi="宋体" w:cs="宋体"/>
          <w:color w:val="auto"/>
          <w:sz w:val="24"/>
          <w:highlight w:val="none"/>
        </w:rPr>
        <w:t>510030</w:t>
      </w:r>
    </w:p>
    <w:p>
      <w:pPr>
        <w:spacing w:line="360" w:lineRule="auto"/>
        <w:ind w:firstLine="720" w:firstLineChars="300"/>
        <w:rPr>
          <w:rFonts w:ascii="宋体" w:hAnsi="宋体"/>
          <w:color w:val="auto"/>
          <w:sz w:val="24"/>
          <w:highlight w:val="none"/>
          <w:u w:val="single"/>
        </w:rPr>
      </w:pPr>
      <w:r>
        <w:rPr>
          <w:rFonts w:hint="eastAsia" w:ascii="宋体" w:hAnsi="宋体"/>
          <w:color w:val="auto"/>
          <w:sz w:val="24"/>
          <w:highlight w:val="none"/>
        </w:rPr>
        <w:t>电    话：</w:t>
      </w:r>
      <w:r>
        <w:rPr>
          <w:rFonts w:hint="eastAsia" w:ascii="宋体" w:hAnsi="宋体" w:cs="宋体"/>
          <w:color w:val="auto"/>
          <w:sz w:val="24"/>
          <w:highlight w:val="none"/>
        </w:rPr>
        <w:t>020-83172166转844</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传    真：020-83172223</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电子信箱：hualunsibu@163.com</w:t>
      </w:r>
    </w:p>
    <w:p>
      <w:pPr>
        <w:spacing w:line="360" w:lineRule="auto"/>
        <w:ind w:left="1079" w:leftChars="371" w:hanging="300" w:hangingChars="125"/>
        <w:jc w:val="left"/>
        <w:rPr>
          <w:rFonts w:ascii="宋体" w:hAnsi="宋体"/>
          <w:color w:val="auto"/>
          <w:sz w:val="24"/>
          <w:highlight w:val="none"/>
        </w:rPr>
      </w:pPr>
      <w:r>
        <w:rPr>
          <w:rFonts w:hint="eastAsia" w:ascii="宋体" w:hAnsi="宋体"/>
          <w:color w:val="auto"/>
          <w:sz w:val="24"/>
          <w:highlight w:val="none"/>
        </w:rPr>
        <w:t>联</w:t>
      </w:r>
      <w:r>
        <w:rPr>
          <w:rFonts w:ascii="宋体" w:hAnsi="宋体"/>
          <w:color w:val="auto"/>
          <w:sz w:val="24"/>
          <w:highlight w:val="none"/>
        </w:rPr>
        <w:t xml:space="preserve"> </w:t>
      </w:r>
      <w:r>
        <w:rPr>
          <w:rFonts w:hint="eastAsia" w:ascii="宋体" w:hAnsi="宋体"/>
          <w:color w:val="auto"/>
          <w:sz w:val="24"/>
          <w:highlight w:val="none"/>
        </w:rPr>
        <w:t>系</w:t>
      </w:r>
      <w:r>
        <w:rPr>
          <w:rFonts w:ascii="宋体" w:hAnsi="宋体"/>
          <w:color w:val="auto"/>
          <w:sz w:val="24"/>
          <w:highlight w:val="none"/>
        </w:rPr>
        <w:t xml:space="preserve"> </w:t>
      </w:r>
      <w:r>
        <w:rPr>
          <w:rFonts w:hint="eastAsia" w:ascii="宋体" w:hAnsi="宋体"/>
          <w:color w:val="auto"/>
          <w:sz w:val="24"/>
          <w:highlight w:val="none"/>
        </w:rPr>
        <w:t>人：</w:t>
      </w:r>
      <w:r>
        <w:rPr>
          <w:rFonts w:hint="eastAsia" w:ascii="宋体" w:hAnsi="宋体"/>
          <w:color w:val="auto"/>
          <w:sz w:val="24"/>
          <w:highlight w:val="none"/>
          <w:u w:val="single"/>
        </w:rPr>
        <w:t>陈工</w:t>
      </w:r>
    </w:p>
    <w:p>
      <w:pPr>
        <w:spacing w:line="360" w:lineRule="auto"/>
        <w:ind w:left="1079" w:leftChars="371" w:hanging="300" w:hangingChars="125"/>
        <w:jc w:val="left"/>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kern w:val="0"/>
          <w:sz w:val="24"/>
          <w:highlight w:val="none"/>
          <w:u w:val="single"/>
        </w:rPr>
        <w:t>广州市天河区东莞庄路110</w:t>
      </w:r>
      <w:r>
        <w:rPr>
          <w:rFonts w:ascii="宋体" w:hAnsi="宋体"/>
          <w:color w:val="auto"/>
          <w:kern w:val="0"/>
          <w:sz w:val="24"/>
          <w:highlight w:val="none"/>
          <w:u w:val="single"/>
        </w:rPr>
        <w:t>号</w:t>
      </w:r>
    </w:p>
    <w:p>
      <w:pPr>
        <w:spacing w:line="240" w:lineRule="atLeast"/>
        <w:ind w:firstLine="720" w:firstLineChars="300"/>
        <w:jc w:val="left"/>
        <w:rPr>
          <w:rFonts w:ascii="宋体" w:hAnsi="宋体"/>
          <w:b/>
          <w:color w:val="auto"/>
          <w:sz w:val="30"/>
          <w:szCs w:val="30"/>
          <w:highlight w:val="none"/>
        </w:rPr>
      </w:pPr>
      <w:r>
        <w:rPr>
          <w:rFonts w:hint="eastAsia" w:ascii="宋体" w:hAnsi="宋体"/>
          <w:color w:val="auto"/>
          <w:sz w:val="24"/>
          <w:highlight w:val="none"/>
        </w:rPr>
        <w:t>联系方式：</w:t>
      </w:r>
      <w:r>
        <w:rPr>
          <w:rFonts w:ascii="宋体" w:hAnsi="宋体" w:cs="宋体"/>
          <w:color w:val="auto"/>
          <w:sz w:val="24"/>
          <w:highlight w:val="none"/>
          <w:u w:val="single"/>
        </w:rPr>
        <w:t>020-87237</w:t>
      </w:r>
      <w:r>
        <w:rPr>
          <w:rFonts w:hint="eastAsia" w:ascii="宋体" w:hAnsi="宋体" w:cs="宋体"/>
          <w:color w:val="auto"/>
          <w:sz w:val="24"/>
          <w:highlight w:val="none"/>
          <w:u w:val="single"/>
        </w:rPr>
        <w:t>203</w:t>
      </w:r>
      <w:r>
        <w:rPr>
          <w:rFonts w:ascii="宋体" w:hAnsi="宋体"/>
          <w:b/>
          <w:color w:val="auto"/>
          <w:sz w:val="30"/>
          <w:szCs w:val="30"/>
          <w:highlight w:val="none"/>
        </w:rPr>
        <w:br w:type="page"/>
      </w:r>
    </w:p>
    <w:p>
      <w:pPr>
        <w:spacing w:line="240" w:lineRule="atLeast"/>
        <w:jc w:val="center"/>
        <w:rPr>
          <w:rFonts w:ascii="宋体" w:hAnsi="宋体"/>
          <w:b/>
          <w:color w:val="auto"/>
          <w:sz w:val="32"/>
          <w:highlight w:val="none"/>
        </w:rPr>
      </w:pPr>
      <w:r>
        <w:rPr>
          <w:rFonts w:hint="eastAsia" w:ascii="宋体" w:hAnsi="宋体"/>
          <w:b/>
          <w:color w:val="auto"/>
          <w:sz w:val="32"/>
          <w:highlight w:val="none"/>
        </w:rPr>
        <w:t>目  录</w:t>
      </w:r>
    </w:p>
    <w:p>
      <w:pPr>
        <w:spacing w:line="240" w:lineRule="atLeast"/>
        <w:jc w:val="center"/>
        <w:rPr>
          <w:rFonts w:ascii="宋体" w:hAnsi="宋体"/>
          <w:b/>
          <w:color w:val="auto"/>
          <w:sz w:val="32"/>
          <w:highlight w:val="none"/>
        </w:rPr>
      </w:pPr>
    </w:p>
    <w:p>
      <w:pPr>
        <w:pStyle w:val="30"/>
        <w:tabs>
          <w:tab w:val="right" w:leader="dot" w:pos="8313"/>
        </w:tabs>
        <w:rPr>
          <w:rFonts w:ascii="宋体" w:hAnsi="宋体"/>
          <w:bCs/>
          <w:color w:val="auto"/>
          <w:kern w:val="0"/>
          <w:sz w:val="28"/>
          <w:szCs w:val="40"/>
          <w:highlight w:val="none"/>
        </w:rPr>
      </w:pPr>
      <w:r>
        <w:rPr>
          <w:rFonts w:ascii="宋体" w:hAnsi="宋体"/>
          <w:b/>
          <w:bCs/>
          <w:color w:val="auto"/>
          <w:kern w:val="0"/>
          <w:sz w:val="40"/>
          <w:szCs w:val="40"/>
          <w:highlight w:val="none"/>
        </w:rPr>
        <w:fldChar w:fldCharType="begin"/>
      </w:r>
      <w:r>
        <w:rPr>
          <w:rFonts w:ascii="宋体" w:hAnsi="宋体"/>
          <w:b/>
          <w:bCs/>
          <w:color w:val="auto"/>
          <w:kern w:val="0"/>
          <w:sz w:val="40"/>
          <w:szCs w:val="40"/>
          <w:highlight w:val="none"/>
        </w:rPr>
        <w:instrText xml:space="preserve"> TOC \o "1-3" \h \z \u </w:instrText>
      </w:r>
      <w:r>
        <w:rPr>
          <w:rFonts w:ascii="宋体" w:hAnsi="宋体"/>
          <w:b/>
          <w:bCs/>
          <w:color w:val="auto"/>
          <w:kern w:val="0"/>
          <w:sz w:val="40"/>
          <w:szCs w:val="40"/>
          <w:highlight w:val="none"/>
        </w:rPr>
        <w:fldChar w:fldCharType="separate"/>
      </w:r>
      <w:r>
        <w:rPr>
          <w:color w:val="auto"/>
          <w:highlight w:val="none"/>
        </w:rPr>
        <w:fldChar w:fldCharType="begin"/>
      </w:r>
      <w:r>
        <w:rPr>
          <w:color w:val="auto"/>
          <w:highlight w:val="none"/>
        </w:rPr>
        <w:instrText xml:space="preserve"> HYPERLINK \l "_Toc17048" </w:instrText>
      </w:r>
      <w:r>
        <w:rPr>
          <w:color w:val="auto"/>
          <w:highlight w:val="none"/>
        </w:rPr>
        <w:fldChar w:fldCharType="separate"/>
      </w:r>
      <w:r>
        <w:rPr>
          <w:rFonts w:hint="eastAsia" w:asciiTheme="minorEastAsia" w:hAnsiTheme="minorEastAsia" w:eastAsiaTheme="minorEastAsia"/>
          <w:color w:val="auto"/>
          <w:sz w:val="28"/>
          <w:szCs w:val="44"/>
          <w:highlight w:val="none"/>
        </w:rPr>
        <w:t>第一章 投标人须知</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_Toc17048 </w:instrText>
      </w:r>
      <w:r>
        <w:rPr>
          <w:color w:val="auto"/>
          <w:sz w:val="28"/>
          <w:szCs w:val="36"/>
          <w:highlight w:val="none"/>
        </w:rPr>
        <w:fldChar w:fldCharType="separate"/>
      </w:r>
      <w:r>
        <w:rPr>
          <w:color w:val="auto"/>
          <w:sz w:val="28"/>
          <w:szCs w:val="36"/>
          <w:highlight w:val="none"/>
        </w:rPr>
        <w:t>4</w:t>
      </w:r>
      <w:r>
        <w:rPr>
          <w:color w:val="auto"/>
          <w:sz w:val="28"/>
          <w:szCs w:val="36"/>
          <w:highlight w:val="none"/>
        </w:rPr>
        <w:fldChar w:fldCharType="end"/>
      </w:r>
      <w:r>
        <w:rPr>
          <w:color w:val="auto"/>
          <w:sz w:val="28"/>
          <w:szCs w:val="36"/>
          <w:highlight w:val="none"/>
        </w:rPr>
        <w:fldChar w:fldCharType="end"/>
      </w:r>
    </w:p>
    <w:p>
      <w:pPr>
        <w:rPr>
          <w:color w:val="auto"/>
          <w:sz w:val="28"/>
          <w:szCs w:val="36"/>
          <w:highlight w:val="none"/>
        </w:rPr>
      </w:pPr>
    </w:p>
    <w:p>
      <w:pPr>
        <w:pStyle w:val="30"/>
        <w:tabs>
          <w:tab w:val="right" w:leader="dot" w:pos="8313"/>
        </w:tabs>
        <w:rPr>
          <w:rFonts w:ascii="宋体" w:hAnsi="宋体"/>
          <w:bCs/>
          <w:color w:val="auto"/>
          <w:kern w:val="0"/>
          <w:sz w:val="28"/>
          <w:szCs w:val="40"/>
          <w:highlight w:val="none"/>
        </w:rPr>
      </w:pPr>
      <w:r>
        <w:rPr>
          <w:color w:val="auto"/>
          <w:highlight w:val="none"/>
        </w:rPr>
        <w:fldChar w:fldCharType="begin"/>
      </w:r>
      <w:r>
        <w:rPr>
          <w:color w:val="auto"/>
          <w:highlight w:val="none"/>
        </w:rPr>
        <w:instrText xml:space="preserve"> HYPERLINK \l "_Toc27852" </w:instrText>
      </w:r>
      <w:r>
        <w:rPr>
          <w:color w:val="auto"/>
          <w:highlight w:val="none"/>
        </w:rPr>
        <w:fldChar w:fldCharType="separate"/>
      </w:r>
      <w:r>
        <w:rPr>
          <w:rFonts w:hint="eastAsia" w:hAnsi="宋体"/>
          <w:color w:val="auto"/>
          <w:sz w:val="28"/>
          <w:szCs w:val="36"/>
          <w:highlight w:val="none"/>
        </w:rPr>
        <w:t xml:space="preserve">第二章  </w:t>
      </w:r>
      <w:r>
        <w:rPr>
          <w:rFonts w:hint="eastAsia" w:hAnsi="宋体"/>
          <w:color w:val="auto"/>
          <w:sz w:val="28"/>
          <w:szCs w:val="44"/>
          <w:highlight w:val="none"/>
        </w:rPr>
        <w:t>投标人须知资料表</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_Toc27852 </w:instrText>
      </w:r>
      <w:r>
        <w:rPr>
          <w:color w:val="auto"/>
          <w:sz w:val="28"/>
          <w:szCs w:val="36"/>
          <w:highlight w:val="none"/>
        </w:rPr>
        <w:fldChar w:fldCharType="separate"/>
      </w:r>
      <w:r>
        <w:rPr>
          <w:color w:val="auto"/>
          <w:sz w:val="28"/>
          <w:szCs w:val="36"/>
          <w:highlight w:val="none"/>
        </w:rPr>
        <w:t>15</w:t>
      </w:r>
      <w:r>
        <w:rPr>
          <w:color w:val="auto"/>
          <w:sz w:val="28"/>
          <w:szCs w:val="36"/>
          <w:highlight w:val="none"/>
        </w:rPr>
        <w:fldChar w:fldCharType="end"/>
      </w:r>
      <w:r>
        <w:rPr>
          <w:color w:val="auto"/>
          <w:sz w:val="28"/>
          <w:szCs w:val="36"/>
          <w:highlight w:val="none"/>
        </w:rPr>
        <w:fldChar w:fldCharType="end"/>
      </w:r>
    </w:p>
    <w:p>
      <w:pPr>
        <w:rPr>
          <w:color w:val="auto"/>
          <w:sz w:val="28"/>
          <w:szCs w:val="36"/>
          <w:highlight w:val="none"/>
        </w:rPr>
      </w:pPr>
    </w:p>
    <w:p>
      <w:pPr>
        <w:pStyle w:val="30"/>
        <w:tabs>
          <w:tab w:val="right" w:leader="dot" w:pos="8313"/>
        </w:tabs>
        <w:rPr>
          <w:rFonts w:ascii="宋体" w:hAnsi="宋体"/>
          <w:bCs/>
          <w:color w:val="auto"/>
          <w:kern w:val="0"/>
          <w:sz w:val="28"/>
          <w:szCs w:val="40"/>
          <w:highlight w:val="none"/>
        </w:rPr>
      </w:pPr>
      <w:r>
        <w:rPr>
          <w:color w:val="auto"/>
          <w:highlight w:val="none"/>
        </w:rPr>
        <w:fldChar w:fldCharType="begin"/>
      </w:r>
      <w:r>
        <w:rPr>
          <w:color w:val="auto"/>
          <w:highlight w:val="none"/>
        </w:rPr>
        <w:instrText xml:space="preserve"> HYPERLINK \l "_Toc25738" </w:instrText>
      </w:r>
      <w:r>
        <w:rPr>
          <w:color w:val="auto"/>
          <w:highlight w:val="none"/>
        </w:rPr>
        <w:fldChar w:fldCharType="separate"/>
      </w:r>
      <w:r>
        <w:rPr>
          <w:rFonts w:hint="eastAsia" w:hAnsi="宋体"/>
          <w:color w:val="auto"/>
          <w:sz w:val="28"/>
          <w:szCs w:val="36"/>
          <w:highlight w:val="none"/>
        </w:rPr>
        <w:t>第三章  资格性审查表</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_Toc25738 </w:instrText>
      </w:r>
      <w:r>
        <w:rPr>
          <w:color w:val="auto"/>
          <w:sz w:val="28"/>
          <w:szCs w:val="36"/>
          <w:highlight w:val="none"/>
        </w:rPr>
        <w:fldChar w:fldCharType="separate"/>
      </w:r>
      <w:r>
        <w:rPr>
          <w:color w:val="auto"/>
          <w:sz w:val="28"/>
          <w:szCs w:val="36"/>
          <w:highlight w:val="none"/>
        </w:rPr>
        <w:t>17</w:t>
      </w:r>
      <w:r>
        <w:rPr>
          <w:color w:val="auto"/>
          <w:sz w:val="28"/>
          <w:szCs w:val="36"/>
          <w:highlight w:val="none"/>
        </w:rPr>
        <w:fldChar w:fldCharType="end"/>
      </w:r>
      <w:r>
        <w:rPr>
          <w:color w:val="auto"/>
          <w:sz w:val="28"/>
          <w:szCs w:val="36"/>
          <w:highlight w:val="none"/>
        </w:rPr>
        <w:fldChar w:fldCharType="end"/>
      </w:r>
    </w:p>
    <w:p>
      <w:pPr>
        <w:rPr>
          <w:color w:val="auto"/>
          <w:sz w:val="28"/>
          <w:szCs w:val="36"/>
          <w:highlight w:val="none"/>
        </w:rPr>
      </w:pPr>
    </w:p>
    <w:p>
      <w:pPr>
        <w:pStyle w:val="30"/>
        <w:tabs>
          <w:tab w:val="right" w:leader="dot" w:pos="8313"/>
        </w:tabs>
        <w:rPr>
          <w:rFonts w:ascii="宋体" w:hAnsi="宋体"/>
          <w:bCs/>
          <w:color w:val="auto"/>
          <w:kern w:val="0"/>
          <w:sz w:val="28"/>
          <w:szCs w:val="40"/>
          <w:highlight w:val="none"/>
        </w:rPr>
      </w:pPr>
      <w:r>
        <w:rPr>
          <w:color w:val="auto"/>
          <w:highlight w:val="none"/>
        </w:rPr>
        <w:fldChar w:fldCharType="begin"/>
      </w:r>
      <w:r>
        <w:rPr>
          <w:color w:val="auto"/>
          <w:highlight w:val="none"/>
        </w:rPr>
        <w:instrText xml:space="preserve"> HYPERLINK \l "_Toc23678" </w:instrText>
      </w:r>
      <w:r>
        <w:rPr>
          <w:color w:val="auto"/>
          <w:highlight w:val="none"/>
        </w:rPr>
        <w:fldChar w:fldCharType="separate"/>
      </w:r>
      <w:r>
        <w:rPr>
          <w:rFonts w:hint="eastAsia" w:hAnsi="宋体"/>
          <w:color w:val="auto"/>
          <w:sz w:val="28"/>
          <w:szCs w:val="36"/>
          <w:highlight w:val="none"/>
        </w:rPr>
        <w:t>第四章  合同条款</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_Toc23678 </w:instrText>
      </w:r>
      <w:r>
        <w:rPr>
          <w:color w:val="auto"/>
          <w:sz w:val="28"/>
          <w:szCs w:val="36"/>
          <w:highlight w:val="none"/>
        </w:rPr>
        <w:fldChar w:fldCharType="separate"/>
      </w:r>
      <w:r>
        <w:rPr>
          <w:color w:val="auto"/>
          <w:sz w:val="28"/>
          <w:szCs w:val="36"/>
          <w:highlight w:val="none"/>
        </w:rPr>
        <w:t>18</w:t>
      </w:r>
      <w:r>
        <w:rPr>
          <w:color w:val="auto"/>
          <w:sz w:val="28"/>
          <w:szCs w:val="36"/>
          <w:highlight w:val="none"/>
        </w:rPr>
        <w:fldChar w:fldCharType="end"/>
      </w:r>
      <w:r>
        <w:rPr>
          <w:color w:val="auto"/>
          <w:sz w:val="28"/>
          <w:szCs w:val="36"/>
          <w:highlight w:val="none"/>
        </w:rPr>
        <w:fldChar w:fldCharType="end"/>
      </w:r>
    </w:p>
    <w:p>
      <w:pPr>
        <w:rPr>
          <w:color w:val="auto"/>
          <w:sz w:val="28"/>
          <w:szCs w:val="36"/>
          <w:highlight w:val="none"/>
        </w:rPr>
      </w:pPr>
    </w:p>
    <w:p>
      <w:pPr>
        <w:pStyle w:val="30"/>
        <w:tabs>
          <w:tab w:val="right" w:leader="dot" w:pos="8313"/>
        </w:tabs>
        <w:rPr>
          <w:rFonts w:ascii="宋体" w:hAnsi="宋体"/>
          <w:bCs/>
          <w:color w:val="auto"/>
          <w:kern w:val="0"/>
          <w:sz w:val="28"/>
          <w:szCs w:val="40"/>
          <w:highlight w:val="none"/>
        </w:rPr>
      </w:pPr>
      <w:r>
        <w:rPr>
          <w:color w:val="auto"/>
          <w:highlight w:val="none"/>
        </w:rPr>
        <w:fldChar w:fldCharType="begin"/>
      </w:r>
      <w:r>
        <w:rPr>
          <w:color w:val="auto"/>
          <w:highlight w:val="none"/>
        </w:rPr>
        <w:instrText xml:space="preserve"> HYPERLINK \l "_Toc4549" </w:instrText>
      </w:r>
      <w:r>
        <w:rPr>
          <w:color w:val="auto"/>
          <w:highlight w:val="none"/>
        </w:rPr>
        <w:fldChar w:fldCharType="separate"/>
      </w:r>
      <w:r>
        <w:rPr>
          <w:rFonts w:hint="eastAsia" w:hAnsi="宋体"/>
          <w:color w:val="auto"/>
          <w:sz w:val="28"/>
          <w:szCs w:val="36"/>
          <w:highlight w:val="none"/>
        </w:rPr>
        <w:t>第五章 投标文件格式</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_Toc4549 </w:instrText>
      </w:r>
      <w:r>
        <w:rPr>
          <w:color w:val="auto"/>
          <w:sz w:val="28"/>
          <w:szCs w:val="36"/>
          <w:highlight w:val="none"/>
        </w:rPr>
        <w:fldChar w:fldCharType="separate"/>
      </w:r>
      <w:r>
        <w:rPr>
          <w:color w:val="auto"/>
          <w:sz w:val="28"/>
          <w:szCs w:val="36"/>
          <w:highlight w:val="none"/>
        </w:rPr>
        <w:t>30</w:t>
      </w:r>
      <w:r>
        <w:rPr>
          <w:color w:val="auto"/>
          <w:sz w:val="28"/>
          <w:szCs w:val="36"/>
          <w:highlight w:val="none"/>
        </w:rPr>
        <w:fldChar w:fldCharType="end"/>
      </w:r>
      <w:r>
        <w:rPr>
          <w:color w:val="auto"/>
          <w:sz w:val="28"/>
          <w:szCs w:val="36"/>
          <w:highlight w:val="none"/>
        </w:rPr>
        <w:fldChar w:fldCharType="end"/>
      </w:r>
    </w:p>
    <w:p>
      <w:pPr>
        <w:rPr>
          <w:color w:val="auto"/>
          <w:sz w:val="28"/>
          <w:szCs w:val="36"/>
          <w:highlight w:val="none"/>
        </w:rPr>
      </w:pPr>
    </w:p>
    <w:p>
      <w:pPr>
        <w:pStyle w:val="30"/>
        <w:tabs>
          <w:tab w:val="right" w:leader="dot" w:pos="8313"/>
        </w:tabs>
        <w:rPr>
          <w:color w:val="auto"/>
          <w:sz w:val="28"/>
          <w:szCs w:val="36"/>
          <w:highlight w:val="none"/>
        </w:rPr>
      </w:pPr>
      <w:r>
        <w:rPr>
          <w:color w:val="auto"/>
          <w:highlight w:val="none"/>
        </w:rPr>
        <w:fldChar w:fldCharType="begin"/>
      </w:r>
      <w:r>
        <w:rPr>
          <w:color w:val="auto"/>
          <w:highlight w:val="none"/>
        </w:rPr>
        <w:instrText xml:space="preserve"> HYPERLINK \l "_Toc6192" </w:instrText>
      </w:r>
      <w:r>
        <w:rPr>
          <w:color w:val="auto"/>
          <w:highlight w:val="none"/>
        </w:rPr>
        <w:fldChar w:fldCharType="separate"/>
      </w:r>
      <w:r>
        <w:rPr>
          <w:rFonts w:hint="eastAsia" w:hAnsi="宋体"/>
          <w:color w:val="auto"/>
          <w:sz w:val="28"/>
          <w:szCs w:val="36"/>
          <w:highlight w:val="none"/>
        </w:rPr>
        <w:t xml:space="preserve">第六章  </w:t>
      </w:r>
      <w:r>
        <w:rPr>
          <w:rFonts w:hAnsi="宋体"/>
          <w:color w:val="auto"/>
          <w:sz w:val="28"/>
          <w:szCs w:val="36"/>
          <w:highlight w:val="none"/>
        </w:rPr>
        <w:t>货物需求一览表及技术规格</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_Toc6192 </w:instrText>
      </w:r>
      <w:r>
        <w:rPr>
          <w:color w:val="auto"/>
          <w:sz w:val="28"/>
          <w:szCs w:val="36"/>
          <w:highlight w:val="none"/>
        </w:rPr>
        <w:fldChar w:fldCharType="separate"/>
      </w:r>
      <w:r>
        <w:rPr>
          <w:color w:val="auto"/>
          <w:sz w:val="28"/>
          <w:szCs w:val="36"/>
          <w:highlight w:val="none"/>
        </w:rPr>
        <w:t>62</w:t>
      </w:r>
      <w:r>
        <w:rPr>
          <w:color w:val="auto"/>
          <w:sz w:val="28"/>
          <w:szCs w:val="36"/>
          <w:highlight w:val="none"/>
        </w:rPr>
        <w:fldChar w:fldCharType="end"/>
      </w:r>
      <w:r>
        <w:rPr>
          <w:color w:val="auto"/>
          <w:sz w:val="28"/>
          <w:szCs w:val="36"/>
          <w:highlight w:val="none"/>
        </w:rPr>
        <w:fldChar w:fldCharType="end"/>
      </w:r>
    </w:p>
    <w:p>
      <w:pPr>
        <w:pStyle w:val="36"/>
        <w:tabs>
          <w:tab w:val="right" w:leader="dot" w:pos="8313"/>
        </w:tabs>
        <w:rPr>
          <w:color w:val="auto"/>
          <w:sz w:val="28"/>
          <w:szCs w:val="36"/>
          <w:highlight w:val="none"/>
        </w:rPr>
      </w:pPr>
    </w:p>
    <w:p>
      <w:pPr>
        <w:pStyle w:val="30"/>
        <w:tabs>
          <w:tab w:val="right" w:leader="dot" w:pos="8313"/>
        </w:tabs>
        <w:rPr>
          <w:color w:val="auto"/>
          <w:sz w:val="28"/>
          <w:szCs w:val="36"/>
          <w:highlight w:val="none"/>
        </w:rPr>
      </w:pPr>
      <w:r>
        <w:rPr>
          <w:color w:val="auto"/>
          <w:highlight w:val="none"/>
        </w:rPr>
        <w:fldChar w:fldCharType="begin"/>
      </w:r>
      <w:r>
        <w:rPr>
          <w:color w:val="auto"/>
          <w:highlight w:val="none"/>
        </w:rPr>
        <w:instrText xml:space="preserve"> HYPERLINK \l "_Toc11447" </w:instrText>
      </w:r>
      <w:r>
        <w:rPr>
          <w:color w:val="auto"/>
          <w:highlight w:val="none"/>
        </w:rPr>
        <w:fldChar w:fldCharType="separate"/>
      </w:r>
      <w:r>
        <w:rPr>
          <w:rFonts w:hint="eastAsia" w:hAnsi="宋体"/>
          <w:color w:val="auto"/>
          <w:sz w:val="28"/>
          <w:szCs w:val="36"/>
          <w:highlight w:val="none"/>
        </w:rPr>
        <w:t>第七章  评标办法</w:t>
      </w:r>
      <w:r>
        <w:rPr>
          <w:color w:val="auto"/>
          <w:sz w:val="28"/>
          <w:szCs w:val="36"/>
          <w:highlight w:val="none"/>
        </w:rPr>
        <w:tab/>
      </w:r>
      <w:r>
        <w:rPr>
          <w:color w:val="auto"/>
          <w:sz w:val="28"/>
          <w:szCs w:val="36"/>
          <w:highlight w:val="none"/>
        </w:rPr>
        <w:fldChar w:fldCharType="begin"/>
      </w:r>
      <w:r>
        <w:rPr>
          <w:color w:val="auto"/>
          <w:sz w:val="28"/>
          <w:szCs w:val="36"/>
          <w:highlight w:val="none"/>
        </w:rPr>
        <w:instrText xml:space="preserve"> PAGEREF _Toc11447 </w:instrText>
      </w:r>
      <w:r>
        <w:rPr>
          <w:color w:val="auto"/>
          <w:sz w:val="28"/>
          <w:szCs w:val="36"/>
          <w:highlight w:val="none"/>
        </w:rPr>
        <w:fldChar w:fldCharType="separate"/>
      </w:r>
      <w:r>
        <w:rPr>
          <w:color w:val="auto"/>
          <w:sz w:val="28"/>
          <w:szCs w:val="36"/>
          <w:highlight w:val="none"/>
        </w:rPr>
        <w:t>67</w:t>
      </w:r>
      <w:r>
        <w:rPr>
          <w:color w:val="auto"/>
          <w:sz w:val="28"/>
          <w:szCs w:val="36"/>
          <w:highlight w:val="none"/>
        </w:rPr>
        <w:fldChar w:fldCharType="end"/>
      </w:r>
      <w:r>
        <w:rPr>
          <w:color w:val="auto"/>
          <w:sz w:val="28"/>
          <w:szCs w:val="36"/>
          <w:highlight w:val="none"/>
        </w:rPr>
        <w:fldChar w:fldCharType="end"/>
      </w:r>
    </w:p>
    <w:p>
      <w:pPr>
        <w:pStyle w:val="36"/>
        <w:rPr>
          <w:rFonts w:ascii="宋体" w:hAnsi="宋体"/>
          <w:b/>
          <w:bCs/>
          <w:color w:val="auto"/>
          <w:sz w:val="22"/>
          <w:szCs w:val="28"/>
          <w:highlight w:val="none"/>
        </w:rPr>
      </w:pPr>
      <w:r>
        <w:rPr>
          <w:rFonts w:ascii="宋体" w:hAnsi="宋体"/>
          <w:bCs/>
          <w:color w:val="auto"/>
          <w:kern w:val="0"/>
          <w:sz w:val="28"/>
          <w:szCs w:val="40"/>
          <w:highlight w:val="none"/>
        </w:rPr>
        <w:fldChar w:fldCharType="end"/>
      </w:r>
    </w:p>
    <w:p>
      <w:pPr>
        <w:pStyle w:val="3"/>
        <w:spacing w:before="0" w:after="0" w:line="240" w:lineRule="atLeast"/>
        <w:ind w:firstLine="562" w:firstLineChars="200"/>
        <w:rPr>
          <w:rFonts w:asciiTheme="minorEastAsia" w:hAnsiTheme="minorEastAsia" w:eastAsiaTheme="minorEastAsia"/>
          <w:color w:val="auto"/>
          <w:szCs w:val="32"/>
          <w:highlight w:val="none"/>
        </w:rPr>
      </w:pPr>
      <w:r>
        <w:rPr>
          <w:rFonts w:hAnsi="宋体"/>
          <w:color w:val="auto"/>
          <w:sz w:val="28"/>
          <w:highlight w:val="none"/>
        </w:rPr>
        <w:br w:type="page"/>
      </w:r>
      <w:bookmarkStart w:id="0" w:name="_Toc507399442"/>
      <w:bookmarkStart w:id="1" w:name="_Toc17048"/>
      <w:bookmarkStart w:id="2" w:name="_Toc216582804"/>
      <w:r>
        <w:rPr>
          <w:rFonts w:hint="eastAsia" w:asciiTheme="minorEastAsia" w:hAnsiTheme="minorEastAsia" w:eastAsiaTheme="minorEastAsia"/>
          <w:color w:val="auto"/>
          <w:szCs w:val="32"/>
          <w:highlight w:val="none"/>
        </w:rPr>
        <w:t>第一章 投标人须知</w:t>
      </w:r>
      <w:bookmarkEnd w:id="0"/>
      <w:bookmarkEnd w:id="1"/>
      <w:bookmarkEnd w:id="2"/>
    </w:p>
    <w:p>
      <w:pPr>
        <w:rPr>
          <w:rFonts w:asciiTheme="minorEastAsia" w:hAnsiTheme="minorEastAsia" w:eastAsiaTheme="minorEastAsia"/>
          <w:color w:val="auto"/>
          <w:highlight w:val="none"/>
        </w:rPr>
      </w:pPr>
    </w:p>
    <w:p>
      <w:pPr>
        <w:pStyle w:val="4"/>
        <w:spacing w:before="0" w:line="240" w:lineRule="atLeast"/>
        <w:ind w:left="1080" w:leftChars="257" w:hanging="540"/>
        <w:rPr>
          <w:rFonts w:asciiTheme="minorEastAsia" w:hAnsiTheme="minorEastAsia" w:eastAsiaTheme="minorEastAsia"/>
          <w:color w:val="auto"/>
          <w:sz w:val="28"/>
          <w:highlight w:val="none"/>
        </w:rPr>
      </w:pPr>
      <w:bookmarkStart w:id="3" w:name="_Toc6190"/>
      <w:bookmarkStart w:id="4" w:name="_Toc507399443"/>
      <w:bookmarkStart w:id="5" w:name="_Toc533275310"/>
      <w:bookmarkStart w:id="6" w:name="_Toc510950595"/>
      <w:bookmarkStart w:id="7" w:name="_Toc520356143"/>
      <w:bookmarkStart w:id="8" w:name="_Toc216582805"/>
      <w:r>
        <w:rPr>
          <w:rFonts w:hint="eastAsia" w:asciiTheme="minorEastAsia" w:hAnsiTheme="minorEastAsia" w:eastAsiaTheme="minorEastAsia"/>
          <w:color w:val="auto"/>
          <w:sz w:val="28"/>
          <w:highlight w:val="none"/>
        </w:rPr>
        <w:t>一  说  明</w:t>
      </w:r>
      <w:bookmarkEnd w:id="3"/>
      <w:bookmarkEnd w:id="4"/>
      <w:bookmarkEnd w:id="5"/>
      <w:bookmarkEnd w:id="6"/>
      <w:bookmarkEnd w:id="7"/>
      <w:bookmarkEnd w:id="8"/>
    </w:p>
    <w:p>
      <w:pPr>
        <w:pStyle w:val="5"/>
        <w:rPr>
          <w:rFonts w:asciiTheme="minorEastAsia" w:hAnsiTheme="minorEastAsia" w:eastAsiaTheme="minorEastAsia"/>
          <w:color w:val="auto"/>
          <w:highlight w:val="none"/>
        </w:rPr>
      </w:pPr>
    </w:p>
    <w:p>
      <w:pPr>
        <w:pStyle w:val="6"/>
        <w:spacing w:before="0" w:after="0" w:line="240" w:lineRule="atLeast"/>
        <w:rPr>
          <w:rFonts w:asciiTheme="minorEastAsia" w:hAnsiTheme="minorEastAsia" w:eastAsiaTheme="minorEastAsia"/>
          <w:color w:val="auto"/>
          <w:highlight w:val="none"/>
          <w:u w:val="none"/>
        </w:rPr>
      </w:pPr>
      <w:bookmarkStart w:id="9" w:name="_Toc520356144"/>
      <w:bookmarkStart w:id="10" w:name="_Toc510950517"/>
      <w:bookmarkStart w:id="11" w:name="_Toc510950436"/>
      <w:bookmarkStart w:id="12" w:name="_Toc507399444"/>
      <w:bookmarkStart w:id="13" w:name="_Toc22378"/>
      <w:bookmarkStart w:id="14" w:name="_Toc510950596"/>
      <w:bookmarkStart w:id="15" w:name="_Toc533275311"/>
      <w:r>
        <w:rPr>
          <w:rFonts w:hint="eastAsia" w:asciiTheme="minorEastAsia" w:hAnsiTheme="minorEastAsia" w:eastAsiaTheme="minorEastAsia"/>
          <w:color w:val="auto"/>
          <w:highlight w:val="none"/>
          <w:u w:val="none"/>
        </w:rPr>
        <w:t>1.</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采购人、采购</w:t>
      </w:r>
      <w:r>
        <w:rPr>
          <w:rFonts w:asciiTheme="minorEastAsia" w:hAnsiTheme="minorEastAsia" w:eastAsiaTheme="minorEastAsia"/>
          <w:color w:val="auto"/>
          <w:highlight w:val="none"/>
          <w:u w:val="none"/>
        </w:rPr>
        <w:t>代理机构</w:t>
      </w:r>
      <w:r>
        <w:rPr>
          <w:rFonts w:hint="eastAsia" w:asciiTheme="minorEastAsia" w:hAnsiTheme="minorEastAsia" w:eastAsiaTheme="minorEastAsia"/>
          <w:color w:val="auto"/>
          <w:highlight w:val="none"/>
          <w:u w:val="none"/>
        </w:rPr>
        <w:t>及</w:t>
      </w:r>
      <w:bookmarkEnd w:id="9"/>
      <w:r>
        <w:rPr>
          <w:rFonts w:hint="eastAsia" w:asciiTheme="minorEastAsia" w:hAnsiTheme="minorEastAsia" w:eastAsiaTheme="minorEastAsia"/>
          <w:color w:val="auto"/>
          <w:highlight w:val="none"/>
          <w:u w:val="none"/>
        </w:rPr>
        <w:t>投标人</w:t>
      </w:r>
      <w:bookmarkEnd w:id="10"/>
      <w:bookmarkEnd w:id="11"/>
      <w:bookmarkEnd w:id="12"/>
      <w:bookmarkEnd w:id="13"/>
      <w:bookmarkEnd w:id="14"/>
      <w:bookmarkEnd w:id="15"/>
    </w:p>
    <w:p>
      <w:pPr>
        <w:numPr>
          <w:ilvl w:val="1"/>
          <w:numId w:val="2"/>
        </w:numPr>
        <w:tabs>
          <w:tab w:val="left" w:pos="0"/>
          <w:tab w:val="clear" w:pos="900"/>
        </w:tabs>
        <w:spacing w:line="240" w:lineRule="atLeast"/>
        <w:ind w:hanging="898"/>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采购人：是指</w:t>
      </w:r>
      <w:r>
        <w:rPr>
          <w:rFonts w:asciiTheme="minorEastAsia" w:hAnsiTheme="minorEastAsia" w:eastAsiaTheme="minorEastAsia"/>
          <w:color w:val="auto"/>
          <w:sz w:val="24"/>
          <w:highlight w:val="none"/>
        </w:rPr>
        <w:t>依法进行政府采购的国家机构、事业单位、团体组织</w:t>
      </w:r>
      <w:r>
        <w:rPr>
          <w:rFonts w:hint="eastAsia" w:asciiTheme="minorEastAsia" w:hAnsiTheme="minorEastAsia" w:eastAsiaTheme="minorEastAsia"/>
          <w:color w:val="auto"/>
          <w:sz w:val="24"/>
          <w:highlight w:val="none"/>
        </w:rPr>
        <w:t>。</w:t>
      </w:r>
    </w:p>
    <w:p>
      <w:pPr>
        <w:numPr>
          <w:ilvl w:val="1"/>
          <w:numId w:val="2"/>
        </w:numPr>
        <w:tabs>
          <w:tab w:val="left" w:pos="0"/>
          <w:tab w:val="clear" w:pos="900"/>
        </w:tabs>
        <w:spacing w:line="240" w:lineRule="atLeast"/>
        <w:ind w:hanging="898"/>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采购代理机构：是指在中</w:t>
      </w:r>
      <w:r>
        <w:rPr>
          <w:rFonts w:asciiTheme="minorEastAsia" w:hAnsiTheme="minorEastAsia" w:eastAsiaTheme="minorEastAsia"/>
          <w:color w:val="auto"/>
          <w:sz w:val="24"/>
          <w:highlight w:val="none"/>
        </w:rPr>
        <w:t>国</w:t>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采购网或其省级</w:t>
      </w:r>
      <w:r>
        <w:rPr>
          <w:rFonts w:hint="eastAsia" w:asciiTheme="minorEastAsia" w:hAnsiTheme="minorEastAsia" w:eastAsiaTheme="minorEastAsia"/>
          <w:color w:val="auto"/>
          <w:sz w:val="24"/>
          <w:highlight w:val="none"/>
        </w:rPr>
        <w:t>分</w:t>
      </w:r>
      <w:r>
        <w:rPr>
          <w:rFonts w:asciiTheme="minorEastAsia" w:hAnsiTheme="minorEastAsia" w:eastAsiaTheme="minorEastAsia"/>
          <w:color w:val="auto"/>
          <w:sz w:val="24"/>
          <w:highlight w:val="none"/>
        </w:rPr>
        <w:t>网站</w:t>
      </w:r>
      <w:r>
        <w:rPr>
          <w:rFonts w:hint="eastAsia" w:asciiTheme="minorEastAsia" w:hAnsiTheme="minorEastAsia" w:eastAsiaTheme="minorEastAsia"/>
          <w:color w:val="auto"/>
          <w:sz w:val="24"/>
          <w:highlight w:val="none"/>
        </w:rPr>
        <w:t>网上</w:t>
      </w:r>
      <w:r>
        <w:rPr>
          <w:rFonts w:asciiTheme="minorEastAsia" w:hAnsiTheme="minorEastAsia" w:eastAsiaTheme="minorEastAsia"/>
          <w:color w:val="auto"/>
          <w:sz w:val="24"/>
          <w:highlight w:val="none"/>
        </w:rPr>
        <w:t>登记的</w:t>
      </w:r>
      <w:r>
        <w:rPr>
          <w:rFonts w:hint="eastAsia" w:asciiTheme="minorEastAsia" w:hAnsiTheme="minorEastAsia" w:eastAsiaTheme="minorEastAsia"/>
          <w:color w:val="auto"/>
          <w:sz w:val="24"/>
          <w:highlight w:val="none"/>
        </w:rPr>
        <w:t>代理机构。本次招标的采购代理机构为广东华伦招标有限公司。</w:t>
      </w:r>
    </w:p>
    <w:p>
      <w:pPr>
        <w:numPr>
          <w:ilvl w:val="1"/>
          <w:numId w:val="2"/>
        </w:numPr>
        <w:spacing w:line="240" w:lineRule="atLeast"/>
        <w:ind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w:t>
      </w:r>
      <w:r>
        <w:rPr>
          <w:rFonts w:asciiTheme="minorEastAsia" w:hAnsiTheme="minorEastAsia" w:eastAsiaTheme="minorEastAsia"/>
          <w:color w:val="auto"/>
          <w:sz w:val="24"/>
          <w:highlight w:val="none"/>
        </w:rPr>
        <w:t>：是指向采购人提供货物、工程或者服务的法人、非法人组织或者自然人。</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如经财政主管部门批准可以采购进口产品，将在</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中写明。但投标人应保证所投产品可履行合法报通关手续进入中国关境内。</w:t>
      </w:r>
    </w:p>
    <w:p>
      <w:pPr>
        <w:spacing w:line="240" w:lineRule="atLeast"/>
        <w:ind w:left="899" w:leftChars="428"/>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中未写明允许采购进口产品，如投标人所投产品为进口产品，其投标将作为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840" w:hanging="840" w:hanging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    若投标人须知资料表中写明</w:t>
      </w:r>
      <w:r>
        <w:rPr>
          <w:rFonts w:asciiTheme="minorEastAsia" w:hAnsiTheme="minorEastAsia" w:eastAsiaTheme="minorEastAsia"/>
          <w:color w:val="auto"/>
          <w:sz w:val="24"/>
          <w:highlight w:val="none"/>
        </w:rPr>
        <w:t>专门面向中小企业采购</w:t>
      </w:r>
      <w:r>
        <w:rPr>
          <w:rFonts w:hint="eastAsia" w:asciiTheme="minorEastAsia" w:hAnsiTheme="minorEastAsia" w:eastAsiaTheme="minorEastAsia"/>
          <w:color w:val="auto"/>
          <w:sz w:val="24"/>
          <w:highlight w:val="none"/>
        </w:rPr>
        <w:t>的，如投标人所投产品为非中小企业产品，其投标将作为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     如</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中允许联合体投标，对联合体规定如下：</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   两个以上供应商可以组成一个投标联合体，以一个投标人的身份投标。</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   联合体各方均应符合《中华人民共和国政府采购法》第二十二条规定的条件。</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   采购人根据采购项目对投标人的特殊要求，联合体中至少应当有一方符合相关规定。</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1.6.5   </w:t>
      </w:r>
      <w:r>
        <w:rPr>
          <w:rFonts w:asciiTheme="minorEastAsia" w:hAnsiTheme="minorEastAsia" w:eastAsiaTheme="minorEastAsia"/>
          <w:color w:val="auto"/>
          <w:sz w:val="24"/>
          <w:highlight w:val="none"/>
        </w:rPr>
        <w:t>大中型企业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其他自然人、法人或者</w:t>
      </w:r>
      <w:r>
        <w:rPr>
          <w:rFonts w:hint="eastAsia" w:asciiTheme="minorEastAsia" w:hAnsiTheme="minorEastAsia" w:eastAsiaTheme="minorEastAsia"/>
          <w:color w:val="auto"/>
          <w:sz w:val="24"/>
          <w:highlight w:val="none"/>
        </w:rPr>
        <w:t>非法人组织</w:t>
      </w:r>
      <w:r>
        <w:rPr>
          <w:rFonts w:asciiTheme="minorEastAsia" w:hAnsiTheme="minorEastAsia" w:eastAsiaTheme="minorEastAsia"/>
          <w:color w:val="auto"/>
          <w:sz w:val="24"/>
          <w:highlight w:val="none"/>
        </w:rPr>
        <w:t>与小型、微型企业组成联合体共同参加</w:t>
      </w:r>
      <w:r>
        <w:rPr>
          <w:rFonts w:hint="eastAsia" w:asciiTheme="minorEastAsia" w:hAnsiTheme="minorEastAsia" w:eastAsiaTheme="minorEastAsia"/>
          <w:color w:val="auto"/>
          <w:sz w:val="24"/>
          <w:highlight w:val="none"/>
        </w:rPr>
        <w:t>投标，共同投标</w:t>
      </w:r>
      <w:r>
        <w:rPr>
          <w:rFonts w:asciiTheme="minorEastAsia" w:hAnsiTheme="minorEastAsia" w:eastAsiaTheme="minorEastAsia"/>
          <w:color w:val="auto"/>
          <w:sz w:val="24"/>
          <w:highlight w:val="none"/>
        </w:rPr>
        <w:t>协议中</w:t>
      </w:r>
      <w:r>
        <w:rPr>
          <w:rFonts w:hint="eastAsia" w:asciiTheme="minorEastAsia" w:hAnsiTheme="minorEastAsia" w:eastAsiaTheme="minorEastAsia"/>
          <w:color w:val="auto"/>
          <w:sz w:val="24"/>
          <w:highlight w:val="none"/>
        </w:rPr>
        <w:t>应写明</w:t>
      </w:r>
      <w:r>
        <w:rPr>
          <w:rFonts w:asciiTheme="minorEastAsia" w:hAnsiTheme="minorEastAsia" w:eastAsiaTheme="minorEastAsia"/>
          <w:color w:val="auto"/>
          <w:sz w:val="24"/>
          <w:highlight w:val="none"/>
        </w:rPr>
        <w:t>小型、微型企业的协议合同金额占到</w:t>
      </w:r>
      <w:r>
        <w:rPr>
          <w:rFonts w:hint="eastAsia" w:asciiTheme="minorEastAsia" w:hAnsiTheme="minorEastAsia" w:eastAsiaTheme="minorEastAsia"/>
          <w:color w:val="auto"/>
          <w:sz w:val="24"/>
          <w:highlight w:val="none"/>
        </w:rPr>
        <w:t>共同投标</w:t>
      </w:r>
      <w:r>
        <w:rPr>
          <w:rFonts w:asciiTheme="minorEastAsia" w:hAnsiTheme="minorEastAsia" w:eastAsiaTheme="minorEastAsia"/>
          <w:color w:val="auto"/>
          <w:sz w:val="24"/>
          <w:highlight w:val="none"/>
        </w:rPr>
        <w:t>协议</w:t>
      </w: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总金额</w:t>
      </w:r>
      <w:r>
        <w:rPr>
          <w:rFonts w:hint="eastAsia" w:asciiTheme="minorEastAsia" w:hAnsiTheme="minorEastAsia" w:eastAsiaTheme="minorEastAsia"/>
          <w:color w:val="auto"/>
          <w:sz w:val="24"/>
          <w:highlight w:val="none"/>
        </w:rPr>
        <w:t>的比例。</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1.6.6  联合</w:t>
      </w:r>
      <w:r>
        <w:rPr>
          <w:rFonts w:asciiTheme="minorEastAsia" w:hAnsiTheme="minorEastAsia" w:eastAsiaTheme="minorEastAsia"/>
          <w:color w:val="auto"/>
          <w:sz w:val="24"/>
          <w:highlight w:val="none"/>
        </w:rPr>
        <w:t>体中有</w:t>
      </w:r>
      <w:r>
        <w:rPr>
          <w:rFonts w:hint="eastAsia" w:asciiTheme="minorEastAsia" w:hAnsiTheme="minorEastAsia" w:eastAsiaTheme="minorEastAsia"/>
          <w:color w:val="auto"/>
          <w:sz w:val="24"/>
          <w:highlight w:val="none"/>
        </w:rPr>
        <w:t>同</w:t>
      </w:r>
      <w:r>
        <w:rPr>
          <w:rFonts w:asciiTheme="minorEastAsia" w:hAnsiTheme="minorEastAsia" w:eastAsiaTheme="minorEastAsia"/>
          <w:color w:val="auto"/>
          <w:sz w:val="24"/>
          <w:highlight w:val="none"/>
        </w:rPr>
        <w:t>类资质的供应商按照联合体分</w:t>
      </w:r>
      <w:r>
        <w:rPr>
          <w:rFonts w:hint="eastAsia" w:asciiTheme="minorEastAsia" w:hAnsiTheme="minorEastAsia" w:eastAsiaTheme="minorEastAsia"/>
          <w:color w:val="auto"/>
          <w:sz w:val="24"/>
          <w:highlight w:val="none"/>
        </w:rPr>
        <w:t>工</w:t>
      </w:r>
      <w:r>
        <w:rPr>
          <w:rFonts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rPr>
        <w:t>相</w:t>
      </w:r>
      <w:r>
        <w:rPr>
          <w:rFonts w:asciiTheme="minorEastAsia" w:hAnsiTheme="minorEastAsia" w:eastAsiaTheme="minorEastAsia"/>
          <w:color w:val="auto"/>
          <w:sz w:val="24"/>
          <w:highlight w:val="none"/>
        </w:rPr>
        <w:t>同工作的，按照资质等级</w:t>
      </w:r>
      <w:r>
        <w:rPr>
          <w:rFonts w:hint="eastAsia" w:asciiTheme="minorEastAsia" w:hAnsiTheme="minorEastAsia" w:eastAsiaTheme="minorEastAsia"/>
          <w:color w:val="auto"/>
          <w:sz w:val="24"/>
          <w:highlight w:val="none"/>
        </w:rPr>
        <w:t>较低</w:t>
      </w:r>
      <w:r>
        <w:rPr>
          <w:rFonts w:asciiTheme="minorEastAsia" w:hAnsiTheme="minorEastAsia" w:eastAsiaTheme="minorEastAsia"/>
          <w:color w:val="auto"/>
          <w:sz w:val="24"/>
          <w:highlight w:val="none"/>
        </w:rPr>
        <w:t>的供应商确定资质等级。</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 xml:space="preserve">.7  </w:t>
      </w:r>
      <w:r>
        <w:rPr>
          <w:rFonts w:hint="eastAsia" w:asciiTheme="minorEastAsia" w:hAnsiTheme="minorEastAsia" w:eastAsiaTheme="minorEastAsia"/>
          <w:color w:val="auto"/>
          <w:sz w:val="24"/>
          <w:highlight w:val="none"/>
        </w:rPr>
        <w:t>以</w:t>
      </w:r>
      <w:r>
        <w:rPr>
          <w:rFonts w:asciiTheme="minorEastAsia" w:hAnsiTheme="minorEastAsia" w:eastAsiaTheme="minorEastAsia"/>
          <w:color w:val="auto"/>
          <w:sz w:val="24"/>
          <w:highlight w:val="none"/>
        </w:rPr>
        <w:t>联合体形式参加政府采购活动的，联合体各方不得再</w:t>
      </w:r>
      <w:r>
        <w:rPr>
          <w:rFonts w:hint="eastAsia" w:asciiTheme="minorEastAsia" w:hAnsiTheme="minorEastAsia" w:eastAsiaTheme="minorEastAsia"/>
          <w:color w:val="auto"/>
          <w:sz w:val="24"/>
          <w:highlight w:val="none"/>
        </w:rPr>
        <w:t>单独</w:t>
      </w:r>
      <w:r>
        <w:rPr>
          <w:rFonts w:asciiTheme="minorEastAsia" w:hAnsiTheme="minorEastAsia" w:eastAsiaTheme="minorEastAsia"/>
          <w:color w:val="auto"/>
          <w:sz w:val="24"/>
          <w:highlight w:val="none"/>
        </w:rPr>
        <w:t>参加或者与其他供应商另外组成联合体参加</w:t>
      </w:r>
      <w:r>
        <w:rPr>
          <w:rFonts w:hint="eastAsia" w:asciiTheme="minorEastAsia" w:hAnsiTheme="minorEastAsia" w:eastAsiaTheme="minorEastAsia"/>
          <w:color w:val="auto"/>
          <w:sz w:val="24"/>
          <w:highlight w:val="none"/>
        </w:rPr>
        <w:t>本项目投标，否则</w:t>
      </w:r>
      <w:r>
        <w:rPr>
          <w:rFonts w:asciiTheme="minorEastAsia" w:hAnsiTheme="minorEastAsia" w:eastAsiaTheme="minorEastAsia"/>
          <w:color w:val="auto"/>
          <w:sz w:val="24"/>
          <w:highlight w:val="none"/>
        </w:rPr>
        <w:t>相关投标</w:t>
      </w:r>
      <w:r>
        <w:rPr>
          <w:rFonts w:hint="eastAsia" w:asciiTheme="minorEastAsia" w:hAnsiTheme="minorEastAsia" w:eastAsiaTheme="minorEastAsia"/>
          <w:color w:val="auto"/>
          <w:sz w:val="24"/>
          <w:highlight w:val="none"/>
        </w:rPr>
        <w:t>将</w:t>
      </w:r>
      <w:r>
        <w:rPr>
          <w:rFonts w:asciiTheme="minorEastAsia" w:hAnsiTheme="minorEastAsia" w:eastAsiaTheme="minorEastAsia"/>
          <w:color w:val="auto"/>
          <w:sz w:val="24"/>
          <w:highlight w:val="none"/>
        </w:rPr>
        <w:t>作为</w:t>
      </w:r>
      <w:r>
        <w:rPr>
          <w:rFonts w:asciiTheme="minorEastAsia" w:hAnsiTheme="minorEastAsia" w:eastAsiaTheme="minorEastAsia"/>
          <w:b/>
          <w:color w:val="auto"/>
          <w:sz w:val="24"/>
          <w:highlight w:val="none"/>
        </w:rPr>
        <w:t>无效投标</w:t>
      </w:r>
      <w:r>
        <w:rPr>
          <w:rFonts w:asciiTheme="minorEastAsia" w:hAnsiTheme="minorEastAsia" w:eastAsiaTheme="minorEastAsia"/>
          <w:color w:val="auto"/>
          <w:sz w:val="24"/>
          <w:highlight w:val="none"/>
        </w:rPr>
        <w:t>被拒绝。</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投标人在投标过程中不得向采购人提供、给予任何有价值的物品，影响其正常决策行为。一经发现，其投标</w:t>
      </w:r>
      <w:r>
        <w:rPr>
          <w:rFonts w:asciiTheme="minorEastAsia" w:hAnsiTheme="minorEastAsia" w:eastAsiaTheme="minorEastAsia"/>
          <w:color w:val="auto"/>
          <w:sz w:val="24"/>
          <w:highlight w:val="none"/>
        </w:rPr>
        <w:t>将</w:t>
      </w:r>
      <w:r>
        <w:rPr>
          <w:rFonts w:hint="eastAsia" w:asciiTheme="minorEastAsia" w:hAnsiTheme="minorEastAsia" w:eastAsiaTheme="minorEastAsia"/>
          <w:color w:val="auto"/>
          <w:sz w:val="24"/>
          <w:highlight w:val="none"/>
        </w:rPr>
        <w:t>作为</w:t>
      </w:r>
      <w:r>
        <w:rPr>
          <w:rFonts w:asciiTheme="minorEastAsia" w:hAnsiTheme="minorEastAsia" w:eastAsiaTheme="minorEastAsia"/>
          <w:b/>
          <w:color w:val="auto"/>
          <w:sz w:val="24"/>
          <w:highlight w:val="none"/>
        </w:rPr>
        <w:t>无效投标</w:t>
      </w:r>
      <w:r>
        <w:rPr>
          <w:rFonts w:asciiTheme="minorEastAsia" w:hAnsiTheme="minorEastAsia" w:eastAsiaTheme="minorEastAsia"/>
          <w:color w:val="auto"/>
          <w:sz w:val="24"/>
          <w:highlight w:val="none"/>
        </w:rPr>
        <w:t>被否决。</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采购人在任何时候发现投标人有下列情形之一时，有权依法追究投标人的责任并取消其中标资格。如果采购合同已经履行的，给采购人、其他投标人造成损失的，由责任人承担赔偿责任：</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提供虚假的资料。</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与其他投标人恶意串通。</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1.8.3</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向采购人、</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或评审专家行贿或提供其他不正当利益。</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1.8.4   中标后不按照招标文件和其投标文件与采购人订立合同。</w:t>
      </w:r>
    </w:p>
    <w:p>
      <w:pPr>
        <w:pStyle w:val="6"/>
        <w:spacing w:before="0" w:after="0" w:line="240" w:lineRule="atLeast"/>
        <w:rPr>
          <w:rFonts w:asciiTheme="minorEastAsia" w:hAnsiTheme="minorEastAsia" w:eastAsiaTheme="minorEastAsia"/>
          <w:color w:val="auto"/>
          <w:highlight w:val="none"/>
          <w:u w:val="none"/>
        </w:rPr>
      </w:pPr>
      <w:bookmarkStart w:id="16" w:name="_Toc510950518"/>
      <w:bookmarkStart w:id="17" w:name="_Toc510950437"/>
      <w:bookmarkStart w:id="18" w:name="_Toc507399445"/>
      <w:bookmarkStart w:id="19" w:name="_Toc510950597"/>
      <w:bookmarkStart w:id="20" w:name="_Toc174"/>
      <w:bookmarkStart w:id="21" w:name="_Toc533275312"/>
      <w:r>
        <w:rPr>
          <w:rFonts w:hint="eastAsia" w:asciiTheme="minorEastAsia" w:hAnsiTheme="minorEastAsia" w:eastAsiaTheme="minorEastAsia"/>
          <w:color w:val="auto"/>
          <w:highlight w:val="none"/>
          <w:u w:val="none"/>
        </w:rPr>
        <w:t xml:space="preserve">2． </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资金来源</w:t>
      </w:r>
      <w:bookmarkEnd w:id="16"/>
      <w:bookmarkEnd w:id="17"/>
      <w:bookmarkEnd w:id="18"/>
      <w:bookmarkEnd w:id="19"/>
      <w:bookmarkEnd w:id="20"/>
      <w:bookmarkEnd w:id="21"/>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本项目招标公告所述的采购人已获得足以支付本次招标后所签订的合同项下的款项（包括财政性资金和本项目采购</w:t>
      </w:r>
      <w:r>
        <w:rPr>
          <w:rFonts w:asciiTheme="minorEastAsia" w:hAnsiTheme="minorEastAsia" w:eastAsiaTheme="minorEastAsia"/>
          <w:color w:val="auto"/>
          <w:sz w:val="24"/>
          <w:highlight w:val="none"/>
        </w:rPr>
        <w:t>中无法</w:t>
      </w:r>
      <w:r>
        <w:rPr>
          <w:rFonts w:hint="eastAsia" w:asciiTheme="minorEastAsia" w:hAnsiTheme="minorEastAsia" w:eastAsiaTheme="minorEastAsia"/>
          <w:color w:val="auto"/>
          <w:sz w:val="24"/>
          <w:highlight w:val="none"/>
        </w:rPr>
        <w:t>与</w:t>
      </w:r>
      <w:r>
        <w:rPr>
          <w:rFonts w:asciiTheme="minorEastAsia" w:hAnsiTheme="minorEastAsia" w:eastAsiaTheme="minorEastAsia"/>
          <w:color w:val="auto"/>
          <w:sz w:val="24"/>
          <w:highlight w:val="none"/>
        </w:rPr>
        <w:t>财政性资金分割的非财政性资金</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项目预算金额和分项或分包最高限价</w:t>
      </w:r>
      <w:r>
        <w:rPr>
          <w:rFonts w:hint="eastAsia" w:asciiTheme="minorEastAsia" w:hAnsiTheme="minorEastAsia" w:eastAsiaTheme="minorEastAsia"/>
          <w:color w:val="auto"/>
          <w:sz w:val="24"/>
          <w:highlight w:val="none"/>
          <w:u w:val="single"/>
        </w:rPr>
        <w:t>见投标人须知资料表</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投标人报价超过招标文件规定的预算金额或者分项、分包最高限价的，其投标</w:t>
      </w:r>
      <w:r>
        <w:rPr>
          <w:rFonts w:asciiTheme="minorEastAsia" w:hAnsiTheme="minorEastAsia" w:eastAsiaTheme="minorEastAsia"/>
          <w:color w:val="auto"/>
          <w:sz w:val="24"/>
          <w:highlight w:val="none"/>
        </w:rPr>
        <w:t>将</w:t>
      </w:r>
      <w:r>
        <w:rPr>
          <w:rFonts w:hint="eastAsia" w:asciiTheme="minorEastAsia" w:hAnsiTheme="minorEastAsia" w:eastAsiaTheme="minorEastAsia"/>
          <w:color w:val="auto"/>
          <w:sz w:val="24"/>
          <w:highlight w:val="none"/>
        </w:rPr>
        <w:t>作为</w:t>
      </w:r>
      <w:r>
        <w:rPr>
          <w:rFonts w:asciiTheme="minorEastAsia" w:hAnsiTheme="minorEastAsia" w:eastAsiaTheme="minorEastAsia"/>
          <w:b/>
          <w:color w:val="auto"/>
          <w:sz w:val="24"/>
          <w:highlight w:val="none"/>
        </w:rPr>
        <w:t>无效投标</w:t>
      </w:r>
      <w:r>
        <w:rPr>
          <w:rFonts w:asciiTheme="minorEastAsia" w:hAnsiTheme="minorEastAsia" w:eastAsiaTheme="minorEastAsia"/>
          <w:color w:val="auto"/>
          <w:sz w:val="24"/>
          <w:highlight w:val="none"/>
        </w:rPr>
        <w:t>被否决。</w:t>
      </w:r>
    </w:p>
    <w:p>
      <w:pPr>
        <w:pStyle w:val="6"/>
        <w:spacing w:before="0" w:after="0" w:line="240" w:lineRule="atLeast"/>
        <w:rPr>
          <w:rFonts w:asciiTheme="minorEastAsia" w:hAnsiTheme="minorEastAsia" w:eastAsiaTheme="minorEastAsia"/>
          <w:color w:val="auto"/>
          <w:highlight w:val="none"/>
          <w:u w:val="none"/>
        </w:rPr>
      </w:pPr>
      <w:bookmarkStart w:id="22" w:name="_Toc507399446"/>
      <w:bookmarkStart w:id="23" w:name="_Toc520356145"/>
      <w:bookmarkStart w:id="24" w:name="_Toc533275313"/>
      <w:bookmarkStart w:id="25" w:name="_Toc6952"/>
      <w:bookmarkStart w:id="26" w:name="_Toc510950519"/>
      <w:bookmarkStart w:id="27" w:name="_Toc510950598"/>
      <w:bookmarkStart w:id="28" w:name="_Toc510950438"/>
      <w:r>
        <w:rPr>
          <w:rFonts w:hint="eastAsia" w:asciiTheme="minorEastAsia" w:hAnsiTheme="minorEastAsia" w:eastAsiaTheme="minorEastAsia"/>
          <w:color w:val="auto"/>
          <w:highlight w:val="none"/>
          <w:u w:val="none"/>
        </w:rPr>
        <w:t xml:space="preserve">3． </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投标费用</w:t>
      </w:r>
      <w:bookmarkEnd w:id="22"/>
      <w:bookmarkEnd w:id="23"/>
      <w:bookmarkEnd w:id="24"/>
      <w:bookmarkEnd w:id="25"/>
      <w:bookmarkEnd w:id="26"/>
      <w:bookmarkEnd w:id="27"/>
      <w:bookmarkEnd w:id="28"/>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投标人应承担所有与准备和参加投标有关的费用，不论投标的结果如何，采购人和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均无承担的义务和责任。</w:t>
      </w:r>
    </w:p>
    <w:p>
      <w:pPr>
        <w:pStyle w:val="6"/>
        <w:spacing w:before="0" w:after="0" w:line="240" w:lineRule="atLeast"/>
        <w:rPr>
          <w:rFonts w:asciiTheme="minorEastAsia" w:hAnsiTheme="minorEastAsia" w:eastAsiaTheme="minorEastAsia"/>
          <w:color w:val="auto"/>
          <w:highlight w:val="none"/>
          <w:u w:val="none"/>
        </w:rPr>
      </w:pPr>
      <w:bookmarkStart w:id="29" w:name="_Toc533275314"/>
      <w:bookmarkStart w:id="30" w:name="_Toc510950520"/>
      <w:bookmarkStart w:id="31" w:name="_Toc510950599"/>
      <w:bookmarkStart w:id="32" w:name="_Toc26460"/>
      <w:bookmarkStart w:id="33" w:name="_Toc510950439"/>
      <w:bookmarkStart w:id="34" w:name="_Toc507399447"/>
      <w:r>
        <w:rPr>
          <w:rFonts w:hint="eastAsia" w:asciiTheme="minorEastAsia" w:hAnsiTheme="minorEastAsia" w:eastAsiaTheme="minorEastAsia"/>
          <w:color w:val="auto"/>
          <w:highlight w:val="none"/>
          <w:u w:val="none"/>
        </w:rPr>
        <w:t>4.     适用法律</w:t>
      </w:r>
      <w:bookmarkEnd w:id="29"/>
      <w:bookmarkEnd w:id="30"/>
      <w:bookmarkEnd w:id="31"/>
      <w:bookmarkEnd w:id="32"/>
      <w:bookmarkEnd w:id="33"/>
      <w:bookmarkEnd w:id="34"/>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本次招标属货物类政府采购，采购人、</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、投标人、评标委员会的相关行为均受《中华人民共和国政府采购法》、《</w:t>
      </w:r>
      <w:r>
        <w:rPr>
          <w:rFonts w:asciiTheme="minorEastAsia" w:hAnsiTheme="minorEastAsia" w:eastAsiaTheme="minorEastAsia"/>
          <w:color w:val="auto"/>
          <w:sz w:val="24"/>
          <w:highlight w:val="none"/>
        </w:rPr>
        <w:t>中华人民共和国政府采购法实施条例》</w:t>
      </w:r>
      <w:r>
        <w:rPr>
          <w:rFonts w:hint="eastAsia" w:asciiTheme="minorEastAsia" w:hAnsiTheme="minorEastAsia" w:eastAsiaTheme="minorEastAsia"/>
          <w:color w:val="auto"/>
          <w:sz w:val="24"/>
          <w:highlight w:val="none"/>
        </w:rPr>
        <w:t>、本项目采购人本级</w:t>
      </w:r>
      <w:r>
        <w:rPr>
          <w:rFonts w:asciiTheme="minorEastAsia" w:hAnsiTheme="minorEastAsia" w:eastAsiaTheme="minorEastAsia"/>
          <w:color w:val="auto"/>
          <w:sz w:val="24"/>
          <w:highlight w:val="none"/>
        </w:rPr>
        <w:t>和上级财政部门</w:t>
      </w:r>
      <w:r>
        <w:rPr>
          <w:rFonts w:hint="eastAsia" w:asciiTheme="minorEastAsia" w:hAnsiTheme="minorEastAsia" w:eastAsiaTheme="minorEastAsia"/>
          <w:color w:val="auto"/>
          <w:sz w:val="24"/>
          <w:highlight w:val="none"/>
        </w:rPr>
        <w:t>政府采购有关规定的约束，其权利受到上述法律法规的保护。</w:t>
      </w:r>
    </w:p>
    <w:p>
      <w:pPr>
        <w:spacing w:line="240" w:lineRule="atLeast"/>
        <w:rPr>
          <w:rFonts w:asciiTheme="minorEastAsia" w:hAnsiTheme="minorEastAsia" w:eastAsiaTheme="minorEastAsia"/>
          <w:color w:val="auto"/>
          <w:sz w:val="24"/>
          <w:highlight w:val="none"/>
        </w:rPr>
      </w:pPr>
    </w:p>
    <w:p>
      <w:pPr>
        <w:pStyle w:val="4"/>
        <w:spacing w:before="0" w:line="240" w:lineRule="atLeast"/>
        <w:ind w:left="1080" w:leftChars="257" w:hanging="540"/>
        <w:rPr>
          <w:rFonts w:asciiTheme="minorEastAsia" w:hAnsiTheme="minorEastAsia" w:eastAsiaTheme="minorEastAsia"/>
          <w:color w:val="auto"/>
          <w:sz w:val="28"/>
          <w:highlight w:val="none"/>
        </w:rPr>
      </w:pPr>
      <w:bookmarkStart w:id="35" w:name="_Toc520356146"/>
      <w:bookmarkStart w:id="36" w:name="_Toc533275315"/>
      <w:bookmarkStart w:id="37" w:name="_Toc21643"/>
      <w:bookmarkStart w:id="38" w:name="_Toc510950600"/>
      <w:bookmarkStart w:id="39" w:name="_Toc216582806"/>
      <w:bookmarkStart w:id="40" w:name="_Toc507399448"/>
      <w:r>
        <w:rPr>
          <w:rFonts w:hint="eastAsia" w:asciiTheme="minorEastAsia" w:hAnsiTheme="minorEastAsia" w:eastAsiaTheme="minorEastAsia"/>
          <w:color w:val="auto"/>
          <w:sz w:val="28"/>
          <w:highlight w:val="none"/>
        </w:rPr>
        <w:t>二  招标文件</w:t>
      </w:r>
      <w:bookmarkEnd w:id="35"/>
      <w:bookmarkEnd w:id="36"/>
      <w:bookmarkEnd w:id="37"/>
      <w:bookmarkEnd w:id="38"/>
      <w:bookmarkEnd w:id="39"/>
      <w:bookmarkEnd w:id="40"/>
    </w:p>
    <w:p>
      <w:pPr>
        <w:pStyle w:val="5"/>
        <w:rPr>
          <w:rFonts w:asciiTheme="minorEastAsia" w:hAnsiTheme="minorEastAsia" w:eastAsiaTheme="minorEastAsia"/>
          <w:color w:val="auto"/>
          <w:highlight w:val="none"/>
        </w:rPr>
      </w:pPr>
    </w:p>
    <w:p>
      <w:pPr>
        <w:pStyle w:val="6"/>
        <w:spacing w:before="0" w:after="0" w:line="240" w:lineRule="atLeast"/>
        <w:rPr>
          <w:rFonts w:asciiTheme="minorEastAsia" w:hAnsiTheme="minorEastAsia" w:eastAsiaTheme="minorEastAsia"/>
          <w:color w:val="auto"/>
          <w:highlight w:val="none"/>
          <w:u w:val="none"/>
        </w:rPr>
      </w:pPr>
      <w:bookmarkStart w:id="41" w:name="_Toc520356147"/>
      <w:bookmarkStart w:id="42" w:name="_Toc510950441"/>
      <w:bookmarkStart w:id="43" w:name="_Toc510950601"/>
      <w:bookmarkStart w:id="44" w:name="_Toc510950522"/>
      <w:bookmarkStart w:id="45" w:name="_Toc533275316"/>
      <w:bookmarkStart w:id="46" w:name="_Toc507399449"/>
      <w:bookmarkStart w:id="47" w:name="_Toc27018"/>
      <w:r>
        <w:rPr>
          <w:rFonts w:hint="eastAsia" w:asciiTheme="minorEastAsia" w:hAnsiTheme="minorEastAsia" w:eastAsiaTheme="minorEastAsia"/>
          <w:color w:val="auto"/>
          <w:highlight w:val="none"/>
          <w:u w:val="none"/>
        </w:rPr>
        <w:t>5.</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招标文件构成</w:t>
      </w:r>
      <w:bookmarkEnd w:id="41"/>
      <w:bookmarkEnd w:id="42"/>
      <w:bookmarkEnd w:id="43"/>
      <w:bookmarkEnd w:id="44"/>
      <w:bookmarkEnd w:id="45"/>
      <w:bookmarkEnd w:id="46"/>
      <w:bookmarkEnd w:id="47"/>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要求提供货物的内容及详细技术需求、投标须知和合同条件等在招标文件中均有说明。</w:t>
      </w:r>
    </w:p>
    <w:p>
      <w:pPr>
        <w:spacing w:line="240" w:lineRule="atLeast"/>
        <w:ind w:left="1079" w:leftChars="428" w:hanging="180" w:hangingChars="75"/>
        <w:rPr>
          <w:rFonts w:ascii="宋体" w:hAnsi="宋体"/>
          <w:color w:val="auto"/>
          <w:sz w:val="24"/>
          <w:highlight w:val="none"/>
        </w:rPr>
      </w:pPr>
      <w:r>
        <w:rPr>
          <w:rFonts w:hint="eastAsia" w:ascii="宋体" w:hAnsi="宋体"/>
          <w:color w:val="auto"/>
          <w:sz w:val="24"/>
          <w:highlight w:val="none"/>
        </w:rPr>
        <w:t>招标文件共七章，内容如下：</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第一章  投标人须知</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第二章  投标人须知资料表</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第三章  资格性审查表</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第四章  合同条款</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第五章  投标文件格式</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第六章  货物需求一览表及技术规格</w:t>
      </w:r>
    </w:p>
    <w:p>
      <w:pPr>
        <w:spacing w:line="240" w:lineRule="atLeast"/>
        <w:ind w:firstLine="960" w:firstLineChars="400"/>
        <w:rPr>
          <w:rFonts w:ascii="宋体" w:hAnsi="宋体"/>
          <w:color w:val="auto"/>
          <w:sz w:val="24"/>
          <w:highlight w:val="none"/>
        </w:rPr>
      </w:pPr>
      <w:r>
        <w:rPr>
          <w:rFonts w:hint="eastAsia" w:ascii="宋体" w:hAnsi="宋体"/>
          <w:color w:val="auto"/>
          <w:sz w:val="24"/>
          <w:highlight w:val="none"/>
        </w:rPr>
        <w:t>第七章  评标办法</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    投标人应认真阅读招标文件所有的事项、格式、条款和技术规范等。如投标人没有按照招标文件要求提交全部资料，或者投标文件没有对招标文件在各方面都做出实质性响应是投标人的风险，并可能导致其</w:t>
      </w:r>
      <w:r>
        <w:rPr>
          <w:rFonts w:hint="eastAsia" w:asciiTheme="minorEastAsia" w:hAnsiTheme="minorEastAsia" w:eastAsiaTheme="minorEastAsia"/>
          <w:b/>
          <w:color w:val="auto"/>
          <w:sz w:val="24"/>
          <w:highlight w:val="none"/>
        </w:rPr>
        <w:t>投标被拒绝</w:t>
      </w:r>
      <w:r>
        <w:rPr>
          <w:rFonts w:hint="eastAsia" w:asciiTheme="minorEastAsia" w:hAnsiTheme="minorEastAsia" w:eastAsiaTheme="minorEastAsia"/>
          <w:color w:val="auto"/>
          <w:sz w:val="24"/>
          <w:highlight w:val="none"/>
        </w:rPr>
        <w:t>。</w:t>
      </w:r>
    </w:p>
    <w:p>
      <w:pPr>
        <w:pStyle w:val="6"/>
        <w:spacing w:before="0" w:after="0" w:line="240" w:lineRule="atLeast"/>
        <w:rPr>
          <w:rFonts w:asciiTheme="minorEastAsia" w:hAnsiTheme="minorEastAsia" w:eastAsiaTheme="minorEastAsia"/>
          <w:color w:val="auto"/>
          <w:highlight w:val="none"/>
          <w:u w:val="none"/>
        </w:rPr>
      </w:pPr>
      <w:bookmarkStart w:id="48" w:name="_Toc510950442"/>
      <w:bookmarkStart w:id="49" w:name="_Toc533275317"/>
      <w:bookmarkStart w:id="50" w:name="_Toc510950523"/>
      <w:bookmarkStart w:id="51" w:name="_Toc520356148"/>
      <w:bookmarkStart w:id="52" w:name="_Toc510950602"/>
      <w:bookmarkStart w:id="53" w:name="_Toc24343"/>
      <w:bookmarkStart w:id="54" w:name="_Toc507399450"/>
      <w:r>
        <w:rPr>
          <w:rFonts w:hint="eastAsia" w:asciiTheme="minorEastAsia" w:hAnsiTheme="minorEastAsia" w:eastAsiaTheme="minorEastAsia"/>
          <w:color w:val="auto"/>
          <w:highlight w:val="none"/>
          <w:u w:val="none"/>
        </w:rPr>
        <w:t>6.</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招标文件的澄清</w:t>
      </w:r>
      <w:bookmarkEnd w:id="48"/>
      <w:bookmarkEnd w:id="49"/>
      <w:bookmarkEnd w:id="50"/>
      <w:bookmarkEnd w:id="51"/>
      <w:bookmarkEnd w:id="52"/>
      <w:bookmarkEnd w:id="53"/>
      <w:bookmarkEnd w:id="54"/>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为了</w:t>
      </w:r>
      <w:r>
        <w:rPr>
          <w:rFonts w:asciiTheme="minorEastAsia" w:hAnsiTheme="minorEastAsia" w:eastAsiaTheme="minorEastAsia"/>
          <w:color w:val="auto"/>
          <w:sz w:val="24"/>
          <w:highlight w:val="none"/>
        </w:rPr>
        <w:t>保证对招标文件的</w:t>
      </w:r>
      <w:r>
        <w:rPr>
          <w:rFonts w:hint="eastAsia" w:asciiTheme="minorEastAsia" w:hAnsiTheme="minorEastAsia" w:eastAsiaTheme="minorEastAsia"/>
          <w:color w:val="auto"/>
          <w:sz w:val="24"/>
          <w:highlight w:val="none"/>
        </w:rPr>
        <w:t>澄清</w:t>
      </w:r>
      <w:r>
        <w:rPr>
          <w:rFonts w:asciiTheme="minorEastAsia" w:hAnsiTheme="minorEastAsia" w:eastAsiaTheme="minorEastAsia"/>
          <w:color w:val="auto"/>
          <w:sz w:val="24"/>
          <w:highlight w:val="none"/>
        </w:rPr>
        <w:t>和修改满足</w:t>
      </w:r>
      <w:r>
        <w:rPr>
          <w:rFonts w:hint="eastAsia" w:asciiTheme="minorEastAsia" w:hAnsiTheme="minorEastAsia" w:eastAsiaTheme="minorEastAsia"/>
          <w:color w:val="auto"/>
          <w:sz w:val="24"/>
          <w:highlight w:val="none"/>
        </w:rPr>
        <w:t>法律</w:t>
      </w:r>
      <w:r>
        <w:rPr>
          <w:rFonts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rPr>
        <w:t>时限</w:t>
      </w:r>
      <w:r>
        <w:rPr>
          <w:rFonts w:asciiTheme="minorEastAsia" w:hAnsiTheme="minorEastAsia" w:eastAsiaTheme="minorEastAsia"/>
          <w:color w:val="auto"/>
          <w:sz w:val="24"/>
          <w:highlight w:val="none"/>
        </w:rPr>
        <w:t>要求，</w:t>
      </w:r>
      <w:r>
        <w:rPr>
          <w:rFonts w:hint="eastAsia" w:asciiTheme="minorEastAsia" w:hAnsiTheme="minorEastAsia" w:eastAsiaTheme="minorEastAsia"/>
          <w:color w:val="auto"/>
          <w:sz w:val="24"/>
          <w:highlight w:val="none"/>
        </w:rPr>
        <w:t>任何要求对招标文件进行澄清的投标人，均</w:t>
      </w:r>
      <w:r>
        <w:rPr>
          <w:rFonts w:asciiTheme="minorEastAsia" w:hAnsiTheme="minorEastAsia" w:eastAsiaTheme="minorEastAsia"/>
          <w:color w:val="auto"/>
          <w:sz w:val="24"/>
          <w:highlight w:val="none"/>
        </w:rPr>
        <w:t>应在投标截止</w:t>
      </w:r>
      <w:r>
        <w:rPr>
          <w:rFonts w:hint="eastAsia" w:asciiTheme="minorEastAsia" w:hAnsiTheme="minorEastAsia" w:eastAsiaTheme="minorEastAsia"/>
          <w:color w:val="auto"/>
          <w:sz w:val="24"/>
          <w:highlight w:val="none"/>
        </w:rPr>
        <w:t>期十五日前，以书面形式将澄清要求通知采购人或</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。采购人或</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将发布</w:t>
      </w:r>
      <w:r>
        <w:rPr>
          <w:rFonts w:asciiTheme="minorEastAsia" w:hAnsiTheme="minorEastAsia" w:eastAsiaTheme="minorEastAsia"/>
          <w:color w:val="auto"/>
          <w:sz w:val="24"/>
          <w:highlight w:val="none"/>
        </w:rPr>
        <w:t>澄清公告，澄清内容为招标文件</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组成部分</w:t>
      </w:r>
      <w:r>
        <w:rPr>
          <w:rFonts w:hint="eastAsia" w:asciiTheme="minorEastAsia" w:hAnsiTheme="minorEastAsia" w:eastAsiaTheme="minorEastAsia"/>
          <w:color w:val="auto"/>
          <w:sz w:val="24"/>
          <w:highlight w:val="none"/>
        </w:rPr>
        <w:t>。</w:t>
      </w:r>
    </w:p>
    <w:p>
      <w:pPr>
        <w:pStyle w:val="6"/>
        <w:tabs>
          <w:tab w:val="left" w:pos="900"/>
        </w:tabs>
        <w:spacing w:before="0" w:after="0" w:line="240" w:lineRule="atLeast"/>
        <w:rPr>
          <w:rFonts w:asciiTheme="minorEastAsia" w:hAnsiTheme="minorEastAsia" w:eastAsiaTheme="minorEastAsia"/>
          <w:color w:val="auto"/>
          <w:highlight w:val="none"/>
          <w:u w:val="none"/>
        </w:rPr>
      </w:pPr>
      <w:bookmarkStart w:id="55" w:name="_Toc507399451"/>
      <w:bookmarkStart w:id="56" w:name="_Toc510950603"/>
      <w:bookmarkStart w:id="57" w:name="_Toc510950524"/>
      <w:bookmarkStart w:id="58" w:name="_Toc510950443"/>
      <w:bookmarkStart w:id="59" w:name="_Ref467378678"/>
      <w:bookmarkStart w:id="60" w:name="_Toc520356149"/>
      <w:bookmarkStart w:id="61" w:name="_Toc533275318"/>
      <w:bookmarkStart w:id="62" w:name="_Toc16964"/>
      <w:r>
        <w:rPr>
          <w:rFonts w:hint="eastAsia" w:asciiTheme="minorEastAsia" w:hAnsiTheme="minorEastAsia" w:eastAsiaTheme="minorEastAsia"/>
          <w:color w:val="auto"/>
          <w:highlight w:val="none"/>
          <w:u w:val="none"/>
        </w:rPr>
        <w:t>7.</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招标文件的修改</w:t>
      </w:r>
      <w:bookmarkEnd w:id="55"/>
      <w:bookmarkEnd w:id="56"/>
      <w:bookmarkEnd w:id="57"/>
      <w:bookmarkEnd w:id="58"/>
      <w:bookmarkEnd w:id="59"/>
      <w:bookmarkEnd w:id="60"/>
      <w:bookmarkEnd w:id="61"/>
      <w:bookmarkEnd w:id="62"/>
    </w:p>
    <w:p>
      <w:pPr>
        <w:spacing w:line="240" w:lineRule="atLeast"/>
        <w:ind w:left="893" w:hanging="892" w:hangingChars="42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tab/>
      </w:r>
      <w:r>
        <w:rPr>
          <w:rFonts w:hint="eastAsia" w:asciiTheme="minorEastAsia" w:hAnsiTheme="minorEastAsia" w:eastAsiaTheme="minorEastAsia"/>
          <w:color w:val="auto"/>
          <w:sz w:val="24"/>
          <w:highlight w:val="none"/>
        </w:rPr>
        <w:t>采购人可主动地或在解答投标人提出的澄清问题时对招标文件进行修改。</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将发布修改</w:t>
      </w:r>
      <w:r>
        <w:rPr>
          <w:rFonts w:asciiTheme="minorEastAsia" w:hAnsiTheme="minorEastAsia" w:eastAsiaTheme="minorEastAsia"/>
          <w:color w:val="auto"/>
          <w:sz w:val="24"/>
          <w:highlight w:val="none"/>
        </w:rPr>
        <w:t>公告，</w:t>
      </w:r>
      <w:r>
        <w:rPr>
          <w:rFonts w:hint="eastAsia" w:asciiTheme="minorEastAsia" w:hAnsiTheme="minorEastAsia" w:eastAsiaTheme="minorEastAsia"/>
          <w:color w:val="auto"/>
          <w:sz w:val="24"/>
          <w:highlight w:val="none"/>
        </w:rPr>
        <w:t>修改</w:t>
      </w:r>
      <w:r>
        <w:rPr>
          <w:rFonts w:asciiTheme="minorEastAsia" w:hAnsiTheme="minorEastAsia" w:eastAsiaTheme="minorEastAsia"/>
          <w:color w:val="auto"/>
          <w:sz w:val="24"/>
          <w:highlight w:val="none"/>
        </w:rPr>
        <w:t>内容为招标文件</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组成部分</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澄清</w:t>
      </w:r>
      <w:r>
        <w:rPr>
          <w:rFonts w:asciiTheme="minorEastAsia" w:hAnsiTheme="minorEastAsia" w:eastAsiaTheme="minorEastAsia"/>
          <w:color w:val="auto"/>
          <w:sz w:val="24"/>
          <w:highlight w:val="none"/>
        </w:rPr>
        <w:t>或者修改的内容可能影响投标文件编制的，采购代理机构</w:t>
      </w:r>
      <w:r>
        <w:rPr>
          <w:rFonts w:hint="eastAsia" w:asciiTheme="minorEastAsia" w:hAnsiTheme="minorEastAsia" w:eastAsiaTheme="minorEastAsia"/>
          <w:color w:val="auto"/>
          <w:sz w:val="24"/>
          <w:highlight w:val="none"/>
        </w:rPr>
        <w:t>将</w:t>
      </w:r>
      <w:r>
        <w:rPr>
          <w:rFonts w:asciiTheme="minorEastAsia" w:hAnsiTheme="minorEastAsia" w:eastAsiaTheme="minorEastAsia"/>
          <w:color w:val="auto"/>
          <w:sz w:val="24"/>
          <w:highlight w:val="none"/>
        </w:rPr>
        <w:t>以</w:t>
      </w:r>
      <w:r>
        <w:rPr>
          <w:rFonts w:hint="eastAsia" w:asciiTheme="minorEastAsia" w:hAnsiTheme="minorEastAsia" w:eastAsiaTheme="minorEastAsia"/>
          <w:color w:val="auto"/>
          <w:sz w:val="24"/>
          <w:highlight w:val="none"/>
        </w:rPr>
        <w:t>书面形式通知所有购买招标文件的潜在投标人，并对其具有约束力。投标人在收到上述通知后，应及时向</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回函确认。</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为使投标人准备投标时有足够的时间对招标文件的澄清</w:t>
      </w:r>
      <w:r>
        <w:rPr>
          <w:rFonts w:asciiTheme="minorEastAsia" w:hAnsiTheme="minorEastAsia" w:eastAsiaTheme="minorEastAsia"/>
          <w:color w:val="auto"/>
          <w:sz w:val="24"/>
          <w:highlight w:val="none"/>
        </w:rPr>
        <w:t>或者</w:t>
      </w:r>
      <w:r>
        <w:rPr>
          <w:rFonts w:hint="eastAsia" w:asciiTheme="minorEastAsia" w:hAnsiTheme="minorEastAsia" w:eastAsiaTheme="minorEastAsia"/>
          <w:color w:val="auto"/>
          <w:sz w:val="24"/>
          <w:highlight w:val="none"/>
        </w:rPr>
        <w:t>修改部分进行研究，采购人有权决定是否延长投标截止期。</w:t>
      </w:r>
    </w:p>
    <w:p>
      <w:pPr>
        <w:spacing w:line="240" w:lineRule="atLeast"/>
        <w:ind w:left="900" w:hanging="900" w:hangingChars="375"/>
        <w:rPr>
          <w:rFonts w:asciiTheme="minorEastAsia" w:hAnsiTheme="minorEastAsia" w:eastAsiaTheme="minorEastAsia"/>
          <w:color w:val="auto"/>
          <w:sz w:val="24"/>
          <w:highlight w:val="none"/>
        </w:rPr>
      </w:pPr>
    </w:p>
    <w:p>
      <w:pPr>
        <w:pStyle w:val="4"/>
        <w:tabs>
          <w:tab w:val="left" w:pos="900"/>
        </w:tabs>
        <w:spacing w:before="0" w:line="240" w:lineRule="atLeast"/>
        <w:ind w:left="1080" w:leftChars="257" w:hanging="540"/>
        <w:rPr>
          <w:rFonts w:asciiTheme="minorEastAsia" w:hAnsiTheme="minorEastAsia" w:eastAsiaTheme="minorEastAsia"/>
          <w:color w:val="auto"/>
          <w:sz w:val="28"/>
          <w:highlight w:val="none"/>
        </w:rPr>
      </w:pPr>
      <w:bookmarkStart w:id="63" w:name="_Toc516367020"/>
      <w:bookmarkStart w:id="64" w:name="_Toc26867"/>
      <w:bookmarkStart w:id="65" w:name="_Toc510950604"/>
      <w:bookmarkStart w:id="66" w:name="_Toc520356150"/>
      <w:bookmarkStart w:id="67" w:name="_Toc533275319"/>
      <w:bookmarkStart w:id="68" w:name="_Toc216582807"/>
      <w:bookmarkStart w:id="69" w:name="_Toc507399452"/>
      <w:r>
        <w:rPr>
          <w:rFonts w:hint="eastAsia" w:asciiTheme="minorEastAsia" w:hAnsiTheme="minorEastAsia" w:eastAsiaTheme="minorEastAsia"/>
          <w:color w:val="auto"/>
          <w:sz w:val="28"/>
          <w:highlight w:val="none"/>
        </w:rPr>
        <w:t>三  投标文件</w:t>
      </w:r>
      <w:bookmarkEnd w:id="63"/>
      <w:r>
        <w:rPr>
          <w:rFonts w:hint="eastAsia" w:asciiTheme="minorEastAsia" w:hAnsiTheme="minorEastAsia" w:eastAsiaTheme="minorEastAsia"/>
          <w:color w:val="auto"/>
          <w:sz w:val="28"/>
          <w:highlight w:val="none"/>
        </w:rPr>
        <w:t>的编制</w:t>
      </w:r>
      <w:bookmarkEnd w:id="64"/>
      <w:bookmarkEnd w:id="65"/>
      <w:bookmarkEnd w:id="66"/>
      <w:bookmarkEnd w:id="67"/>
      <w:bookmarkEnd w:id="68"/>
      <w:bookmarkEnd w:id="69"/>
    </w:p>
    <w:p>
      <w:pPr>
        <w:pStyle w:val="5"/>
        <w:rPr>
          <w:rFonts w:asciiTheme="minorEastAsia" w:hAnsiTheme="minorEastAsia" w:eastAsiaTheme="minorEastAsia"/>
          <w:color w:val="auto"/>
          <w:highlight w:val="none"/>
        </w:rPr>
      </w:pPr>
    </w:p>
    <w:p>
      <w:pPr>
        <w:pStyle w:val="6"/>
        <w:tabs>
          <w:tab w:val="left" w:pos="900"/>
        </w:tabs>
        <w:spacing w:before="0" w:after="0" w:line="240" w:lineRule="atLeast"/>
        <w:rPr>
          <w:rFonts w:asciiTheme="minorEastAsia" w:hAnsiTheme="minorEastAsia" w:eastAsiaTheme="minorEastAsia"/>
          <w:color w:val="auto"/>
          <w:highlight w:val="none"/>
          <w:u w:val="none"/>
        </w:rPr>
      </w:pPr>
      <w:bookmarkStart w:id="70" w:name="_Toc510950605"/>
      <w:bookmarkStart w:id="71" w:name="_Toc507399453"/>
      <w:bookmarkStart w:id="72" w:name="_Toc533275320"/>
      <w:bookmarkStart w:id="73" w:name="_Toc520356151"/>
      <w:bookmarkStart w:id="74" w:name="_Toc28979"/>
      <w:bookmarkStart w:id="75" w:name="_Toc516367021"/>
      <w:bookmarkStart w:id="76" w:name="_Toc510950526"/>
      <w:bookmarkStart w:id="77" w:name="_Toc510950445"/>
      <w:r>
        <w:rPr>
          <w:rFonts w:hint="eastAsia" w:asciiTheme="minorEastAsia" w:hAnsiTheme="minorEastAsia" w:eastAsiaTheme="minorEastAsia"/>
          <w:color w:val="auto"/>
          <w:highlight w:val="none"/>
          <w:u w:val="none"/>
        </w:rPr>
        <w:t>8</w:t>
      </w:r>
      <w:r>
        <w:rPr>
          <w:rFonts w:asciiTheme="minorEastAsia" w:hAnsiTheme="minorEastAsia" w:eastAsiaTheme="minorEastAsia"/>
          <w:color w:val="auto"/>
          <w:highlight w:val="none"/>
          <w:u w:val="none"/>
        </w:rPr>
        <w:t>.</w:t>
      </w:r>
      <w:r>
        <w:rPr>
          <w:rFonts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投标范围及投标文件中标准和计量单位的使用</w:t>
      </w:r>
      <w:bookmarkEnd w:id="70"/>
      <w:bookmarkEnd w:id="71"/>
      <w:bookmarkEnd w:id="72"/>
      <w:bookmarkEnd w:id="73"/>
      <w:bookmarkEnd w:id="74"/>
      <w:bookmarkEnd w:id="75"/>
      <w:bookmarkEnd w:id="76"/>
      <w:bookmarkEnd w:id="77"/>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投标人可对招标文件其中一包或几包货物进行投标，除非在</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中另有规定。投标人</w:t>
      </w:r>
      <w:r>
        <w:rPr>
          <w:rFonts w:asciiTheme="minorEastAsia" w:hAnsiTheme="minorEastAsia" w:eastAsiaTheme="minorEastAsia"/>
          <w:color w:val="auto"/>
          <w:sz w:val="24"/>
          <w:highlight w:val="none"/>
        </w:rPr>
        <w:t>对所投分包</w:t>
      </w:r>
      <w:r>
        <w:rPr>
          <w:rFonts w:hint="eastAsia" w:asciiTheme="minorEastAsia" w:hAnsiTheme="minorEastAsia" w:eastAsiaTheme="minorEastAsia"/>
          <w:color w:val="auto"/>
          <w:sz w:val="24"/>
          <w:highlight w:val="none"/>
        </w:rPr>
        <w:t>招标文件中“货物需求一览表”所列的所有货物进行投标，</w:t>
      </w:r>
      <w:r>
        <w:rPr>
          <w:rFonts w:asciiTheme="minorEastAsia" w:hAnsiTheme="minorEastAsia" w:eastAsiaTheme="minorEastAsia"/>
          <w:color w:val="auto"/>
          <w:sz w:val="24"/>
          <w:highlight w:val="none"/>
        </w:rPr>
        <w:t>如</w:t>
      </w:r>
      <w:r>
        <w:rPr>
          <w:rFonts w:hint="eastAsia" w:asciiTheme="minorEastAsia" w:hAnsiTheme="minorEastAsia" w:eastAsiaTheme="minorEastAsia"/>
          <w:color w:val="auto"/>
          <w:sz w:val="24"/>
          <w:highlight w:val="none"/>
        </w:rPr>
        <w:t>仅</w:t>
      </w:r>
      <w:r>
        <w:rPr>
          <w:rFonts w:asciiTheme="minorEastAsia" w:hAnsiTheme="minorEastAsia" w:eastAsiaTheme="minorEastAsia"/>
          <w:color w:val="auto"/>
          <w:sz w:val="24"/>
          <w:highlight w:val="none"/>
        </w:rPr>
        <w:t>响应</w:t>
      </w:r>
      <w:r>
        <w:rPr>
          <w:rFonts w:hint="eastAsia" w:asciiTheme="minorEastAsia" w:hAnsiTheme="minorEastAsia" w:eastAsiaTheme="minorEastAsia"/>
          <w:color w:val="auto"/>
          <w:sz w:val="24"/>
          <w:highlight w:val="none"/>
        </w:rPr>
        <w:t>一包中的部分</w:t>
      </w:r>
      <w:r>
        <w:rPr>
          <w:rFonts w:asciiTheme="minorEastAsia" w:hAnsiTheme="minorEastAsia" w:eastAsiaTheme="minorEastAsia"/>
          <w:color w:val="auto"/>
          <w:sz w:val="24"/>
          <w:highlight w:val="none"/>
        </w:rPr>
        <w:t>货物，其投标将作为</w:t>
      </w:r>
      <w:r>
        <w:rPr>
          <w:rFonts w:asciiTheme="minorEastAsia" w:hAnsiTheme="minorEastAsia" w:eastAsiaTheme="minorEastAsia"/>
          <w:b/>
          <w:color w:val="auto"/>
          <w:sz w:val="24"/>
          <w:highlight w:val="none"/>
        </w:rPr>
        <w:t>无效投标</w:t>
      </w:r>
      <w:r>
        <w:rPr>
          <w:rFonts w:asciiTheme="minorEastAsia" w:hAnsiTheme="minorEastAsia" w:eastAsiaTheme="minorEastAsia"/>
          <w:color w:val="auto"/>
          <w:sz w:val="24"/>
          <w:highlight w:val="none"/>
        </w:rPr>
        <w:t>被否决</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8.2    无论招标文件第六章货物需求一览表及技术规格中是否要求，投标人所投货物均应符合国家强制性标准。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8.3     投标文件中所使用的计量单位，除招标文件中有特殊要求外，应采用中华人民共和国法定计量单位。</w:t>
      </w:r>
    </w:p>
    <w:p>
      <w:pPr>
        <w:pStyle w:val="6"/>
        <w:tabs>
          <w:tab w:val="left" w:pos="900"/>
        </w:tabs>
        <w:spacing w:before="0" w:after="0" w:line="240" w:lineRule="atLeast"/>
        <w:rPr>
          <w:rFonts w:asciiTheme="minorEastAsia" w:hAnsiTheme="minorEastAsia" w:eastAsiaTheme="minorEastAsia"/>
          <w:color w:val="auto"/>
          <w:highlight w:val="none"/>
          <w:u w:val="none"/>
        </w:rPr>
      </w:pPr>
      <w:bookmarkStart w:id="78" w:name="_Ref467306195"/>
      <w:bookmarkStart w:id="79" w:name="_Toc516367022"/>
      <w:bookmarkStart w:id="80" w:name="_Ref467306676"/>
      <w:bookmarkStart w:id="81" w:name="_Toc533275321"/>
      <w:bookmarkStart w:id="82" w:name="_Toc510950606"/>
      <w:bookmarkStart w:id="83" w:name="_Toc507399454"/>
      <w:bookmarkStart w:id="84" w:name="_Toc510950446"/>
      <w:bookmarkStart w:id="85" w:name="_Toc510950527"/>
      <w:bookmarkStart w:id="86" w:name="_Toc23740"/>
      <w:bookmarkStart w:id="87" w:name="_Toc520356152"/>
      <w:r>
        <w:rPr>
          <w:rFonts w:hint="eastAsia" w:asciiTheme="minorEastAsia" w:hAnsiTheme="minorEastAsia" w:eastAsiaTheme="minorEastAsia"/>
          <w:color w:val="auto"/>
          <w:highlight w:val="none"/>
          <w:u w:val="none"/>
        </w:rPr>
        <w:t>9</w:t>
      </w:r>
      <w:r>
        <w:rPr>
          <w:rFonts w:asciiTheme="minorEastAsia" w:hAnsiTheme="minorEastAsia" w:eastAsiaTheme="minorEastAsia"/>
          <w:color w:val="auto"/>
          <w:highlight w:val="none"/>
          <w:u w:val="none"/>
        </w:rPr>
        <w:t>.</w:t>
      </w:r>
      <w:r>
        <w:rPr>
          <w:rFonts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投标文件</w:t>
      </w:r>
      <w:bookmarkEnd w:id="78"/>
      <w:bookmarkEnd w:id="79"/>
      <w:bookmarkEnd w:id="80"/>
      <w:r>
        <w:rPr>
          <w:rFonts w:hint="eastAsia" w:asciiTheme="minorEastAsia" w:hAnsiTheme="minorEastAsia" w:eastAsiaTheme="minorEastAsia"/>
          <w:color w:val="auto"/>
          <w:highlight w:val="none"/>
          <w:u w:val="none"/>
        </w:rPr>
        <w:t>构成</w:t>
      </w:r>
      <w:bookmarkEnd w:id="81"/>
      <w:bookmarkEnd w:id="82"/>
      <w:bookmarkEnd w:id="83"/>
      <w:bookmarkEnd w:id="84"/>
      <w:bookmarkEnd w:id="85"/>
      <w:bookmarkEnd w:id="86"/>
      <w:bookmarkEnd w:id="87"/>
    </w:p>
    <w:p>
      <w:pPr>
        <w:spacing w:line="240" w:lineRule="atLeast"/>
        <w:ind w:left="900" w:hanging="900" w:hangingChars="375"/>
        <w:rPr>
          <w:rFonts w:asciiTheme="minorEastAsia" w:hAnsiTheme="minorEastAsia" w:eastAsiaTheme="minorEastAsia"/>
          <w:color w:val="auto"/>
          <w:sz w:val="24"/>
          <w:highlight w:val="none"/>
        </w:rPr>
      </w:pPr>
      <w:bookmarkStart w:id="88" w:name="_Ref467052588"/>
      <w:r>
        <w:rPr>
          <w:rFonts w:hint="eastAsia" w:asciiTheme="minorEastAsia" w:hAnsiTheme="minorEastAsia" w:eastAsiaTheme="minorEastAsia"/>
          <w:color w:val="auto"/>
          <w:sz w:val="24"/>
          <w:highlight w:val="none"/>
        </w:rPr>
        <w:t>9</w:t>
      </w:r>
      <w:r>
        <w:rPr>
          <w:rFonts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投标人应完整地按招标文件提供的投标文件格式填写投标文件，投标文件应包括以下内容</w:t>
      </w:r>
      <w:bookmarkEnd w:id="88"/>
      <w:r>
        <w:rPr>
          <w:rFonts w:hint="eastAsia" w:asciiTheme="minorEastAsia" w:hAnsiTheme="minorEastAsia" w:eastAsiaTheme="minorEastAsia"/>
          <w:color w:val="auto"/>
          <w:sz w:val="24"/>
          <w:highlight w:val="none"/>
        </w:rPr>
        <w:t>：</w:t>
      </w:r>
    </w:p>
    <w:p>
      <w:pPr>
        <w:tabs>
          <w:tab w:val="left" w:pos="900"/>
          <w:tab w:val="left" w:pos="5580"/>
        </w:tabs>
        <w:spacing w:line="240" w:lineRule="atLeast"/>
        <w:ind w:left="735" w:leftChars="3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第一部分</w:t>
      </w:r>
      <w:r>
        <w:rPr>
          <w:rFonts w:hint="eastAsia" w:asciiTheme="minorEastAsia" w:hAnsiTheme="minorEastAsia" w:eastAsiaTheme="minorEastAsia"/>
          <w:color w:val="auto"/>
          <w:sz w:val="24"/>
          <w:highlight w:val="none"/>
        </w:rPr>
        <w:t xml:space="preserve"> 开标一览表及资格证明文件</w:t>
      </w:r>
    </w:p>
    <w:p>
      <w:pPr>
        <w:tabs>
          <w:tab w:val="left" w:pos="900"/>
          <w:tab w:val="left" w:pos="5580"/>
        </w:tabs>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1、开标一览表（见</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格式一)</w:t>
      </w:r>
      <w:r>
        <w:rPr>
          <w:rFonts w:asciiTheme="minorEastAsia" w:hAnsiTheme="minorEastAsia" w:eastAsiaTheme="minorEastAsia"/>
          <w:color w:val="auto"/>
          <w:sz w:val="24"/>
          <w:highlight w:val="none"/>
        </w:rPr>
        <w:t>;</w:t>
      </w:r>
    </w:p>
    <w:p>
      <w:pPr>
        <w:tabs>
          <w:tab w:val="left" w:pos="5580"/>
        </w:tabs>
        <w:spacing w:line="240" w:lineRule="atLeast"/>
        <w:ind w:left="1103" w:leftChars="354" w:hanging="360" w:hanging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、法人或者非法人组织的营业执照等证明文件复印件（须加盖本单位公章）或自然人的身份证明复印件;</w:t>
      </w:r>
    </w:p>
    <w:p>
      <w:pPr>
        <w:tabs>
          <w:tab w:val="left" w:pos="5580"/>
        </w:tabs>
        <w:spacing w:line="240" w:lineRule="atLeast"/>
        <w:ind w:firstLine="849" w:firstLineChars="354"/>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、法定代表人授权书（见</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格式二，自然人投标的无需提供）;</w:t>
      </w:r>
    </w:p>
    <w:p>
      <w:pPr>
        <w:tabs>
          <w:tab w:val="left" w:pos="5580"/>
        </w:tabs>
        <w:spacing w:line="240" w:lineRule="atLeast"/>
        <w:ind w:firstLine="849" w:firstLineChars="354"/>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投标人</w:t>
      </w:r>
      <w:r>
        <w:rPr>
          <w:rFonts w:hint="eastAsia" w:asciiTheme="minorEastAsia" w:hAnsiTheme="minorEastAsia" w:eastAsiaTheme="minorEastAsia"/>
          <w:color w:val="auto"/>
          <w:sz w:val="24"/>
          <w:highlight w:val="none"/>
        </w:rPr>
        <w:t>具有良好</w:t>
      </w:r>
      <w:r>
        <w:rPr>
          <w:rFonts w:asciiTheme="minorEastAsia" w:hAnsiTheme="minorEastAsia" w:eastAsiaTheme="minorEastAsia"/>
          <w:color w:val="auto"/>
          <w:sz w:val="24"/>
          <w:highlight w:val="none"/>
        </w:rPr>
        <w:t>的商业信誉和健全的财务会计制度</w:t>
      </w:r>
      <w:r>
        <w:rPr>
          <w:rFonts w:hint="eastAsia" w:asciiTheme="minorEastAsia" w:hAnsiTheme="minorEastAsia" w:eastAsiaTheme="minorEastAsia"/>
          <w:color w:val="auto"/>
          <w:sz w:val="24"/>
          <w:highlight w:val="none"/>
        </w:rPr>
        <w:t>的证明</w:t>
      </w:r>
      <w:r>
        <w:rPr>
          <w:rFonts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rPr>
        <w:t>；</w:t>
      </w:r>
    </w:p>
    <w:p>
      <w:pPr>
        <w:tabs>
          <w:tab w:val="left" w:pos="5580"/>
        </w:tabs>
        <w:spacing w:line="240" w:lineRule="atLeast"/>
        <w:ind w:left="1133" w:leftChars="405" w:hanging="283" w:hangingChars="118"/>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、投标保证金缴纳凭证复印件或投标担保函; 政府采购信用担保试点范围内的项目，如投标人采用合格的投标担保函（政府采购信用担保投标担保函格式</w:t>
      </w:r>
      <w:r>
        <w:rPr>
          <w:rFonts w:asciiTheme="minorEastAsia" w:hAnsiTheme="minorEastAsia" w:eastAsiaTheme="minorEastAsia"/>
          <w:color w:val="auto"/>
          <w:sz w:val="24"/>
          <w:highlight w:val="none"/>
        </w:rPr>
        <w:t>见投标文件</w:t>
      </w:r>
      <w:r>
        <w:rPr>
          <w:rFonts w:hint="eastAsia" w:asciiTheme="minorEastAsia" w:hAnsiTheme="minorEastAsia" w:eastAsiaTheme="minorEastAsia"/>
          <w:color w:val="auto"/>
          <w:sz w:val="24"/>
          <w:highlight w:val="none"/>
        </w:rPr>
        <w:t>格式三），其投标文件中不必提供本项第</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项文件;</w:t>
      </w:r>
    </w:p>
    <w:p>
      <w:pPr>
        <w:pStyle w:val="22"/>
        <w:spacing w:line="240" w:lineRule="atLeast"/>
        <w:ind w:left="269" w:leftChars="128" w:firstLine="600" w:firstLineChars="2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、符合</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要求依法缴纳税收和社会保障资金的记录;</w:t>
      </w:r>
    </w:p>
    <w:p>
      <w:pPr>
        <w:pStyle w:val="22"/>
        <w:spacing w:line="240" w:lineRule="atLeast"/>
        <w:ind w:left="269" w:leftChars="128" w:firstLine="600" w:firstLineChars="250"/>
        <w:rPr>
          <w:rFonts w:asciiTheme="minorEastAsia" w:hAnsiTheme="minorEastAsia" w:eastAsiaTheme="minorEastAsia"/>
          <w:color w:val="auto"/>
          <w:sz w:val="24"/>
          <w:highlight w:val="none"/>
        </w:rPr>
      </w:pPr>
      <w:r>
        <w:rPr>
          <w:rFonts w:hint="eastAsia" w:hAnsi="宋体" w:cs="Tahoma"/>
          <w:color w:val="auto"/>
          <w:sz w:val="24"/>
          <w:szCs w:val="21"/>
          <w:highlight w:val="none"/>
        </w:rPr>
        <w:t>7、履行合同所必须的设备和专业技术能力的证明材料</w:t>
      </w:r>
      <w:r>
        <w:rPr>
          <w:rFonts w:hint="eastAsia" w:asciiTheme="minorEastAsia" w:hAnsiTheme="minorEastAsia" w:eastAsiaTheme="minorEastAsia"/>
          <w:color w:val="auto"/>
          <w:sz w:val="24"/>
          <w:highlight w:val="none"/>
        </w:rPr>
        <w:t>;</w:t>
      </w:r>
    </w:p>
    <w:p>
      <w:pPr>
        <w:tabs>
          <w:tab w:val="left" w:pos="5580"/>
        </w:tabs>
        <w:spacing w:line="240" w:lineRule="atLeast"/>
        <w:ind w:left="1133" w:leftChars="405" w:hanging="283" w:hangingChars="118"/>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r>
        <w:rPr>
          <w:rFonts w:hint="eastAsia" w:cs="宋体" w:asciiTheme="minorEastAsia" w:hAnsiTheme="minorEastAsia" w:eastAsiaTheme="minorEastAsia"/>
          <w:color w:val="auto"/>
          <w:kern w:val="0"/>
          <w:sz w:val="24"/>
          <w:highlight w:val="none"/>
        </w:rPr>
        <w:t>参加政府采购活动前3年内在经营活动中没有重大违法记录的书面声明;</w:t>
      </w:r>
    </w:p>
    <w:p>
      <w:pPr>
        <w:tabs>
          <w:tab w:val="left" w:pos="5580"/>
        </w:tabs>
        <w:spacing w:line="240" w:lineRule="atLeast"/>
        <w:ind w:firstLine="849" w:firstLineChars="354"/>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要求的其他资格证明文件;</w:t>
      </w:r>
    </w:p>
    <w:p>
      <w:pPr>
        <w:tabs>
          <w:tab w:val="left" w:pos="5580"/>
        </w:tabs>
        <w:spacing w:line="240" w:lineRule="atLeast"/>
        <w:ind w:left="1103" w:leftChars="354" w:hanging="360" w:hanging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10、如</w:t>
      </w:r>
      <w:r>
        <w:rPr>
          <w:rFonts w:asciiTheme="minorEastAsia" w:hAnsiTheme="minorEastAsia" w:eastAsiaTheme="minorEastAsia"/>
          <w:color w:val="auto"/>
          <w:sz w:val="24"/>
          <w:highlight w:val="none"/>
        </w:rPr>
        <w:t>投标人所投产品为进口产品提供以下资格证明文件</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是否作为资格</w:t>
      </w:r>
      <w:r>
        <w:rPr>
          <w:rFonts w:hint="eastAsia" w:asciiTheme="minorEastAsia" w:hAnsiTheme="minorEastAsia" w:eastAsiaTheme="minorEastAsia"/>
          <w:color w:val="auto"/>
          <w:sz w:val="24"/>
          <w:highlight w:val="none"/>
        </w:rPr>
        <w:t>要求</w:t>
      </w:r>
      <w:r>
        <w:rPr>
          <w:rFonts w:asciiTheme="minorEastAsia" w:hAnsiTheme="minorEastAsia" w:eastAsiaTheme="minorEastAsia"/>
          <w:color w:val="auto"/>
          <w:sz w:val="24"/>
          <w:highlight w:val="none"/>
        </w:rPr>
        <w:t>，见</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要求；</w:t>
      </w:r>
    </w:p>
    <w:p>
      <w:pPr>
        <w:tabs>
          <w:tab w:val="left" w:pos="5580"/>
        </w:tabs>
        <w:spacing w:line="240" w:lineRule="atLeast"/>
        <w:ind w:firstLine="849" w:firstLineChars="35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1、制造厂家的授权书（</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格式四）</w:t>
      </w:r>
    </w:p>
    <w:p>
      <w:pPr>
        <w:tabs>
          <w:tab w:val="left" w:pos="900"/>
          <w:tab w:val="left" w:pos="5580"/>
        </w:tabs>
        <w:spacing w:line="240" w:lineRule="atLeast"/>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、经销商（作为代理）的资格声明（</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格式五）</w:t>
      </w:r>
    </w:p>
    <w:p>
      <w:pPr>
        <w:tabs>
          <w:tab w:val="left" w:pos="5580"/>
        </w:tabs>
        <w:spacing w:line="240" w:lineRule="atLeast"/>
        <w:ind w:firstLine="638" w:firstLineChars="266"/>
        <w:rPr>
          <w:rFonts w:ascii="宋体" w:hAnsi="宋体"/>
          <w:color w:val="auto"/>
          <w:sz w:val="24"/>
          <w:highlight w:val="none"/>
        </w:rPr>
      </w:pPr>
      <w:r>
        <w:rPr>
          <w:rFonts w:hint="eastAsia" w:ascii="宋体" w:hAnsi="宋体"/>
          <w:color w:val="auto"/>
          <w:sz w:val="24"/>
          <w:highlight w:val="none"/>
        </w:rPr>
        <w:t>11、自查表</w:t>
      </w:r>
    </w:p>
    <w:p>
      <w:pPr>
        <w:tabs>
          <w:tab w:val="left" w:pos="5580"/>
        </w:tabs>
        <w:spacing w:line="240" w:lineRule="atLeast"/>
        <w:ind w:firstLine="837" w:firstLineChars="349"/>
        <w:rPr>
          <w:rFonts w:ascii="宋体" w:hAnsi="宋体"/>
          <w:color w:val="auto"/>
          <w:sz w:val="24"/>
          <w:highlight w:val="none"/>
        </w:rPr>
      </w:pPr>
      <w:r>
        <w:rPr>
          <w:rFonts w:hint="eastAsia" w:ascii="宋体" w:hAnsi="宋体"/>
          <w:color w:val="auto"/>
          <w:sz w:val="24"/>
          <w:highlight w:val="none"/>
        </w:rPr>
        <w:t>11-1 资格性自查表</w:t>
      </w:r>
    </w:p>
    <w:p>
      <w:pPr>
        <w:tabs>
          <w:tab w:val="left" w:pos="900"/>
          <w:tab w:val="left" w:pos="5580"/>
        </w:tabs>
        <w:spacing w:line="240" w:lineRule="atLeast"/>
        <w:ind w:firstLine="840" w:firstLineChars="350"/>
        <w:rPr>
          <w:rFonts w:asciiTheme="minorEastAsia" w:hAnsiTheme="minorEastAsia" w:eastAsiaTheme="minorEastAsia"/>
          <w:color w:val="auto"/>
          <w:sz w:val="24"/>
          <w:highlight w:val="none"/>
        </w:rPr>
      </w:pPr>
      <w:r>
        <w:rPr>
          <w:rFonts w:hint="eastAsia" w:ascii="宋体" w:hAnsi="宋体"/>
          <w:color w:val="auto"/>
          <w:sz w:val="24"/>
          <w:highlight w:val="none"/>
        </w:rPr>
        <w:t>11-2 符合性自查表</w:t>
      </w:r>
    </w:p>
    <w:p>
      <w:pPr>
        <w:tabs>
          <w:tab w:val="left" w:pos="900"/>
          <w:tab w:val="left" w:pos="5580"/>
        </w:tabs>
        <w:spacing w:line="240" w:lineRule="atLeast"/>
        <w:ind w:left="899" w:leftChars="428"/>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二</w:t>
      </w:r>
      <w:r>
        <w:rPr>
          <w:rFonts w:asciiTheme="minorEastAsia" w:hAnsiTheme="minorEastAsia" w:eastAsiaTheme="minorEastAsia"/>
          <w:color w:val="auto"/>
          <w:sz w:val="24"/>
          <w:highlight w:val="none"/>
        </w:rPr>
        <w:t>部分</w:t>
      </w:r>
      <w:r>
        <w:rPr>
          <w:rFonts w:hint="eastAsia" w:asciiTheme="minorEastAsia" w:hAnsiTheme="minorEastAsia" w:eastAsiaTheme="minorEastAsia"/>
          <w:color w:val="auto"/>
          <w:sz w:val="24"/>
          <w:highlight w:val="none"/>
        </w:rPr>
        <w:t xml:space="preserve">  商务及</w:t>
      </w:r>
      <w:r>
        <w:rPr>
          <w:rFonts w:asciiTheme="minorEastAsia" w:hAnsiTheme="minorEastAsia" w:eastAsiaTheme="minorEastAsia"/>
          <w:color w:val="auto"/>
          <w:sz w:val="24"/>
          <w:highlight w:val="none"/>
        </w:rPr>
        <w:t>技术</w:t>
      </w:r>
      <w:r>
        <w:rPr>
          <w:rFonts w:hint="eastAsia" w:asciiTheme="minorEastAsia" w:hAnsiTheme="minorEastAsia" w:eastAsiaTheme="minorEastAsia"/>
          <w:color w:val="auto"/>
          <w:sz w:val="24"/>
          <w:highlight w:val="none"/>
        </w:rPr>
        <w:t xml:space="preserve">文件 </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1、投标书（</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格式六）</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、投标分项报价表（</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格式七）</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、货物说明一览表（</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格式八）</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、技术规格偏离表（</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格式九）</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、商务条款偏离表（</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格式十）</w:t>
      </w:r>
    </w:p>
    <w:p>
      <w:pPr>
        <w:tabs>
          <w:tab w:val="left" w:pos="900"/>
          <w:tab w:val="left" w:pos="5580"/>
        </w:tabs>
        <w:spacing w:line="240" w:lineRule="atLeast"/>
        <w:ind w:left="1079" w:leftChars="428" w:hanging="180" w:hangingChars="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、缴纳中标服务费承诺书（</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格式十一）</w:t>
      </w:r>
    </w:p>
    <w:p>
      <w:pPr>
        <w:tabs>
          <w:tab w:val="left" w:pos="5580"/>
        </w:tabs>
        <w:spacing w:line="240" w:lineRule="atLeast"/>
        <w:ind w:left="1080" w:hanging="18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szCs w:val="20"/>
          <w:highlight w:val="none"/>
        </w:rPr>
        <w:t>投标人企业类型声明函</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格式十二、十三、十四，符合《</w:t>
      </w:r>
      <w:r>
        <w:rPr>
          <w:rFonts w:asciiTheme="minorEastAsia" w:hAnsiTheme="minorEastAsia" w:eastAsiaTheme="minorEastAsia"/>
          <w:color w:val="auto"/>
          <w:sz w:val="24"/>
          <w:highlight w:val="none"/>
        </w:rPr>
        <w:t>政府采购促进中小企业发展暂行办法</w:t>
      </w:r>
      <w:r>
        <w:rPr>
          <w:rFonts w:hint="eastAsia" w:asciiTheme="minorEastAsia" w:hAnsiTheme="minorEastAsia" w:eastAsiaTheme="minorEastAsia"/>
          <w:color w:val="auto"/>
          <w:sz w:val="24"/>
          <w:highlight w:val="none"/>
        </w:rPr>
        <w:t>》、《关于政府采购支持监狱企业发展有关问题的通知》和《三部门联合发布关于促进残疾人就业政府采购政策的通知》价格扣减条件的投标人须提交）</w:t>
      </w:r>
    </w:p>
    <w:p>
      <w:pPr>
        <w:tabs>
          <w:tab w:val="left" w:pos="5580"/>
        </w:tabs>
        <w:spacing w:line="240" w:lineRule="atLeast"/>
        <w:ind w:left="105" w:leftChars="50"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8、投标人商务符合性</w:t>
      </w:r>
      <w:r>
        <w:rPr>
          <w:rFonts w:asciiTheme="minorEastAsia" w:hAnsiTheme="minorEastAsia" w:eastAsiaTheme="minorEastAsia"/>
          <w:color w:val="auto"/>
          <w:sz w:val="24"/>
          <w:highlight w:val="none"/>
        </w:rPr>
        <w:t>承诺函</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投标文件</w:t>
      </w:r>
      <w:r>
        <w:rPr>
          <w:rFonts w:hint="eastAsia" w:asciiTheme="minorEastAsia" w:hAnsiTheme="minorEastAsia" w:eastAsiaTheme="minorEastAsia"/>
          <w:color w:val="auto"/>
          <w:sz w:val="24"/>
          <w:highlight w:val="none"/>
        </w:rPr>
        <w:t>格式十五）</w:t>
      </w:r>
    </w:p>
    <w:p>
      <w:pPr>
        <w:tabs>
          <w:tab w:val="left" w:pos="900"/>
          <w:tab w:val="left" w:pos="5580"/>
        </w:tabs>
        <w:spacing w:line="240" w:lineRule="atLeast"/>
        <w:ind w:left="1139" w:leftChars="428" w:hanging="240" w:hanging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r>
        <w:rPr>
          <w:rFonts w:asciiTheme="minorEastAsia" w:hAnsiTheme="minorEastAsia" w:eastAsiaTheme="minorEastAsia"/>
          <w:color w:val="auto"/>
          <w:sz w:val="24"/>
          <w:highlight w:val="none"/>
        </w:rPr>
        <w:t>投标人关联单位的说明（格式</w:t>
      </w:r>
      <w:r>
        <w:rPr>
          <w:rFonts w:hint="eastAsia" w:asciiTheme="minorEastAsia" w:hAnsiTheme="minorEastAsia" w:eastAsiaTheme="minorEastAsia"/>
          <w:color w:val="auto"/>
          <w:sz w:val="24"/>
          <w:highlight w:val="none"/>
        </w:rPr>
        <w:t>自制</w:t>
      </w:r>
      <w:r>
        <w:rPr>
          <w:rFonts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br w:type="textWrapping"/>
      </w:r>
      <w:r>
        <w:rPr>
          <w:rFonts w:asciiTheme="minorEastAsia" w:hAnsiTheme="minorEastAsia" w:eastAsiaTheme="minorEastAsia"/>
          <w:color w:val="auto"/>
          <w:sz w:val="24"/>
          <w:highlight w:val="none"/>
        </w:rPr>
        <w:t>备注：投标人应当如实披露与本单位存在下列关联关系的单位名称</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br w:type="textWrapping"/>
      </w:r>
      <w:r>
        <w:rPr>
          <w:rFonts w:asciiTheme="minorEastAsia" w:hAnsiTheme="minorEastAsia" w:eastAsiaTheme="minorEastAsia"/>
          <w:color w:val="auto"/>
          <w:sz w:val="24"/>
          <w:highlight w:val="none"/>
        </w:rPr>
        <w:t>（1）与投标人单位负责人为同一人的其他</w:t>
      </w:r>
      <w:r>
        <w:rPr>
          <w:rFonts w:hint="eastAsia" w:asciiTheme="minorEastAsia" w:hAnsiTheme="minorEastAsia" w:eastAsiaTheme="minorEastAsia"/>
          <w:color w:val="auto"/>
          <w:sz w:val="24"/>
          <w:highlight w:val="none"/>
        </w:rPr>
        <w:t>单位</w:t>
      </w:r>
      <w:r>
        <w:rPr>
          <w:rFonts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br w:type="textWrapping"/>
      </w:r>
      <w:r>
        <w:rPr>
          <w:rFonts w:asciiTheme="minorEastAsia" w:hAnsiTheme="minorEastAsia" w:eastAsiaTheme="minorEastAsia"/>
          <w:color w:val="auto"/>
          <w:sz w:val="24"/>
          <w:highlight w:val="none"/>
        </w:rPr>
        <w:t xml:space="preserve"> （2）与投标人存在直接控股、管理关系的其他单位</w:t>
      </w:r>
      <w:r>
        <w:rPr>
          <w:rFonts w:hint="eastAsia" w:asciiTheme="minorEastAsia" w:hAnsiTheme="minorEastAsia" w:eastAsiaTheme="minorEastAsia"/>
          <w:color w:val="auto"/>
          <w:sz w:val="24"/>
          <w:highlight w:val="none"/>
        </w:rPr>
        <w:t>。</w:t>
      </w:r>
    </w:p>
    <w:p>
      <w:pPr>
        <w:tabs>
          <w:tab w:val="left" w:pos="5580"/>
        </w:tabs>
        <w:spacing w:line="240" w:lineRule="atLeast"/>
        <w:ind w:left="105" w:leftChars="50" w:firstLine="840" w:firstLineChars="3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、投标文件还应包括本须知第10条的所有技术文件</w:t>
      </w:r>
    </w:p>
    <w:p>
      <w:pPr>
        <w:spacing w:line="240" w:lineRule="atLeast"/>
        <w:ind w:left="900" w:hanging="900" w:hangingChars="375"/>
        <w:rPr>
          <w:rFonts w:asciiTheme="minorEastAsia" w:hAnsiTheme="minorEastAsia" w:eastAsiaTheme="minorEastAsia"/>
          <w:color w:val="auto"/>
          <w:sz w:val="24"/>
          <w:highlight w:val="none"/>
          <w:u w:val="wave"/>
        </w:rPr>
      </w:pPr>
      <w:r>
        <w:rPr>
          <w:rFonts w:hint="eastAsia" w:asciiTheme="minorEastAsia" w:hAnsiTheme="minorEastAsia" w:eastAsiaTheme="minorEastAsia"/>
          <w:color w:val="auto"/>
          <w:sz w:val="24"/>
          <w:highlight w:val="none"/>
        </w:rPr>
        <w:t>9</w:t>
      </w:r>
      <w:r>
        <w:rPr>
          <w:rFonts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u w:val="wave"/>
        </w:rPr>
        <w:t>投标人</w:t>
      </w:r>
      <w:r>
        <w:rPr>
          <w:rFonts w:asciiTheme="minorEastAsia" w:hAnsiTheme="minorEastAsia" w:eastAsiaTheme="minorEastAsia"/>
          <w:color w:val="auto"/>
          <w:sz w:val="24"/>
          <w:highlight w:val="none"/>
          <w:u w:val="wave"/>
        </w:rPr>
        <w:t>按</w:t>
      </w:r>
      <w:r>
        <w:rPr>
          <w:rFonts w:hint="eastAsia" w:asciiTheme="minorEastAsia" w:hAnsiTheme="minorEastAsia" w:eastAsiaTheme="minorEastAsia"/>
          <w:color w:val="auto"/>
          <w:sz w:val="24"/>
          <w:highlight w:val="none"/>
          <w:u w:val="wave"/>
        </w:rPr>
        <w:t>9.1条将</w:t>
      </w:r>
      <w:r>
        <w:rPr>
          <w:rFonts w:asciiTheme="minorEastAsia" w:hAnsiTheme="minorEastAsia" w:eastAsiaTheme="minorEastAsia"/>
          <w:color w:val="auto"/>
          <w:sz w:val="24"/>
          <w:highlight w:val="none"/>
          <w:u w:val="wave"/>
        </w:rPr>
        <w:t>投标文件</w:t>
      </w:r>
      <w:r>
        <w:rPr>
          <w:rFonts w:hint="eastAsia" w:asciiTheme="minorEastAsia" w:hAnsiTheme="minorEastAsia" w:eastAsiaTheme="minorEastAsia"/>
          <w:color w:val="auto"/>
          <w:sz w:val="24"/>
          <w:highlight w:val="none"/>
          <w:u w:val="wave"/>
        </w:rPr>
        <w:t>装订</w:t>
      </w:r>
      <w:r>
        <w:rPr>
          <w:rFonts w:asciiTheme="minorEastAsia" w:hAnsiTheme="minorEastAsia" w:eastAsiaTheme="minorEastAsia"/>
          <w:color w:val="auto"/>
          <w:sz w:val="24"/>
          <w:highlight w:val="none"/>
          <w:u w:val="wave"/>
        </w:rPr>
        <w:t>成</w:t>
      </w:r>
      <w:r>
        <w:rPr>
          <w:rFonts w:hint="eastAsia" w:asciiTheme="minorEastAsia" w:hAnsiTheme="minorEastAsia" w:eastAsiaTheme="minorEastAsia"/>
          <w:color w:val="auto"/>
          <w:sz w:val="24"/>
          <w:highlight w:val="none"/>
          <w:u w:val="wave"/>
        </w:rPr>
        <w:t>一</w:t>
      </w:r>
      <w:r>
        <w:rPr>
          <w:rFonts w:asciiTheme="minorEastAsia" w:hAnsiTheme="minorEastAsia" w:eastAsiaTheme="minorEastAsia"/>
          <w:color w:val="auto"/>
          <w:sz w:val="24"/>
          <w:highlight w:val="none"/>
          <w:u w:val="wave"/>
        </w:rPr>
        <w:t>册，</w:t>
      </w:r>
      <w:r>
        <w:rPr>
          <w:rFonts w:hint="eastAsia" w:asciiTheme="minorEastAsia" w:hAnsiTheme="minorEastAsia" w:eastAsiaTheme="minorEastAsia"/>
          <w:color w:val="auto"/>
          <w:sz w:val="24"/>
          <w:highlight w:val="none"/>
          <w:u w:val="wave"/>
        </w:rPr>
        <w:t>密封</w:t>
      </w:r>
      <w:r>
        <w:rPr>
          <w:rFonts w:asciiTheme="minorEastAsia" w:hAnsiTheme="minorEastAsia" w:eastAsiaTheme="minorEastAsia"/>
          <w:color w:val="auto"/>
          <w:sz w:val="24"/>
          <w:highlight w:val="none"/>
          <w:u w:val="wave"/>
        </w:rPr>
        <w:t>递交。投标人</w:t>
      </w:r>
      <w:r>
        <w:rPr>
          <w:rFonts w:hint="eastAsia" w:asciiTheme="minorEastAsia" w:hAnsiTheme="minorEastAsia" w:eastAsiaTheme="minorEastAsia"/>
          <w:color w:val="auto"/>
          <w:sz w:val="24"/>
          <w:highlight w:val="none"/>
          <w:u w:val="wave"/>
        </w:rPr>
        <w:t>应承担</w:t>
      </w:r>
      <w:r>
        <w:rPr>
          <w:rFonts w:asciiTheme="minorEastAsia" w:hAnsiTheme="minorEastAsia" w:eastAsiaTheme="minorEastAsia"/>
          <w:color w:val="auto"/>
          <w:sz w:val="24"/>
          <w:highlight w:val="none"/>
          <w:u w:val="wave"/>
        </w:rPr>
        <w:t>装订失误</w:t>
      </w:r>
      <w:r>
        <w:rPr>
          <w:rFonts w:hint="eastAsia" w:asciiTheme="minorEastAsia" w:hAnsiTheme="minorEastAsia" w:eastAsiaTheme="minorEastAsia"/>
          <w:color w:val="auto"/>
          <w:sz w:val="24"/>
          <w:highlight w:val="none"/>
          <w:u w:val="wave"/>
        </w:rPr>
        <w:t>产生任何</w:t>
      </w:r>
      <w:r>
        <w:rPr>
          <w:rFonts w:asciiTheme="minorEastAsia" w:hAnsiTheme="minorEastAsia" w:eastAsiaTheme="minorEastAsia"/>
          <w:color w:val="auto"/>
          <w:sz w:val="24"/>
          <w:highlight w:val="none"/>
          <w:u w:val="wave"/>
        </w:rPr>
        <w:t>后果</w:t>
      </w:r>
      <w:r>
        <w:rPr>
          <w:rFonts w:hint="eastAsia" w:asciiTheme="minorEastAsia" w:hAnsiTheme="minorEastAsia" w:eastAsiaTheme="minorEastAsia"/>
          <w:color w:val="auto"/>
          <w:sz w:val="24"/>
          <w:highlight w:val="none"/>
          <w:u w:val="wave"/>
        </w:rPr>
        <w:t>。</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9.3   所有投标人和投标货物的资格证明文件均应为合法、有效文件，否则将被视为该文件未被递交。</w:t>
      </w:r>
    </w:p>
    <w:p>
      <w:pPr>
        <w:spacing w:line="240" w:lineRule="atLeast"/>
        <w:ind w:left="840" w:hanging="840" w:hanging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9.4    上述文件应按照招标文件规定的格式填写、签署和盖章。</w:t>
      </w:r>
    </w:p>
    <w:p>
      <w:pPr>
        <w:pStyle w:val="6"/>
        <w:tabs>
          <w:tab w:val="left" w:pos="900"/>
        </w:tabs>
        <w:spacing w:before="0" w:after="0" w:line="240" w:lineRule="atLeast"/>
        <w:rPr>
          <w:rFonts w:asciiTheme="minorEastAsia" w:hAnsiTheme="minorEastAsia" w:eastAsiaTheme="minorEastAsia"/>
          <w:color w:val="auto"/>
          <w:highlight w:val="none"/>
          <w:u w:val="none"/>
        </w:rPr>
      </w:pPr>
      <w:bookmarkStart w:id="89" w:name="_Toc533275322"/>
      <w:bookmarkStart w:id="90" w:name="_Toc516367023"/>
      <w:bookmarkStart w:id="91" w:name="_Toc25010"/>
      <w:bookmarkStart w:id="92" w:name="_Toc510950447"/>
      <w:bookmarkStart w:id="93" w:name="_Toc520356153"/>
      <w:bookmarkStart w:id="94" w:name="_Toc510950607"/>
      <w:bookmarkStart w:id="95" w:name="_Toc510950528"/>
      <w:bookmarkStart w:id="96" w:name="_Toc507399455"/>
      <w:r>
        <w:rPr>
          <w:rFonts w:hint="eastAsia" w:asciiTheme="minorEastAsia" w:hAnsiTheme="minorEastAsia" w:eastAsiaTheme="minorEastAsia"/>
          <w:color w:val="auto"/>
          <w:highlight w:val="none"/>
          <w:u w:val="none"/>
        </w:rPr>
        <w:t>10</w:t>
      </w:r>
      <w:r>
        <w:rPr>
          <w:rFonts w:asciiTheme="minorEastAsia" w:hAnsiTheme="minorEastAsia" w:eastAsiaTheme="minorEastAsia"/>
          <w:color w:val="auto"/>
          <w:highlight w:val="none"/>
          <w:u w:val="none"/>
        </w:rPr>
        <w:t>.</w:t>
      </w:r>
      <w:r>
        <w:rPr>
          <w:rFonts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证明货物的合格性和符合招标文件规定的技术文件</w:t>
      </w:r>
      <w:bookmarkEnd w:id="89"/>
      <w:bookmarkEnd w:id="90"/>
      <w:bookmarkEnd w:id="91"/>
      <w:bookmarkEnd w:id="92"/>
      <w:bookmarkEnd w:id="93"/>
      <w:bookmarkEnd w:id="94"/>
      <w:bookmarkEnd w:id="95"/>
      <w:bookmarkEnd w:id="96"/>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投标人应提交证明文件，证明其拟供的合同项下的货物和服务的合格性符合招标文件规定。该证明文件是投标文件的一部分。</w:t>
      </w:r>
    </w:p>
    <w:p>
      <w:pPr>
        <w:spacing w:line="240" w:lineRule="atLeast"/>
        <w:ind w:left="900" w:hanging="900" w:hangingChars="375"/>
        <w:rPr>
          <w:rFonts w:asciiTheme="minorEastAsia" w:hAnsiTheme="minorEastAsia" w:eastAsiaTheme="minorEastAsia"/>
          <w:color w:val="auto"/>
          <w:sz w:val="24"/>
          <w:highlight w:val="none"/>
        </w:rPr>
      </w:pPr>
      <w:bookmarkStart w:id="97" w:name="_Ref467306244"/>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上款所述的证明文件，可以是文字资料、图纸和数据，</w:t>
      </w:r>
      <w:bookmarkEnd w:id="97"/>
      <w:r>
        <w:rPr>
          <w:rFonts w:hint="eastAsia" w:asciiTheme="minorEastAsia" w:hAnsiTheme="minorEastAsia" w:eastAsiaTheme="minorEastAsia"/>
          <w:color w:val="auto"/>
          <w:sz w:val="24"/>
          <w:highlight w:val="none"/>
        </w:rPr>
        <w:t>它包括：</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.2.1</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货物主要技术指标和性能的详细说明。</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.2.2</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货物从买方开始使用至招标文件规定的保质期内正常、连续地使用所必须的备件和专用工具清单，包括备件和专用工具的货源及现行价格。</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.2.3</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对照招标文件技术规格，逐条说明所提供货物和服务已对招标文件的技术规格做出了实质性的响应，或申明与技术规格条文的偏差和例外。</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r>
        <w:rPr>
          <w:rFonts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注意采购人在技术规格中指出的工艺、材料和设备的参照牌号或分类号仅起说明作用，并没有任何限制性。投标人在投标中可以选用替代牌号或分类号，但这些替代要实质上相当于技术规格的要求。采购人、</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承诺不以上述参考牌号或分类号作为评标时判定其</w:t>
      </w:r>
      <w:r>
        <w:rPr>
          <w:rFonts w:asciiTheme="minorEastAsia" w:hAnsiTheme="minorEastAsia" w:eastAsiaTheme="minorEastAsia"/>
          <w:color w:val="auto"/>
          <w:sz w:val="24"/>
          <w:highlight w:val="none"/>
        </w:rPr>
        <w:t>投标是否有效</w:t>
      </w:r>
      <w:r>
        <w:rPr>
          <w:rFonts w:hint="eastAsia" w:asciiTheme="minorEastAsia" w:hAnsiTheme="minorEastAsia" w:eastAsiaTheme="minorEastAsia"/>
          <w:color w:val="auto"/>
          <w:sz w:val="24"/>
          <w:highlight w:val="none"/>
        </w:rPr>
        <w:t>的标准。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10.4   本条所指证明文件不得为对招标文件相关部分的文字、图标的复制。</w:t>
      </w:r>
    </w:p>
    <w:p>
      <w:pPr>
        <w:pStyle w:val="6"/>
        <w:spacing w:before="0" w:after="0" w:line="240" w:lineRule="atLeast"/>
        <w:rPr>
          <w:rFonts w:asciiTheme="minorEastAsia" w:hAnsiTheme="minorEastAsia" w:eastAsiaTheme="minorEastAsia"/>
          <w:color w:val="auto"/>
          <w:highlight w:val="none"/>
          <w:u w:val="none"/>
        </w:rPr>
      </w:pPr>
      <w:bookmarkStart w:id="98" w:name="_Toc533275323"/>
      <w:bookmarkStart w:id="99" w:name="_Toc507399456"/>
      <w:bookmarkStart w:id="100" w:name="_Toc520356155"/>
      <w:bookmarkStart w:id="101" w:name="_Toc510950448"/>
      <w:bookmarkStart w:id="102" w:name="_Toc510950608"/>
      <w:bookmarkStart w:id="103" w:name="_Toc16077"/>
      <w:bookmarkStart w:id="104" w:name="_Toc510950529"/>
      <w:r>
        <w:rPr>
          <w:rFonts w:asciiTheme="minorEastAsia" w:hAnsiTheme="minorEastAsia" w:eastAsiaTheme="minorEastAsia"/>
          <w:color w:val="auto"/>
          <w:highlight w:val="none"/>
          <w:u w:val="none"/>
        </w:rPr>
        <w:t>1</w:t>
      </w:r>
      <w:r>
        <w:rPr>
          <w:rFonts w:hint="eastAsia" w:asciiTheme="minorEastAsia" w:hAnsiTheme="minorEastAsia" w:eastAsiaTheme="minorEastAsia"/>
          <w:color w:val="auto"/>
          <w:highlight w:val="none"/>
          <w:u w:val="none"/>
        </w:rPr>
        <w:t>1</w:t>
      </w:r>
      <w:r>
        <w:rPr>
          <w:rFonts w:asciiTheme="minorEastAsia" w:hAnsiTheme="minorEastAsia" w:eastAsiaTheme="minorEastAsia"/>
          <w:color w:val="auto"/>
          <w:highlight w:val="none"/>
          <w:u w:val="none"/>
        </w:rPr>
        <w:t>.</w:t>
      </w:r>
      <w:r>
        <w:rPr>
          <w:rFonts w:asciiTheme="minorEastAsia" w:hAnsiTheme="minorEastAsia" w:eastAsiaTheme="minorEastAsia"/>
          <w:color w:val="auto"/>
          <w:highlight w:val="none"/>
          <w:u w:val="none"/>
        </w:rPr>
        <w:tab/>
      </w:r>
      <w:r>
        <w:rPr>
          <w:rFonts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投标报价</w:t>
      </w:r>
      <w:bookmarkEnd w:id="98"/>
      <w:bookmarkEnd w:id="99"/>
      <w:bookmarkEnd w:id="100"/>
      <w:bookmarkEnd w:id="101"/>
      <w:bookmarkEnd w:id="102"/>
      <w:bookmarkEnd w:id="103"/>
      <w:bookmarkEnd w:id="104"/>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所有投标均以人民币报价。投标人的投标报价应遵守《中华人民共和国价格法》。同时，根据《中华人民共和国政府采购法》第二条的规定，为保证公平竞争，如有货物主体部分的赠与行为，将导致其</w:t>
      </w:r>
      <w:r>
        <w:rPr>
          <w:rFonts w:hint="eastAsia" w:asciiTheme="minorEastAsia" w:hAnsiTheme="minorEastAsia" w:eastAsiaTheme="minorEastAsia"/>
          <w:b/>
          <w:color w:val="auto"/>
          <w:sz w:val="24"/>
          <w:highlight w:val="none"/>
        </w:rPr>
        <w:t>投标被拒绝</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投标人应在投标分项报价表上标明投标货物及相关服务的单价（如适用）和总价，并由法定代表人或其授权代表签署。</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投标分项报价表上的价格应按下列方式填写：</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11.3.1  投标货物（包括备品备件、专用工具等）的出厂价（包括已在中国国内的进口货物完税后的仓库交货价、展室交货价或货架交货价），投标货物安装、调试、检验、技术服务和培训等费用；</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11.3.2  货物运至最终目的地的运输费和保险费用。</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为了方便评标委员会对投标文件进行比较，投标人可根据本须知11</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条的规定将投标价分成几部分，并不限制买方以上述任何条件订立合同的权利。</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投标人所报的各分项投标单价在合同履行过程中是固定不变的，不得以任何理由予以变更。任何包含价格调整要求的投标，将被认为是</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而被拒绝。</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11.6</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每种货物只能有一个投标报价。采购人不接受具有附加条件的报价。</w:t>
      </w:r>
    </w:p>
    <w:p>
      <w:pPr>
        <w:pStyle w:val="6"/>
        <w:spacing w:before="0" w:after="0" w:line="240" w:lineRule="atLeast"/>
        <w:rPr>
          <w:rFonts w:asciiTheme="minorEastAsia" w:hAnsiTheme="minorEastAsia" w:eastAsiaTheme="minorEastAsia"/>
          <w:color w:val="auto"/>
          <w:highlight w:val="none"/>
          <w:u w:val="none"/>
        </w:rPr>
      </w:pPr>
      <w:bookmarkStart w:id="105" w:name="_Toc533275324"/>
      <w:bookmarkStart w:id="106" w:name="_Toc23412"/>
      <w:bookmarkStart w:id="107" w:name="_Toc510950530"/>
      <w:bookmarkStart w:id="108" w:name="_Ref467306513"/>
      <w:bookmarkStart w:id="109" w:name="_Toc507399457"/>
      <w:bookmarkStart w:id="110" w:name="_Toc510950609"/>
      <w:bookmarkStart w:id="111" w:name="_Toc510950449"/>
      <w:bookmarkStart w:id="112" w:name="_Toc520356156"/>
      <w:r>
        <w:rPr>
          <w:rFonts w:asciiTheme="minorEastAsia" w:hAnsiTheme="minorEastAsia" w:eastAsiaTheme="minorEastAsia"/>
          <w:color w:val="auto"/>
          <w:highlight w:val="none"/>
          <w:u w:val="none"/>
        </w:rPr>
        <w:t>1</w:t>
      </w:r>
      <w:r>
        <w:rPr>
          <w:rFonts w:hint="eastAsia" w:asciiTheme="minorEastAsia" w:hAnsiTheme="minorEastAsia" w:eastAsiaTheme="minorEastAsia"/>
          <w:color w:val="auto"/>
          <w:highlight w:val="none"/>
          <w:u w:val="none"/>
        </w:rPr>
        <w:t xml:space="preserve">2.  </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投标保证金</w:t>
      </w:r>
      <w:bookmarkEnd w:id="105"/>
      <w:bookmarkEnd w:id="106"/>
      <w:bookmarkEnd w:id="107"/>
      <w:bookmarkEnd w:id="108"/>
      <w:bookmarkEnd w:id="109"/>
      <w:bookmarkEnd w:id="110"/>
      <w:bookmarkEnd w:id="111"/>
      <w:bookmarkEnd w:id="112"/>
    </w:p>
    <w:p>
      <w:pPr>
        <w:spacing w:line="240" w:lineRule="atLeast"/>
        <w:ind w:left="900" w:hanging="900" w:hangingChars="375"/>
        <w:rPr>
          <w:rFonts w:asciiTheme="minorEastAsia" w:hAnsiTheme="minorEastAsia" w:eastAsiaTheme="minorEastAsia"/>
          <w:color w:val="auto"/>
          <w:sz w:val="24"/>
          <w:highlight w:val="none"/>
        </w:rPr>
      </w:pPr>
      <w:bookmarkStart w:id="113" w:name="_Ref467306302"/>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投标人应提交</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中规定的投标保证金</w:t>
      </w:r>
      <w:bookmarkEnd w:id="113"/>
      <w:r>
        <w:rPr>
          <w:rFonts w:hint="eastAsia" w:asciiTheme="minorEastAsia" w:hAnsiTheme="minorEastAsia" w:eastAsiaTheme="minorEastAsia"/>
          <w:color w:val="auto"/>
          <w:sz w:val="24"/>
          <w:highlight w:val="none"/>
        </w:rPr>
        <w:t>，并作为其投标的一部分。</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投标保证金是为了保护采购人和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免遭因投标人的行为蒙受损失而要求的。</w:t>
      </w:r>
    </w:p>
    <w:p>
      <w:pPr>
        <w:spacing w:line="240" w:lineRule="atLeast"/>
        <w:ind w:left="1079" w:leftChars="428" w:hanging="180" w:hangingChars="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下列任何情况发生，投标保证金不予退还：</w:t>
      </w:r>
    </w:p>
    <w:p>
      <w:pPr>
        <w:pStyle w:val="22"/>
        <w:tabs>
          <w:tab w:val="left" w:pos="2240"/>
        </w:tabs>
        <w:spacing w:line="240" w:lineRule="atLeast"/>
        <w:ind w:left="1079" w:leftChars="371"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（1）在投标有效期内，投标人撤回投标的；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（2）中标人不按本须知第30条的规定与采购人签订合同的；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（3）中标人不按本须知第31条的规定提交履约保证金的；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（4）中标人不按本须知第32条的规定缴纳中标服务费；</w:t>
      </w:r>
    </w:p>
    <w:p>
      <w:pPr>
        <w:pStyle w:val="22"/>
        <w:tabs>
          <w:tab w:val="left" w:pos="2240"/>
        </w:tabs>
        <w:spacing w:line="240" w:lineRule="atLeast"/>
        <w:ind w:left="1079" w:leftChars="371"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（5）存在的串通投标情形的；</w:t>
      </w:r>
    </w:p>
    <w:p>
      <w:pPr>
        <w:pStyle w:val="22"/>
        <w:tabs>
          <w:tab w:val="left" w:pos="2240"/>
        </w:tabs>
        <w:spacing w:line="240" w:lineRule="atLeast"/>
        <w:ind w:left="1079" w:leftChars="371"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（6）存在向采购人</w:t>
      </w:r>
      <w:r>
        <w:rPr>
          <w:rFonts w:asciiTheme="minorEastAsia" w:hAnsiTheme="minorEastAsia" w:eastAsiaTheme="minorEastAsia"/>
          <w:color w:val="auto"/>
          <w:sz w:val="24"/>
          <w:highlight w:val="none"/>
        </w:rPr>
        <w:t>、代理机构或评标专家</w:t>
      </w:r>
      <w:r>
        <w:rPr>
          <w:rFonts w:hint="eastAsia" w:asciiTheme="minorEastAsia" w:hAnsiTheme="minorEastAsia" w:eastAsiaTheme="minorEastAsia"/>
          <w:color w:val="auto"/>
          <w:sz w:val="24"/>
          <w:highlight w:val="none"/>
        </w:rPr>
        <w:t>行贿事实的。</w:t>
      </w:r>
    </w:p>
    <w:p>
      <w:pPr>
        <w:spacing w:line="240" w:lineRule="atLeast"/>
        <w:ind w:left="900" w:hanging="900" w:hangingChars="375"/>
        <w:rPr>
          <w:rFonts w:asciiTheme="minorEastAsia" w:hAnsiTheme="minorEastAsia" w:eastAsiaTheme="minorEastAsia"/>
          <w:color w:val="auto"/>
          <w:sz w:val="24"/>
          <w:highlight w:val="none"/>
        </w:rPr>
      </w:pPr>
      <w:bookmarkStart w:id="114" w:name="_Ref467306336"/>
      <w:r>
        <w:rPr>
          <w:rFonts w:hint="eastAsia" w:asciiTheme="minorEastAsia" w:hAnsiTheme="minorEastAsia" w:eastAsiaTheme="minorEastAsia"/>
          <w:color w:val="auto"/>
          <w:sz w:val="24"/>
          <w:highlight w:val="none"/>
        </w:rPr>
        <w:t>12.3</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投标保证金可采用下列形式之一：</w:t>
      </w:r>
      <w:bookmarkEnd w:id="114"/>
    </w:p>
    <w:p>
      <w:pPr>
        <w:spacing w:line="240" w:lineRule="atLeast"/>
        <w:ind w:left="1079" w:leftChars="428" w:hanging="180" w:hangingChars="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电汇、支票，</w:t>
      </w:r>
      <w:r>
        <w:rPr>
          <w:rFonts w:asciiTheme="minorEastAsia" w:hAnsiTheme="minorEastAsia" w:eastAsiaTheme="minorEastAsia"/>
          <w:color w:val="auto"/>
          <w:sz w:val="24"/>
          <w:highlight w:val="none"/>
        </w:rPr>
        <w:t>以及</w:t>
      </w:r>
      <w:r>
        <w:rPr>
          <w:rFonts w:hint="eastAsia" w:asciiTheme="minorEastAsia" w:hAnsiTheme="minorEastAsia" w:eastAsiaTheme="minorEastAsia"/>
          <w:color w:val="auto"/>
          <w:sz w:val="24"/>
          <w:highlight w:val="none"/>
        </w:rPr>
        <w:t>投标人须知资料表中可接受的其他形式；</w:t>
      </w:r>
    </w:p>
    <w:p>
      <w:pPr>
        <w:spacing w:line="240" w:lineRule="atLeast"/>
        <w:ind w:left="991" w:leftChars="457" w:hanging="31" w:hangingChars="13"/>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政府采购信用担保试点范围内的项目，接受符合财政部门规定的投标担保函正本。</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12.4</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投标人没有根据本须知12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和第</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条规定提交投标保证金的，将被视为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898" w:leftChars="427" w:hanging="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采用电汇形式提交投标保证金的</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一般可以实时入账</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采用支票形式的</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投标人则应</w:t>
      </w:r>
      <w:r>
        <w:rPr>
          <w:rFonts w:hint="eastAsia" w:asciiTheme="minorEastAsia" w:hAnsiTheme="minorEastAsia" w:eastAsiaTheme="minorEastAsia"/>
          <w:color w:val="auto"/>
          <w:sz w:val="24"/>
          <w:highlight w:val="none"/>
        </w:rPr>
        <w:t>充分考虑支票入账时间，以</w:t>
      </w:r>
      <w:r>
        <w:rPr>
          <w:rFonts w:asciiTheme="minorEastAsia" w:hAnsiTheme="minorEastAsia" w:eastAsiaTheme="minorEastAsia"/>
          <w:color w:val="auto"/>
          <w:sz w:val="24"/>
          <w:highlight w:val="none"/>
        </w:rPr>
        <w:t>确保</w:t>
      </w:r>
      <w:r>
        <w:rPr>
          <w:rFonts w:hint="eastAsia" w:asciiTheme="minorEastAsia" w:hAnsiTheme="minorEastAsia" w:eastAsiaTheme="minorEastAsia"/>
          <w:color w:val="auto"/>
          <w:sz w:val="24"/>
          <w:highlight w:val="none"/>
        </w:rPr>
        <w:t>投标保证金能按时进入指定账户。根据</w:t>
      </w:r>
      <w:r>
        <w:rPr>
          <w:rFonts w:asciiTheme="minorEastAsia" w:hAnsiTheme="minorEastAsia" w:eastAsiaTheme="minorEastAsia"/>
          <w:color w:val="auto"/>
          <w:sz w:val="24"/>
          <w:highlight w:val="none"/>
        </w:rPr>
        <w:t>银行信息交换和付款时间</w:t>
      </w:r>
      <w:r>
        <w:rPr>
          <w:rFonts w:hint="eastAsia" w:asciiTheme="minorEastAsia" w:hAnsiTheme="minorEastAsia" w:eastAsiaTheme="minorEastAsia"/>
          <w:color w:val="auto"/>
          <w:sz w:val="24"/>
          <w:highlight w:val="none"/>
        </w:rPr>
        <w:t>，支票从递交至实际入账一般需要4-</w:t>
      </w:r>
      <w:r>
        <w:rPr>
          <w:rFonts w:asciiTheme="minorEastAsia" w:hAnsiTheme="minorEastAsia" w:eastAsiaTheme="minorEastAsia"/>
          <w:color w:val="auto"/>
          <w:sz w:val="24"/>
          <w:highlight w:val="none"/>
        </w:rPr>
        <w:t>5个工作日</w:t>
      </w:r>
      <w:r>
        <w:rPr>
          <w:rFonts w:hint="eastAsia" w:asciiTheme="minorEastAsia" w:hAnsiTheme="minorEastAsia" w:eastAsiaTheme="minorEastAsia"/>
          <w:color w:val="auto"/>
          <w:sz w:val="24"/>
          <w:highlight w:val="none"/>
        </w:rPr>
        <w:t>。如投标人未及时提交支票或支票不符合银行委托收款要求（如污损、折叠、胶装等），导致投标保证金不能按时进入指定账户的，将按照招标文件的第22.2条相关规定处理。</w:t>
      </w:r>
    </w:p>
    <w:p>
      <w:pPr>
        <w:widowControl/>
        <w:spacing w:line="240" w:lineRule="atLeast"/>
        <w:ind w:left="898" w:leftChars="427" w:hanging="1"/>
        <w:jc w:val="left"/>
        <w:rPr>
          <w:color w:val="auto"/>
          <w:highlight w:val="none"/>
        </w:rPr>
      </w:pPr>
      <w:r>
        <w:rPr>
          <w:rFonts w:asciiTheme="minorEastAsia" w:hAnsiTheme="minorEastAsia" w:eastAsiaTheme="minorEastAsia"/>
          <w:color w:val="auto"/>
          <w:sz w:val="24"/>
          <w:highlight w:val="none"/>
        </w:rPr>
        <w:t>保证金退款遵循原路退还原则，请不要在银行柜台现金汇款、个人账户汇款以及通过非银行机构代理汇款，需确保汇岀账户可以正常收款。汇款后请及时登录系统了解款项到账情况，紧急情况可与客服联系确认(可拨打交易平台统一服务热线：010-86397110、010-62108037 获取支持。热线服务时间为工作日上午 9 点到 11 点 30 分，下午 1 点 30 分到 5 点)，以免影响您的投标。</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12.5   联合体投标的，可以由联合体中的一方或者共同提交投标保证金，以一方名义提交投标保证金的，对联合体各方均具有约束力。</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12.6</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中标人应在与采购人签订合同之日</w:t>
      </w:r>
      <w:r>
        <w:rPr>
          <w:rFonts w:asciiTheme="minorEastAsia" w:hAnsiTheme="minorEastAsia" w:eastAsiaTheme="minorEastAsia"/>
          <w:color w:val="auto"/>
          <w:sz w:val="24"/>
          <w:highlight w:val="none"/>
        </w:rPr>
        <w:t>起</w:t>
      </w:r>
      <w:r>
        <w:rPr>
          <w:rFonts w:hint="eastAsia" w:asciiTheme="minorEastAsia" w:hAnsiTheme="minorEastAsia" w:eastAsiaTheme="minorEastAsia"/>
          <w:color w:val="auto"/>
          <w:sz w:val="24"/>
          <w:highlight w:val="none"/>
        </w:rPr>
        <w:t>5个工作日内及时</w:t>
      </w:r>
      <w:r>
        <w:rPr>
          <w:rFonts w:asciiTheme="minorEastAsia" w:hAnsiTheme="minorEastAsia" w:eastAsiaTheme="minorEastAsia"/>
          <w:color w:val="auto"/>
          <w:sz w:val="24"/>
          <w:highlight w:val="none"/>
        </w:rPr>
        <w:t>联系</w:t>
      </w:r>
      <w:r>
        <w:rPr>
          <w:rFonts w:hint="eastAsia" w:asciiTheme="minorEastAsia" w:hAnsiTheme="minorEastAsia" w:eastAsiaTheme="minorEastAsia"/>
          <w:color w:val="auto"/>
          <w:sz w:val="24"/>
          <w:highlight w:val="none"/>
        </w:rPr>
        <w:t>采购代理机构办理投标保证金无息退还手续。</w:t>
      </w:r>
    </w:p>
    <w:p>
      <w:pPr>
        <w:spacing w:line="240" w:lineRule="atLeast"/>
        <w:ind w:left="899" w:leftChars="428"/>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未中标投标人的投标保证金将在中标通知书发出之日暨中标结果公告公布之日起5个工作日内，</w:t>
      </w:r>
      <w:r>
        <w:rPr>
          <w:rFonts w:asciiTheme="minorEastAsia" w:hAnsiTheme="minorEastAsia" w:eastAsiaTheme="minorEastAsia"/>
          <w:color w:val="auto"/>
          <w:sz w:val="24"/>
          <w:highlight w:val="none"/>
        </w:rPr>
        <w:t>及时联系</w:t>
      </w:r>
      <w:r>
        <w:rPr>
          <w:rFonts w:hint="eastAsia" w:asciiTheme="minorEastAsia" w:hAnsiTheme="minorEastAsia" w:eastAsiaTheme="minorEastAsia"/>
          <w:color w:val="auto"/>
          <w:sz w:val="24"/>
          <w:highlight w:val="none"/>
        </w:rPr>
        <w:t>采购人或</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办理无息退还投标保证金手续</w:t>
      </w:r>
      <w:r>
        <w:rPr>
          <w:rFonts w:asciiTheme="minorEastAsia" w:hAnsiTheme="minorEastAsia" w:eastAsiaTheme="minorEastAsia"/>
          <w:color w:val="auto"/>
          <w:sz w:val="24"/>
          <w:highlight w:val="none"/>
        </w:rPr>
        <w:t>因投标人自身原因导致无法及时退还的</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采购人或采购代理机构</w:t>
      </w:r>
      <w:r>
        <w:rPr>
          <w:rFonts w:hint="eastAsia" w:asciiTheme="minorEastAsia" w:hAnsiTheme="minorEastAsia" w:eastAsiaTheme="minorEastAsia"/>
          <w:color w:val="auto"/>
          <w:sz w:val="24"/>
          <w:highlight w:val="none"/>
        </w:rPr>
        <w:t>将</w:t>
      </w:r>
      <w:r>
        <w:rPr>
          <w:rFonts w:asciiTheme="minorEastAsia" w:hAnsiTheme="minorEastAsia" w:eastAsiaTheme="minorEastAsia"/>
          <w:color w:val="auto"/>
          <w:sz w:val="24"/>
          <w:highlight w:val="none"/>
        </w:rPr>
        <w:t>不承担资金占用费。</w:t>
      </w:r>
    </w:p>
    <w:p>
      <w:pPr>
        <w:spacing w:line="240" w:lineRule="atLeast"/>
        <w:ind w:left="735" w:leftChars="350"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政府采购投标信用担保函正本不予退回。</w:t>
      </w:r>
    </w:p>
    <w:p>
      <w:pPr>
        <w:pStyle w:val="6"/>
        <w:spacing w:before="0" w:after="0" w:line="240" w:lineRule="atLeast"/>
        <w:rPr>
          <w:rFonts w:asciiTheme="minorEastAsia" w:hAnsiTheme="minorEastAsia" w:eastAsiaTheme="minorEastAsia"/>
          <w:color w:val="auto"/>
          <w:highlight w:val="none"/>
          <w:u w:val="none"/>
        </w:rPr>
      </w:pPr>
      <w:bookmarkStart w:id="115" w:name="_Toc510950610"/>
      <w:bookmarkStart w:id="116" w:name="_Toc16839"/>
      <w:bookmarkStart w:id="117" w:name="_Toc510950450"/>
      <w:bookmarkStart w:id="118" w:name="_Toc507399458"/>
      <w:bookmarkStart w:id="119" w:name="_Toc533275325"/>
      <w:bookmarkStart w:id="120" w:name="_Toc520356157"/>
      <w:bookmarkStart w:id="121" w:name="_Toc510950531"/>
      <w:r>
        <w:rPr>
          <w:rFonts w:hint="eastAsia" w:asciiTheme="minorEastAsia" w:hAnsiTheme="minorEastAsia" w:eastAsiaTheme="minorEastAsia"/>
          <w:color w:val="auto"/>
          <w:highlight w:val="none"/>
          <w:u w:val="none"/>
        </w:rPr>
        <w:t>13.</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投标有效期</w:t>
      </w:r>
      <w:bookmarkEnd w:id="115"/>
      <w:bookmarkEnd w:id="116"/>
      <w:bookmarkEnd w:id="117"/>
      <w:bookmarkEnd w:id="118"/>
      <w:bookmarkEnd w:id="119"/>
      <w:bookmarkEnd w:id="120"/>
      <w:bookmarkEnd w:id="121"/>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投标应在规定的提交投标</w:t>
      </w:r>
      <w:r>
        <w:rPr>
          <w:rFonts w:asciiTheme="minorEastAsia" w:hAnsiTheme="minorEastAsia" w:eastAsiaTheme="minorEastAsia"/>
          <w:color w:val="auto"/>
          <w:sz w:val="24"/>
          <w:highlight w:val="none"/>
        </w:rPr>
        <w:t>文件截止之日起</w:t>
      </w:r>
      <w:r>
        <w:rPr>
          <w:rFonts w:hint="eastAsia" w:asciiTheme="minorEastAsia" w:hAnsiTheme="minorEastAsia" w:eastAsiaTheme="minorEastAsia"/>
          <w:color w:val="auto"/>
          <w:sz w:val="24"/>
          <w:highlight w:val="none"/>
        </w:rPr>
        <w:t>，按照</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中规定时间内保持有效。投标有效期不满足要求的投标，将被视为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采购人或</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可根据实际情况，在原投标有效期截止之前，要求投标人延长投标文件的有效期。接受该要求的投标人将不会被要求和允许修正其投标，且本须知中有关投标保证金的要求须在延长的有效期内继续有效。投标人也可以拒绝延长投标</w:t>
      </w:r>
      <w:r>
        <w:rPr>
          <w:rFonts w:asciiTheme="minorEastAsia" w:hAnsiTheme="minorEastAsia" w:eastAsiaTheme="minorEastAsia"/>
          <w:color w:val="auto"/>
          <w:sz w:val="24"/>
          <w:highlight w:val="none"/>
        </w:rPr>
        <w:t>有效期的</w:t>
      </w:r>
      <w:r>
        <w:rPr>
          <w:rFonts w:hint="eastAsia" w:asciiTheme="minorEastAsia" w:hAnsiTheme="minorEastAsia" w:eastAsiaTheme="minorEastAsia"/>
          <w:color w:val="auto"/>
          <w:sz w:val="24"/>
          <w:highlight w:val="none"/>
        </w:rPr>
        <w:t>要求，其投标保证金将不会被没收。上述要求和答复都应以书面形式提交。</w:t>
      </w:r>
    </w:p>
    <w:p>
      <w:pPr>
        <w:pStyle w:val="6"/>
        <w:spacing w:before="0" w:after="0" w:line="240" w:lineRule="atLeast"/>
        <w:rPr>
          <w:rFonts w:asciiTheme="minorEastAsia" w:hAnsiTheme="minorEastAsia" w:eastAsiaTheme="minorEastAsia"/>
          <w:color w:val="auto"/>
          <w:highlight w:val="none"/>
          <w:u w:val="none"/>
        </w:rPr>
      </w:pPr>
      <w:bookmarkStart w:id="122" w:name="_Toc520356158"/>
      <w:bookmarkStart w:id="123" w:name="_Toc507399459"/>
      <w:bookmarkStart w:id="124" w:name="_Toc4457"/>
      <w:bookmarkStart w:id="125" w:name="_Toc533275326"/>
      <w:bookmarkStart w:id="126" w:name="_Toc510950611"/>
      <w:bookmarkStart w:id="127" w:name="_Toc510950532"/>
      <w:bookmarkStart w:id="128" w:name="_Toc510950451"/>
      <w:r>
        <w:rPr>
          <w:rFonts w:hint="eastAsia" w:asciiTheme="minorEastAsia" w:hAnsiTheme="minorEastAsia" w:eastAsiaTheme="minorEastAsia"/>
          <w:color w:val="auto"/>
          <w:highlight w:val="none"/>
          <w:u w:val="none"/>
        </w:rPr>
        <w:t xml:space="preserve">14.  </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投标文件的签署</w:t>
      </w:r>
      <w:bookmarkEnd w:id="122"/>
      <w:r>
        <w:rPr>
          <w:rFonts w:hint="eastAsia" w:asciiTheme="minorEastAsia" w:hAnsiTheme="minorEastAsia" w:eastAsiaTheme="minorEastAsia"/>
          <w:color w:val="auto"/>
          <w:highlight w:val="none"/>
          <w:u w:val="none"/>
        </w:rPr>
        <w:t>及规定</w:t>
      </w:r>
      <w:bookmarkEnd w:id="123"/>
      <w:bookmarkEnd w:id="124"/>
      <w:bookmarkEnd w:id="125"/>
      <w:bookmarkEnd w:id="126"/>
      <w:bookmarkEnd w:id="127"/>
      <w:bookmarkEnd w:id="128"/>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投标人应按</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中的规定准备和递交投标文件资格证明文件、商务</w:t>
      </w:r>
      <w:r>
        <w:rPr>
          <w:rFonts w:asciiTheme="minorEastAsia" w:hAnsiTheme="minorEastAsia" w:eastAsiaTheme="minorEastAsia"/>
          <w:color w:val="auto"/>
          <w:sz w:val="24"/>
          <w:highlight w:val="none"/>
        </w:rPr>
        <w:t>和技术文件</w:t>
      </w:r>
      <w:r>
        <w:rPr>
          <w:rFonts w:hint="eastAsia" w:asciiTheme="minorEastAsia" w:hAnsiTheme="minorEastAsia" w:eastAsiaTheme="minorEastAsia"/>
          <w:color w:val="auto"/>
          <w:sz w:val="24"/>
          <w:highlight w:val="none"/>
        </w:rPr>
        <w:t>正本、副本和电子文档，每份资格证明文件、商务</w:t>
      </w:r>
      <w:r>
        <w:rPr>
          <w:rFonts w:asciiTheme="minorEastAsia" w:hAnsiTheme="minorEastAsia" w:eastAsiaTheme="minorEastAsia"/>
          <w:color w:val="auto"/>
          <w:sz w:val="24"/>
          <w:highlight w:val="none"/>
        </w:rPr>
        <w:t>和技术</w:t>
      </w:r>
      <w:r>
        <w:rPr>
          <w:rFonts w:hint="eastAsia" w:asciiTheme="minorEastAsia" w:hAnsiTheme="minorEastAsia" w:eastAsiaTheme="minorEastAsia"/>
          <w:color w:val="auto"/>
          <w:sz w:val="24"/>
          <w:highlight w:val="none"/>
        </w:rPr>
        <w:t>文件须清楚地标明“正本”或“副本”。若正本和副本不符，以正本为准。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文件的正本需打印或用不褪色墨水书写，并由投标人的法定代表人或经其正式授权的代表按招标文件规定在投标文件上签字并加盖单位印章。授权代表须持有书面的“法定代表人授权书”（标准格式附后），并将其附在投标文件中。如对投标文件进行了修改，则应由投标人的法定代表人或经其正式授权的代表在每一修改处签字。投标文件的副本可采用正本的复印件。</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14.3    </w:t>
      </w:r>
      <w:r>
        <w:rPr>
          <w:rFonts w:hint="eastAsia" w:asciiTheme="minorEastAsia" w:hAnsiTheme="minorEastAsia" w:eastAsiaTheme="minorEastAsia"/>
          <w:color w:val="auto"/>
          <w:sz w:val="24"/>
          <w:highlight w:val="none"/>
        </w:rPr>
        <w:t>所有投标</w:t>
      </w:r>
      <w:r>
        <w:rPr>
          <w:rFonts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rPr>
        <w:t>采用</w:t>
      </w:r>
      <w:r>
        <w:rPr>
          <w:rFonts w:asciiTheme="minorEastAsia" w:hAnsiTheme="minorEastAsia" w:eastAsiaTheme="minorEastAsia"/>
          <w:color w:val="auto"/>
          <w:sz w:val="24"/>
          <w:highlight w:val="none"/>
        </w:rPr>
        <w:t>不可拆装的胶</w:t>
      </w:r>
      <w:r>
        <w:rPr>
          <w:rFonts w:hint="eastAsia" w:asciiTheme="minorEastAsia" w:hAnsiTheme="minorEastAsia" w:eastAsiaTheme="minorEastAsia"/>
          <w:color w:val="auto"/>
          <w:sz w:val="24"/>
          <w:highlight w:val="none"/>
        </w:rPr>
        <w:t>订</w:t>
      </w:r>
      <w:r>
        <w:rPr>
          <w:rFonts w:asciiTheme="minorEastAsia" w:hAnsiTheme="minorEastAsia" w:eastAsiaTheme="minorEastAsia"/>
          <w:color w:val="auto"/>
          <w:sz w:val="24"/>
          <w:highlight w:val="none"/>
        </w:rPr>
        <w:t>方式</w:t>
      </w:r>
      <w:r>
        <w:rPr>
          <w:rFonts w:hint="eastAsia" w:asciiTheme="minorEastAsia" w:hAnsiTheme="minorEastAsia" w:eastAsiaTheme="minorEastAsia"/>
          <w:color w:val="auto"/>
          <w:sz w:val="24"/>
          <w:highlight w:val="none"/>
        </w:rPr>
        <w:t>装订</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否则将被视为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任何行间插字、涂改和增删，必须由投标人的法定代表人或经其正式授权的代表签字或盖章后才有效。</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投标文件因字迹潦草、表达不清或</w:t>
      </w:r>
      <w:r>
        <w:rPr>
          <w:rFonts w:asciiTheme="minorEastAsia" w:hAnsiTheme="minorEastAsia" w:eastAsiaTheme="minorEastAsia"/>
          <w:color w:val="auto"/>
          <w:sz w:val="24"/>
          <w:highlight w:val="none"/>
        </w:rPr>
        <w:t>装订不当</w:t>
      </w:r>
      <w:r>
        <w:rPr>
          <w:rFonts w:hint="eastAsia" w:asciiTheme="minorEastAsia" w:hAnsiTheme="minorEastAsia" w:eastAsiaTheme="minorEastAsia"/>
          <w:color w:val="auto"/>
          <w:sz w:val="24"/>
          <w:highlight w:val="none"/>
        </w:rPr>
        <w:t>所引起的后果由投标人负责。</w:t>
      </w:r>
    </w:p>
    <w:p>
      <w:pPr>
        <w:spacing w:line="240" w:lineRule="atLeast"/>
        <w:ind w:left="900" w:hanging="900" w:hangingChars="375"/>
        <w:rPr>
          <w:rFonts w:asciiTheme="minorEastAsia" w:hAnsiTheme="minorEastAsia" w:eastAsiaTheme="minorEastAsia"/>
          <w:color w:val="auto"/>
          <w:sz w:val="24"/>
          <w:highlight w:val="none"/>
        </w:rPr>
      </w:pPr>
    </w:p>
    <w:p>
      <w:pPr>
        <w:pStyle w:val="4"/>
        <w:spacing w:before="0" w:line="240" w:lineRule="atLeast"/>
        <w:ind w:left="1080" w:leftChars="257" w:hanging="540"/>
        <w:rPr>
          <w:rFonts w:asciiTheme="minorEastAsia" w:hAnsiTheme="minorEastAsia" w:eastAsiaTheme="minorEastAsia"/>
          <w:color w:val="auto"/>
          <w:sz w:val="24"/>
          <w:highlight w:val="none"/>
        </w:rPr>
      </w:pPr>
      <w:bookmarkStart w:id="129" w:name="_Toc520356159"/>
      <w:bookmarkStart w:id="130" w:name="_Toc507399460"/>
      <w:bookmarkStart w:id="131" w:name="_Toc13410"/>
      <w:bookmarkStart w:id="132" w:name="_Toc510950612"/>
      <w:bookmarkStart w:id="133" w:name="_Toc216582808"/>
      <w:bookmarkStart w:id="134" w:name="_Toc533275327"/>
      <w:r>
        <w:rPr>
          <w:rFonts w:hint="eastAsia" w:asciiTheme="minorEastAsia" w:hAnsiTheme="minorEastAsia" w:eastAsiaTheme="minorEastAsia"/>
          <w:color w:val="auto"/>
          <w:sz w:val="24"/>
          <w:highlight w:val="none"/>
        </w:rPr>
        <w:t>四  投标文件的递交</w:t>
      </w:r>
      <w:bookmarkEnd w:id="129"/>
      <w:bookmarkEnd w:id="130"/>
      <w:bookmarkEnd w:id="131"/>
      <w:bookmarkEnd w:id="132"/>
      <w:bookmarkEnd w:id="133"/>
      <w:bookmarkEnd w:id="134"/>
    </w:p>
    <w:p>
      <w:pPr>
        <w:pStyle w:val="5"/>
        <w:rPr>
          <w:rFonts w:asciiTheme="minorEastAsia" w:hAnsiTheme="minorEastAsia" w:eastAsiaTheme="minorEastAsia"/>
          <w:color w:val="auto"/>
          <w:highlight w:val="none"/>
        </w:rPr>
      </w:pPr>
    </w:p>
    <w:p>
      <w:pPr>
        <w:pStyle w:val="6"/>
        <w:spacing w:before="0" w:after="0" w:line="240" w:lineRule="atLeast"/>
        <w:rPr>
          <w:rFonts w:asciiTheme="minorEastAsia" w:hAnsiTheme="minorEastAsia" w:eastAsiaTheme="minorEastAsia"/>
          <w:color w:val="auto"/>
          <w:highlight w:val="none"/>
          <w:u w:val="none"/>
        </w:rPr>
      </w:pPr>
      <w:bookmarkStart w:id="135" w:name="_Toc533275328"/>
      <w:bookmarkStart w:id="136" w:name="_Toc510950613"/>
      <w:bookmarkStart w:id="137" w:name="_Toc510950534"/>
      <w:bookmarkStart w:id="138" w:name="_Toc510950453"/>
      <w:bookmarkStart w:id="139" w:name="_Toc507399461"/>
      <w:bookmarkStart w:id="140" w:name="_Toc2249"/>
      <w:bookmarkStart w:id="141" w:name="_Toc520356160"/>
      <w:r>
        <w:rPr>
          <w:rFonts w:hint="eastAsia" w:asciiTheme="minorEastAsia" w:hAnsiTheme="minorEastAsia" w:eastAsiaTheme="minorEastAsia"/>
          <w:color w:val="auto"/>
          <w:highlight w:val="none"/>
          <w:u w:val="none"/>
        </w:rPr>
        <w:t xml:space="preserve">15.  </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投标文件的密封和标记</w:t>
      </w:r>
      <w:bookmarkEnd w:id="135"/>
      <w:bookmarkEnd w:id="136"/>
      <w:bookmarkEnd w:id="137"/>
      <w:bookmarkEnd w:id="138"/>
      <w:bookmarkEnd w:id="139"/>
      <w:bookmarkEnd w:id="140"/>
      <w:bookmarkEnd w:id="141"/>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15.1   投标人应将投标文件密封提交，并在封皮正面标明“投标文件”字样。</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   投标文件封皮正面标明“正本”或“副本”字样。</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   所有包装封皮和信封上均应：</w:t>
      </w:r>
    </w:p>
    <w:p>
      <w:pPr>
        <w:spacing w:line="240" w:lineRule="atLeast"/>
        <w:ind w:left="898" w:leftChars="399"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（1）注明招标公告或投标邀请书中指明的项目名称、招标编号、投标人名称和“在（</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中规定开标时间）之前不得启封”的字样。</w:t>
      </w:r>
    </w:p>
    <w:p>
      <w:pPr>
        <w:spacing w:line="240" w:lineRule="atLeast"/>
        <w:ind w:left="898" w:leftChars="399"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（2）在封口处加盖投标人公章，或由法定代表人（或其授权代表）签字。</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15.4    如果投标人未按上述要求密封，或者</w:t>
      </w:r>
      <w:r>
        <w:rPr>
          <w:rFonts w:asciiTheme="minorEastAsia" w:hAnsiTheme="minorEastAsia" w:eastAsiaTheme="minorEastAsia"/>
          <w:color w:val="auto"/>
          <w:sz w:val="24"/>
          <w:highlight w:val="none"/>
        </w:rPr>
        <w:t>资格证明文件密封装订在其他投标文件中，其</w:t>
      </w: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将作为</w:t>
      </w:r>
      <w:r>
        <w:rPr>
          <w:rFonts w:asciiTheme="minorEastAsia" w:hAnsiTheme="minorEastAsia" w:eastAsiaTheme="minorEastAsia"/>
          <w:b/>
          <w:color w:val="auto"/>
          <w:sz w:val="24"/>
          <w:highlight w:val="none"/>
        </w:rPr>
        <w:t>无效投标</w:t>
      </w:r>
      <w:r>
        <w:rPr>
          <w:rFonts w:asciiTheme="minorEastAsia" w:hAnsiTheme="minorEastAsia" w:eastAsiaTheme="minorEastAsia"/>
          <w:color w:val="auto"/>
          <w:sz w:val="24"/>
          <w:highlight w:val="none"/>
        </w:rPr>
        <w:t>被否决</w:t>
      </w:r>
      <w:r>
        <w:rPr>
          <w:rFonts w:hint="eastAsia" w:asciiTheme="minorEastAsia" w:hAnsiTheme="minorEastAsia" w:eastAsiaTheme="minorEastAsia"/>
          <w:color w:val="auto"/>
          <w:sz w:val="24"/>
          <w:highlight w:val="none"/>
        </w:rPr>
        <w:t>。</w:t>
      </w:r>
    </w:p>
    <w:p>
      <w:pPr>
        <w:pStyle w:val="6"/>
        <w:spacing w:before="0" w:after="0" w:line="240" w:lineRule="atLeast"/>
        <w:rPr>
          <w:rFonts w:asciiTheme="minorEastAsia" w:hAnsiTheme="minorEastAsia" w:eastAsiaTheme="minorEastAsia"/>
          <w:color w:val="auto"/>
          <w:highlight w:val="none"/>
          <w:u w:val="none"/>
        </w:rPr>
      </w:pPr>
      <w:bookmarkStart w:id="142" w:name="_Toc15058"/>
      <w:bookmarkStart w:id="143" w:name="_Toc533275329"/>
      <w:bookmarkStart w:id="144" w:name="_Toc510950614"/>
      <w:bookmarkStart w:id="145" w:name="_Toc520356161"/>
      <w:bookmarkStart w:id="146" w:name="_Toc507399462"/>
      <w:bookmarkStart w:id="147" w:name="_Toc510950535"/>
      <w:bookmarkStart w:id="148" w:name="_Toc510950454"/>
      <w:r>
        <w:rPr>
          <w:rFonts w:hint="eastAsia" w:asciiTheme="minorEastAsia" w:hAnsiTheme="minorEastAsia" w:eastAsiaTheme="minorEastAsia"/>
          <w:color w:val="auto"/>
          <w:highlight w:val="none"/>
          <w:u w:val="none"/>
        </w:rPr>
        <w:t>16.</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投标截止期</w:t>
      </w:r>
      <w:bookmarkEnd w:id="142"/>
      <w:bookmarkEnd w:id="143"/>
      <w:bookmarkEnd w:id="144"/>
      <w:bookmarkEnd w:id="145"/>
      <w:bookmarkEnd w:id="146"/>
      <w:bookmarkEnd w:id="147"/>
      <w:bookmarkEnd w:id="148"/>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投标人应在招标公告或投标邀请书中规定的截止日期和时间内，派人将投标文件递交到招标公告或投标邀请书中规定的地址。</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有权按本须知的规定，通过修改招标文件，延长投标截止期。在此情况下，采购人、</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和投标人受投标截止期制约的所有权利和义务均应延长至新的截止期。</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将拒绝并原封退回在投标截止期后送达的任何投标文件。</w:t>
      </w:r>
    </w:p>
    <w:p>
      <w:pPr>
        <w:pStyle w:val="6"/>
        <w:spacing w:before="0" w:after="0" w:line="240" w:lineRule="atLeast"/>
        <w:rPr>
          <w:rFonts w:asciiTheme="minorEastAsia" w:hAnsiTheme="minorEastAsia" w:eastAsiaTheme="minorEastAsia"/>
          <w:color w:val="auto"/>
          <w:highlight w:val="none"/>
          <w:u w:val="none"/>
        </w:rPr>
      </w:pPr>
      <w:bookmarkStart w:id="149" w:name="_Toc510950615"/>
      <w:bookmarkStart w:id="150" w:name="_Toc510950536"/>
      <w:bookmarkStart w:id="151" w:name="_Toc510950455"/>
      <w:bookmarkStart w:id="152" w:name="_Toc507399463"/>
      <w:bookmarkStart w:id="153" w:name="_Toc520356162"/>
      <w:bookmarkStart w:id="154" w:name="_Toc533275330"/>
      <w:bookmarkStart w:id="155" w:name="_Toc8552"/>
      <w:r>
        <w:rPr>
          <w:rFonts w:hint="eastAsia" w:asciiTheme="minorEastAsia" w:hAnsiTheme="minorEastAsia" w:eastAsiaTheme="minorEastAsia"/>
          <w:color w:val="auto"/>
          <w:highlight w:val="none"/>
          <w:u w:val="none"/>
        </w:rPr>
        <w:t>17.</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投标文件的接收、修改与撤回</w:t>
      </w:r>
      <w:bookmarkEnd w:id="149"/>
      <w:bookmarkEnd w:id="150"/>
      <w:bookmarkEnd w:id="151"/>
      <w:bookmarkEnd w:id="152"/>
      <w:bookmarkEnd w:id="153"/>
      <w:bookmarkEnd w:id="154"/>
      <w:bookmarkEnd w:id="155"/>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w:t>
      </w:r>
      <w:r>
        <w:rPr>
          <w:rFonts w:asciiTheme="minorEastAsia" w:hAnsiTheme="minorEastAsia" w:eastAsiaTheme="minorEastAsia"/>
          <w:color w:val="auto"/>
          <w:sz w:val="24"/>
          <w:highlight w:val="none"/>
        </w:rPr>
        <w:t>或者采购代理机构收到投标文件后，应</w:t>
      </w:r>
      <w:r>
        <w:rPr>
          <w:rFonts w:hint="eastAsia" w:asciiTheme="minorEastAsia" w:hAnsiTheme="minorEastAsia" w:eastAsiaTheme="minorEastAsia"/>
          <w:color w:val="auto"/>
          <w:sz w:val="24"/>
          <w:highlight w:val="none"/>
        </w:rPr>
        <w:t>当如实</w:t>
      </w:r>
      <w:r>
        <w:rPr>
          <w:rFonts w:asciiTheme="minorEastAsia" w:hAnsiTheme="minorEastAsia" w:eastAsiaTheme="minorEastAsia"/>
          <w:color w:val="auto"/>
          <w:sz w:val="24"/>
          <w:highlight w:val="none"/>
        </w:rPr>
        <w:t>记载</w:t>
      </w: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文件的送达时间和密封情况。</w:t>
      </w:r>
    </w:p>
    <w:p>
      <w:pPr>
        <w:spacing w:line="240" w:lineRule="atLeast"/>
        <w:ind w:left="810" w:leftChars="300" w:hanging="180" w:hangingChars="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投标人不足</w:t>
      </w:r>
      <w:r>
        <w:rPr>
          <w:rFonts w:hint="eastAsia" w:asciiTheme="minorEastAsia" w:hAnsiTheme="minorEastAsia" w:eastAsiaTheme="minorEastAsia"/>
          <w:color w:val="auto"/>
          <w:sz w:val="24"/>
          <w:highlight w:val="none"/>
        </w:rPr>
        <w:t>3家的，不得开标。</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投标以后，如果投标人提出书面修改或撤标要求，在投标截止时间前送达开标地点，采购人和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将予以接受，并视为投标文件的组成部分。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17.3</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投标人对投标文件的修改或撤回通知应按本须知规定编制、密封、标记和发送。</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17.4</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在投标截止期之后，投标人不得对其投标文件做任何修改，采购人和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对所接收投标文件概不退回。</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17.5    从投标截止期至投标人在投标书中承诺的投标有效期之间，投标人不得撤回其投标，否则其投标保证金将按照本须知第12条规定予以没收。</w:t>
      </w:r>
    </w:p>
    <w:p>
      <w:pPr>
        <w:spacing w:line="240" w:lineRule="atLeast"/>
        <w:ind w:left="1080" w:leftChars="257" w:hanging="540"/>
        <w:rPr>
          <w:rFonts w:asciiTheme="minorEastAsia" w:hAnsiTheme="minorEastAsia" w:eastAsiaTheme="minorEastAsia"/>
          <w:color w:val="auto"/>
          <w:sz w:val="24"/>
          <w:highlight w:val="none"/>
          <w:shd w:val="pct10" w:color="auto" w:fill="FFFFFF"/>
        </w:rPr>
      </w:pPr>
    </w:p>
    <w:p>
      <w:pPr>
        <w:pStyle w:val="4"/>
        <w:spacing w:before="0" w:line="240" w:lineRule="atLeast"/>
        <w:ind w:left="1080" w:leftChars="257" w:hanging="540"/>
        <w:rPr>
          <w:rFonts w:asciiTheme="minorEastAsia" w:hAnsiTheme="minorEastAsia" w:eastAsiaTheme="minorEastAsia"/>
          <w:color w:val="auto"/>
          <w:sz w:val="24"/>
          <w:highlight w:val="none"/>
        </w:rPr>
      </w:pPr>
      <w:bookmarkStart w:id="156" w:name="_Toc520356163"/>
      <w:bookmarkStart w:id="157" w:name="_Toc510950616"/>
      <w:bookmarkStart w:id="158" w:name="_Toc507399464"/>
      <w:bookmarkStart w:id="159" w:name="_Toc216582809"/>
      <w:bookmarkStart w:id="160" w:name="_Toc533275331"/>
      <w:bookmarkStart w:id="161" w:name="_Toc6212"/>
      <w:r>
        <w:rPr>
          <w:rFonts w:hint="eastAsia" w:asciiTheme="minorEastAsia" w:hAnsiTheme="minorEastAsia" w:eastAsiaTheme="minorEastAsia"/>
          <w:color w:val="auto"/>
          <w:sz w:val="24"/>
          <w:highlight w:val="none"/>
        </w:rPr>
        <w:t>五  开标及评标</w:t>
      </w:r>
      <w:bookmarkEnd w:id="156"/>
      <w:bookmarkEnd w:id="157"/>
      <w:bookmarkEnd w:id="158"/>
      <w:bookmarkEnd w:id="159"/>
      <w:bookmarkEnd w:id="160"/>
      <w:bookmarkEnd w:id="161"/>
    </w:p>
    <w:p>
      <w:pPr>
        <w:pStyle w:val="5"/>
        <w:rPr>
          <w:rFonts w:asciiTheme="minorEastAsia" w:hAnsiTheme="minorEastAsia" w:eastAsiaTheme="minorEastAsia"/>
          <w:color w:val="auto"/>
          <w:highlight w:val="none"/>
        </w:rPr>
      </w:pPr>
    </w:p>
    <w:p>
      <w:pPr>
        <w:pStyle w:val="6"/>
        <w:spacing w:before="0" w:after="0" w:line="240" w:lineRule="atLeast"/>
        <w:rPr>
          <w:rFonts w:asciiTheme="minorEastAsia" w:hAnsiTheme="minorEastAsia" w:eastAsiaTheme="minorEastAsia"/>
          <w:color w:val="auto"/>
          <w:highlight w:val="none"/>
          <w:u w:val="none"/>
        </w:rPr>
      </w:pPr>
      <w:bookmarkStart w:id="162" w:name="_Toc507399465"/>
      <w:bookmarkStart w:id="163" w:name="_Toc520356164"/>
      <w:bookmarkStart w:id="164" w:name="_Toc510950538"/>
      <w:bookmarkStart w:id="165" w:name="_Toc4548"/>
      <w:bookmarkStart w:id="166" w:name="_Toc510950457"/>
      <w:bookmarkStart w:id="167" w:name="_Toc510950617"/>
      <w:bookmarkStart w:id="168" w:name="_Toc533275332"/>
      <w:r>
        <w:rPr>
          <w:rFonts w:hint="eastAsia" w:asciiTheme="minorEastAsia" w:hAnsiTheme="minorEastAsia" w:eastAsiaTheme="minorEastAsia"/>
          <w:color w:val="auto"/>
          <w:highlight w:val="none"/>
          <w:u w:val="none"/>
        </w:rPr>
        <w:t>18.</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开标</w:t>
      </w:r>
      <w:bookmarkEnd w:id="162"/>
      <w:bookmarkEnd w:id="163"/>
      <w:bookmarkEnd w:id="164"/>
      <w:bookmarkEnd w:id="165"/>
      <w:bookmarkEnd w:id="166"/>
      <w:bookmarkEnd w:id="167"/>
      <w:bookmarkEnd w:id="168"/>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采购人和</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将按</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中规定的开标时间和地点组织公开开标并邀请所有投标人代表参加。</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   开标时，由投标人或其推选的代表检查自己或所代表的投标文件的密封情况，经记录后，由采购人</w:t>
      </w:r>
      <w:r>
        <w:rPr>
          <w:rFonts w:asciiTheme="minorEastAsia" w:hAnsiTheme="minorEastAsia" w:eastAsiaTheme="minorEastAsia"/>
          <w:color w:val="auto"/>
          <w:sz w:val="24"/>
          <w:highlight w:val="none"/>
        </w:rPr>
        <w:t>或采购代理机构</w:t>
      </w:r>
      <w:r>
        <w:rPr>
          <w:rFonts w:hint="eastAsia" w:asciiTheme="minorEastAsia" w:hAnsiTheme="minorEastAsia" w:eastAsiaTheme="minorEastAsia"/>
          <w:color w:val="auto"/>
          <w:sz w:val="24"/>
          <w:highlight w:val="none"/>
        </w:rPr>
        <w:t>当众拆封、宣读投标人名称、投标价格及招标文件规定的内容。对于投标人在投标截止期前递交的投标声明，在开标时当众宣读，评标时有效。</w:t>
      </w:r>
    </w:p>
    <w:p>
      <w:pPr>
        <w:spacing w:line="240" w:lineRule="atLeast"/>
        <w:ind w:left="1079" w:leftChars="428" w:hanging="180" w:hangingChars="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未宣读的投标价格、价格折扣、备选方案等实质内容，评标时不予承认。</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18.3    开标活动中不得以任何理由拒绝已接收的投标。</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18.4</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采购人</w:t>
      </w:r>
      <w:r>
        <w:rPr>
          <w:rFonts w:asciiTheme="minorEastAsia" w:hAnsiTheme="minorEastAsia" w:eastAsiaTheme="minorEastAsia"/>
          <w:color w:val="auto"/>
          <w:sz w:val="24"/>
          <w:highlight w:val="none"/>
        </w:rPr>
        <w:t>或采购代理机构</w:t>
      </w:r>
      <w:r>
        <w:rPr>
          <w:rFonts w:hint="eastAsia" w:asciiTheme="minorEastAsia" w:hAnsiTheme="minorEastAsia" w:eastAsiaTheme="minorEastAsia"/>
          <w:color w:val="auto"/>
          <w:sz w:val="24"/>
          <w:highlight w:val="none"/>
        </w:rPr>
        <w:t>将对开标</w:t>
      </w:r>
      <w:r>
        <w:rPr>
          <w:rFonts w:asciiTheme="minorEastAsia" w:hAnsiTheme="minorEastAsia" w:eastAsiaTheme="minorEastAsia"/>
          <w:color w:val="auto"/>
          <w:sz w:val="24"/>
          <w:highlight w:val="none"/>
        </w:rPr>
        <w:t>过程</w:t>
      </w:r>
      <w:r>
        <w:rPr>
          <w:rFonts w:hint="eastAsia" w:asciiTheme="minorEastAsia" w:hAnsiTheme="minorEastAsia" w:eastAsiaTheme="minorEastAsia"/>
          <w:color w:val="auto"/>
          <w:sz w:val="24"/>
          <w:highlight w:val="none"/>
        </w:rPr>
        <w:t>进行记录</w:t>
      </w:r>
      <w:bookmarkStart w:id="169" w:name="_Toc520356165"/>
      <w:r>
        <w:rPr>
          <w:rFonts w:hint="eastAsia" w:asciiTheme="minorEastAsia" w:hAnsiTheme="minorEastAsia" w:eastAsiaTheme="minorEastAsia"/>
          <w:color w:val="auto"/>
          <w:sz w:val="24"/>
          <w:highlight w:val="none"/>
        </w:rPr>
        <w:t>，由</w:t>
      </w:r>
      <w:r>
        <w:rPr>
          <w:rFonts w:asciiTheme="minorEastAsia" w:hAnsiTheme="minorEastAsia" w:eastAsiaTheme="minorEastAsia"/>
          <w:color w:val="auto"/>
          <w:sz w:val="24"/>
          <w:highlight w:val="none"/>
        </w:rPr>
        <w:t>参加开标的各投标人代表和相关工作人员签字确认，</w:t>
      </w:r>
      <w:r>
        <w:rPr>
          <w:rFonts w:hint="eastAsia" w:asciiTheme="minorEastAsia" w:hAnsiTheme="minorEastAsia" w:eastAsiaTheme="minorEastAsia"/>
          <w:color w:val="auto"/>
          <w:sz w:val="24"/>
          <w:highlight w:val="none"/>
        </w:rPr>
        <w:t>并存档备查。</w:t>
      </w:r>
    </w:p>
    <w:p>
      <w:pPr>
        <w:pStyle w:val="6"/>
        <w:spacing w:before="0" w:after="0" w:line="240" w:lineRule="atLeast"/>
        <w:rPr>
          <w:rFonts w:asciiTheme="minorEastAsia" w:hAnsiTheme="minorEastAsia" w:eastAsiaTheme="minorEastAsia"/>
          <w:color w:val="auto"/>
          <w:highlight w:val="none"/>
          <w:u w:val="none"/>
        </w:rPr>
      </w:pPr>
      <w:bookmarkStart w:id="170" w:name="_Toc12601"/>
      <w:bookmarkStart w:id="171" w:name="_Toc510950618"/>
      <w:bookmarkStart w:id="172" w:name="_Toc510950539"/>
      <w:bookmarkStart w:id="173" w:name="_Toc507399466"/>
      <w:bookmarkStart w:id="174" w:name="_Toc510950458"/>
      <w:bookmarkStart w:id="175" w:name="_Toc533275333"/>
      <w:r>
        <w:rPr>
          <w:rFonts w:hint="eastAsia" w:asciiTheme="minorEastAsia" w:hAnsiTheme="minorEastAsia" w:eastAsiaTheme="minorEastAsia"/>
          <w:color w:val="auto"/>
          <w:highlight w:val="none"/>
          <w:u w:val="none"/>
        </w:rPr>
        <w:t>19.</w:t>
      </w:r>
      <w:r>
        <w:rPr>
          <w:rFonts w:hint="eastAsia" w:asciiTheme="minorEastAsia" w:hAnsiTheme="minorEastAsia" w:eastAsiaTheme="minorEastAsia"/>
          <w:color w:val="auto"/>
          <w:highlight w:val="none"/>
          <w:u w:val="none"/>
        </w:rPr>
        <w:tab/>
      </w:r>
      <w:bookmarkEnd w:id="169"/>
      <w:r>
        <w:rPr>
          <w:rFonts w:hint="eastAsia" w:asciiTheme="minorEastAsia" w:hAnsiTheme="minorEastAsia" w:eastAsiaTheme="minorEastAsia"/>
          <w:color w:val="auto"/>
          <w:highlight w:val="none"/>
          <w:u w:val="none"/>
        </w:rPr>
        <w:t xml:space="preserve">    资格审查及组建评标委员会</w:t>
      </w:r>
      <w:bookmarkEnd w:id="170"/>
      <w:bookmarkEnd w:id="171"/>
      <w:bookmarkEnd w:id="172"/>
      <w:bookmarkEnd w:id="173"/>
      <w:bookmarkEnd w:id="174"/>
      <w:bookmarkEnd w:id="175"/>
    </w:p>
    <w:p>
      <w:pPr>
        <w:spacing w:line="240" w:lineRule="atLeast"/>
        <w:ind w:left="960" w:hanging="960" w:hangingChars="4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19.1    采购人或采购代理机构依据法律法规和招标文件中规定的内</w:t>
      </w:r>
      <w:r>
        <w:rPr>
          <w:rFonts w:asciiTheme="minorEastAsia" w:hAnsiTheme="minorEastAsia" w:eastAsiaTheme="minorEastAsia"/>
          <w:color w:val="auto"/>
          <w:sz w:val="24"/>
          <w:highlight w:val="none"/>
        </w:rPr>
        <w:t>容</w:t>
      </w:r>
      <w:r>
        <w:rPr>
          <w:rFonts w:hint="eastAsia" w:asciiTheme="minorEastAsia" w:hAnsiTheme="minorEastAsia" w:eastAsiaTheme="minorEastAsia"/>
          <w:color w:val="auto"/>
          <w:sz w:val="24"/>
          <w:highlight w:val="none"/>
        </w:rPr>
        <w:t>，对投标人的资格进行审查。未</w:t>
      </w:r>
      <w:r>
        <w:rPr>
          <w:rFonts w:asciiTheme="minorEastAsia" w:hAnsiTheme="minorEastAsia" w:eastAsiaTheme="minorEastAsia"/>
          <w:color w:val="auto"/>
          <w:sz w:val="24"/>
          <w:highlight w:val="none"/>
        </w:rPr>
        <w:t>通过资格审查的投标人</w:t>
      </w:r>
      <w:r>
        <w:rPr>
          <w:rFonts w:hint="eastAsia" w:asciiTheme="minorEastAsia" w:hAnsiTheme="minorEastAsia" w:eastAsiaTheme="minorEastAsia"/>
          <w:color w:val="auto"/>
          <w:sz w:val="24"/>
          <w:highlight w:val="none"/>
        </w:rPr>
        <w:t>不</w:t>
      </w:r>
      <w:r>
        <w:rPr>
          <w:rFonts w:asciiTheme="minorEastAsia" w:hAnsiTheme="minorEastAsia" w:eastAsiaTheme="minorEastAsia"/>
          <w:color w:val="auto"/>
          <w:sz w:val="24"/>
          <w:highlight w:val="none"/>
        </w:rPr>
        <w:t>进入评标；通过资格审查的投标人少于三家的，不</w:t>
      </w:r>
      <w:r>
        <w:rPr>
          <w:rFonts w:hint="eastAsia" w:asciiTheme="minorEastAsia" w:hAnsiTheme="minorEastAsia" w:eastAsiaTheme="minorEastAsia"/>
          <w:color w:val="auto"/>
          <w:sz w:val="24"/>
          <w:highlight w:val="none"/>
        </w:rPr>
        <w:t>进行评标。</w:t>
      </w:r>
    </w:p>
    <w:p>
      <w:pPr>
        <w:spacing w:line="240" w:lineRule="atLeast"/>
        <w:ind w:left="960" w:hanging="960" w:hangingChars="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19.2    </w:t>
      </w:r>
      <w:r>
        <w:rPr>
          <w:rFonts w:hint="eastAsia" w:asciiTheme="minorEastAsia" w:hAnsiTheme="minorEastAsia" w:eastAsiaTheme="minorEastAsia"/>
          <w:color w:val="auto"/>
          <w:sz w:val="24"/>
          <w:highlight w:val="none"/>
        </w:rPr>
        <w:t>按照《</w:t>
      </w:r>
      <w:r>
        <w:rPr>
          <w:rFonts w:asciiTheme="minorEastAsia" w:hAnsiTheme="minorEastAsia" w:eastAsiaTheme="minorEastAsia"/>
          <w:color w:val="auto"/>
          <w:sz w:val="24"/>
          <w:highlight w:val="none"/>
        </w:rPr>
        <w:t>中华人民共和国政府采购法》</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《中华人民共和国政府采购实施条例》</w:t>
      </w:r>
      <w:r>
        <w:rPr>
          <w:rFonts w:hint="eastAsia" w:asciiTheme="minorEastAsia" w:hAnsiTheme="minorEastAsia" w:eastAsiaTheme="minorEastAsia"/>
          <w:color w:val="auto"/>
          <w:sz w:val="24"/>
          <w:highlight w:val="none"/>
        </w:rPr>
        <w:t>及本项目采购人本级</w:t>
      </w:r>
      <w:r>
        <w:rPr>
          <w:rFonts w:asciiTheme="minorEastAsia" w:hAnsiTheme="minorEastAsia" w:eastAsiaTheme="minorEastAsia"/>
          <w:color w:val="auto"/>
          <w:sz w:val="24"/>
          <w:highlight w:val="none"/>
        </w:rPr>
        <w:t>和上级财政部门</w:t>
      </w:r>
      <w:r>
        <w:rPr>
          <w:rFonts w:hint="eastAsia" w:asciiTheme="minorEastAsia" w:hAnsiTheme="minorEastAsia" w:eastAsiaTheme="minorEastAsia"/>
          <w:color w:val="auto"/>
          <w:sz w:val="24"/>
          <w:highlight w:val="none"/>
        </w:rPr>
        <w:t>的有关规定依法组建的</w:t>
      </w:r>
      <w:r>
        <w:rPr>
          <w:rFonts w:asciiTheme="minorEastAsia" w:hAnsiTheme="minorEastAsia" w:eastAsiaTheme="minorEastAsia"/>
          <w:color w:val="auto"/>
          <w:sz w:val="24"/>
          <w:highlight w:val="none"/>
        </w:rPr>
        <w:t>评标委员会</w:t>
      </w:r>
      <w:r>
        <w:rPr>
          <w:rFonts w:hint="eastAsia" w:asciiTheme="minorEastAsia" w:hAnsiTheme="minorEastAsia" w:eastAsiaTheme="minorEastAsia"/>
          <w:color w:val="auto"/>
          <w:sz w:val="24"/>
          <w:highlight w:val="none"/>
        </w:rPr>
        <w:t>负责评标工作。</w:t>
      </w:r>
      <w:bookmarkStart w:id="176" w:name="_Toc520356166"/>
    </w:p>
    <w:p>
      <w:pPr>
        <w:pStyle w:val="6"/>
        <w:spacing w:before="0" w:after="0" w:line="240" w:lineRule="atLeast"/>
        <w:rPr>
          <w:rFonts w:asciiTheme="minorEastAsia" w:hAnsiTheme="minorEastAsia" w:eastAsiaTheme="minorEastAsia"/>
          <w:b w:val="0"/>
          <w:bCs/>
          <w:color w:val="auto"/>
          <w:highlight w:val="none"/>
          <w:bdr w:val="single" w:color="auto" w:sz="4" w:space="0"/>
        </w:rPr>
      </w:pPr>
      <w:bookmarkStart w:id="177" w:name="_Toc507399467"/>
      <w:bookmarkStart w:id="178" w:name="_Toc510950619"/>
      <w:bookmarkStart w:id="179" w:name="_Toc510950540"/>
      <w:bookmarkStart w:id="180" w:name="_Toc510950459"/>
      <w:bookmarkStart w:id="181" w:name="_Toc533275334"/>
      <w:bookmarkStart w:id="182" w:name="_Toc31852"/>
      <w:r>
        <w:rPr>
          <w:rFonts w:asciiTheme="minorEastAsia" w:hAnsiTheme="minorEastAsia" w:eastAsiaTheme="minorEastAsia"/>
          <w:color w:val="auto"/>
          <w:highlight w:val="none"/>
          <w:u w:val="none"/>
        </w:rPr>
        <w:t xml:space="preserve">20.    </w:t>
      </w:r>
      <w:r>
        <w:rPr>
          <w:rFonts w:hint="eastAsia" w:asciiTheme="minorEastAsia" w:hAnsiTheme="minorEastAsia" w:eastAsiaTheme="minorEastAsia"/>
          <w:color w:val="auto"/>
          <w:highlight w:val="none"/>
          <w:u w:val="none"/>
        </w:rPr>
        <w:t>投标文件的</w:t>
      </w:r>
      <w:bookmarkEnd w:id="176"/>
      <w:r>
        <w:rPr>
          <w:rFonts w:hint="eastAsia" w:asciiTheme="minorEastAsia" w:hAnsiTheme="minorEastAsia" w:eastAsiaTheme="minorEastAsia"/>
          <w:color w:val="auto"/>
          <w:highlight w:val="none"/>
          <w:u w:val="none"/>
        </w:rPr>
        <w:t>符合性审查与澄清</w:t>
      </w:r>
      <w:bookmarkEnd w:id="177"/>
      <w:bookmarkEnd w:id="178"/>
      <w:bookmarkEnd w:id="179"/>
      <w:bookmarkEnd w:id="180"/>
      <w:bookmarkEnd w:id="181"/>
      <w:bookmarkEnd w:id="182"/>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20</w:t>
      </w:r>
      <w:r>
        <w:rPr>
          <w:rFonts w:hint="eastAsia" w:asciiTheme="minorEastAsia" w:hAnsiTheme="minorEastAsia" w:eastAsiaTheme="minorEastAsia"/>
          <w:color w:val="auto"/>
          <w:sz w:val="24"/>
          <w:highlight w:val="none"/>
        </w:rPr>
        <w:t>.1   符合性审查是</w:t>
      </w:r>
      <w:r>
        <w:rPr>
          <w:rFonts w:asciiTheme="minorEastAsia" w:hAnsiTheme="minorEastAsia" w:eastAsiaTheme="minorEastAsia"/>
          <w:color w:val="auto"/>
          <w:sz w:val="24"/>
          <w:highlight w:val="none"/>
        </w:rPr>
        <w:t>指</w:t>
      </w:r>
      <w:r>
        <w:rPr>
          <w:rFonts w:hint="eastAsia" w:asciiTheme="minorEastAsia" w:hAnsiTheme="minorEastAsia" w:eastAsiaTheme="minorEastAsia"/>
          <w:color w:val="auto"/>
          <w:sz w:val="24"/>
          <w:highlight w:val="none"/>
        </w:rPr>
        <w:t>依据招标文件的规定，从投标文件的有效性、完整性和对招标文件的响应程度进行审查，以确定是否对招标文件的实质性要求做出响应。</w:t>
      </w:r>
      <w:bookmarkStart w:id="183" w:name="_Hlt522424701"/>
      <w:bookmarkEnd w:id="183"/>
      <w:bookmarkStart w:id="184" w:name="_Toc520356167"/>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投标文件的澄清</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.2.1  在评标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.2.2  澄清文件将作为投标文件的一部分。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.2.3  投标文件报价出现前后不一致的，按照下列规定修正：</w:t>
      </w:r>
    </w:p>
    <w:p>
      <w:pPr>
        <w:spacing w:line="240" w:lineRule="atLeast"/>
        <w:ind w:left="945" w:leftChars="250" w:hanging="420" w:hanging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（一）投标文件中开标一览表（报价表）内容与投标文件中相应内容不一致的，以开标一览表（报价表）为准；</w:t>
      </w:r>
    </w:p>
    <w:p>
      <w:pPr>
        <w:spacing w:line="240" w:lineRule="atLeast"/>
        <w:ind w:left="825" w:leftChars="250" w:hanging="300" w:hangingChars="1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（二）大写金额和小写金额不一致的，以大写金额为准；</w:t>
      </w:r>
    </w:p>
    <w:p>
      <w:pPr>
        <w:spacing w:line="240" w:lineRule="atLeast"/>
        <w:ind w:left="900" w:leftChars="400"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（三）单价金额小数点或者百分比有明显错位的，以开标一览表的总价为准，并修改单价；</w:t>
      </w:r>
    </w:p>
    <w:p>
      <w:pPr>
        <w:spacing w:line="240" w:lineRule="atLeast"/>
        <w:ind w:left="735" w:leftChars="350"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（四）总价金额与按单价汇总金额不一致的，以单价金额计算结果为准。</w:t>
      </w:r>
    </w:p>
    <w:p>
      <w:pPr>
        <w:spacing w:line="240" w:lineRule="atLeast"/>
        <w:ind w:left="840" w:leftChars="200" w:hanging="420" w:hanging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同时出现两种以上不一致的，按照前款规定的顺序修正。修正后的报价按照第2</w:t>
      </w:r>
      <w:r>
        <w:rPr>
          <w:rFonts w:asciiTheme="minorEastAsia" w:hAnsiTheme="minorEastAsia" w:eastAsiaTheme="minorEastAsia"/>
          <w:color w:val="auto"/>
          <w:sz w:val="24"/>
          <w:highlight w:val="none"/>
        </w:rPr>
        <w:t>0.2</w:t>
      </w:r>
      <w:r>
        <w:rPr>
          <w:rFonts w:hint="eastAsia" w:asciiTheme="minorEastAsia" w:hAnsiTheme="minorEastAsia" w:eastAsiaTheme="minorEastAsia"/>
          <w:color w:val="auto"/>
          <w:sz w:val="24"/>
          <w:highlight w:val="none"/>
        </w:rPr>
        <w:t>条的规定经投标人确认后产生约束力，投标人不确认的，将被视为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735" w:leftChars="350"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对不同文字文本投标文件的解释发生异议的，以中文文本为准。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20.3   如一个分包内只有一种产品，不同</w:t>
      </w:r>
      <w:r>
        <w:rPr>
          <w:rFonts w:asciiTheme="minorEastAsia" w:hAnsiTheme="minorEastAsia" w:eastAsiaTheme="minorEastAsia"/>
          <w:color w:val="auto"/>
          <w:sz w:val="24"/>
          <w:highlight w:val="none"/>
        </w:rPr>
        <w:t>投标人所投产品为</w:t>
      </w:r>
      <w:r>
        <w:rPr>
          <w:rFonts w:hint="eastAsia" w:asciiTheme="minorEastAsia" w:hAnsiTheme="minorEastAsia" w:eastAsiaTheme="minorEastAsia"/>
          <w:color w:val="auto"/>
          <w:sz w:val="24"/>
          <w:highlight w:val="none"/>
        </w:rPr>
        <w:t>同一品牌的</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按</w:t>
      </w:r>
      <w:r>
        <w:rPr>
          <w:rFonts w:asciiTheme="minorEastAsia" w:hAnsiTheme="minorEastAsia" w:eastAsiaTheme="minorEastAsia"/>
          <w:color w:val="auto"/>
          <w:sz w:val="24"/>
          <w:highlight w:val="none"/>
        </w:rPr>
        <w:t>如下方式处理：</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20.3.1</w:t>
      </w:r>
      <w:r>
        <w:rPr>
          <w:rFonts w:hint="eastAsia" w:asciiTheme="minorEastAsia" w:hAnsiTheme="minorEastAsia" w:eastAsiaTheme="minorEastAsia"/>
          <w:color w:val="auto"/>
          <w:sz w:val="24"/>
          <w:highlight w:val="none"/>
        </w:rPr>
        <w:t>如</w:t>
      </w:r>
      <w:r>
        <w:rPr>
          <w:rFonts w:asciiTheme="minorEastAsia" w:hAnsiTheme="minorEastAsia" w:eastAsiaTheme="minorEastAsia"/>
          <w:color w:val="auto"/>
          <w:sz w:val="24"/>
          <w:highlight w:val="none"/>
        </w:rPr>
        <w:t>本项目</w:t>
      </w:r>
      <w:r>
        <w:rPr>
          <w:rFonts w:hint="eastAsia" w:asciiTheme="minorEastAsia" w:hAnsiTheme="minorEastAsia" w:eastAsiaTheme="minorEastAsia"/>
          <w:color w:val="auto"/>
          <w:sz w:val="24"/>
          <w:highlight w:val="none"/>
        </w:rPr>
        <w:t>使用最低评标价法，提供相同品牌产品的不同投标人以其中通过资格审查、符合性审查且报价最低的参加评标；报价相同的，由采购人或者采购人委托评标委员会按照招标文件中</w:t>
      </w:r>
      <w:r>
        <w:rPr>
          <w:rFonts w:asciiTheme="minorEastAsia" w:hAnsiTheme="minorEastAsia" w:eastAsiaTheme="minorEastAsia"/>
          <w:color w:val="auto"/>
          <w:sz w:val="24"/>
          <w:highlight w:val="none"/>
        </w:rPr>
        <w:t>评标办法</w:t>
      </w:r>
      <w:r>
        <w:rPr>
          <w:rFonts w:hint="eastAsia" w:asciiTheme="minorEastAsia" w:hAnsiTheme="minorEastAsia" w:eastAsiaTheme="minorEastAsia"/>
          <w:color w:val="auto"/>
          <w:sz w:val="24"/>
          <w:highlight w:val="none"/>
        </w:rPr>
        <w:t>规定的方式确定一个参加评标的投标人；未规定的采取随机抽取方式确定，其他</w:t>
      </w:r>
      <w:r>
        <w:rPr>
          <w:rFonts w:hint="eastAsia" w:asciiTheme="minorEastAsia" w:hAnsiTheme="minorEastAsia" w:eastAsiaTheme="minorEastAsia"/>
          <w:b/>
          <w:color w:val="auto"/>
          <w:sz w:val="24"/>
          <w:highlight w:val="none"/>
        </w:rPr>
        <w:t>投标无效</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20.3.2如</w:t>
      </w:r>
      <w:r>
        <w:rPr>
          <w:rFonts w:asciiTheme="minorEastAsia" w:hAnsiTheme="minorEastAsia" w:eastAsiaTheme="minorEastAsia"/>
          <w:color w:val="auto"/>
          <w:sz w:val="24"/>
          <w:highlight w:val="none"/>
        </w:rPr>
        <w:t>本项目</w:t>
      </w:r>
      <w:r>
        <w:rPr>
          <w:rFonts w:hint="eastAsia" w:asciiTheme="minorEastAsia" w:hAnsiTheme="minorEastAsia" w:eastAsiaTheme="minorEastAsia"/>
          <w:color w:val="auto"/>
          <w:sz w:val="24"/>
          <w:highlight w:val="none"/>
        </w:rPr>
        <w:t>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w:t>
      </w:r>
      <w:r>
        <w:rPr>
          <w:rFonts w:asciiTheme="minorEastAsia" w:hAnsiTheme="minorEastAsia" w:eastAsiaTheme="minorEastAsia"/>
          <w:color w:val="auto"/>
          <w:sz w:val="24"/>
          <w:highlight w:val="none"/>
        </w:rPr>
        <w:t>评标办法</w:t>
      </w:r>
      <w:r>
        <w:rPr>
          <w:rFonts w:hint="eastAsia" w:asciiTheme="minorEastAsia" w:hAnsiTheme="minorEastAsia" w:eastAsiaTheme="minorEastAsia"/>
          <w:color w:val="auto"/>
          <w:sz w:val="24"/>
          <w:highlight w:val="none"/>
        </w:rPr>
        <w:t>规定的方式确定一个投标人获得中标人推荐资格；未规定的采取随机抽取方式确定，其他同品牌投标人不作为中标候选人。</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20.4   如</w:t>
      </w:r>
      <w:r>
        <w:rPr>
          <w:rFonts w:asciiTheme="minorEastAsia" w:hAnsiTheme="minorEastAsia" w:eastAsiaTheme="minorEastAsia"/>
          <w:color w:val="auto"/>
          <w:sz w:val="24"/>
          <w:highlight w:val="none"/>
        </w:rPr>
        <w:t>一个</w:t>
      </w:r>
      <w:r>
        <w:rPr>
          <w:rFonts w:hint="eastAsia" w:asciiTheme="minorEastAsia" w:hAnsiTheme="minorEastAsia" w:eastAsiaTheme="minorEastAsia"/>
          <w:color w:val="auto"/>
          <w:sz w:val="24"/>
          <w:highlight w:val="none"/>
        </w:rPr>
        <w:t>分包</w:t>
      </w:r>
      <w:r>
        <w:rPr>
          <w:rFonts w:asciiTheme="minorEastAsia" w:hAnsiTheme="minorEastAsia" w:eastAsiaTheme="minorEastAsia"/>
          <w:color w:val="auto"/>
          <w:sz w:val="24"/>
          <w:highlight w:val="none"/>
        </w:rPr>
        <w:t>内</w:t>
      </w:r>
      <w:r>
        <w:rPr>
          <w:rFonts w:hint="eastAsia" w:asciiTheme="minorEastAsia" w:hAnsiTheme="minorEastAsia" w:eastAsiaTheme="minorEastAsia"/>
          <w:color w:val="auto"/>
          <w:sz w:val="24"/>
          <w:highlight w:val="none"/>
        </w:rPr>
        <w:t>包含</w:t>
      </w:r>
      <w:r>
        <w:rPr>
          <w:rFonts w:asciiTheme="minorEastAsia" w:hAnsiTheme="minorEastAsia" w:eastAsiaTheme="minorEastAsia"/>
          <w:color w:val="auto"/>
          <w:sz w:val="24"/>
          <w:highlight w:val="none"/>
        </w:rPr>
        <w:t>多种产品的，</w:t>
      </w:r>
      <w:r>
        <w:rPr>
          <w:rFonts w:hint="eastAsia" w:asciiTheme="minorEastAsia" w:hAnsiTheme="minorEastAsia" w:eastAsiaTheme="minorEastAsia"/>
          <w:color w:val="auto"/>
          <w:sz w:val="24"/>
          <w:highlight w:val="none"/>
        </w:rPr>
        <w:t>采购人</w:t>
      </w:r>
      <w:r>
        <w:rPr>
          <w:rFonts w:asciiTheme="minorEastAsia" w:hAnsiTheme="minorEastAsia" w:eastAsiaTheme="minorEastAsia"/>
          <w:color w:val="auto"/>
          <w:sz w:val="24"/>
          <w:highlight w:val="none"/>
        </w:rPr>
        <w:t>或采购代理机构将在</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中载明</w:t>
      </w:r>
      <w:r>
        <w:rPr>
          <w:rFonts w:asciiTheme="minorEastAsia" w:hAnsiTheme="minorEastAsia" w:eastAsiaTheme="minorEastAsia"/>
          <w:color w:val="auto"/>
          <w:sz w:val="24"/>
          <w:highlight w:val="none"/>
        </w:rPr>
        <w:t>核心产品，</w:t>
      </w:r>
      <w:r>
        <w:rPr>
          <w:rFonts w:hint="eastAsia" w:asciiTheme="minorEastAsia" w:hAnsiTheme="minorEastAsia" w:eastAsiaTheme="minorEastAsia"/>
          <w:color w:val="auto"/>
          <w:sz w:val="24"/>
          <w:highlight w:val="none"/>
        </w:rPr>
        <w:t>多家投标人提供的所有核心产品品牌均相同的，按第2</w:t>
      </w:r>
      <w:r>
        <w:rPr>
          <w:rFonts w:asciiTheme="minorEastAsia" w:hAnsiTheme="minorEastAsia" w:eastAsiaTheme="minorEastAsia"/>
          <w:color w:val="auto"/>
          <w:sz w:val="24"/>
          <w:highlight w:val="none"/>
        </w:rPr>
        <w:t>0.3</w:t>
      </w:r>
      <w:r>
        <w:rPr>
          <w:rFonts w:hint="eastAsia" w:asciiTheme="minorEastAsia" w:hAnsiTheme="minorEastAsia" w:eastAsiaTheme="minorEastAsia"/>
          <w:color w:val="auto"/>
          <w:sz w:val="24"/>
          <w:highlight w:val="none"/>
        </w:rPr>
        <w:t>条规定处理。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20.5投标人所投产品如被列入财政部与国家主管部门颁发的节能产品目录或环境标志产品目录或无线局域网产品目录，应提供相关证明，在评标时予以优先采购，具体优先采购办法见第七章评标办法。</w:t>
      </w:r>
    </w:p>
    <w:p>
      <w:pPr>
        <w:spacing w:line="240" w:lineRule="atLeast"/>
        <w:ind w:left="840" w:leftChars="4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如采购人所采购产品为政府强制采购的节能产品，投标人所投产品的品牌及型号必须为清单中有效期内产品并提供证明文件，否则其投标将作为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857" w:leftChars="2" w:hanging="853"/>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20.6   采购人</w:t>
      </w:r>
      <w:r>
        <w:rPr>
          <w:rFonts w:asciiTheme="minorEastAsia" w:hAnsiTheme="minorEastAsia" w:eastAsiaTheme="minorEastAsia"/>
          <w:color w:val="auto"/>
          <w:sz w:val="24"/>
          <w:highlight w:val="none"/>
        </w:rPr>
        <w:t>或采购代理机构</w:t>
      </w:r>
      <w:r>
        <w:rPr>
          <w:rFonts w:hint="eastAsia" w:asciiTheme="minorEastAsia" w:hAnsiTheme="minorEastAsia" w:eastAsiaTheme="minorEastAsia"/>
          <w:color w:val="auto"/>
          <w:sz w:val="24"/>
          <w:highlight w:val="none"/>
        </w:rPr>
        <w:t>将在</w:t>
      </w:r>
      <w:r>
        <w:rPr>
          <w:rFonts w:hint="eastAsia" w:ascii="宋体" w:hAnsi="宋体"/>
          <w:color w:val="auto"/>
          <w:sz w:val="24"/>
          <w:highlight w:val="none"/>
        </w:rPr>
        <w:t>投标截止时间当天</w:t>
      </w:r>
      <w:r>
        <w:rPr>
          <w:rFonts w:hint="eastAsia" w:asciiTheme="minorEastAsia" w:hAnsiTheme="minorEastAsia" w:eastAsiaTheme="minorEastAsia"/>
          <w:color w:val="auto"/>
          <w:sz w:val="24"/>
          <w:highlight w:val="none"/>
        </w:rPr>
        <w:t>查询投标人的信用记录，投标人存在不良信用记录的，其投标将被作为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spacing w:line="240" w:lineRule="atLeast"/>
        <w:ind w:left="857" w:leftChars="2" w:hanging="853"/>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.1不良信用记录指：投标人在“信用中国”网站（www.creditchina.gov.cn）被列入失信被执行人、重大税收违法案件当事人名单</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在中国政府采购网（www.ccgp.gov.cn）被列入政府采购严重违法失信行为记录名单，</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存在《中华人民共和国政府采购法实施条例》第</w:t>
      </w:r>
      <w:r>
        <w:rPr>
          <w:rFonts w:asciiTheme="minorEastAsia" w:hAnsiTheme="minorEastAsia" w:eastAsiaTheme="minorEastAsia"/>
          <w:color w:val="auto"/>
          <w:sz w:val="24"/>
          <w:highlight w:val="none"/>
        </w:rPr>
        <w:t>十九</w:t>
      </w:r>
      <w:r>
        <w:rPr>
          <w:rFonts w:hint="eastAsia" w:asciiTheme="minorEastAsia" w:hAnsiTheme="minorEastAsia" w:eastAsiaTheme="minorEastAsia"/>
          <w:color w:val="auto"/>
          <w:sz w:val="24"/>
          <w:highlight w:val="none"/>
        </w:rPr>
        <w:t>条规定的行政处罚记录。</w:t>
      </w:r>
    </w:p>
    <w:p>
      <w:pPr>
        <w:spacing w:line="240" w:lineRule="atLeast"/>
        <w:ind w:left="850" w:leftChars="40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以联合体形式</w:t>
      </w:r>
      <w:r>
        <w:rPr>
          <w:rFonts w:asciiTheme="minorEastAsia" w:hAnsiTheme="minorEastAsia" w:eastAsiaTheme="minorEastAsia"/>
          <w:color w:val="auto"/>
          <w:sz w:val="24"/>
          <w:highlight w:val="none"/>
        </w:rPr>
        <w:t>参加</w:t>
      </w:r>
      <w:r>
        <w:rPr>
          <w:rFonts w:hint="eastAsia" w:asciiTheme="minorEastAsia" w:hAnsiTheme="minorEastAsia" w:eastAsiaTheme="minorEastAsia"/>
          <w:color w:val="auto"/>
          <w:sz w:val="24"/>
          <w:highlight w:val="none"/>
        </w:rPr>
        <w:t>投标的，联合体任何成员存在以上不良信用记录的，联合体投标将被作为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w:t>
      </w:r>
    </w:p>
    <w:p>
      <w:pPr>
        <w:pStyle w:val="5"/>
        <w:ind w:left="850" w:hanging="849" w:hangingChars="354"/>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20.</w:t>
      </w:r>
      <w:r>
        <w:rPr>
          <w:rFonts w:asciiTheme="minorEastAsia" w:hAnsiTheme="minorEastAsia" w:eastAsiaTheme="minorEastAsia"/>
          <w:color w:val="auto"/>
          <w:highlight w:val="none"/>
        </w:rPr>
        <w:t>6</w:t>
      </w:r>
      <w:r>
        <w:rPr>
          <w:rFonts w:hint="eastAsia" w:asciiTheme="minorEastAsia" w:hAnsiTheme="minorEastAsia" w:eastAsiaTheme="minorEastAsia"/>
          <w:color w:val="auto"/>
          <w:highlight w:val="none"/>
        </w:rPr>
        <w:t>.2 查询及记录方式：采购人</w:t>
      </w:r>
      <w:r>
        <w:rPr>
          <w:rFonts w:asciiTheme="minorEastAsia" w:hAnsiTheme="minorEastAsia" w:eastAsiaTheme="minorEastAsia"/>
          <w:color w:val="auto"/>
          <w:highlight w:val="none"/>
        </w:rPr>
        <w:t>或采购代理机构</w:t>
      </w:r>
      <w:r>
        <w:rPr>
          <w:rFonts w:hint="eastAsia" w:asciiTheme="minorEastAsia" w:hAnsiTheme="minorEastAsia" w:eastAsiaTheme="minorEastAsia"/>
          <w:color w:val="auto"/>
          <w:highlight w:val="none"/>
        </w:rPr>
        <w:t>经办人将查询网页打印、签字并存档备查。投标人不良信用记录以采购人</w:t>
      </w:r>
      <w:r>
        <w:rPr>
          <w:rFonts w:asciiTheme="minorEastAsia" w:hAnsiTheme="minorEastAsia" w:eastAsiaTheme="minorEastAsia"/>
          <w:color w:val="auto"/>
          <w:highlight w:val="none"/>
        </w:rPr>
        <w:t>或采购代理机构</w:t>
      </w:r>
      <w:r>
        <w:rPr>
          <w:rFonts w:hint="eastAsia" w:asciiTheme="minorEastAsia" w:hAnsiTheme="minorEastAsia" w:eastAsiaTheme="minorEastAsia"/>
          <w:color w:val="auto"/>
          <w:highlight w:val="none"/>
        </w:rPr>
        <w:t>查询结果为准，在本</w:t>
      </w:r>
      <w:r>
        <w:rPr>
          <w:rFonts w:asciiTheme="minorEastAsia" w:hAnsiTheme="minorEastAsia" w:eastAsiaTheme="minorEastAsia"/>
          <w:color w:val="auto"/>
          <w:highlight w:val="none"/>
        </w:rPr>
        <w:t>招标文件规定</w:t>
      </w:r>
      <w:r>
        <w:rPr>
          <w:rFonts w:hint="eastAsia" w:asciiTheme="minorEastAsia" w:hAnsiTheme="minorEastAsia" w:eastAsiaTheme="minorEastAsia"/>
          <w:color w:val="auto"/>
          <w:highlight w:val="none"/>
        </w:rPr>
        <w:t>的查询时间之后，网站信息发生的任何变更均不再作为评标依据，投标人自行提供的与网站信息不一致的其他证明材料亦不作为评标依据。</w:t>
      </w:r>
    </w:p>
    <w:p>
      <w:pPr>
        <w:pStyle w:val="6"/>
        <w:spacing w:before="0" w:after="0" w:line="240" w:lineRule="atLeast"/>
        <w:rPr>
          <w:rFonts w:asciiTheme="minorEastAsia" w:hAnsiTheme="minorEastAsia" w:eastAsiaTheme="minorEastAsia"/>
          <w:color w:val="auto"/>
          <w:highlight w:val="none"/>
          <w:u w:val="none"/>
        </w:rPr>
      </w:pPr>
      <w:bookmarkStart w:id="185" w:name="_Toc510950460"/>
      <w:bookmarkStart w:id="186" w:name="_Toc30156"/>
      <w:bookmarkStart w:id="187" w:name="_Toc510950541"/>
      <w:bookmarkStart w:id="188" w:name="_Toc533275335"/>
      <w:bookmarkStart w:id="189" w:name="_Toc507399468"/>
      <w:bookmarkStart w:id="190" w:name="_Toc510950620"/>
      <w:r>
        <w:rPr>
          <w:rFonts w:hint="eastAsia" w:asciiTheme="minorEastAsia" w:hAnsiTheme="minorEastAsia" w:eastAsiaTheme="minorEastAsia"/>
          <w:color w:val="auto"/>
          <w:highlight w:val="none"/>
          <w:u w:val="none"/>
        </w:rPr>
        <w:t>21.     投标偏离</w:t>
      </w:r>
      <w:bookmarkEnd w:id="185"/>
      <w:bookmarkEnd w:id="186"/>
      <w:bookmarkEnd w:id="187"/>
      <w:bookmarkEnd w:id="188"/>
      <w:bookmarkEnd w:id="189"/>
      <w:bookmarkEnd w:id="190"/>
    </w:p>
    <w:p>
      <w:pPr>
        <w:spacing w:line="240" w:lineRule="atLeast"/>
        <w:ind w:left="870" w:leftChars="100" w:hanging="660" w:hangingChars="2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对于投标文件中不构成实质性偏差的不正规、不一致或不规则，评标委员会可以接受，但这种接受不能损坏或影响任何投标人的相对排序。</w:t>
      </w:r>
    </w:p>
    <w:p>
      <w:pPr>
        <w:pStyle w:val="6"/>
        <w:spacing w:before="0" w:after="0" w:line="240" w:lineRule="atLeast"/>
        <w:rPr>
          <w:rFonts w:asciiTheme="minorEastAsia" w:hAnsiTheme="minorEastAsia" w:eastAsiaTheme="minorEastAsia"/>
          <w:color w:val="auto"/>
          <w:highlight w:val="none"/>
          <w:u w:val="none"/>
        </w:rPr>
      </w:pPr>
      <w:bookmarkStart w:id="191" w:name="_Toc533275336"/>
      <w:bookmarkStart w:id="192" w:name="_Toc507399469"/>
      <w:bookmarkStart w:id="193" w:name="_Toc510950461"/>
      <w:bookmarkStart w:id="194" w:name="_Toc510950621"/>
      <w:bookmarkStart w:id="195" w:name="_Toc510950542"/>
      <w:bookmarkStart w:id="196" w:name="_Toc12719"/>
      <w:r>
        <w:rPr>
          <w:rFonts w:hint="eastAsia" w:asciiTheme="minorEastAsia" w:hAnsiTheme="minorEastAsia" w:eastAsiaTheme="minorEastAsia"/>
          <w:color w:val="auto"/>
          <w:highlight w:val="none"/>
          <w:u w:val="none"/>
        </w:rPr>
        <w:t>22.    无效投标</w:t>
      </w:r>
      <w:bookmarkEnd w:id="191"/>
      <w:bookmarkEnd w:id="192"/>
      <w:bookmarkEnd w:id="193"/>
      <w:bookmarkEnd w:id="194"/>
      <w:bookmarkEnd w:id="195"/>
      <w:bookmarkEnd w:id="196"/>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 xml:space="preserve">  在比较与评价之前，根据本须知的规定，评标委员会要审查每份投标文件是否实质上响应了招标文件的要求。实质上响应的投标应该是与招标文件要求的全部条款、条件和规格相符，没有重大偏离的投标。对关键条款的偏离、保留和反对，将被认为是实质上的偏离，属于</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被拒绝。评标委员会决定投标的响应性只根据招标</w:t>
      </w:r>
      <w:r>
        <w:rPr>
          <w:rFonts w:asciiTheme="minorEastAsia" w:hAnsiTheme="minorEastAsia" w:eastAsiaTheme="minorEastAsia"/>
          <w:color w:val="auto"/>
          <w:sz w:val="24"/>
          <w:highlight w:val="none"/>
        </w:rPr>
        <w:t>文件要求</w:t>
      </w:r>
      <w:r>
        <w:rPr>
          <w:rFonts w:hint="eastAsia" w:asciiTheme="minorEastAsia" w:hAnsiTheme="minorEastAsia" w:eastAsiaTheme="minorEastAsia"/>
          <w:color w:val="auto"/>
          <w:sz w:val="24"/>
          <w:highlight w:val="none"/>
        </w:rPr>
        <w:t>、投标文件内容及财政</w:t>
      </w:r>
      <w:r>
        <w:rPr>
          <w:rFonts w:asciiTheme="minorEastAsia" w:hAnsiTheme="minorEastAsia" w:eastAsiaTheme="minorEastAsia"/>
          <w:color w:val="auto"/>
          <w:sz w:val="24"/>
          <w:highlight w:val="none"/>
        </w:rPr>
        <w:t>主管部门</w:t>
      </w:r>
      <w:r>
        <w:rPr>
          <w:rFonts w:hint="eastAsia" w:asciiTheme="minorEastAsia" w:hAnsiTheme="minorEastAsia" w:eastAsiaTheme="minorEastAsia"/>
          <w:color w:val="auto"/>
          <w:sz w:val="24"/>
          <w:highlight w:val="none"/>
        </w:rPr>
        <w:t>指定相关</w:t>
      </w:r>
      <w:r>
        <w:rPr>
          <w:rFonts w:asciiTheme="minorEastAsia" w:hAnsiTheme="minorEastAsia" w:eastAsiaTheme="minorEastAsia"/>
          <w:color w:val="auto"/>
          <w:sz w:val="24"/>
          <w:highlight w:val="none"/>
        </w:rPr>
        <w:t>信息发布媒体。</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实质上没有响应招标文件要求的投标将被作为</w:t>
      </w:r>
      <w:r>
        <w:rPr>
          <w:rFonts w:hint="eastAsia" w:asciiTheme="minorEastAsia" w:hAnsiTheme="minorEastAsia" w:eastAsiaTheme="minorEastAsia"/>
          <w:b/>
          <w:color w:val="auto"/>
          <w:sz w:val="24"/>
          <w:highlight w:val="none"/>
        </w:rPr>
        <w:t>无效投标</w:t>
      </w:r>
      <w:r>
        <w:rPr>
          <w:rFonts w:hint="eastAsia" w:asciiTheme="minorEastAsia" w:hAnsiTheme="minorEastAsia" w:eastAsiaTheme="minorEastAsia"/>
          <w:color w:val="auto"/>
          <w:sz w:val="24"/>
          <w:highlight w:val="none"/>
        </w:rPr>
        <w:t>被拒绝。投标人不得通过修正或撤销不符合要求的偏离或保留从而使其投标成为实质上响应的投标。</w:t>
      </w:r>
    </w:p>
    <w:p>
      <w:pPr>
        <w:pStyle w:val="6"/>
        <w:spacing w:before="0" w:after="0" w:line="240" w:lineRule="atLeast"/>
        <w:rPr>
          <w:rFonts w:asciiTheme="minorEastAsia" w:hAnsiTheme="minorEastAsia" w:eastAsiaTheme="minorEastAsia"/>
          <w:color w:val="auto"/>
          <w:highlight w:val="none"/>
          <w:u w:val="none"/>
        </w:rPr>
      </w:pPr>
      <w:bookmarkStart w:id="197" w:name="_Toc510950622"/>
      <w:bookmarkStart w:id="198" w:name="_Toc510950543"/>
      <w:bookmarkStart w:id="199" w:name="_Toc533275337"/>
      <w:bookmarkStart w:id="200" w:name="_Toc510950462"/>
      <w:bookmarkStart w:id="201" w:name="_Toc507399470"/>
      <w:bookmarkStart w:id="202" w:name="_Toc6956"/>
      <w:r>
        <w:rPr>
          <w:rFonts w:asciiTheme="minorEastAsia" w:hAnsiTheme="minorEastAsia" w:eastAsiaTheme="minorEastAsia"/>
          <w:color w:val="auto"/>
          <w:highlight w:val="none"/>
          <w:u w:val="none"/>
        </w:rPr>
        <w:t>23</w:t>
      </w:r>
      <w:r>
        <w:rPr>
          <w:rFonts w:hint="eastAsia" w:asciiTheme="minorEastAsia" w:hAnsiTheme="minorEastAsia" w:eastAsiaTheme="minorEastAsia"/>
          <w:color w:val="auto"/>
          <w:highlight w:val="none"/>
          <w:u w:val="none"/>
        </w:rPr>
        <w:t xml:space="preserve">. </w:t>
      </w:r>
      <w:r>
        <w:rPr>
          <w:rFonts w:hint="eastAsia" w:asciiTheme="minorEastAsia" w:hAnsiTheme="minorEastAsia" w:eastAsiaTheme="minorEastAsia"/>
          <w:color w:val="auto"/>
          <w:highlight w:val="none"/>
          <w:u w:val="none"/>
        </w:rPr>
        <w:tab/>
      </w:r>
      <w:bookmarkEnd w:id="184"/>
      <w:r>
        <w:rPr>
          <w:rFonts w:hint="eastAsia" w:asciiTheme="minorEastAsia" w:hAnsiTheme="minorEastAsia" w:eastAsiaTheme="minorEastAsia"/>
          <w:color w:val="auto"/>
          <w:highlight w:val="none"/>
          <w:u w:val="none"/>
        </w:rPr>
        <w:t>比较与评价</w:t>
      </w:r>
      <w:bookmarkEnd w:id="197"/>
      <w:bookmarkEnd w:id="198"/>
      <w:bookmarkEnd w:id="199"/>
      <w:bookmarkEnd w:id="200"/>
      <w:bookmarkEnd w:id="201"/>
      <w:bookmarkEnd w:id="202"/>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23</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经符合性审查合格的投标文件，评标委员会将根据招标文件确定的评标办法，对其技术部分和商务部分作进一步的比较和评价。</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23</w:t>
      </w:r>
      <w:r>
        <w:rPr>
          <w:rFonts w:hint="eastAsia" w:asciiTheme="minorEastAsia" w:hAnsiTheme="minorEastAsia" w:eastAsiaTheme="minorEastAsia"/>
          <w:color w:val="auto"/>
          <w:sz w:val="24"/>
          <w:highlight w:val="none"/>
        </w:rPr>
        <w:t xml:space="preserve">.2  </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评标严格按照招标文件的要求和条件进行。根据实际情况，在</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中规定采用下列一种评标方法，详细评标标准见招标文件第七章：</w:t>
      </w:r>
    </w:p>
    <w:p>
      <w:pPr>
        <w:pStyle w:val="22"/>
        <w:spacing w:line="240" w:lineRule="atLeast"/>
        <w:ind w:left="899" w:leftChars="342" w:hanging="18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 最低评标价法，是指</w:t>
      </w:r>
      <w:r>
        <w:rPr>
          <w:rFonts w:asciiTheme="minorEastAsia" w:hAnsiTheme="minorEastAsia" w:eastAsiaTheme="minorEastAsia"/>
          <w:color w:val="auto"/>
          <w:sz w:val="24"/>
          <w:szCs w:val="24"/>
          <w:highlight w:val="none"/>
        </w:rPr>
        <w:t>投标文件满足招标文件全部实质性要求</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且投标报价最低的</w:t>
      </w:r>
      <w:r>
        <w:rPr>
          <w:rFonts w:hint="eastAsia" w:asciiTheme="minorEastAsia" w:hAnsiTheme="minorEastAsia" w:eastAsiaTheme="minorEastAsia"/>
          <w:color w:val="auto"/>
          <w:sz w:val="24"/>
          <w:szCs w:val="24"/>
          <w:highlight w:val="none"/>
        </w:rPr>
        <w:t>投标人</w:t>
      </w:r>
      <w:r>
        <w:rPr>
          <w:rFonts w:asciiTheme="minorEastAsia" w:hAnsiTheme="minorEastAsia" w:eastAsiaTheme="minorEastAsia"/>
          <w:color w:val="auto"/>
          <w:sz w:val="24"/>
          <w:szCs w:val="24"/>
          <w:highlight w:val="none"/>
        </w:rPr>
        <w:t>为中标</w:t>
      </w:r>
      <w:r>
        <w:rPr>
          <w:rFonts w:hint="eastAsia" w:asciiTheme="minorEastAsia" w:hAnsiTheme="minorEastAsia" w:eastAsiaTheme="minorEastAsia"/>
          <w:color w:val="auto"/>
          <w:sz w:val="24"/>
          <w:szCs w:val="24"/>
          <w:highlight w:val="none"/>
        </w:rPr>
        <w:t>候选</w:t>
      </w:r>
      <w:r>
        <w:rPr>
          <w:rFonts w:asciiTheme="minorEastAsia" w:hAnsiTheme="minorEastAsia" w:eastAsiaTheme="minorEastAsia"/>
          <w:color w:val="auto"/>
          <w:sz w:val="24"/>
          <w:szCs w:val="24"/>
          <w:highlight w:val="none"/>
        </w:rPr>
        <w:t>人的评标方法</w:t>
      </w:r>
      <w:r>
        <w:rPr>
          <w:rFonts w:hint="eastAsia" w:asciiTheme="minorEastAsia" w:hAnsiTheme="minorEastAsia" w:eastAsiaTheme="minorEastAsia"/>
          <w:color w:val="auto"/>
          <w:sz w:val="24"/>
          <w:szCs w:val="24"/>
          <w:highlight w:val="none"/>
        </w:rPr>
        <w:t>。</w:t>
      </w:r>
    </w:p>
    <w:p>
      <w:pPr>
        <w:pStyle w:val="22"/>
        <w:spacing w:line="240" w:lineRule="atLeast"/>
        <w:ind w:left="898" w:leftChars="342" w:hanging="1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综合评分法，是</w:t>
      </w:r>
      <w:r>
        <w:rPr>
          <w:rFonts w:asciiTheme="minorEastAsia" w:hAnsiTheme="minorEastAsia" w:eastAsiaTheme="minorEastAsia"/>
          <w:color w:val="auto"/>
          <w:sz w:val="24"/>
          <w:szCs w:val="24"/>
          <w:highlight w:val="none"/>
        </w:rPr>
        <w:t>指投标文件满足招标</w:t>
      </w:r>
      <w:r>
        <w:rPr>
          <w:rFonts w:hint="eastAsia" w:asciiTheme="minorEastAsia" w:hAnsiTheme="minorEastAsia" w:eastAsiaTheme="minorEastAsia"/>
          <w:color w:val="auto"/>
          <w:sz w:val="24"/>
          <w:szCs w:val="24"/>
          <w:highlight w:val="none"/>
        </w:rPr>
        <w:t>文件</w:t>
      </w:r>
      <w:r>
        <w:rPr>
          <w:rFonts w:asciiTheme="minorEastAsia" w:hAnsiTheme="minorEastAsia" w:eastAsiaTheme="minorEastAsia"/>
          <w:color w:val="auto"/>
          <w:sz w:val="24"/>
          <w:szCs w:val="24"/>
          <w:highlight w:val="none"/>
        </w:rPr>
        <w:t>全部实质性要求</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且按照评审因素的</w:t>
      </w:r>
      <w:r>
        <w:rPr>
          <w:rFonts w:hint="eastAsia" w:asciiTheme="minorEastAsia" w:hAnsiTheme="minorEastAsia" w:eastAsiaTheme="minorEastAsia"/>
          <w:color w:val="auto"/>
          <w:sz w:val="24"/>
          <w:szCs w:val="24"/>
          <w:highlight w:val="none"/>
        </w:rPr>
        <w:t>量化</w:t>
      </w:r>
      <w:r>
        <w:rPr>
          <w:rFonts w:asciiTheme="minorEastAsia" w:hAnsiTheme="minorEastAsia" w:eastAsiaTheme="minorEastAsia"/>
          <w:color w:val="auto"/>
          <w:sz w:val="24"/>
          <w:szCs w:val="24"/>
          <w:highlight w:val="none"/>
        </w:rPr>
        <w:t>指标评审得分最高的</w:t>
      </w:r>
      <w:r>
        <w:rPr>
          <w:rFonts w:hint="eastAsia" w:asciiTheme="minorEastAsia" w:hAnsiTheme="minorEastAsia" w:eastAsiaTheme="minorEastAsia"/>
          <w:color w:val="auto"/>
          <w:sz w:val="24"/>
          <w:szCs w:val="24"/>
          <w:highlight w:val="none"/>
        </w:rPr>
        <w:t>投标人</w:t>
      </w:r>
      <w:r>
        <w:rPr>
          <w:rFonts w:asciiTheme="minorEastAsia" w:hAnsiTheme="minorEastAsia" w:eastAsiaTheme="minorEastAsia"/>
          <w:color w:val="auto"/>
          <w:sz w:val="24"/>
          <w:szCs w:val="24"/>
          <w:highlight w:val="none"/>
        </w:rPr>
        <w:t>为中标候选人的评标方法。</w:t>
      </w:r>
    </w:p>
    <w:p>
      <w:pPr>
        <w:pStyle w:val="22"/>
        <w:spacing w:line="240" w:lineRule="atLeast"/>
        <w:ind w:left="900" w:hanging="900" w:hangingChars="375"/>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23</w:t>
      </w:r>
      <w:r>
        <w:rPr>
          <w:rFonts w:hint="eastAsia" w:asciiTheme="minorEastAsia" w:hAnsiTheme="minorEastAsia" w:eastAsiaTheme="minorEastAsia"/>
          <w:color w:val="auto"/>
          <w:sz w:val="24"/>
          <w:szCs w:val="24"/>
          <w:highlight w:val="none"/>
        </w:rPr>
        <w:t>.3   根据《政府采购促进中小企业发展暂行办法》（财库[2011]181号）、《</w:t>
      </w:r>
      <w:r>
        <w:rPr>
          <w:rFonts w:asciiTheme="minorEastAsia" w:hAnsiTheme="minorEastAsia" w:eastAsiaTheme="minorEastAsia"/>
          <w:color w:val="auto"/>
          <w:sz w:val="24"/>
          <w:szCs w:val="24"/>
          <w:highlight w:val="none"/>
        </w:rPr>
        <w:t>财政部 司法部关于政府采购支持监狱企业发展有关问题的通知</w:t>
      </w:r>
      <w:r>
        <w:rPr>
          <w:rFonts w:hint="eastAsia" w:asciiTheme="minorEastAsia" w:hAnsiTheme="minorEastAsia" w:eastAsiaTheme="minorEastAsia"/>
          <w:color w:val="auto"/>
          <w:sz w:val="24"/>
          <w:szCs w:val="24"/>
          <w:highlight w:val="none"/>
        </w:rPr>
        <w:t>》（财库〔2014〕68号）和《三部门联合发布关于促进残疾人就业政府采购政策的通知》（</w:t>
      </w:r>
      <w:bookmarkStart w:id="203" w:name="sendNo"/>
      <w:r>
        <w:rPr>
          <w:rFonts w:hint="eastAsia" w:asciiTheme="minorEastAsia" w:hAnsiTheme="minorEastAsia" w:eastAsiaTheme="minorEastAsia"/>
          <w:bCs/>
          <w:color w:val="auto"/>
          <w:sz w:val="24"/>
          <w:szCs w:val="24"/>
          <w:highlight w:val="none"/>
        </w:rPr>
        <w:t>财库〔</w:t>
      </w:r>
      <w:bookmarkEnd w:id="203"/>
      <w:r>
        <w:rPr>
          <w:rFonts w:hint="eastAsia" w:asciiTheme="minorEastAsia" w:hAnsiTheme="minorEastAsia" w:eastAsiaTheme="minorEastAsia"/>
          <w:bCs/>
          <w:color w:val="auto"/>
          <w:sz w:val="24"/>
          <w:szCs w:val="24"/>
          <w:highlight w:val="none"/>
        </w:rPr>
        <w:t>2017〕141号</w:t>
      </w:r>
      <w:r>
        <w:rPr>
          <w:rFonts w:hint="eastAsia" w:asciiTheme="minorEastAsia" w:hAnsiTheme="minorEastAsia" w:eastAsiaTheme="minorEastAsia"/>
          <w:color w:val="auto"/>
          <w:sz w:val="24"/>
          <w:szCs w:val="24"/>
          <w:highlight w:val="none"/>
        </w:rPr>
        <w:t>）的规定，对满足价格扣除条件且在投标文件中提交了《投标人企业类型声明函》或省级以上监狱管理局、戒毒管理局（含新疆生产建设兵团）出具的属于监狱企业的证明文件的投标人，其投标报价扣除6-10%后参与评审。具体办法详见招标文件第七章。</w:t>
      </w:r>
    </w:p>
    <w:p>
      <w:pPr>
        <w:pStyle w:val="6"/>
        <w:spacing w:before="0" w:after="0" w:line="240" w:lineRule="atLeast"/>
        <w:rPr>
          <w:rFonts w:asciiTheme="minorEastAsia" w:hAnsiTheme="minorEastAsia" w:eastAsiaTheme="minorEastAsia"/>
          <w:color w:val="auto"/>
          <w:highlight w:val="none"/>
          <w:u w:val="none"/>
        </w:rPr>
      </w:pPr>
      <w:bookmarkStart w:id="204" w:name="_Toc520356168"/>
      <w:bookmarkStart w:id="205" w:name="_Toc510950623"/>
      <w:bookmarkStart w:id="206" w:name="_Toc510950463"/>
      <w:bookmarkStart w:id="207" w:name="_Toc507399471"/>
      <w:bookmarkStart w:id="208" w:name="_Toc510950544"/>
      <w:bookmarkStart w:id="209" w:name="_Toc533275338"/>
      <w:bookmarkStart w:id="210" w:name="_Toc1974"/>
      <w:r>
        <w:rPr>
          <w:rFonts w:asciiTheme="minorEastAsia" w:hAnsiTheme="minorEastAsia" w:eastAsiaTheme="minorEastAsia"/>
          <w:color w:val="auto"/>
          <w:highlight w:val="none"/>
          <w:u w:val="none"/>
        </w:rPr>
        <w:t>24</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bookmarkEnd w:id="204"/>
      <w:r>
        <w:rPr>
          <w:rFonts w:hint="eastAsia" w:asciiTheme="minorEastAsia" w:hAnsiTheme="minorEastAsia" w:eastAsiaTheme="minorEastAsia"/>
          <w:color w:val="auto"/>
          <w:highlight w:val="none"/>
          <w:u w:val="none"/>
        </w:rPr>
        <w:t>废标</w:t>
      </w:r>
      <w:bookmarkEnd w:id="205"/>
      <w:bookmarkEnd w:id="206"/>
      <w:bookmarkEnd w:id="207"/>
      <w:bookmarkEnd w:id="208"/>
      <w:bookmarkEnd w:id="209"/>
      <w:bookmarkEnd w:id="210"/>
    </w:p>
    <w:p>
      <w:pPr>
        <w:spacing w:line="240" w:lineRule="atLeast"/>
        <w:ind w:left="898" w:leftChars="399"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出现下列情形之一，将导致项目废标即本项目的所有</w:t>
      </w:r>
      <w:r>
        <w:rPr>
          <w:rFonts w:hint="eastAsia" w:asciiTheme="minorEastAsia" w:hAnsiTheme="minorEastAsia" w:eastAsiaTheme="minorEastAsia"/>
          <w:b/>
          <w:color w:val="auto"/>
          <w:sz w:val="24"/>
          <w:highlight w:val="none"/>
        </w:rPr>
        <w:t>投标被拒绝</w:t>
      </w:r>
      <w:r>
        <w:rPr>
          <w:rFonts w:hint="eastAsia" w:asciiTheme="minorEastAsia" w:hAnsiTheme="minorEastAsia" w:eastAsiaTheme="minorEastAsia"/>
          <w:color w:val="auto"/>
          <w:sz w:val="24"/>
          <w:highlight w:val="none"/>
        </w:rPr>
        <w:t xml:space="preserve">： </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（1）符合专业条件的供应商或者对招标文件做实质性响应的供应商不足三家；</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（2）出现影响采购公正的违法、违规行为的；</w:t>
      </w:r>
    </w:p>
    <w:p>
      <w:pPr>
        <w:spacing w:line="240" w:lineRule="atLeast"/>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（3）投标人的报价均超过了采购预算，采购人不能支付的；</w:t>
      </w:r>
    </w:p>
    <w:p>
      <w:pPr>
        <w:spacing w:line="240" w:lineRule="atLeast"/>
        <w:ind w:firstLine="840" w:firstLineChars="3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（4）因重大变故，采购任务取消的。   </w:t>
      </w:r>
    </w:p>
    <w:p>
      <w:pPr>
        <w:pStyle w:val="6"/>
        <w:spacing w:before="0" w:after="0" w:line="240" w:lineRule="atLeast"/>
        <w:rPr>
          <w:rFonts w:asciiTheme="minorEastAsia" w:hAnsiTheme="minorEastAsia" w:eastAsiaTheme="minorEastAsia"/>
          <w:color w:val="auto"/>
          <w:highlight w:val="none"/>
          <w:u w:val="none"/>
        </w:rPr>
      </w:pPr>
      <w:bookmarkStart w:id="211" w:name="_Toc1479"/>
      <w:bookmarkStart w:id="212" w:name="_Toc533275339"/>
      <w:bookmarkStart w:id="213" w:name="_Toc510950545"/>
      <w:bookmarkStart w:id="214" w:name="_Toc510950464"/>
      <w:bookmarkStart w:id="215" w:name="_Toc510950624"/>
      <w:bookmarkStart w:id="216" w:name="_Toc507399472"/>
      <w:bookmarkStart w:id="217" w:name="_Toc520356169"/>
      <w:r>
        <w:rPr>
          <w:rFonts w:asciiTheme="minorEastAsia" w:hAnsiTheme="minorEastAsia" w:eastAsiaTheme="minorEastAsia"/>
          <w:color w:val="auto"/>
          <w:highlight w:val="none"/>
          <w:u w:val="none"/>
        </w:rPr>
        <w:t>25</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保密原则</w:t>
      </w:r>
      <w:bookmarkEnd w:id="211"/>
      <w:bookmarkEnd w:id="212"/>
      <w:bookmarkEnd w:id="213"/>
      <w:bookmarkEnd w:id="214"/>
      <w:bookmarkEnd w:id="215"/>
      <w:bookmarkEnd w:id="216"/>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25</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评标将在严格保密的情况下进行。</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25</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采购评审专家应当</w:t>
      </w:r>
      <w:r>
        <w:rPr>
          <w:rFonts w:hint="eastAsia" w:asciiTheme="minorEastAsia" w:hAnsiTheme="minorEastAsia" w:eastAsiaTheme="minorEastAsia"/>
          <w:color w:val="auto"/>
          <w:sz w:val="24"/>
          <w:highlight w:val="none"/>
        </w:rPr>
        <w:t>遵</w:t>
      </w:r>
      <w:r>
        <w:rPr>
          <w:rFonts w:asciiTheme="minorEastAsia" w:hAnsiTheme="minorEastAsia" w:eastAsiaTheme="minorEastAsia"/>
          <w:color w:val="auto"/>
          <w:sz w:val="24"/>
          <w:highlight w:val="none"/>
        </w:rPr>
        <w:t>守评审工作纪律，不得</w:t>
      </w:r>
      <w:r>
        <w:rPr>
          <w:rFonts w:hint="eastAsia" w:asciiTheme="minorEastAsia" w:hAnsiTheme="minorEastAsia" w:eastAsiaTheme="minorEastAsia"/>
          <w:color w:val="auto"/>
          <w:sz w:val="24"/>
          <w:highlight w:val="none"/>
        </w:rPr>
        <w:t>泄露</w:t>
      </w:r>
      <w:r>
        <w:rPr>
          <w:rFonts w:asciiTheme="minorEastAsia" w:hAnsiTheme="minorEastAsia" w:eastAsiaTheme="minorEastAsia"/>
          <w:color w:val="auto"/>
          <w:sz w:val="24"/>
          <w:highlight w:val="none"/>
        </w:rPr>
        <w:t>评审</w:t>
      </w:r>
      <w:r>
        <w:rPr>
          <w:rFonts w:hint="eastAsia" w:asciiTheme="minorEastAsia" w:hAnsiTheme="minorEastAsia" w:eastAsiaTheme="minorEastAsia"/>
          <w:color w:val="auto"/>
          <w:sz w:val="24"/>
          <w:highlight w:val="none"/>
        </w:rPr>
        <w:t>文件</w:t>
      </w:r>
      <w:r>
        <w:rPr>
          <w:rFonts w:asciiTheme="minorEastAsia" w:hAnsiTheme="minorEastAsia" w:eastAsiaTheme="minorEastAsia"/>
          <w:color w:val="auto"/>
          <w:sz w:val="24"/>
          <w:highlight w:val="none"/>
        </w:rPr>
        <w:t>、评审情况和评审中获悉的商业秘密。</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25</w:t>
      </w:r>
      <w:r>
        <w:rPr>
          <w:rFonts w:hint="eastAsia" w:asciiTheme="minorEastAsia" w:hAnsiTheme="minorEastAsia" w:eastAsiaTheme="minorEastAsia"/>
          <w:color w:val="auto"/>
          <w:sz w:val="24"/>
          <w:highlight w:val="none"/>
        </w:rPr>
        <w:t>.３   投标人试图影响采购人、</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和评标委员会的任何活动，将导致其</w:t>
      </w:r>
      <w:r>
        <w:rPr>
          <w:rFonts w:hint="eastAsia" w:asciiTheme="minorEastAsia" w:hAnsiTheme="minorEastAsia" w:eastAsiaTheme="minorEastAsia"/>
          <w:b/>
          <w:color w:val="auto"/>
          <w:sz w:val="24"/>
          <w:highlight w:val="none"/>
        </w:rPr>
        <w:t>投标被拒绝</w:t>
      </w:r>
      <w:r>
        <w:rPr>
          <w:rFonts w:hint="eastAsia" w:asciiTheme="minorEastAsia" w:hAnsiTheme="minorEastAsia" w:eastAsiaTheme="minorEastAsia"/>
          <w:color w:val="auto"/>
          <w:sz w:val="24"/>
          <w:highlight w:val="none"/>
        </w:rPr>
        <w:t>，并承担相应的法律责任。</w:t>
      </w:r>
    </w:p>
    <w:p>
      <w:pPr>
        <w:spacing w:line="240" w:lineRule="atLeast"/>
        <w:ind w:left="1080" w:leftChars="257" w:hanging="540"/>
        <w:rPr>
          <w:rFonts w:asciiTheme="minorEastAsia" w:hAnsiTheme="minorEastAsia" w:eastAsiaTheme="minorEastAsia"/>
          <w:color w:val="auto"/>
          <w:sz w:val="24"/>
          <w:highlight w:val="none"/>
        </w:rPr>
      </w:pPr>
    </w:p>
    <w:p>
      <w:pPr>
        <w:pStyle w:val="4"/>
        <w:spacing w:before="0" w:line="240" w:lineRule="atLeast"/>
        <w:ind w:left="1080" w:leftChars="257" w:hanging="540"/>
        <w:rPr>
          <w:rFonts w:asciiTheme="minorEastAsia" w:hAnsiTheme="minorEastAsia" w:eastAsiaTheme="minorEastAsia"/>
          <w:color w:val="auto"/>
          <w:sz w:val="24"/>
          <w:highlight w:val="none"/>
        </w:rPr>
      </w:pPr>
      <w:bookmarkStart w:id="218" w:name="_Toc507399473"/>
      <w:bookmarkStart w:id="219" w:name="_Toc533275340"/>
      <w:bookmarkStart w:id="220" w:name="_Toc510950625"/>
      <w:bookmarkStart w:id="221" w:name="_Toc17523"/>
      <w:bookmarkStart w:id="222" w:name="_Toc216582810"/>
      <w:r>
        <w:rPr>
          <w:rFonts w:hint="eastAsia" w:asciiTheme="minorEastAsia" w:hAnsiTheme="minorEastAsia" w:eastAsiaTheme="minorEastAsia"/>
          <w:color w:val="auto"/>
          <w:sz w:val="24"/>
          <w:highlight w:val="none"/>
        </w:rPr>
        <w:t xml:space="preserve">六  </w:t>
      </w:r>
      <w:bookmarkEnd w:id="217"/>
      <w:r>
        <w:rPr>
          <w:rFonts w:hint="eastAsia" w:asciiTheme="minorEastAsia" w:hAnsiTheme="minorEastAsia" w:eastAsiaTheme="minorEastAsia"/>
          <w:color w:val="auto"/>
          <w:sz w:val="24"/>
          <w:highlight w:val="none"/>
        </w:rPr>
        <w:t>确定中标</w:t>
      </w:r>
      <w:bookmarkEnd w:id="218"/>
      <w:bookmarkEnd w:id="219"/>
      <w:bookmarkEnd w:id="220"/>
      <w:bookmarkEnd w:id="221"/>
      <w:bookmarkEnd w:id="222"/>
    </w:p>
    <w:p>
      <w:pPr>
        <w:pStyle w:val="5"/>
        <w:rPr>
          <w:rFonts w:asciiTheme="minorEastAsia" w:hAnsiTheme="minorEastAsia" w:eastAsiaTheme="minorEastAsia"/>
          <w:color w:val="auto"/>
          <w:highlight w:val="none"/>
        </w:rPr>
      </w:pPr>
    </w:p>
    <w:p>
      <w:pPr>
        <w:pStyle w:val="6"/>
        <w:spacing w:before="0" w:after="0" w:line="240" w:lineRule="atLeast"/>
        <w:rPr>
          <w:rFonts w:asciiTheme="minorEastAsia" w:hAnsiTheme="minorEastAsia" w:eastAsiaTheme="minorEastAsia"/>
          <w:color w:val="auto"/>
          <w:highlight w:val="none"/>
          <w:u w:val="none"/>
        </w:rPr>
      </w:pPr>
      <w:bookmarkStart w:id="223" w:name="_Toc510950547"/>
      <w:bookmarkStart w:id="224" w:name="_Toc533275341"/>
      <w:bookmarkStart w:id="225" w:name="_Toc507399474"/>
      <w:bookmarkStart w:id="226" w:name="_Ref467307010"/>
      <w:bookmarkStart w:id="227" w:name="_Toc510950466"/>
      <w:bookmarkStart w:id="228" w:name="_Toc510950626"/>
      <w:bookmarkStart w:id="229" w:name="_Toc4610"/>
      <w:bookmarkStart w:id="230" w:name="_Toc520356170"/>
      <w:r>
        <w:rPr>
          <w:rFonts w:asciiTheme="minorEastAsia" w:hAnsiTheme="minorEastAsia" w:eastAsiaTheme="minorEastAsia"/>
          <w:color w:val="auto"/>
          <w:highlight w:val="none"/>
          <w:u w:val="none"/>
        </w:rPr>
        <w:t>26</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中标候选人的确定原则及标准</w:t>
      </w:r>
      <w:bookmarkEnd w:id="223"/>
      <w:bookmarkEnd w:id="224"/>
      <w:bookmarkEnd w:id="225"/>
      <w:bookmarkEnd w:id="226"/>
      <w:bookmarkEnd w:id="227"/>
      <w:bookmarkEnd w:id="228"/>
      <w:bookmarkEnd w:id="229"/>
      <w:bookmarkEnd w:id="230"/>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除第2</w:t>
      </w:r>
      <w:r>
        <w:rPr>
          <w:rFonts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条规定外，确定实质上响应招标文件按下列条件之一对投标人</w:t>
      </w:r>
      <w:r>
        <w:rPr>
          <w:rFonts w:asciiTheme="minorEastAsia" w:hAnsiTheme="minorEastAsia" w:eastAsiaTheme="minorEastAsia"/>
          <w:color w:val="auto"/>
          <w:sz w:val="24"/>
          <w:highlight w:val="none"/>
        </w:rPr>
        <w:t>进行排序</w:t>
      </w:r>
      <w:r>
        <w:rPr>
          <w:rFonts w:hint="eastAsia" w:asciiTheme="minorEastAsia" w:hAnsiTheme="minorEastAsia" w:eastAsiaTheme="minorEastAsia"/>
          <w:color w:val="auto"/>
          <w:sz w:val="24"/>
          <w:highlight w:val="none"/>
        </w:rPr>
        <w:t>。</w:t>
      </w:r>
    </w:p>
    <w:p>
      <w:pPr>
        <w:spacing w:line="240" w:lineRule="atLeast"/>
        <w:ind w:left="90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（1）采用最低评标价法的，除了</w:t>
      </w:r>
      <w:r>
        <w:rPr>
          <w:rFonts w:asciiTheme="minorEastAsia" w:hAnsiTheme="minorEastAsia" w:eastAsiaTheme="minorEastAsia"/>
          <w:color w:val="auto"/>
          <w:sz w:val="24"/>
          <w:highlight w:val="none"/>
        </w:rPr>
        <w:t>算数修正和落实政府采购</w:t>
      </w:r>
      <w:r>
        <w:rPr>
          <w:rFonts w:hint="eastAsia" w:asciiTheme="minorEastAsia" w:hAnsiTheme="minorEastAsia" w:eastAsiaTheme="minorEastAsia"/>
          <w:color w:val="auto"/>
          <w:sz w:val="24"/>
          <w:highlight w:val="none"/>
        </w:rPr>
        <w:t>政策</w:t>
      </w:r>
      <w:r>
        <w:rPr>
          <w:rFonts w:asciiTheme="minorEastAsia" w:hAnsiTheme="minorEastAsia" w:eastAsiaTheme="minorEastAsia"/>
          <w:color w:val="auto"/>
          <w:sz w:val="24"/>
          <w:highlight w:val="none"/>
        </w:rPr>
        <w:t>需</w:t>
      </w:r>
      <w:r>
        <w:rPr>
          <w:rFonts w:hint="eastAsia" w:asciiTheme="minorEastAsia" w:hAnsiTheme="minorEastAsia" w:eastAsiaTheme="minorEastAsia"/>
          <w:color w:val="auto"/>
          <w:sz w:val="24"/>
          <w:highlight w:val="none"/>
        </w:rPr>
        <w:t>进行的</w:t>
      </w:r>
      <w:r>
        <w:rPr>
          <w:rFonts w:asciiTheme="minorEastAsia" w:hAnsiTheme="minorEastAsia" w:eastAsiaTheme="minorEastAsia"/>
          <w:color w:val="auto"/>
          <w:sz w:val="24"/>
          <w:highlight w:val="none"/>
        </w:rPr>
        <w:t>价格扣除外，不</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投标人的投标价格进行任何调整。</w:t>
      </w:r>
      <w:r>
        <w:rPr>
          <w:rFonts w:hint="eastAsia" w:asciiTheme="minorEastAsia" w:hAnsiTheme="minorEastAsia" w:eastAsiaTheme="minorEastAsia"/>
          <w:color w:val="auto"/>
          <w:sz w:val="24"/>
          <w:highlight w:val="none"/>
        </w:rPr>
        <w:t>评标结果</w:t>
      </w:r>
      <w:r>
        <w:rPr>
          <w:rFonts w:asciiTheme="minorEastAsia" w:hAnsiTheme="minorEastAsia" w:eastAsiaTheme="minorEastAsia"/>
          <w:color w:val="auto"/>
          <w:sz w:val="24"/>
          <w:highlight w:val="none"/>
        </w:rPr>
        <w:t>按投标报价</w:t>
      </w:r>
      <w:r>
        <w:rPr>
          <w:rFonts w:hint="eastAsia" w:asciiTheme="minorEastAsia" w:hAnsiTheme="minorEastAsia" w:eastAsiaTheme="minorEastAsia"/>
          <w:color w:val="auto"/>
          <w:sz w:val="24"/>
          <w:highlight w:val="none"/>
        </w:rPr>
        <w:t>由低到高顺序排列。报价相同的并列（详见第七章）。</w:t>
      </w:r>
    </w:p>
    <w:p>
      <w:pPr>
        <w:spacing w:line="240" w:lineRule="atLeast"/>
        <w:ind w:left="90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（2）采用综合评分法的，评标</w:t>
      </w:r>
      <w:r>
        <w:rPr>
          <w:rFonts w:asciiTheme="minorEastAsia" w:hAnsiTheme="minorEastAsia" w:eastAsiaTheme="minorEastAsia"/>
          <w:color w:val="auto"/>
          <w:sz w:val="24"/>
          <w:highlight w:val="none"/>
        </w:rPr>
        <w:t>结果</w:t>
      </w:r>
      <w:r>
        <w:rPr>
          <w:rFonts w:hint="eastAsia" w:asciiTheme="minorEastAsia" w:hAnsiTheme="minorEastAsia" w:eastAsiaTheme="minorEastAsia"/>
          <w:color w:val="auto"/>
          <w:sz w:val="24"/>
          <w:highlight w:val="none"/>
        </w:rPr>
        <w:t>按评审后得分由高到低顺序排列。得分相同的，按投标报价由低到高顺序排列。得分与投标报价均相同的并列（详见第七章）。</w:t>
      </w:r>
    </w:p>
    <w:p>
      <w:pPr>
        <w:pStyle w:val="6"/>
        <w:spacing w:before="0" w:after="0" w:line="240" w:lineRule="atLeast"/>
        <w:rPr>
          <w:rFonts w:asciiTheme="minorEastAsia" w:hAnsiTheme="minorEastAsia" w:eastAsiaTheme="minorEastAsia"/>
          <w:color w:val="auto"/>
          <w:highlight w:val="none"/>
          <w:u w:val="none"/>
        </w:rPr>
      </w:pPr>
      <w:bookmarkStart w:id="231" w:name="_Toc520356171"/>
      <w:bookmarkStart w:id="232" w:name="_Toc510950467"/>
      <w:bookmarkStart w:id="233" w:name="_Toc507399475"/>
      <w:bookmarkStart w:id="234" w:name="_Toc533275342"/>
      <w:bookmarkStart w:id="235" w:name="_Toc12302"/>
      <w:bookmarkStart w:id="236" w:name="_Toc510950548"/>
      <w:bookmarkStart w:id="237" w:name="_Toc510950627"/>
      <w:r>
        <w:rPr>
          <w:rFonts w:asciiTheme="minorEastAsia" w:hAnsiTheme="minorEastAsia" w:eastAsiaTheme="minorEastAsia"/>
          <w:color w:val="auto"/>
          <w:highlight w:val="none"/>
          <w:u w:val="none"/>
        </w:rPr>
        <w:t>27</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bookmarkEnd w:id="231"/>
      <w:r>
        <w:rPr>
          <w:rFonts w:hint="eastAsia" w:asciiTheme="minorEastAsia" w:hAnsiTheme="minorEastAsia" w:eastAsiaTheme="minorEastAsia"/>
          <w:color w:val="auto"/>
          <w:highlight w:val="none"/>
          <w:u w:val="none"/>
        </w:rPr>
        <w:t>确定中标候选人和中标人</w:t>
      </w:r>
      <w:bookmarkEnd w:id="232"/>
      <w:bookmarkEnd w:id="233"/>
      <w:bookmarkEnd w:id="234"/>
      <w:bookmarkEnd w:id="235"/>
      <w:bookmarkEnd w:id="236"/>
      <w:bookmarkEnd w:id="237"/>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评标委员会将根据评标标准，按</w:t>
      </w:r>
      <w:r>
        <w:rPr>
          <w:rFonts w:hint="eastAsia" w:asciiTheme="minorEastAsia" w:hAnsiTheme="minorEastAsia" w:eastAsiaTheme="minorEastAsia"/>
          <w:color w:val="auto"/>
          <w:sz w:val="24"/>
          <w:highlight w:val="none"/>
          <w:u w:val="single"/>
        </w:rPr>
        <w:t>投标人须知资料表中</w:t>
      </w:r>
      <w:r>
        <w:rPr>
          <w:rFonts w:hint="eastAsia" w:asciiTheme="minorEastAsia" w:hAnsiTheme="minorEastAsia" w:eastAsiaTheme="minorEastAsia"/>
          <w:color w:val="auto"/>
          <w:sz w:val="24"/>
          <w:highlight w:val="none"/>
        </w:rPr>
        <w:t>规定</w:t>
      </w:r>
      <w:r>
        <w:rPr>
          <w:rFonts w:asciiTheme="minorEastAsia" w:hAnsiTheme="minorEastAsia" w:eastAsiaTheme="minorEastAsia"/>
          <w:color w:val="auto"/>
          <w:sz w:val="24"/>
          <w:highlight w:val="none"/>
        </w:rPr>
        <w:t>数量</w:t>
      </w:r>
      <w:r>
        <w:rPr>
          <w:rFonts w:hint="eastAsia" w:asciiTheme="minorEastAsia" w:hAnsiTheme="minorEastAsia" w:eastAsiaTheme="minorEastAsia"/>
          <w:color w:val="auto"/>
          <w:sz w:val="24"/>
          <w:highlight w:val="none"/>
        </w:rPr>
        <w:t>推荐中标候选人；或根据采购人的委托，直接确定中标人。</w:t>
      </w:r>
    </w:p>
    <w:p>
      <w:pPr>
        <w:pStyle w:val="6"/>
        <w:tabs>
          <w:tab w:val="left" w:pos="900"/>
        </w:tabs>
        <w:spacing w:before="0" w:after="0" w:line="240" w:lineRule="atLeast"/>
        <w:rPr>
          <w:rFonts w:asciiTheme="minorEastAsia" w:hAnsiTheme="minorEastAsia" w:eastAsiaTheme="minorEastAsia"/>
          <w:color w:val="auto"/>
          <w:highlight w:val="none"/>
          <w:u w:val="none"/>
        </w:rPr>
      </w:pPr>
      <w:bookmarkStart w:id="238" w:name="_Ref467306874"/>
      <w:bookmarkStart w:id="239" w:name="_Toc520356173"/>
      <w:bookmarkStart w:id="240" w:name="_Toc533275343"/>
      <w:bookmarkStart w:id="241" w:name="_Toc510950549"/>
      <w:bookmarkStart w:id="242" w:name="_Toc510950468"/>
      <w:bookmarkStart w:id="243" w:name="_Toc510950628"/>
      <w:bookmarkStart w:id="244" w:name="_Toc5997"/>
      <w:bookmarkStart w:id="245" w:name="_Toc507399476"/>
      <w:r>
        <w:rPr>
          <w:rFonts w:asciiTheme="minorEastAsia" w:hAnsiTheme="minorEastAsia" w:eastAsiaTheme="minorEastAsia"/>
          <w:color w:val="auto"/>
          <w:highlight w:val="none"/>
          <w:u w:val="none"/>
        </w:rPr>
        <w:t>28</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bookmarkEnd w:id="238"/>
      <w:bookmarkEnd w:id="239"/>
      <w:r>
        <w:rPr>
          <w:rFonts w:hint="eastAsia" w:asciiTheme="minorEastAsia" w:hAnsiTheme="minorEastAsia" w:eastAsiaTheme="minorEastAsia"/>
          <w:color w:val="auto"/>
          <w:highlight w:val="none"/>
          <w:u w:val="none"/>
        </w:rPr>
        <w:t>采购任务取消</w:t>
      </w:r>
      <w:bookmarkEnd w:id="240"/>
      <w:bookmarkEnd w:id="241"/>
      <w:bookmarkEnd w:id="242"/>
      <w:bookmarkEnd w:id="243"/>
      <w:bookmarkEnd w:id="244"/>
      <w:bookmarkEnd w:id="245"/>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当采购任务取消时，为维护国家和社会公共利益，采购人有权拒绝任何投标人中标，且对受影响的投标人不承担任何责任。</w:t>
      </w:r>
      <w:bookmarkStart w:id="246" w:name="_Toc520356174"/>
    </w:p>
    <w:p>
      <w:pPr>
        <w:pStyle w:val="6"/>
        <w:spacing w:before="0" w:after="0" w:line="240" w:lineRule="atLeast"/>
        <w:rPr>
          <w:rFonts w:asciiTheme="minorEastAsia" w:hAnsiTheme="minorEastAsia" w:eastAsiaTheme="minorEastAsia"/>
          <w:color w:val="auto"/>
          <w:highlight w:val="none"/>
          <w:u w:val="none"/>
        </w:rPr>
      </w:pPr>
      <w:bookmarkStart w:id="247" w:name="_Toc23481"/>
      <w:bookmarkStart w:id="248" w:name="_Toc533275344"/>
      <w:bookmarkStart w:id="249" w:name="_Toc510950469"/>
      <w:bookmarkStart w:id="250" w:name="_Toc510950629"/>
      <w:bookmarkStart w:id="251" w:name="_Toc507399477"/>
      <w:bookmarkStart w:id="252" w:name="_Toc510950550"/>
      <w:r>
        <w:rPr>
          <w:rFonts w:asciiTheme="minorEastAsia" w:hAnsiTheme="minorEastAsia" w:eastAsiaTheme="minorEastAsia"/>
          <w:color w:val="auto"/>
          <w:highlight w:val="none"/>
          <w:u w:val="none"/>
        </w:rPr>
        <w:t>29</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中标通知书</w:t>
      </w:r>
      <w:bookmarkEnd w:id="246"/>
      <w:r>
        <w:rPr>
          <w:rFonts w:hint="eastAsia" w:asciiTheme="minorEastAsia" w:hAnsiTheme="minorEastAsia" w:eastAsiaTheme="minorEastAsia"/>
          <w:color w:val="auto"/>
          <w:highlight w:val="none"/>
          <w:u w:val="none"/>
        </w:rPr>
        <w:t>和招标结果通知书</w:t>
      </w:r>
      <w:bookmarkEnd w:id="247"/>
      <w:bookmarkEnd w:id="248"/>
      <w:bookmarkEnd w:id="249"/>
      <w:bookmarkEnd w:id="250"/>
      <w:bookmarkEnd w:id="251"/>
      <w:bookmarkEnd w:id="252"/>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29</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在投标有效期内，中标人确定后，采购人或者</w:t>
      </w:r>
      <w:r>
        <w:rPr>
          <w:rFonts w:asciiTheme="minorEastAsia" w:hAnsiTheme="minorEastAsia" w:eastAsiaTheme="minorEastAsia"/>
          <w:color w:val="auto"/>
          <w:sz w:val="24"/>
          <w:highlight w:val="none"/>
        </w:rPr>
        <w:t>采购代理机构</w:t>
      </w:r>
      <w:r>
        <w:rPr>
          <w:rFonts w:hint="eastAsia" w:asciiTheme="minorEastAsia" w:hAnsiTheme="minorEastAsia" w:eastAsiaTheme="minorEastAsia"/>
          <w:color w:val="auto"/>
          <w:sz w:val="24"/>
          <w:highlight w:val="none"/>
        </w:rPr>
        <w:t>以书面形式向中标人发出中标通知书。</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29</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中标通知书是合同的组成部分。</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29.3    招标结果通知书和中标通知书同时发出。招标结果通知书中将告知未通过资格审查的投标人未通过的原因；采用综合评分法评审的，将告知未中标人本人的评审得分和排序。</w:t>
      </w:r>
    </w:p>
    <w:p>
      <w:pPr>
        <w:pStyle w:val="6"/>
        <w:spacing w:before="0" w:after="0" w:line="240" w:lineRule="atLeast"/>
        <w:rPr>
          <w:rFonts w:asciiTheme="minorEastAsia" w:hAnsiTheme="minorEastAsia" w:eastAsiaTheme="minorEastAsia"/>
          <w:color w:val="auto"/>
          <w:highlight w:val="none"/>
          <w:u w:val="none"/>
        </w:rPr>
      </w:pPr>
      <w:bookmarkStart w:id="253" w:name="_Toc510950470"/>
      <w:bookmarkStart w:id="254" w:name="_Ref467307062"/>
      <w:bookmarkStart w:id="255" w:name="_Ref467306978"/>
      <w:bookmarkStart w:id="256" w:name="_Toc8912"/>
      <w:bookmarkStart w:id="257" w:name="_Toc510950551"/>
      <w:bookmarkStart w:id="258" w:name="_Toc507399478"/>
      <w:bookmarkStart w:id="259" w:name="_Toc510950630"/>
      <w:bookmarkStart w:id="260" w:name="_Toc520356175"/>
      <w:bookmarkStart w:id="261" w:name="_Ref467307204"/>
      <w:bookmarkStart w:id="262" w:name="_Ref467306377"/>
      <w:bookmarkStart w:id="263" w:name="_Toc533275345"/>
      <w:r>
        <w:rPr>
          <w:rFonts w:asciiTheme="minorEastAsia" w:hAnsiTheme="minorEastAsia" w:eastAsiaTheme="minorEastAsia"/>
          <w:color w:val="auto"/>
          <w:highlight w:val="none"/>
          <w:u w:val="none"/>
        </w:rPr>
        <w:t>30</w:t>
      </w:r>
      <w:r>
        <w:rPr>
          <w:rFonts w:hint="eastAsia"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 xml:space="preserve">    签订合同</w:t>
      </w:r>
      <w:bookmarkEnd w:id="253"/>
      <w:bookmarkEnd w:id="254"/>
      <w:bookmarkEnd w:id="255"/>
      <w:bookmarkEnd w:id="256"/>
      <w:bookmarkEnd w:id="257"/>
      <w:bookmarkEnd w:id="258"/>
      <w:bookmarkEnd w:id="259"/>
      <w:bookmarkEnd w:id="260"/>
      <w:bookmarkEnd w:id="261"/>
      <w:bookmarkEnd w:id="262"/>
      <w:bookmarkEnd w:id="263"/>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中标人应当自发出中标通知书之日起30日内，与采购人签订合同。</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ab/>
      </w:r>
      <w:bookmarkStart w:id="264" w:name="_Toc520356176"/>
      <w:bookmarkStart w:id="265" w:name="_Ref467306425"/>
      <w:bookmarkStart w:id="266" w:name="_Ref467307090"/>
      <w:r>
        <w:rPr>
          <w:rFonts w:hint="eastAsia" w:asciiTheme="minorEastAsia" w:hAnsiTheme="minorEastAsia" w:eastAsiaTheme="minorEastAsia"/>
          <w:color w:val="auto"/>
          <w:sz w:val="24"/>
          <w:highlight w:val="none"/>
        </w:rPr>
        <w:t>招标文件、中标人的投标文件及其澄清文件等，均为签订合同的依据。</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.3   中</w:t>
      </w:r>
      <w:r>
        <w:rPr>
          <w:rFonts w:asciiTheme="minorEastAsia" w:hAnsiTheme="minorEastAsia" w:eastAsiaTheme="minorEastAsia"/>
          <w:color w:val="auto"/>
          <w:sz w:val="24"/>
          <w:highlight w:val="none"/>
        </w:rPr>
        <w:t>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拒绝与采购人签订合同的，采购人可以按照评审报告推荐的中标候选人</w:t>
      </w:r>
      <w:r>
        <w:rPr>
          <w:rFonts w:hint="eastAsia" w:asciiTheme="minorEastAsia" w:hAnsiTheme="minorEastAsia" w:eastAsiaTheme="minorEastAsia"/>
          <w:color w:val="auto"/>
          <w:sz w:val="24"/>
          <w:highlight w:val="none"/>
        </w:rPr>
        <w:t>名单</w:t>
      </w:r>
      <w:r>
        <w:rPr>
          <w:rFonts w:asciiTheme="minorEastAsia" w:hAnsiTheme="minorEastAsia" w:eastAsiaTheme="minorEastAsia"/>
          <w:color w:val="auto"/>
          <w:sz w:val="24"/>
          <w:highlight w:val="none"/>
        </w:rPr>
        <w:t>排序</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确定下一</w:t>
      </w:r>
      <w:r>
        <w:rPr>
          <w:rFonts w:hint="eastAsia" w:asciiTheme="minorEastAsia" w:hAnsiTheme="minorEastAsia" w:eastAsiaTheme="minorEastAsia"/>
          <w:color w:val="auto"/>
          <w:sz w:val="24"/>
          <w:highlight w:val="none"/>
        </w:rPr>
        <w:t>候选</w:t>
      </w:r>
      <w:r>
        <w:rPr>
          <w:rFonts w:asciiTheme="minorEastAsia" w:hAnsiTheme="minorEastAsia" w:eastAsiaTheme="minorEastAsia"/>
          <w:color w:val="auto"/>
          <w:sz w:val="24"/>
          <w:highlight w:val="none"/>
        </w:rPr>
        <w:t>人为中标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，也可以重新开展政府采购活动。</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.4   当出现法规规定的</w:t>
      </w:r>
      <w:r>
        <w:rPr>
          <w:rFonts w:hint="eastAsia" w:asciiTheme="minorEastAsia" w:hAnsiTheme="minorEastAsia" w:eastAsiaTheme="minorEastAsia"/>
          <w:b/>
          <w:color w:val="auto"/>
          <w:sz w:val="24"/>
          <w:highlight w:val="none"/>
        </w:rPr>
        <w:t>中标无效</w:t>
      </w:r>
      <w:r>
        <w:rPr>
          <w:rFonts w:hint="eastAsia" w:asciiTheme="minorEastAsia" w:hAnsiTheme="minorEastAsia" w:eastAsiaTheme="minorEastAsia"/>
          <w:color w:val="auto"/>
          <w:sz w:val="24"/>
          <w:highlight w:val="none"/>
        </w:rPr>
        <w:t>情形时，采购人可与排名下一位的中标候选人另行签订合同，或依法重新招标。</w:t>
      </w:r>
    </w:p>
    <w:p>
      <w:pPr>
        <w:pStyle w:val="6"/>
        <w:spacing w:before="0" w:after="0" w:line="240" w:lineRule="atLeast"/>
        <w:rPr>
          <w:rFonts w:asciiTheme="minorEastAsia" w:hAnsiTheme="minorEastAsia" w:eastAsiaTheme="minorEastAsia"/>
          <w:color w:val="auto"/>
          <w:highlight w:val="none"/>
          <w:u w:val="none"/>
        </w:rPr>
      </w:pPr>
      <w:bookmarkStart w:id="267" w:name="_Toc18440"/>
      <w:bookmarkStart w:id="268" w:name="_Toc510950631"/>
      <w:bookmarkStart w:id="269" w:name="_Toc533275346"/>
      <w:bookmarkStart w:id="270" w:name="_Toc510950471"/>
      <w:bookmarkStart w:id="271" w:name="_Toc507399479"/>
      <w:bookmarkStart w:id="272" w:name="_Toc510950552"/>
      <w:r>
        <w:rPr>
          <w:rFonts w:asciiTheme="minorEastAsia" w:hAnsiTheme="minorEastAsia" w:eastAsiaTheme="minorEastAsia"/>
          <w:color w:val="auto"/>
          <w:highlight w:val="none"/>
          <w:u w:val="none"/>
        </w:rPr>
        <w:t>31</w:t>
      </w:r>
      <w:r>
        <w:rPr>
          <w:rFonts w:hint="eastAsia" w:asciiTheme="minorEastAsia" w:hAnsiTheme="minorEastAsia" w:eastAsiaTheme="minorEastAsia"/>
          <w:color w:val="auto"/>
          <w:highlight w:val="none"/>
          <w:u w:val="none"/>
        </w:rPr>
        <w:t xml:space="preserve">． </w:t>
      </w:r>
      <w:r>
        <w:rPr>
          <w:rFonts w:hint="eastAsia" w:asciiTheme="minorEastAsia" w:hAnsiTheme="minorEastAsia" w:eastAsiaTheme="minorEastAsia"/>
          <w:color w:val="auto"/>
          <w:highlight w:val="none"/>
          <w:u w:val="none"/>
        </w:rPr>
        <w:tab/>
      </w:r>
      <w:r>
        <w:rPr>
          <w:rFonts w:hint="eastAsia" w:asciiTheme="minorEastAsia" w:hAnsiTheme="minorEastAsia" w:eastAsiaTheme="minorEastAsia"/>
          <w:color w:val="auto"/>
          <w:highlight w:val="none"/>
          <w:u w:val="none"/>
        </w:rPr>
        <w:t>履约保证金</w:t>
      </w:r>
      <w:bookmarkEnd w:id="264"/>
      <w:bookmarkEnd w:id="265"/>
      <w:bookmarkEnd w:id="266"/>
      <w:bookmarkEnd w:id="267"/>
      <w:bookmarkEnd w:id="268"/>
      <w:bookmarkEnd w:id="269"/>
      <w:bookmarkEnd w:id="270"/>
      <w:bookmarkEnd w:id="271"/>
      <w:bookmarkEnd w:id="272"/>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31</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中标人应按照</w:t>
      </w:r>
      <w:r>
        <w:rPr>
          <w:rFonts w:hint="eastAsia" w:asciiTheme="minorEastAsia" w:hAnsiTheme="minorEastAsia" w:eastAsiaTheme="minorEastAsia"/>
          <w:color w:val="auto"/>
          <w:sz w:val="24"/>
          <w:highlight w:val="none"/>
          <w:u w:val="single"/>
        </w:rPr>
        <w:t>投标人须知资料表</w:t>
      </w:r>
      <w:r>
        <w:rPr>
          <w:rFonts w:hint="eastAsia" w:asciiTheme="minorEastAsia" w:hAnsiTheme="minorEastAsia" w:eastAsiaTheme="minorEastAsia"/>
          <w:color w:val="auto"/>
          <w:sz w:val="24"/>
          <w:highlight w:val="none"/>
        </w:rPr>
        <w:t>规定的金额、形式和时间向采购人缴纳履约保证金（如采用保函形式，格式见本章附件</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31</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ab/>
      </w:r>
      <w:r>
        <w:rPr>
          <w:rFonts w:hint="eastAsia" w:asciiTheme="minorEastAsia" w:hAnsiTheme="minorEastAsia" w:eastAsiaTheme="minorEastAsia"/>
          <w:color w:val="auto"/>
          <w:sz w:val="24"/>
          <w:highlight w:val="none"/>
        </w:rPr>
        <w:t>政府采购利用担保试点范围内的项目，中标人除3</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.1规定的情形外，也可以按照财政部门的规定，向采购人提供合格的履约担保函（格式见本章附件</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31</w:t>
      </w:r>
      <w:r>
        <w:rPr>
          <w:rFonts w:hint="eastAsia" w:asciiTheme="minorEastAsia" w:hAnsiTheme="minorEastAsia" w:eastAsiaTheme="minorEastAsia"/>
          <w:color w:val="auto"/>
          <w:sz w:val="24"/>
          <w:highlight w:val="none"/>
        </w:rPr>
        <w:t>.3   如果中标人没有按照上述第</w:t>
      </w:r>
      <w:r>
        <w:rPr>
          <w:rFonts w:asciiTheme="minorEastAsia" w:hAnsiTheme="minorEastAsia" w:eastAsiaTheme="minorEastAsia"/>
          <w:color w:val="auto"/>
          <w:sz w:val="24"/>
          <w:highlight w:val="none"/>
        </w:rPr>
        <w:t>30</w:t>
      </w:r>
      <w:r>
        <w:rPr>
          <w:rFonts w:hint="eastAsia" w:asciiTheme="minorEastAsia" w:hAnsiTheme="minorEastAsia" w:eastAsiaTheme="minorEastAsia"/>
          <w:color w:val="auto"/>
          <w:sz w:val="24"/>
          <w:highlight w:val="none"/>
        </w:rPr>
        <w:t>条或3</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.1条的规定执行，将视为放弃中标资格，中标人的投标保证金将被没收。在此情况下，采购人可</w:t>
      </w:r>
      <w:r>
        <w:rPr>
          <w:rFonts w:asciiTheme="minorEastAsia" w:hAnsiTheme="minorEastAsia" w:eastAsiaTheme="minorEastAsia"/>
          <w:color w:val="auto"/>
          <w:sz w:val="24"/>
          <w:highlight w:val="none"/>
        </w:rPr>
        <w:t>确定下一</w:t>
      </w:r>
      <w:r>
        <w:rPr>
          <w:rFonts w:hint="eastAsia" w:asciiTheme="minorEastAsia" w:hAnsiTheme="minorEastAsia" w:eastAsiaTheme="minorEastAsia"/>
          <w:color w:val="auto"/>
          <w:sz w:val="24"/>
          <w:highlight w:val="none"/>
        </w:rPr>
        <w:t>候选</w:t>
      </w:r>
      <w:r>
        <w:rPr>
          <w:rFonts w:asciiTheme="minorEastAsia" w:hAnsiTheme="minorEastAsia" w:eastAsiaTheme="minorEastAsia"/>
          <w:color w:val="auto"/>
          <w:sz w:val="24"/>
          <w:highlight w:val="none"/>
        </w:rPr>
        <w:t>人为中标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，也可以重新开展政府采购活动。</w:t>
      </w:r>
    </w:p>
    <w:p>
      <w:pPr>
        <w:pStyle w:val="6"/>
        <w:spacing w:before="0" w:after="0" w:line="240" w:lineRule="atLeast"/>
        <w:rPr>
          <w:rFonts w:asciiTheme="minorEastAsia" w:hAnsiTheme="minorEastAsia" w:eastAsiaTheme="minorEastAsia"/>
          <w:color w:val="auto"/>
          <w:highlight w:val="none"/>
          <w:u w:val="none"/>
        </w:rPr>
      </w:pPr>
      <w:bookmarkStart w:id="273" w:name="_Toc510950472"/>
      <w:bookmarkStart w:id="274" w:name="_Toc1427"/>
      <w:bookmarkStart w:id="275" w:name="_Toc510950553"/>
      <w:bookmarkStart w:id="276" w:name="_Toc510950632"/>
      <w:bookmarkStart w:id="277" w:name="_Toc507399480"/>
      <w:bookmarkStart w:id="278" w:name="_Toc533275347"/>
      <w:r>
        <w:rPr>
          <w:rFonts w:hint="eastAsia" w:asciiTheme="minorEastAsia" w:hAnsiTheme="minorEastAsia" w:eastAsiaTheme="minorEastAsia"/>
          <w:color w:val="auto"/>
          <w:highlight w:val="none"/>
          <w:u w:val="none"/>
        </w:rPr>
        <w:t>3</w:t>
      </w:r>
      <w:r>
        <w:rPr>
          <w:rFonts w:asciiTheme="minorEastAsia" w:hAnsiTheme="minorEastAsia" w:eastAsiaTheme="minorEastAsia"/>
          <w:color w:val="auto"/>
          <w:highlight w:val="none"/>
          <w:u w:val="none"/>
        </w:rPr>
        <w:t>2</w:t>
      </w:r>
      <w:r>
        <w:rPr>
          <w:rFonts w:hint="eastAsia" w:asciiTheme="minorEastAsia" w:hAnsiTheme="minorEastAsia" w:eastAsiaTheme="minorEastAsia"/>
          <w:color w:val="auto"/>
          <w:highlight w:val="none"/>
          <w:u w:val="none"/>
        </w:rPr>
        <w:t>.    中标服务费</w:t>
      </w:r>
      <w:bookmarkEnd w:id="273"/>
      <w:bookmarkEnd w:id="274"/>
      <w:bookmarkEnd w:id="275"/>
      <w:bookmarkEnd w:id="276"/>
      <w:bookmarkEnd w:id="277"/>
      <w:bookmarkEnd w:id="278"/>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.1   中标人须按照</w:t>
      </w:r>
      <w:r>
        <w:rPr>
          <w:rFonts w:asciiTheme="minorEastAsia" w:hAnsiTheme="minorEastAsia" w:eastAsiaTheme="minorEastAsia"/>
          <w:color w:val="auto"/>
          <w:sz w:val="24"/>
          <w:highlight w:val="none"/>
          <w:u w:val="single"/>
        </w:rPr>
        <w:t>投标</w:t>
      </w:r>
      <w:r>
        <w:rPr>
          <w:rFonts w:hint="eastAsia" w:asciiTheme="minorEastAsia" w:hAnsiTheme="minorEastAsia" w:eastAsiaTheme="minorEastAsia"/>
          <w:color w:val="auto"/>
          <w:sz w:val="24"/>
          <w:highlight w:val="none"/>
          <w:u w:val="single"/>
        </w:rPr>
        <w:t>须知资料表</w:t>
      </w:r>
      <w:r>
        <w:rPr>
          <w:rFonts w:hint="eastAsia" w:asciiTheme="minorEastAsia" w:hAnsiTheme="minorEastAsia" w:eastAsiaTheme="minorEastAsia"/>
          <w:color w:val="auto"/>
          <w:sz w:val="24"/>
          <w:highlight w:val="none"/>
        </w:rPr>
        <w:t>中的规定，向广东华伦招标有限公司支付中标服务费。</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.2   中标服务费的支付形式包括：支票和电汇。</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.3   中标服务费的支付时间：中标人在领取中标通知书的同时支付。</w:t>
      </w:r>
    </w:p>
    <w:p>
      <w:pPr>
        <w:pStyle w:val="6"/>
        <w:spacing w:before="0" w:after="0" w:line="240" w:lineRule="atLeast"/>
        <w:rPr>
          <w:rFonts w:asciiTheme="minorEastAsia" w:hAnsiTheme="minorEastAsia" w:eastAsiaTheme="minorEastAsia"/>
          <w:color w:val="auto"/>
          <w:highlight w:val="none"/>
          <w:u w:val="none"/>
        </w:rPr>
      </w:pPr>
      <w:bookmarkStart w:id="279" w:name="_Toc12110"/>
      <w:bookmarkStart w:id="280" w:name="_Toc533275348"/>
      <w:bookmarkStart w:id="281" w:name="_Toc510950473"/>
      <w:bookmarkStart w:id="282" w:name="_Toc510950554"/>
      <w:bookmarkStart w:id="283" w:name="_Toc507399481"/>
      <w:bookmarkStart w:id="284" w:name="_Toc510950633"/>
      <w:r>
        <w:rPr>
          <w:rFonts w:hint="eastAsia" w:asciiTheme="minorEastAsia" w:hAnsiTheme="minorEastAsia" w:eastAsiaTheme="minorEastAsia"/>
          <w:color w:val="auto"/>
          <w:highlight w:val="none"/>
          <w:u w:val="none"/>
        </w:rPr>
        <w:t>3</w:t>
      </w:r>
      <w:r>
        <w:rPr>
          <w:rFonts w:asciiTheme="minorEastAsia" w:hAnsiTheme="minorEastAsia" w:eastAsiaTheme="minorEastAsia"/>
          <w:color w:val="auto"/>
          <w:highlight w:val="none"/>
          <w:u w:val="none"/>
        </w:rPr>
        <w:t>3</w:t>
      </w:r>
      <w:r>
        <w:rPr>
          <w:rFonts w:hint="eastAsia" w:asciiTheme="minorEastAsia" w:hAnsiTheme="minorEastAsia" w:eastAsiaTheme="minorEastAsia"/>
          <w:color w:val="auto"/>
          <w:highlight w:val="none"/>
          <w:u w:val="none"/>
        </w:rPr>
        <w:t>.    政府采购信用担保</w:t>
      </w:r>
      <w:bookmarkEnd w:id="279"/>
      <w:bookmarkEnd w:id="280"/>
      <w:bookmarkEnd w:id="281"/>
      <w:bookmarkEnd w:id="282"/>
      <w:bookmarkEnd w:id="283"/>
      <w:bookmarkEnd w:id="284"/>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.1   政府采购信用担保试点范围内的项目，中小型企业投标人可以自由按照财政部门的规定，采用投标担保、履约担保和融资担保。</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.2   投标人递交的投标担保函和履约担保函应符合本招标文件的规定。</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.3   投标人可以采取融资担保的形式为政府采购项目履约进行融资。</w:t>
      </w:r>
    </w:p>
    <w:p>
      <w:pPr>
        <w:pStyle w:val="6"/>
        <w:spacing w:before="0" w:after="0" w:line="240" w:lineRule="atLeast"/>
        <w:rPr>
          <w:rFonts w:asciiTheme="minorEastAsia" w:hAnsiTheme="minorEastAsia" w:eastAsiaTheme="minorEastAsia"/>
          <w:color w:val="auto"/>
          <w:highlight w:val="none"/>
          <w:u w:val="none"/>
        </w:rPr>
      </w:pPr>
      <w:bookmarkStart w:id="285" w:name="_Toc510950634"/>
      <w:bookmarkStart w:id="286" w:name="_Toc3387"/>
      <w:bookmarkStart w:id="287" w:name="_Toc507399482"/>
      <w:bookmarkStart w:id="288" w:name="_Toc510950474"/>
      <w:bookmarkStart w:id="289" w:name="_Toc510950555"/>
      <w:bookmarkStart w:id="290" w:name="_Toc533275349"/>
      <w:r>
        <w:rPr>
          <w:rFonts w:hint="eastAsia" w:asciiTheme="minorEastAsia" w:hAnsiTheme="minorEastAsia" w:eastAsiaTheme="minorEastAsia"/>
          <w:color w:val="auto"/>
          <w:highlight w:val="none"/>
          <w:u w:val="none"/>
        </w:rPr>
        <w:t>3</w:t>
      </w:r>
      <w:r>
        <w:rPr>
          <w:rFonts w:asciiTheme="minorEastAsia" w:hAnsiTheme="minorEastAsia" w:eastAsiaTheme="minorEastAsia"/>
          <w:color w:val="auto"/>
          <w:highlight w:val="none"/>
          <w:u w:val="none"/>
        </w:rPr>
        <w:t xml:space="preserve">4.    </w:t>
      </w:r>
      <w:r>
        <w:rPr>
          <w:rFonts w:hint="eastAsia" w:asciiTheme="minorEastAsia" w:hAnsiTheme="minorEastAsia" w:eastAsiaTheme="minorEastAsia"/>
          <w:color w:val="auto"/>
          <w:highlight w:val="none"/>
          <w:u w:val="none"/>
        </w:rPr>
        <w:t>廉洁自律</w:t>
      </w:r>
      <w:r>
        <w:rPr>
          <w:rFonts w:asciiTheme="minorEastAsia" w:hAnsiTheme="minorEastAsia" w:eastAsiaTheme="minorEastAsia"/>
          <w:color w:val="auto"/>
          <w:highlight w:val="none"/>
          <w:u w:val="none"/>
        </w:rPr>
        <w:t>规定</w:t>
      </w:r>
      <w:bookmarkEnd w:id="285"/>
      <w:bookmarkEnd w:id="286"/>
      <w:bookmarkEnd w:id="287"/>
      <w:bookmarkEnd w:id="288"/>
      <w:bookmarkEnd w:id="289"/>
      <w:bookmarkEnd w:id="290"/>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.1 采购代理机构</w:t>
      </w:r>
      <w:r>
        <w:rPr>
          <w:rFonts w:asciiTheme="minorEastAsia" w:hAnsiTheme="minorEastAsia" w:eastAsiaTheme="minorEastAsia"/>
          <w:color w:val="auto"/>
          <w:sz w:val="24"/>
          <w:highlight w:val="none"/>
        </w:rPr>
        <w:t>工作人员</w:t>
      </w:r>
      <w:r>
        <w:rPr>
          <w:rFonts w:hint="eastAsia" w:asciiTheme="minorEastAsia" w:hAnsiTheme="minorEastAsia" w:eastAsiaTheme="minorEastAsia"/>
          <w:color w:val="auto"/>
          <w:sz w:val="24"/>
          <w:highlight w:val="none"/>
        </w:rPr>
        <w:t>不得以不正当手段获取政府采购代理业务，不得与采购人、供应商恶意串通操纵政府采购活动。</w:t>
      </w:r>
    </w:p>
    <w:p>
      <w:pPr>
        <w:spacing w:line="240" w:lineRule="atLeast"/>
        <w:ind w:left="900" w:hanging="900" w:hangingChars="3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34.2   </w:t>
      </w:r>
      <w:r>
        <w:rPr>
          <w:rFonts w:hint="eastAsia" w:asciiTheme="minorEastAsia" w:hAnsiTheme="minorEastAsia" w:eastAsiaTheme="minorEastAsia"/>
          <w:color w:val="auto"/>
          <w:sz w:val="24"/>
          <w:highlight w:val="none"/>
        </w:rPr>
        <w:t>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.3   为强化</w:t>
      </w:r>
      <w:r>
        <w:rPr>
          <w:rFonts w:asciiTheme="minorEastAsia" w:hAnsiTheme="minorEastAsia" w:eastAsiaTheme="minorEastAsia"/>
          <w:color w:val="auto"/>
          <w:sz w:val="24"/>
          <w:highlight w:val="none"/>
        </w:rPr>
        <w:t>内部监督机制</w:t>
      </w:r>
      <w:r>
        <w:rPr>
          <w:rFonts w:hint="eastAsia" w:asciiTheme="minorEastAsia" w:hAnsiTheme="minorEastAsia" w:eastAsiaTheme="minorEastAsia"/>
          <w:color w:val="auto"/>
          <w:sz w:val="24"/>
          <w:highlight w:val="none"/>
        </w:rPr>
        <w:t>，采购</w:t>
      </w:r>
      <w:r>
        <w:rPr>
          <w:rFonts w:asciiTheme="minorEastAsia" w:hAnsiTheme="minorEastAsia" w:eastAsiaTheme="minorEastAsia"/>
          <w:color w:val="auto"/>
          <w:sz w:val="24"/>
          <w:highlight w:val="none"/>
        </w:rPr>
        <w:t>代理机构已</w:t>
      </w:r>
      <w:r>
        <w:rPr>
          <w:rFonts w:hint="eastAsia" w:asciiTheme="minorEastAsia" w:hAnsiTheme="minorEastAsia" w:eastAsiaTheme="minorEastAsia"/>
          <w:color w:val="auto"/>
          <w:sz w:val="24"/>
          <w:highlight w:val="none"/>
        </w:rPr>
        <w:t>在</w:t>
      </w:r>
      <w:r>
        <w:rPr>
          <w:rFonts w:asciiTheme="minorEastAsia" w:hAnsiTheme="minorEastAsia" w:eastAsiaTheme="minorEastAsia"/>
          <w:color w:val="auto"/>
          <w:sz w:val="24"/>
          <w:highlight w:val="none"/>
        </w:rPr>
        <w:t>公司网站上公布</w:t>
      </w:r>
      <w:r>
        <w:rPr>
          <w:rFonts w:hint="eastAsia" w:asciiTheme="minorEastAsia" w:hAnsiTheme="minorEastAsia" w:eastAsiaTheme="minorEastAsia"/>
          <w:color w:val="auto"/>
          <w:sz w:val="24"/>
          <w:highlight w:val="none"/>
        </w:rPr>
        <w:t>监督电话</w:t>
      </w:r>
      <w:r>
        <w:rPr>
          <w:rFonts w:asciiTheme="minorEastAsia" w:hAnsiTheme="minorEastAsia" w:eastAsiaTheme="minorEastAsia"/>
          <w:color w:val="auto"/>
          <w:sz w:val="24"/>
          <w:highlight w:val="none"/>
        </w:rPr>
        <w:t>和</w:t>
      </w:r>
      <w:r>
        <w:rPr>
          <w:rFonts w:hint="eastAsia" w:asciiTheme="minorEastAsia" w:hAnsiTheme="minorEastAsia" w:eastAsiaTheme="minorEastAsia"/>
          <w:color w:val="auto"/>
          <w:sz w:val="24"/>
          <w:highlight w:val="none"/>
        </w:rPr>
        <w:t>信箱，供应商可反映采购代理机构的廉洁自律</w:t>
      </w:r>
      <w:r>
        <w:rPr>
          <w:rFonts w:asciiTheme="minorEastAsia" w:hAnsiTheme="minorEastAsia" w:eastAsiaTheme="minorEastAsia"/>
          <w:color w:val="auto"/>
          <w:sz w:val="24"/>
          <w:highlight w:val="none"/>
        </w:rPr>
        <w:t>等</w:t>
      </w:r>
      <w:r>
        <w:rPr>
          <w:rFonts w:hint="eastAsia" w:asciiTheme="minorEastAsia" w:hAnsiTheme="minorEastAsia" w:eastAsiaTheme="minorEastAsia"/>
          <w:color w:val="auto"/>
          <w:sz w:val="24"/>
          <w:highlight w:val="none"/>
        </w:rPr>
        <w:t>问题。</w:t>
      </w:r>
    </w:p>
    <w:p>
      <w:pPr>
        <w:pStyle w:val="6"/>
        <w:spacing w:before="0" w:after="0" w:line="240" w:lineRule="atLeast"/>
        <w:rPr>
          <w:rFonts w:asciiTheme="minorEastAsia" w:hAnsiTheme="minorEastAsia" w:eastAsiaTheme="minorEastAsia"/>
          <w:color w:val="auto"/>
          <w:highlight w:val="none"/>
          <w:u w:val="none"/>
        </w:rPr>
      </w:pPr>
      <w:bookmarkStart w:id="291" w:name="_Toc533275350"/>
      <w:bookmarkStart w:id="292" w:name="_Toc7046"/>
      <w:bookmarkStart w:id="293" w:name="_Toc510950475"/>
      <w:bookmarkStart w:id="294" w:name="_Toc510950635"/>
      <w:bookmarkStart w:id="295" w:name="_Toc507399483"/>
      <w:bookmarkStart w:id="296" w:name="_Toc510950556"/>
      <w:r>
        <w:rPr>
          <w:rFonts w:hint="eastAsia" w:asciiTheme="minorEastAsia" w:hAnsiTheme="minorEastAsia" w:eastAsiaTheme="minorEastAsia"/>
          <w:color w:val="auto"/>
          <w:highlight w:val="none"/>
          <w:u w:val="none"/>
        </w:rPr>
        <w:t>3</w:t>
      </w:r>
      <w:r>
        <w:rPr>
          <w:rFonts w:asciiTheme="minorEastAsia" w:hAnsiTheme="minorEastAsia" w:eastAsiaTheme="minorEastAsia"/>
          <w:color w:val="auto"/>
          <w:highlight w:val="none"/>
          <w:u w:val="none"/>
        </w:rPr>
        <w:t>5</w:t>
      </w:r>
      <w:r>
        <w:rPr>
          <w:rFonts w:hint="eastAsia" w:asciiTheme="minorEastAsia" w:hAnsiTheme="minorEastAsia" w:eastAsiaTheme="minorEastAsia"/>
          <w:color w:val="auto"/>
          <w:highlight w:val="none"/>
          <w:u w:val="none"/>
        </w:rPr>
        <w:t>.人员回避</w:t>
      </w:r>
      <w:bookmarkEnd w:id="291"/>
      <w:bookmarkEnd w:id="292"/>
      <w:bookmarkEnd w:id="293"/>
      <w:bookmarkEnd w:id="294"/>
      <w:bookmarkEnd w:id="295"/>
      <w:bookmarkEnd w:id="296"/>
    </w:p>
    <w:p>
      <w:pPr>
        <w:spacing w:line="240" w:lineRule="atLeast"/>
        <w:ind w:left="900" w:hanging="900" w:hanging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w:t>
      </w:r>
      <w:r>
        <w:rPr>
          <w:rFonts w:asciiTheme="minorEastAsia" w:hAnsiTheme="minorEastAsia" w:eastAsiaTheme="minorEastAsia"/>
          <w:color w:val="auto"/>
          <w:sz w:val="24"/>
          <w:highlight w:val="none"/>
        </w:rPr>
        <w:t>认为采购人员</w:t>
      </w:r>
      <w:r>
        <w:rPr>
          <w:rFonts w:hint="eastAsia" w:asciiTheme="minorEastAsia" w:hAnsiTheme="minorEastAsia" w:eastAsiaTheme="minorEastAsia"/>
          <w:color w:val="auto"/>
          <w:sz w:val="24"/>
          <w:highlight w:val="none"/>
        </w:rPr>
        <w:t>及其</w:t>
      </w:r>
      <w:r>
        <w:rPr>
          <w:rFonts w:asciiTheme="minorEastAsia" w:hAnsiTheme="minorEastAsia" w:eastAsiaTheme="minorEastAsia"/>
          <w:color w:val="auto"/>
          <w:sz w:val="24"/>
          <w:highlight w:val="none"/>
        </w:rPr>
        <w:t>相关人员有</w:t>
      </w:r>
      <w:r>
        <w:rPr>
          <w:rFonts w:hint="eastAsia" w:asciiTheme="minorEastAsia" w:hAnsiTheme="minorEastAsia" w:eastAsiaTheme="minorEastAsia"/>
          <w:color w:val="auto"/>
          <w:sz w:val="24"/>
          <w:highlight w:val="none"/>
        </w:rPr>
        <w:t>法律</w:t>
      </w:r>
      <w:r>
        <w:rPr>
          <w:rFonts w:asciiTheme="minorEastAsia" w:hAnsiTheme="minorEastAsia" w:eastAsiaTheme="minorEastAsia"/>
          <w:color w:val="auto"/>
          <w:sz w:val="24"/>
          <w:highlight w:val="none"/>
        </w:rPr>
        <w:t>法规所列与其他供应商</w:t>
      </w:r>
      <w:r>
        <w:rPr>
          <w:rFonts w:hint="eastAsia" w:asciiTheme="minorEastAsia" w:hAnsiTheme="minorEastAsia" w:eastAsiaTheme="minorEastAsia"/>
          <w:color w:val="auto"/>
          <w:sz w:val="24"/>
          <w:highlight w:val="none"/>
        </w:rPr>
        <w:t>有</w:t>
      </w:r>
      <w:r>
        <w:rPr>
          <w:rFonts w:asciiTheme="minorEastAsia" w:hAnsiTheme="minorEastAsia" w:eastAsiaTheme="minorEastAsia"/>
          <w:color w:val="auto"/>
          <w:sz w:val="24"/>
          <w:highlight w:val="none"/>
        </w:rPr>
        <w:t>利害关系的，可以向</w:t>
      </w:r>
      <w:r>
        <w:rPr>
          <w:rFonts w:hint="eastAsia" w:asciiTheme="minorEastAsia" w:hAnsiTheme="minorEastAsia" w:eastAsiaTheme="minorEastAsia"/>
          <w:color w:val="auto"/>
          <w:sz w:val="24"/>
          <w:highlight w:val="none"/>
        </w:rPr>
        <w:t>采购人或</w:t>
      </w:r>
      <w:r>
        <w:rPr>
          <w:rFonts w:asciiTheme="minorEastAsia" w:hAnsiTheme="minorEastAsia" w:eastAsiaTheme="minorEastAsia"/>
          <w:color w:val="auto"/>
          <w:sz w:val="24"/>
          <w:highlight w:val="none"/>
        </w:rPr>
        <w:t>采购代理机构书面提出回避申请，并说明理由。</w:t>
      </w:r>
    </w:p>
    <w:p>
      <w:pPr>
        <w:pStyle w:val="6"/>
        <w:spacing w:before="0" w:after="0" w:line="240" w:lineRule="atLeast"/>
        <w:rPr>
          <w:rFonts w:asciiTheme="minorEastAsia" w:hAnsiTheme="minorEastAsia" w:eastAsiaTheme="minorEastAsia"/>
          <w:color w:val="auto"/>
          <w:highlight w:val="none"/>
          <w:u w:val="none"/>
        </w:rPr>
      </w:pPr>
      <w:bookmarkStart w:id="297" w:name="_Toc510950476"/>
      <w:bookmarkStart w:id="298" w:name="_Toc510950636"/>
      <w:bookmarkStart w:id="299" w:name="_Toc510950557"/>
      <w:bookmarkStart w:id="300" w:name="_Toc3105"/>
      <w:bookmarkStart w:id="301" w:name="_Toc533275351"/>
      <w:bookmarkStart w:id="302" w:name="_Toc507399484"/>
      <w:r>
        <w:rPr>
          <w:rFonts w:hint="eastAsia" w:asciiTheme="minorEastAsia" w:hAnsiTheme="minorEastAsia" w:eastAsiaTheme="minorEastAsia"/>
          <w:color w:val="auto"/>
          <w:highlight w:val="none"/>
          <w:u w:val="none"/>
        </w:rPr>
        <w:t>36.   质疑与接收</w:t>
      </w:r>
      <w:bookmarkEnd w:id="297"/>
      <w:bookmarkEnd w:id="298"/>
      <w:bookmarkEnd w:id="299"/>
      <w:bookmarkEnd w:id="300"/>
      <w:bookmarkEnd w:id="301"/>
      <w:bookmarkEnd w:id="302"/>
    </w:p>
    <w:p>
      <w:pPr>
        <w:spacing w:line="240" w:lineRule="atLeast"/>
        <w:ind w:left="851" w:leftChars="68" w:hanging="708" w:hangingChars="29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36.1投标人认为采购文件、采购过程和中标结果使自己的权益受到损害的，根据</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采购法》</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采购法实施条例》</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采购质疑和投诉办法》</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有关规定，</w:t>
      </w:r>
      <w:r>
        <w:rPr>
          <w:rFonts w:hint="eastAsia" w:asciiTheme="minorEastAsia" w:hAnsiTheme="minorEastAsia" w:eastAsiaTheme="minorEastAsia"/>
          <w:color w:val="auto"/>
          <w:sz w:val="24"/>
          <w:highlight w:val="none"/>
        </w:rPr>
        <w:t>可以依法向采购人或采购代理机构提出质疑。</w:t>
      </w:r>
    </w:p>
    <w:p>
      <w:pPr>
        <w:spacing w:line="240" w:lineRule="atLeast"/>
        <w:ind w:left="851" w:leftChars="68" w:hanging="708" w:hangingChars="29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36.2  投标人应按照财政部制定的</w:t>
      </w:r>
      <w:r>
        <w:rPr>
          <w:rFonts w:hint="eastAsia" w:asciiTheme="minorEastAsia" w:hAnsiTheme="minorEastAsia" w:eastAsiaTheme="minorEastAsia"/>
          <w:color w:val="auto"/>
          <w:sz w:val="24"/>
          <w:highlight w:val="none"/>
        </w:rPr>
        <w:t>《政府采购质疑函范本》格式（可从财政部官方网站下载）和</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采购质疑和投诉办法》的要求</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在法定质疑期内</w:t>
      </w:r>
      <w:r>
        <w:rPr>
          <w:rFonts w:hint="eastAsia" w:asciiTheme="minorEastAsia" w:hAnsiTheme="minorEastAsia" w:eastAsiaTheme="minorEastAsia"/>
          <w:color w:val="auto"/>
          <w:sz w:val="24"/>
          <w:highlight w:val="none"/>
        </w:rPr>
        <w:t>以纸质形式</w:t>
      </w:r>
      <w:r>
        <w:rPr>
          <w:rFonts w:asciiTheme="minorEastAsia" w:hAnsiTheme="minorEastAsia" w:eastAsiaTheme="minorEastAsia"/>
          <w:color w:val="auto"/>
          <w:sz w:val="24"/>
          <w:highlight w:val="none"/>
        </w:rPr>
        <w:t>提出质疑</w:t>
      </w:r>
      <w:r>
        <w:rPr>
          <w:rFonts w:hint="eastAsia" w:asciiTheme="minorEastAsia" w:hAnsiTheme="minorEastAsia" w:eastAsiaTheme="minorEastAsia"/>
          <w:color w:val="auto"/>
          <w:sz w:val="24"/>
          <w:highlight w:val="none"/>
        </w:rPr>
        <w:t>，针对同一采购程序环节的质疑应一次性提出。</w:t>
      </w:r>
    </w:p>
    <w:p>
      <w:pPr>
        <w:spacing w:line="240" w:lineRule="atLeast"/>
        <w:ind w:left="851" w:leftChars="405" w:hanging="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超出法定质疑期的、重复提出的、分次</w:t>
      </w:r>
      <w:r>
        <w:rPr>
          <w:rFonts w:asciiTheme="minorEastAsia" w:hAnsiTheme="minorEastAsia" w:eastAsiaTheme="minorEastAsia"/>
          <w:color w:val="auto"/>
          <w:sz w:val="24"/>
          <w:highlight w:val="none"/>
        </w:rPr>
        <w:t>提出的</w:t>
      </w:r>
      <w:r>
        <w:rPr>
          <w:rFonts w:hint="eastAsia" w:asciiTheme="minorEastAsia" w:hAnsiTheme="minorEastAsia" w:eastAsiaTheme="minorEastAsia"/>
          <w:color w:val="auto"/>
          <w:sz w:val="24"/>
          <w:highlight w:val="none"/>
        </w:rPr>
        <w:t>或内容、</w:t>
      </w:r>
      <w:r>
        <w:rPr>
          <w:rFonts w:asciiTheme="minorEastAsia" w:hAnsiTheme="minorEastAsia" w:eastAsiaTheme="minorEastAsia"/>
          <w:color w:val="auto"/>
          <w:sz w:val="24"/>
          <w:highlight w:val="none"/>
        </w:rPr>
        <w:t>形式不符合《</w:t>
      </w:r>
      <w:r>
        <w:rPr>
          <w:rFonts w:hint="eastAsia" w:asciiTheme="minorEastAsia" w:hAnsiTheme="minorEastAsia" w:eastAsiaTheme="minorEastAsia"/>
          <w:color w:val="auto"/>
          <w:sz w:val="24"/>
          <w:highlight w:val="none"/>
        </w:rPr>
        <w:t>政府</w:t>
      </w:r>
      <w:r>
        <w:rPr>
          <w:rFonts w:asciiTheme="minorEastAsia" w:hAnsiTheme="minorEastAsia" w:eastAsiaTheme="minorEastAsia"/>
          <w:color w:val="auto"/>
          <w:sz w:val="24"/>
          <w:highlight w:val="none"/>
        </w:rPr>
        <w:t>采购质疑和投诉办法》</w:t>
      </w:r>
      <w:r>
        <w:rPr>
          <w:rFonts w:hint="eastAsia" w:asciiTheme="minorEastAsia" w:hAnsiTheme="minorEastAsia" w:eastAsiaTheme="minorEastAsia"/>
          <w:color w:val="auto"/>
          <w:sz w:val="24"/>
          <w:highlight w:val="none"/>
        </w:rPr>
        <w:t>的，投标</w:t>
      </w:r>
      <w:r>
        <w:rPr>
          <w:rFonts w:asciiTheme="minorEastAsia" w:hAnsiTheme="minorEastAsia" w:eastAsiaTheme="minorEastAsia"/>
          <w:color w:val="auto"/>
          <w:sz w:val="24"/>
          <w:highlight w:val="none"/>
        </w:rPr>
        <w:t>人将依法承担不利后果。</w:t>
      </w:r>
    </w:p>
    <w:p>
      <w:pPr>
        <w:spacing w:line="240" w:lineRule="atLeast"/>
        <w:ind w:left="851" w:leftChars="68" w:hanging="708" w:hangingChars="29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36.3  采购代理机构质疑函接收部门、联系电话和通讯地址</w:t>
      </w:r>
    </w:p>
    <w:p>
      <w:pPr>
        <w:spacing w:line="240" w:lineRule="atLeast"/>
        <w:ind w:left="710" w:leftChars="338"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联系部门：广东华伦招标有限公司</w:t>
      </w:r>
    </w:p>
    <w:p>
      <w:pPr>
        <w:spacing w:line="240" w:lineRule="atLeast"/>
        <w:ind w:left="710" w:leftChars="338"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联系电话</w:t>
      </w:r>
      <w:r>
        <w:rPr>
          <w:rFonts w:asciiTheme="minorEastAsia" w:hAnsiTheme="minorEastAsia" w:eastAsiaTheme="minorEastAsia"/>
          <w:color w:val="auto"/>
          <w:sz w:val="24"/>
          <w:highlight w:val="none"/>
        </w:rPr>
        <w:t>：</w:t>
      </w:r>
      <w:r>
        <w:rPr>
          <w:rFonts w:hint="eastAsia" w:ascii="宋体" w:hAnsi="宋体" w:cs="宋体"/>
          <w:color w:val="auto"/>
          <w:sz w:val="24"/>
          <w:highlight w:val="none"/>
        </w:rPr>
        <w:t>020-83172166</w:t>
      </w:r>
    </w:p>
    <w:p>
      <w:pPr>
        <w:spacing w:line="240" w:lineRule="atLeast"/>
        <w:ind w:left="710" w:leftChars="338" w:firstLine="240" w:firstLineChars="100"/>
        <w:rPr>
          <w:rFonts w:asciiTheme="minorEastAsia" w:hAnsiTheme="minorEastAsia"/>
          <w:color w:val="auto"/>
          <w:sz w:val="24"/>
          <w:highlight w:val="none"/>
        </w:rPr>
      </w:pPr>
      <w:r>
        <w:rPr>
          <w:rFonts w:hint="eastAsia" w:asciiTheme="minorEastAsia" w:hAnsiTheme="minorEastAsia" w:eastAsiaTheme="minorEastAsia"/>
          <w:color w:val="auto"/>
          <w:sz w:val="24"/>
          <w:highlight w:val="none"/>
        </w:rPr>
        <w:t>通讯</w:t>
      </w:r>
      <w:r>
        <w:rPr>
          <w:rFonts w:asciiTheme="minorEastAsia" w:hAnsiTheme="minorEastAsia" w:eastAsiaTheme="minorEastAsia"/>
          <w:color w:val="auto"/>
          <w:sz w:val="24"/>
          <w:highlight w:val="none"/>
        </w:rPr>
        <w:t>地址：</w:t>
      </w:r>
      <w:r>
        <w:rPr>
          <w:rFonts w:hint="eastAsia" w:ascii="宋体" w:hAnsi="宋体"/>
          <w:color w:val="auto"/>
          <w:kern w:val="0"/>
          <w:sz w:val="24"/>
          <w:highlight w:val="none"/>
        </w:rPr>
        <w:t>广州市越秀区广仁路1号广仁大厦7楼</w:t>
      </w:r>
    </w:p>
    <w:p>
      <w:pPr>
        <w:pStyle w:val="3"/>
        <w:spacing w:before="0" w:after="0" w:line="240" w:lineRule="atLeast"/>
        <w:rPr>
          <w:rFonts w:hAnsi="宋体"/>
          <w:color w:val="auto"/>
          <w:szCs w:val="32"/>
          <w:highlight w:val="none"/>
        </w:rPr>
      </w:pPr>
      <w:r>
        <w:rPr>
          <w:rFonts w:hAnsi="宋体"/>
          <w:color w:val="auto"/>
          <w:kern w:val="2"/>
          <w:highlight w:val="none"/>
        </w:rPr>
        <w:br w:type="page"/>
      </w:r>
      <w:bookmarkStart w:id="303" w:name="_Toc27852"/>
      <w:r>
        <w:rPr>
          <w:rFonts w:hint="eastAsia" w:hAnsi="宋体"/>
          <w:color w:val="auto"/>
          <w:kern w:val="2"/>
          <w:highlight w:val="none"/>
        </w:rPr>
        <w:t xml:space="preserve">第二章  </w:t>
      </w:r>
      <w:r>
        <w:rPr>
          <w:rFonts w:hint="eastAsia" w:hAnsi="宋体"/>
          <w:color w:val="auto"/>
          <w:szCs w:val="32"/>
          <w:highlight w:val="none"/>
        </w:rPr>
        <w:t>投标人须知资料表</w:t>
      </w:r>
      <w:bookmarkEnd w:id="303"/>
    </w:p>
    <w:p>
      <w:pPr>
        <w:spacing w:line="240" w:lineRule="atLeast"/>
        <w:rPr>
          <w:rFonts w:ascii="宋体" w:hAnsi="宋体"/>
          <w:color w:val="auto"/>
          <w:sz w:val="24"/>
          <w:highlight w:val="none"/>
        </w:rPr>
      </w:pPr>
    </w:p>
    <w:p>
      <w:pPr>
        <w:spacing w:line="240" w:lineRule="atLeast"/>
        <w:ind w:firstLine="360" w:firstLineChars="150"/>
        <w:rPr>
          <w:rFonts w:ascii="宋体" w:hAnsi="宋体"/>
          <w:color w:val="auto"/>
          <w:sz w:val="24"/>
          <w:highlight w:val="none"/>
        </w:rPr>
      </w:pPr>
      <w:r>
        <w:rPr>
          <w:rFonts w:hint="eastAsia" w:ascii="宋体" w:hAnsi="宋体"/>
          <w:color w:val="auto"/>
          <w:sz w:val="24"/>
          <w:highlight w:val="none"/>
        </w:rPr>
        <w:t>本表是关于要采购货物的具体资料，是对投标人须知的具体补充和修改，如有矛盾，应以本资料表为准。</w:t>
      </w:r>
    </w:p>
    <w:tbl>
      <w:tblPr>
        <w:tblStyle w:val="44"/>
        <w:tblW w:w="83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180"/>
        <w:gridCol w:w="6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条款号</w:t>
            </w:r>
          </w:p>
        </w:tc>
        <w:tc>
          <w:tcPr>
            <w:tcW w:w="6840" w:type="dxa"/>
            <w:gridSpan w:val="2"/>
            <w:vAlign w:val="center"/>
          </w:tcPr>
          <w:p>
            <w:pPr>
              <w:spacing w:line="240" w:lineRule="atLeast"/>
              <w:jc w:val="center"/>
              <w:rPr>
                <w:rFonts w:ascii="宋体" w:hAnsi="宋体"/>
                <w:b/>
                <w:color w:val="auto"/>
                <w:sz w:val="24"/>
                <w:highlight w:val="none"/>
              </w:rPr>
            </w:pPr>
            <w:r>
              <w:rPr>
                <w:rFonts w:hint="eastAsia" w:ascii="宋体" w:hAnsi="宋体"/>
                <w:b/>
                <w:color w:val="auto"/>
                <w:sz w:val="24"/>
                <w:highlight w:val="none"/>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1.1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采购人：</w:t>
            </w:r>
            <w:r>
              <w:rPr>
                <w:rFonts w:hint="eastAsia" w:ascii="宋体" w:hAnsi="宋体"/>
                <w:color w:val="auto"/>
                <w:sz w:val="24"/>
                <w:highlight w:val="none"/>
                <w:u w:val="single"/>
              </w:rPr>
              <w:t>工业和信息化部电子第五研究所</w:t>
            </w:r>
          </w:p>
          <w:p>
            <w:pPr>
              <w:spacing w:line="240" w:lineRule="atLeast"/>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广州市天河区东莞庄路110</w:t>
            </w:r>
            <w:r>
              <w:rPr>
                <w:rFonts w:ascii="宋体" w:hAnsi="宋体"/>
                <w:color w:val="auto"/>
                <w:sz w:val="24"/>
                <w:highlight w:val="none"/>
                <w:u w:val="single"/>
              </w:rPr>
              <w:t>号</w:t>
            </w:r>
          </w:p>
          <w:p>
            <w:pPr>
              <w:spacing w:line="240" w:lineRule="atLeast"/>
              <w:rPr>
                <w:rFonts w:ascii="宋体" w:hAnsi="宋体"/>
                <w:color w:val="auto"/>
                <w:sz w:val="24"/>
                <w:highlight w:val="none"/>
              </w:rPr>
            </w:pPr>
            <w:r>
              <w:rPr>
                <w:rFonts w:hint="eastAsia" w:ascii="宋体" w:hAnsi="宋体"/>
                <w:color w:val="auto"/>
                <w:sz w:val="24"/>
                <w:highlight w:val="none"/>
              </w:rPr>
              <w:t>电  话：</w:t>
            </w:r>
            <w:r>
              <w:rPr>
                <w:rFonts w:ascii="宋体" w:hAnsi="宋体"/>
                <w:color w:val="auto"/>
                <w:sz w:val="24"/>
                <w:highlight w:val="none"/>
                <w:u w:val="single"/>
              </w:rPr>
              <w:t>020-</w:t>
            </w:r>
            <w:r>
              <w:rPr>
                <w:rFonts w:ascii="宋体" w:hAnsi="宋体" w:cs="宋体"/>
                <w:color w:val="auto"/>
                <w:sz w:val="24"/>
                <w:highlight w:val="none"/>
                <w:u w:val="single"/>
              </w:rPr>
              <w:t>87237</w:t>
            </w:r>
            <w:r>
              <w:rPr>
                <w:rFonts w:hint="eastAsia" w:ascii="宋体" w:hAnsi="宋体" w:cs="宋体"/>
                <w:color w:val="auto"/>
                <w:sz w:val="24"/>
                <w:highlight w:val="none"/>
                <w:u w:val="single"/>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1.2</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采购代理机构：</w:t>
            </w:r>
            <w:r>
              <w:rPr>
                <w:rFonts w:hint="eastAsia" w:ascii="宋体" w:hAnsi="宋体"/>
                <w:color w:val="auto"/>
                <w:sz w:val="24"/>
                <w:highlight w:val="none"/>
                <w:u w:val="single"/>
              </w:rPr>
              <w:t>广东华伦招标有限公司</w:t>
            </w:r>
          </w:p>
          <w:p>
            <w:pPr>
              <w:spacing w:line="240" w:lineRule="atLeast"/>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kern w:val="0"/>
                <w:sz w:val="24"/>
                <w:highlight w:val="none"/>
                <w:u w:val="single"/>
              </w:rPr>
              <w:t>广州市越秀区广仁路1号广仁大厦7楼</w:t>
            </w:r>
          </w:p>
          <w:p>
            <w:pPr>
              <w:spacing w:line="240" w:lineRule="atLeast"/>
              <w:rPr>
                <w:rFonts w:ascii="宋体" w:hAnsi="宋体"/>
                <w:color w:val="auto"/>
                <w:sz w:val="24"/>
                <w:highlight w:val="none"/>
              </w:rPr>
            </w:pPr>
            <w:r>
              <w:rPr>
                <w:rFonts w:hint="eastAsia" w:ascii="宋体" w:hAnsi="宋体"/>
                <w:color w:val="auto"/>
                <w:sz w:val="24"/>
                <w:highlight w:val="none"/>
              </w:rPr>
              <w:t>业务联系人：</w:t>
            </w:r>
            <w:r>
              <w:rPr>
                <w:rFonts w:hint="eastAsia" w:ascii="宋体" w:hAnsi="宋体"/>
                <w:color w:val="auto"/>
                <w:kern w:val="0"/>
                <w:sz w:val="24"/>
                <w:highlight w:val="none"/>
                <w:u w:val="single"/>
              </w:rPr>
              <w:t>田工</w:t>
            </w:r>
          </w:p>
          <w:p>
            <w:pPr>
              <w:spacing w:line="240" w:lineRule="atLeast"/>
              <w:rPr>
                <w:rFonts w:ascii="宋体" w:hAnsi="宋体"/>
                <w:color w:val="auto"/>
                <w:kern w:val="0"/>
                <w:sz w:val="24"/>
                <w:highlight w:val="none"/>
                <w:u w:val="single"/>
              </w:rPr>
            </w:pPr>
            <w:r>
              <w:rPr>
                <w:rFonts w:hint="eastAsia" w:ascii="宋体" w:hAnsi="宋体"/>
                <w:color w:val="auto"/>
                <w:sz w:val="24"/>
                <w:highlight w:val="none"/>
              </w:rPr>
              <w:t>电话：</w:t>
            </w:r>
            <w:r>
              <w:rPr>
                <w:rFonts w:hint="eastAsia" w:ascii="宋体" w:hAnsi="宋体" w:cs="宋体"/>
                <w:color w:val="auto"/>
                <w:sz w:val="24"/>
                <w:highlight w:val="none"/>
              </w:rPr>
              <w:t>020-83172166转844</w:t>
            </w:r>
          </w:p>
          <w:p>
            <w:pPr>
              <w:spacing w:line="240" w:lineRule="atLeast"/>
              <w:rPr>
                <w:rFonts w:ascii="宋体" w:hAnsi="宋体"/>
                <w:color w:val="auto"/>
                <w:sz w:val="24"/>
                <w:highlight w:val="none"/>
              </w:rPr>
            </w:pPr>
            <w:r>
              <w:rPr>
                <w:rFonts w:hint="eastAsia" w:ascii="宋体" w:hAnsi="宋体"/>
                <w:color w:val="auto"/>
                <w:sz w:val="24"/>
                <w:highlight w:val="none"/>
              </w:rPr>
              <w:t>传真：020-83172223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6"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 xml:space="preserve">1.4  </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是否允许采购进口产品：</w:t>
            </w:r>
            <w:r>
              <w:rPr>
                <w:rFonts w:hint="eastAsia" w:ascii="宋体" w:hAnsi="宋体"/>
                <w:color w:val="auto"/>
                <w:sz w:val="24"/>
                <w:highlight w:val="none"/>
                <w:u w:val="singl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1.5</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是否为专门面向</w:t>
            </w:r>
            <w:r>
              <w:rPr>
                <w:rFonts w:ascii="宋体" w:hAnsi="宋体"/>
                <w:color w:val="auto"/>
                <w:sz w:val="24"/>
                <w:highlight w:val="none"/>
              </w:rPr>
              <w:t>中小企业采购</w:t>
            </w:r>
            <w:r>
              <w:rPr>
                <w:rFonts w:hint="eastAsia" w:ascii="宋体" w:hAnsi="宋体"/>
                <w:color w:val="auto"/>
                <w:sz w:val="24"/>
                <w:highlight w:val="none"/>
              </w:rPr>
              <w:t>：</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1.6</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是否允许联合体投标：</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2.2</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本包最高限价：</w:t>
            </w:r>
            <w:r>
              <w:rPr>
                <w:rFonts w:hint="eastAsia" w:ascii="宋体" w:hAnsi="宋体"/>
                <w:color w:val="auto"/>
                <w:kern w:val="0"/>
                <w:sz w:val="24"/>
                <w:highlight w:val="none"/>
                <w:u w:val="single"/>
              </w:rPr>
              <w:t>人民币15</w:t>
            </w:r>
            <w:r>
              <w:rPr>
                <w:rFonts w:ascii="宋体" w:hAnsi="宋体"/>
                <w:color w:val="auto"/>
                <w:kern w:val="0"/>
                <w:sz w:val="24"/>
                <w:highlight w:val="none"/>
                <w:u w:val="single"/>
              </w:rPr>
              <w:t>3</w:t>
            </w:r>
            <w:r>
              <w:rPr>
                <w:rFonts w:hint="eastAsia" w:ascii="宋体" w:hAnsi="宋体"/>
                <w:color w:val="auto"/>
                <w:kern w:val="0"/>
                <w:sz w:val="24"/>
                <w:highlight w:val="none"/>
                <w:u w:val="single"/>
              </w:rPr>
              <w:t>万元</w:t>
            </w:r>
            <w:r>
              <w:rPr>
                <w:rFonts w:hint="eastAsia" w:ascii="宋体" w:hAnsi="宋体"/>
                <w:bCs/>
                <w:color w:val="auto"/>
                <w:kern w:val="0"/>
                <w:sz w:val="24"/>
                <w:highlight w:val="none"/>
                <w:u w:val="single"/>
              </w:rPr>
              <w:t>。其中高低温湿热试验箱最高限价6</w:t>
            </w:r>
            <w:r>
              <w:rPr>
                <w:rFonts w:ascii="宋体" w:hAnsi="宋体"/>
                <w:bCs/>
                <w:color w:val="auto"/>
                <w:kern w:val="0"/>
                <w:sz w:val="24"/>
                <w:highlight w:val="none"/>
                <w:u w:val="single"/>
              </w:rPr>
              <w:t>5</w:t>
            </w:r>
            <w:r>
              <w:rPr>
                <w:rFonts w:hint="eastAsia" w:ascii="宋体" w:hAnsi="宋体"/>
                <w:bCs/>
                <w:color w:val="auto"/>
                <w:kern w:val="0"/>
                <w:sz w:val="24"/>
                <w:highlight w:val="none"/>
                <w:u w:val="single"/>
              </w:rPr>
              <w:t>万。冷凝水试验箱最高限价</w:t>
            </w:r>
            <w:r>
              <w:rPr>
                <w:rFonts w:ascii="宋体" w:hAnsi="宋体"/>
                <w:bCs/>
                <w:color w:val="auto"/>
                <w:kern w:val="0"/>
                <w:sz w:val="24"/>
                <w:highlight w:val="none"/>
                <w:u w:val="single"/>
              </w:rPr>
              <w:t>19</w:t>
            </w:r>
            <w:r>
              <w:rPr>
                <w:rFonts w:hint="eastAsia" w:ascii="宋体" w:hAnsi="宋体"/>
                <w:bCs/>
                <w:color w:val="auto"/>
                <w:kern w:val="0"/>
                <w:sz w:val="24"/>
                <w:highlight w:val="none"/>
                <w:u w:val="single"/>
              </w:rPr>
              <w:t>万。</w:t>
            </w:r>
            <w:r>
              <w:rPr>
                <w:rFonts w:hint="eastAsia" w:ascii="宋体" w:hAnsi="宋体" w:cs="宋体"/>
                <w:color w:val="auto"/>
                <w:sz w:val="24"/>
                <w:highlight w:val="none"/>
                <w:u w:val="single"/>
              </w:rPr>
              <w:t>冰水冲击试验机最高限价</w:t>
            </w:r>
            <w:r>
              <w:rPr>
                <w:rFonts w:ascii="宋体" w:hAnsi="宋体" w:cs="宋体"/>
                <w:color w:val="auto"/>
                <w:sz w:val="24"/>
                <w:highlight w:val="none"/>
                <w:u w:val="single"/>
              </w:rPr>
              <w:t>17.8万</w:t>
            </w:r>
            <w:r>
              <w:rPr>
                <w:rFonts w:hint="eastAsia" w:ascii="宋体" w:hAnsi="宋体" w:cs="宋体"/>
                <w:color w:val="auto"/>
                <w:sz w:val="24"/>
                <w:highlight w:val="none"/>
                <w:u w:val="single"/>
              </w:rPr>
              <w:t>、复合盐雾试验机最高限价</w:t>
            </w:r>
            <w:r>
              <w:rPr>
                <w:rFonts w:ascii="宋体" w:hAnsi="宋体" w:cs="宋体"/>
                <w:color w:val="auto"/>
                <w:sz w:val="24"/>
                <w:highlight w:val="none"/>
                <w:u w:val="single"/>
              </w:rPr>
              <w:t>25万</w:t>
            </w:r>
            <w:r>
              <w:rPr>
                <w:rFonts w:hint="eastAsia" w:ascii="宋体" w:hAnsi="宋体" w:cs="宋体"/>
                <w:color w:val="auto"/>
                <w:sz w:val="24"/>
                <w:highlight w:val="none"/>
                <w:u w:val="single"/>
              </w:rPr>
              <w:t>、盐雾试验机最高限价</w:t>
            </w:r>
            <w:r>
              <w:rPr>
                <w:rFonts w:ascii="宋体" w:hAnsi="宋体" w:cs="宋体"/>
                <w:color w:val="auto"/>
                <w:sz w:val="24"/>
                <w:highlight w:val="none"/>
                <w:u w:val="single"/>
              </w:rPr>
              <w:t>5万</w:t>
            </w:r>
            <w:r>
              <w:rPr>
                <w:rFonts w:hint="eastAsia" w:ascii="宋体" w:hAnsi="宋体" w:cs="宋体"/>
                <w:color w:val="auto"/>
                <w:sz w:val="24"/>
                <w:highlight w:val="none"/>
                <w:u w:val="single"/>
              </w:rPr>
              <w:t>、漏电流测试仪最高限价</w:t>
            </w:r>
            <w:r>
              <w:rPr>
                <w:rFonts w:ascii="宋体" w:hAnsi="宋体" w:cs="宋体"/>
                <w:color w:val="auto"/>
                <w:sz w:val="24"/>
                <w:highlight w:val="none"/>
                <w:u w:val="single"/>
              </w:rPr>
              <w:t>3.5万</w:t>
            </w:r>
            <w:r>
              <w:rPr>
                <w:rFonts w:hint="eastAsia" w:ascii="宋体" w:hAnsi="宋体" w:cs="宋体"/>
                <w:color w:val="auto"/>
                <w:sz w:val="24"/>
                <w:highlight w:val="none"/>
                <w:u w:val="single"/>
              </w:rPr>
              <w:t>、压敏电阻参数测试仪最高限价</w:t>
            </w:r>
            <w:r>
              <w:rPr>
                <w:rFonts w:ascii="宋体" w:hAnsi="宋体" w:cs="宋体"/>
                <w:color w:val="auto"/>
                <w:sz w:val="24"/>
                <w:highlight w:val="none"/>
                <w:u w:val="single"/>
              </w:rPr>
              <w:t>2.4万</w:t>
            </w:r>
            <w:r>
              <w:rPr>
                <w:rFonts w:hint="eastAsia" w:ascii="宋体" w:hAnsi="宋体" w:cs="宋体"/>
                <w:color w:val="auto"/>
                <w:sz w:val="24"/>
                <w:highlight w:val="none"/>
                <w:u w:val="single"/>
              </w:rPr>
              <w:t>、电线电缆削片机最高限价</w:t>
            </w:r>
            <w:r>
              <w:rPr>
                <w:rFonts w:ascii="宋体" w:hAnsi="宋体" w:cs="宋体"/>
                <w:color w:val="auto"/>
                <w:sz w:val="24"/>
                <w:highlight w:val="none"/>
                <w:u w:val="single"/>
              </w:rPr>
              <w:t>1万</w:t>
            </w:r>
            <w:r>
              <w:rPr>
                <w:rFonts w:hint="eastAsia" w:ascii="宋体" w:hAnsi="宋体" w:cs="宋体"/>
                <w:color w:val="auto"/>
                <w:sz w:val="24"/>
                <w:highlight w:val="none"/>
                <w:u w:val="single"/>
              </w:rPr>
              <w:t>、</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插拔耐久试验机最高限价</w:t>
            </w:r>
            <w:r>
              <w:rPr>
                <w:rFonts w:ascii="宋体" w:hAnsi="宋体" w:cs="宋体"/>
                <w:color w:val="auto"/>
                <w:sz w:val="24"/>
                <w:highlight w:val="none"/>
                <w:u w:val="single"/>
              </w:rPr>
              <w:t>11万</w:t>
            </w:r>
            <w:r>
              <w:rPr>
                <w:rFonts w:hint="eastAsia" w:ascii="宋体" w:hAnsi="宋体" w:cs="宋体"/>
                <w:color w:val="auto"/>
                <w:sz w:val="24"/>
                <w:highlight w:val="none"/>
                <w:u w:val="single"/>
              </w:rPr>
              <w:t>、高温压力实验装置最高限价</w:t>
            </w:r>
            <w:r>
              <w:rPr>
                <w:rFonts w:ascii="宋体" w:hAnsi="宋体" w:cs="宋体"/>
                <w:color w:val="auto"/>
                <w:sz w:val="24"/>
                <w:highlight w:val="none"/>
                <w:u w:val="single"/>
              </w:rPr>
              <w:t>0.8万</w:t>
            </w:r>
            <w:r>
              <w:rPr>
                <w:rFonts w:hint="eastAsia" w:ascii="宋体" w:hAnsi="宋体" w:cs="宋体"/>
                <w:color w:val="auto"/>
                <w:sz w:val="24"/>
                <w:highlight w:val="none"/>
                <w:u w:val="single"/>
              </w:rPr>
              <w:t>、耦合器加热试验装置最高限价</w:t>
            </w:r>
            <w:r>
              <w:rPr>
                <w:rFonts w:ascii="宋体" w:hAnsi="宋体" w:cs="宋体"/>
                <w:color w:val="auto"/>
                <w:sz w:val="24"/>
                <w:highlight w:val="none"/>
                <w:u w:val="single"/>
              </w:rPr>
              <w:t>2.5万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8.1</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如投标商对多个包进行投标，可兼投兼中。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42"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9.1</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进口</w:t>
            </w:r>
            <w:r>
              <w:rPr>
                <w:rFonts w:ascii="宋体" w:hAnsi="宋体"/>
                <w:color w:val="auto"/>
                <w:sz w:val="24"/>
                <w:highlight w:val="none"/>
              </w:rPr>
              <w:t>产品制造商</w:t>
            </w:r>
            <w:r>
              <w:rPr>
                <w:rFonts w:hint="eastAsia" w:ascii="宋体" w:hAnsi="宋体"/>
                <w:color w:val="auto"/>
                <w:sz w:val="24"/>
                <w:highlight w:val="none"/>
              </w:rPr>
              <w:t>授权</w:t>
            </w:r>
            <w:r>
              <w:rPr>
                <w:rFonts w:ascii="宋体" w:hAnsi="宋体"/>
                <w:color w:val="auto"/>
                <w:sz w:val="24"/>
                <w:highlight w:val="none"/>
              </w:rPr>
              <w:t>等是否作为</w:t>
            </w:r>
            <w:r>
              <w:rPr>
                <w:rFonts w:hint="eastAsia" w:ascii="宋体" w:hAnsi="宋体"/>
                <w:color w:val="auto"/>
                <w:sz w:val="24"/>
                <w:highlight w:val="none"/>
              </w:rPr>
              <w:t>资格</w:t>
            </w:r>
            <w:r>
              <w:rPr>
                <w:rFonts w:ascii="宋体" w:hAnsi="宋体"/>
                <w:color w:val="auto"/>
                <w:sz w:val="24"/>
                <w:highlight w:val="none"/>
              </w:rPr>
              <w:t>要求：</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12</w:t>
            </w:r>
          </w:p>
        </w:tc>
        <w:tc>
          <w:tcPr>
            <w:tcW w:w="6840" w:type="dxa"/>
            <w:gridSpan w:val="2"/>
            <w:vAlign w:val="center"/>
          </w:tcPr>
          <w:p>
            <w:pPr>
              <w:ind w:left="600" w:hanging="600" w:hangingChars="250"/>
              <w:rPr>
                <w:rFonts w:ascii="宋体" w:hAnsi="宋体"/>
                <w:color w:val="auto"/>
                <w:sz w:val="24"/>
                <w:highlight w:val="none"/>
                <w:u w:val="single"/>
              </w:rPr>
            </w:pPr>
            <w:r>
              <w:rPr>
                <w:rFonts w:ascii="宋体" w:hAnsi="宋体"/>
                <w:color w:val="auto"/>
                <w:sz w:val="24"/>
                <w:highlight w:val="none"/>
              </w:rPr>
              <w:t>保证金形式：</w:t>
            </w:r>
            <w:r>
              <w:rPr>
                <w:rFonts w:ascii="宋体" w:hAnsi="宋体"/>
                <w:color w:val="auto"/>
                <w:sz w:val="24"/>
                <w:highlight w:val="none"/>
                <w:u w:val="single"/>
              </w:rPr>
              <w:t>支票</w:t>
            </w:r>
            <w:r>
              <w:rPr>
                <w:rFonts w:hint="eastAsia" w:ascii="宋体" w:hAnsi="宋体"/>
                <w:color w:val="auto"/>
                <w:sz w:val="24"/>
                <w:highlight w:val="none"/>
                <w:u w:val="single"/>
              </w:rPr>
              <w:t>、</w:t>
            </w:r>
            <w:r>
              <w:rPr>
                <w:rFonts w:ascii="宋体" w:hAnsi="宋体"/>
                <w:color w:val="auto"/>
                <w:sz w:val="24"/>
                <w:highlight w:val="none"/>
                <w:u w:val="single"/>
              </w:rPr>
              <w:t>汇票</w:t>
            </w:r>
            <w:r>
              <w:rPr>
                <w:rFonts w:hint="eastAsia" w:ascii="宋体" w:hAnsi="宋体"/>
                <w:color w:val="auto"/>
                <w:sz w:val="24"/>
                <w:highlight w:val="none"/>
                <w:u w:val="single"/>
              </w:rPr>
              <w:t>、保函正本、</w:t>
            </w:r>
            <w:r>
              <w:rPr>
                <w:rFonts w:ascii="宋体" w:hAnsi="宋体"/>
                <w:color w:val="auto"/>
                <w:sz w:val="24"/>
                <w:highlight w:val="none"/>
                <w:u w:val="single"/>
              </w:rPr>
              <w:t>电汇</w:t>
            </w:r>
          </w:p>
          <w:p>
            <w:pPr>
              <w:rPr>
                <w:rFonts w:ascii="宋体" w:hAnsi="宋体"/>
                <w:color w:val="auto"/>
                <w:sz w:val="24"/>
                <w:highlight w:val="none"/>
                <w:u w:val="single"/>
              </w:rPr>
            </w:pPr>
            <w:r>
              <w:rPr>
                <w:rFonts w:ascii="宋体" w:hAnsi="宋体"/>
                <w:color w:val="auto"/>
                <w:sz w:val="24"/>
                <w:highlight w:val="none"/>
              </w:rPr>
              <w:t>保证金数额：</w:t>
            </w:r>
            <w:r>
              <w:rPr>
                <w:rFonts w:hint="eastAsia" w:ascii="宋体" w:hAnsi="宋体"/>
                <w:color w:val="auto"/>
                <w:sz w:val="24"/>
                <w:highlight w:val="none"/>
                <w:u w:val="single"/>
              </w:rPr>
              <w:t>人民币</w:t>
            </w:r>
            <w:r>
              <w:rPr>
                <w:rFonts w:ascii="宋体" w:hAnsi="宋体"/>
                <w:color w:val="auto"/>
                <w:sz w:val="24"/>
                <w:highlight w:val="none"/>
                <w:u w:val="single"/>
              </w:rPr>
              <w:t>10000.00元</w:t>
            </w:r>
          </w:p>
          <w:p>
            <w:pPr>
              <w:rPr>
                <w:rFonts w:hAnsi="宋体"/>
                <w:color w:val="auto"/>
                <w:sz w:val="24"/>
                <w:highlight w:val="none"/>
              </w:rPr>
            </w:pPr>
            <w:r>
              <w:rPr>
                <w:rFonts w:hint="eastAsia" w:ascii="宋体" w:hAnsi="宋体"/>
                <w:color w:val="auto"/>
                <w:sz w:val="24"/>
                <w:highlight w:val="none"/>
              </w:rPr>
              <w:t>保证金收款单位名称：广东华伦招标有限公司</w:t>
            </w:r>
          </w:p>
          <w:p>
            <w:pPr>
              <w:widowControl/>
              <w:jc w:val="left"/>
              <w:rPr>
                <w:rFonts w:ascii="宋体" w:hAnsi="宋体"/>
                <w:color w:val="auto"/>
                <w:sz w:val="24"/>
                <w:highlight w:val="none"/>
              </w:rPr>
            </w:pPr>
            <w:r>
              <w:rPr>
                <w:rFonts w:hint="eastAsia" w:ascii="宋体" w:hAnsi="宋体"/>
                <w:color w:val="auto"/>
                <w:sz w:val="24"/>
                <w:highlight w:val="none"/>
              </w:rPr>
              <w:t>保证金收款银行账号：请投标人自行登录广东华伦招标有限公司官网（http:// www.gdhualun.com.cn/），通过供应商在线服务平台自动获取保证金收款账户信息。该账号为虚拟账号，仅针对本投标人本项目分包有效，对于其他投标人、其他项目或分包无效，请勿泄露或从他人处获取账号信息，因账号泄露导致的任何损失由投标人自行承担。</w:t>
            </w:r>
          </w:p>
          <w:p>
            <w:pPr>
              <w:widowControl/>
              <w:jc w:val="left"/>
              <w:rPr>
                <w:rFonts w:ascii="宋体" w:hAnsi="宋体"/>
                <w:b/>
                <w:bCs/>
                <w:color w:val="auto"/>
                <w:sz w:val="24"/>
                <w:highlight w:val="none"/>
              </w:rPr>
            </w:pPr>
            <w:r>
              <w:rPr>
                <w:rFonts w:hint="eastAsia" w:ascii="宋体" w:hAnsi="宋体"/>
                <w:b/>
                <w:bCs/>
                <w:color w:val="auto"/>
                <w:sz w:val="24"/>
                <w:highlight w:val="none"/>
              </w:rPr>
              <w:t>注：汇款时，请注明事由：</w:t>
            </w:r>
            <w:r>
              <w:rPr>
                <w:rFonts w:ascii="宋体" w:hAnsi="宋体"/>
                <w:b/>
                <w:bCs/>
                <w:color w:val="auto"/>
                <w:sz w:val="24"/>
                <w:highlight w:val="none"/>
                <w:u w:val="single"/>
              </w:rPr>
              <w:t xml:space="preserve"> </w:t>
            </w:r>
            <w:r>
              <w:rPr>
                <w:rFonts w:hint="eastAsia" w:ascii="宋体" w:hAnsi="宋体"/>
                <w:b/>
                <w:bCs/>
                <w:color w:val="auto"/>
                <w:sz w:val="24"/>
                <w:highlight w:val="none"/>
                <w:u w:val="single"/>
                <w:lang w:eastAsia="zh-CN"/>
              </w:rPr>
              <w:t>0809-2041GZG14308</w:t>
            </w:r>
            <w:r>
              <w:rPr>
                <w:rFonts w:ascii="宋体" w:hAnsi="宋体"/>
                <w:b/>
                <w:bCs/>
                <w:color w:val="auto"/>
                <w:sz w:val="24"/>
                <w:highlight w:val="none"/>
                <w:u w:val="single"/>
              </w:rPr>
              <w:t xml:space="preserve"> </w:t>
            </w:r>
            <w:r>
              <w:rPr>
                <w:rFonts w:hint="eastAsia" w:ascii="宋体" w:hAnsi="宋体"/>
                <w:b/>
                <w:bCs/>
                <w:color w:val="auto"/>
                <w:sz w:val="24"/>
                <w:highlight w:val="none"/>
              </w:rPr>
              <w:t>投标保证金</w:t>
            </w:r>
          </w:p>
          <w:p>
            <w:pPr>
              <w:rPr>
                <w:rFonts w:ascii="宋体" w:hAnsi="宋体"/>
                <w:b/>
                <w:i/>
                <w:color w:val="auto"/>
                <w:sz w:val="24"/>
                <w:highlight w:val="none"/>
                <w:u w:val="single"/>
              </w:rPr>
            </w:pPr>
            <w:r>
              <w:rPr>
                <w:rFonts w:hint="eastAsia" w:ascii="宋体" w:hAnsi="宋体"/>
                <w:b/>
                <w:color w:val="auto"/>
                <w:sz w:val="24"/>
                <w:highlight w:val="none"/>
              </w:rPr>
              <w:t>（此账号仅限收取投标保证金）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13.1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投标有效期：</w:t>
            </w:r>
            <w:r>
              <w:rPr>
                <w:rFonts w:hint="eastAsia" w:ascii="宋体" w:hAnsi="宋体"/>
                <w:color w:val="auto"/>
                <w:sz w:val="24"/>
                <w:highlight w:val="none"/>
                <w:u w:val="single"/>
              </w:rPr>
              <w:t>90</w:t>
            </w:r>
            <w:r>
              <w:rPr>
                <w:rFonts w:hint="eastAsia" w:ascii="宋体" w:hAnsi="宋体"/>
                <w:color w:val="auto"/>
                <w:sz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14.1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投标文件：正本：</w:t>
            </w:r>
            <w:r>
              <w:rPr>
                <w:rFonts w:hint="eastAsia" w:ascii="宋体" w:hAnsi="宋体"/>
                <w:color w:val="auto"/>
                <w:sz w:val="24"/>
                <w:highlight w:val="none"/>
                <w:u w:val="single"/>
              </w:rPr>
              <w:t>1</w:t>
            </w:r>
            <w:r>
              <w:rPr>
                <w:rFonts w:hint="eastAsia" w:ascii="宋体" w:hAnsi="宋体"/>
                <w:color w:val="auto"/>
                <w:sz w:val="24"/>
                <w:highlight w:val="none"/>
              </w:rPr>
              <w:t>份；副本：</w:t>
            </w:r>
            <w:r>
              <w:rPr>
                <w:rFonts w:hint="eastAsia" w:ascii="宋体" w:hAnsi="宋体"/>
                <w:color w:val="auto"/>
                <w:sz w:val="24"/>
                <w:highlight w:val="none"/>
                <w:u w:val="single"/>
              </w:rPr>
              <w:t>4</w:t>
            </w:r>
            <w:r>
              <w:rPr>
                <w:rFonts w:hint="eastAsia" w:ascii="宋体" w:hAnsi="宋体"/>
                <w:color w:val="auto"/>
                <w:sz w:val="24"/>
                <w:highlight w:val="none"/>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15.3</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投标截止时间：</w:t>
            </w:r>
            <w:r>
              <w:rPr>
                <w:rFonts w:ascii="宋体" w:hAnsi="宋体"/>
                <w:color w:val="auto"/>
                <w:sz w:val="24"/>
                <w:highlight w:val="none"/>
                <w:u w:val="single"/>
              </w:rPr>
              <w:t>2020</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0</w:t>
            </w:r>
            <w:r>
              <w:rPr>
                <w:rFonts w:hint="eastAsia" w:ascii="宋体" w:hAnsi="宋体"/>
                <w:color w:val="auto"/>
                <w:sz w:val="24"/>
                <w:highlight w:val="none"/>
                <w:u w:val="single"/>
                <w:lang w:val="en-US" w:eastAsia="zh-CN"/>
              </w:rPr>
              <w:t>4</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1</w:t>
            </w:r>
            <w:r>
              <w:rPr>
                <w:rFonts w:hint="eastAsia" w:ascii="宋体" w:hAnsi="宋体"/>
                <w:color w:val="auto"/>
                <w:sz w:val="24"/>
                <w:highlight w:val="none"/>
                <w:u w:val="single"/>
                <w:lang w:val="en-US" w:eastAsia="zh-CN"/>
              </w:rPr>
              <w:t>4</w:t>
            </w:r>
            <w:r>
              <w:rPr>
                <w:rFonts w:ascii="宋体" w:hAnsi="宋体"/>
                <w:color w:val="auto"/>
                <w:sz w:val="24"/>
                <w:highlight w:val="none"/>
                <w:u w:val="single"/>
              </w:rPr>
              <w:t xml:space="preserve"> </w:t>
            </w:r>
            <w:r>
              <w:rPr>
                <w:rFonts w:hint="eastAsia" w:ascii="宋体" w:hAnsi="宋体"/>
                <w:color w:val="auto"/>
                <w:sz w:val="24"/>
                <w:highlight w:val="none"/>
              </w:rPr>
              <w:t>日上午</w:t>
            </w:r>
            <w:r>
              <w:rPr>
                <w:rFonts w:hint="eastAsia" w:ascii="宋体" w:hAnsi="宋体"/>
                <w:color w:val="auto"/>
                <w:sz w:val="24"/>
                <w:highlight w:val="none"/>
                <w:lang w:eastAsia="zh-CN"/>
              </w:rPr>
              <w:t>1</w:t>
            </w:r>
            <w:r>
              <w:rPr>
                <w:rFonts w:hint="eastAsia" w:ascii="宋体" w:hAnsi="宋体"/>
                <w:color w:val="auto"/>
                <w:sz w:val="24"/>
                <w:highlight w:val="none"/>
                <w:lang w:val="en-US" w:eastAsia="zh-CN"/>
              </w:rPr>
              <w:t>0</w:t>
            </w:r>
            <w:r>
              <w:rPr>
                <w:rFonts w:ascii="宋体" w:hAnsi="宋体"/>
                <w:color w:val="auto"/>
                <w:sz w:val="24"/>
                <w:highlight w:val="none"/>
                <w:u w:val="single"/>
              </w:rPr>
              <w:t>:</w:t>
            </w:r>
            <w:r>
              <w:rPr>
                <w:rFonts w:ascii="宋体" w:hAnsi="宋体"/>
                <w:color w:val="auto"/>
                <w:sz w:val="24"/>
                <w:highlight w:val="none"/>
              </w:rPr>
              <w:t>30（北京时间）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18</w:t>
            </w:r>
            <w:r>
              <w:rPr>
                <w:rFonts w:ascii="宋体" w:hAnsi="宋体"/>
                <w:color w:val="auto"/>
                <w:sz w:val="24"/>
                <w:highlight w:val="none"/>
              </w:rPr>
              <w:t>.1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rPr>
              <w:t>开标时间：</w:t>
            </w:r>
            <w:r>
              <w:rPr>
                <w:rFonts w:ascii="宋体" w:hAnsi="宋体"/>
                <w:color w:val="auto"/>
                <w:sz w:val="24"/>
                <w:highlight w:val="none"/>
                <w:u w:val="single"/>
              </w:rPr>
              <w:t>2020</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0</w:t>
            </w:r>
            <w:r>
              <w:rPr>
                <w:rFonts w:hint="eastAsia" w:ascii="宋体" w:hAnsi="宋体"/>
                <w:color w:val="auto"/>
                <w:sz w:val="24"/>
                <w:highlight w:val="none"/>
                <w:u w:val="single"/>
                <w:lang w:val="en-US" w:eastAsia="zh-CN"/>
              </w:rPr>
              <w:t>4</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1</w:t>
            </w:r>
            <w:r>
              <w:rPr>
                <w:rFonts w:hint="eastAsia" w:ascii="宋体" w:hAnsi="宋体"/>
                <w:color w:val="auto"/>
                <w:sz w:val="24"/>
                <w:highlight w:val="none"/>
                <w:u w:val="single"/>
                <w:lang w:val="en-US" w:eastAsia="zh-CN"/>
              </w:rPr>
              <w:t>4</w:t>
            </w:r>
            <w:r>
              <w:rPr>
                <w:rFonts w:ascii="宋体" w:hAnsi="宋体"/>
                <w:color w:val="auto"/>
                <w:sz w:val="24"/>
                <w:highlight w:val="none"/>
                <w:u w:val="single"/>
              </w:rPr>
              <w:t xml:space="preserve"> </w:t>
            </w:r>
            <w:r>
              <w:rPr>
                <w:rFonts w:hint="eastAsia" w:ascii="宋体" w:hAnsi="宋体"/>
                <w:color w:val="auto"/>
                <w:sz w:val="24"/>
                <w:highlight w:val="none"/>
              </w:rPr>
              <w:t>日上午</w:t>
            </w:r>
            <w:r>
              <w:rPr>
                <w:rFonts w:hint="eastAsia" w:ascii="宋体" w:hAnsi="宋体"/>
                <w:color w:val="auto"/>
                <w:sz w:val="24"/>
                <w:highlight w:val="none"/>
                <w:lang w:eastAsia="zh-CN"/>
              </w:rPr>
              <w:t>1</w:t>
            </w:r>
            <w:r>
              <w:rPr>
                <w:rFonts w:hint="eastAsia" w:ascii="宋体" w:hAnsi="宋体"/>
                <w:color w:val="auto"/>
                <w:sz w:val="24"/>
                <w:highlight w:val="none"/>
                <w:lang w:val="en-US" w:eastAsia="zh-CN"/>
              </w:rPr>
              <w:t>0</w:t>
            </w:r>
            <w:r>
              <w:rPr>
                <w:rFonts w:ascii="宋体" w:hAnsi="宋体"/>
                <w:color w:val="auto"/>
                <w:sz w:val="24"/>
                <w:highlight w:val="none"/>
                <w:u w:val="single"/>
              </w:rPr>
              <w:t>:</w:t>
            </w:r>
            <w:r>
              <w:rPr>
                <w:rFonts w:ascii="宋体" w:hAnsi="宋体"/>
                <w:color w:val="auto"/>
                <w:sz w:val="24"/>
                <w:highlight w:val="none"/>
              </w:rPr>
              <w:t>30（北京时间）</w:t>
            </w:r>
          </w:p>
          <w:p>
            <w:pPr>
              <w:spacing w:line="240" w:lineRule="atLeast"/>
              <w:rPr>
                <w:rFonts w:ascii="宋体" w:hAnsi="宋体"/>
                <w:color w:val="auto"/>
                <w:sz w:val="24"/>
                <w:highlight w:val="none"/>
              </w:rPr>
            </w:pPr>
            <w:r>
              <w:rPr>
                <w:rFonts w:hint="eastAsia" w:ascii="宋体" w:hAnsi="宋体"/>
                <w:color w:val="auto"/>
                <w:sz w:val="24"/>
                <w:highlight w:val="none"/>
              </w:rPr>
              <w:t>开标地点：</w:t>
            </w:r>
            <w:r>
              <w:rPr>
                <w:rFonts w:hint="eastAsia" w:ascii="宋体" w:hAnsi="宋体"/>
                <w:color w:val="auto"/>
                <w:sz w:val="24"/>
                <w:highlight w:val="none"/>
                <w:u w:val="single"/>
              </w:rPr>
              <w:t>广州市越秀区广仁路</w:t>
            </w:r>
            <w:r>
              <w:rPr>
                <w:rFonts w:ascii="宋体" w:hAnsi="宋体"/>
                <w:color w:val="auto"/>
                <w:sz w:val="24"/>
                <w:highlight w:val="none"/>
                <w:u w:val="single"/>
              </w:rPr>
              <w:t>1号</w:t>
            </w:r>
            <w:r>
              <w:rPr>
                <w:rFonts w:hint="eastAsia" w:ascii="宋体" w:hAnsi="宋体"/>
                <w:color w:val="auto"/>
                <w:sz w:val="24"/>
                <w:highlight w:val="none"/>
                <w:u w:val="single"/>
              </w:rPr>
              <w:t>广仁大厦</w:t>
            </w:r>
            <w:r>
              <w:rPr>
                <w:rFonts w:ascii="宋体" w:hAnsi="宋体"/>
                <w:color w:val="auto"/>
                <w:sz w:val="24"/>
                <w:highlight w:val="none"/>
                <w:u w:val="single"/>
              </w:rPr>
              <w:t>7楼会议室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20.4</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核心产品：高低温湿热试验箱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3</w:t>
            </w:r>
            <w:r>
              <w:rPr>
                <w:rFonts w:hint="eastAsia" w:ascii="宋体" w:hAnsi="宋体"/>
                <w:color w:val="auto"/>
                <w:sz w:val="24"/>
                <w:highlight w:val="none"/>
              </w:rPr>
              <w:t>.2</w:t>
            </w:r>
          </w:p>
        </w:tc>
        <w:tc>
          <w:tcPr>
            <w:tcW w:w="6840" w:type="dxa"/>
            <w:gridSpan w:val="2"/>
            <w:vAlign w:val="center"/>
          </w:tcPr>
          <w:p>
            <w:pPr>
              <w:spacing w:line="240" w:lineRule="atLeast"/>
              <w:rPr>
                <w:rFonts w:ascii="宋体" w:hAnsi="宋体"/>
                <w:i/>
                <w:color w:val="auto"/>
                <w:sz w:val="24"/>
                <w:highlight w:val="none"/>
              </w:rPr>
            </w:pPr>
            <w:r>
              <w:rPr>
                <w:rFonts w:hint="eastAsia" w:ascii="宋体" w:hAnsi="宋体"/>
                <w:color w:val="auto"/>
                <w:sz w:val="24"/>
                <w:highlight w:val="none"/>
              </w:rPr>
              <w:t>评标方法：适用</w:t>
            </w:r>
            <w:r>
              <w:rPr>
                <w:rFonts w:hint="eastAsia" w:ascii="宋体" w:hAnsi="宋体"/>
                <w:color w:val="auto"/>
                <w:sz w:val="24"/>
                <w:highlight w:val="none"/>
                <w:u w:val="single"/>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27</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推荐</w:t>
            </w:r>
            <w:r>
              <w:rPr>
                <w:rFonts w:ascii="宋体" w:hAnsi="宋体"/>
                <w:color w:val="auto"/>
                <w:sz w:val="24"/>
                <w:highlight w:val="none"/>
              </w:rPr>
              <w:t>中标候选供应商的数量：</w:t>
            </w:r>
            <w:r>
              <w:rPr>
                <w:rFonts w:hint="eastAsia" w:ascii="宋体" w:hAnsi="宋体"/>
                <w:color w:val="auto"/>
                <w:sz w:val="24"/>
                <w:highlight w:val="none"/>
                <w:u w:val="single"/>
              </w:rPr>
              <w:t>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1"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7</w:t>
            </w:r>
          </w:p>
        </w:tc>
        <w:tc>
          <w:tcPr>
            <w:tcW w:w="6840" w:type="dxa"/>
            <w:gridSpan w:val="2"/>
            <w:vAlign w:val="center"/>
          </w:tcPr>
          <w:p>
            <w:pPr>
              <w:spacing w:line="240" w:lineRule="atLeast"/>
              <w:rPr>
                <w:rFonts w:ascii="宋体" w:hAnsi="宋体"/>
                <w:color w:val="auto"/>
                <w:sz w:val="24"/>
                <w:highlight w:val="none"/>
              </w:rPr>
            </w:pPr>
            <w:r>
              <w:rPr>
                <w:rFonts w:hint="eastAsia" w:ascii="宋体" w:hAnsi="宋体"/>
                <w:color w:val="auto"/>
                <w:sz w:val="24"/>
                <w:highlight w:val="none"/>
              </w:rPr>
              <w:t>招标人是否委托评标委员会直接确定中标人：</w:t>
            </w:r>
            <w:r>
              <w:rPr>
                <w:rFonts w:hint="eastAsia" w:ascii="宋体" w:hAnsi="宋体"/>
                <w:color w:val="auto"/>
                <w:sz w:val="24"/>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31</w:t>
            </w:r>
            <w:r>
              <w:rPr>
                <w:rFonts w:hint="eastAsia" w:ascii="宋体" w:hAnsi="宋体"/>
                <w:color w:val="auto"/>
                <w:sz w:val="24"/>
                <w:highlight w:val="none"/>
              </w:rPr>
              <w:t>.1</w:t>
            </w:r>
          </w:p>
        </w:tc>
        <w:tc>
          <w:tcPr>
            <w:tcW w:w="6840" w:type="dxa"/>
            <w:gridSpan w:val="2"/>
            <w:vAlign w:val="center"/>
          </w:tcPr>
          <w:p>
            <w:pPr>
              <w:spacing w:line="240" w:lineRule="atLeast"/>
              <w:rPr>
                <w:rFonts w:ascii="宋体" w:hAnsi="宋体"/>
                <w:color w:val="auto"/>
                <w:sz w:val="24"/>
                <w:highlight w:val="none"/>
                <w:u w:val="single"/>
              </w:rPr>
            </w:pPr>
            <w:r>
              <w:rPr>
                <w:rFonts w:hint="eastAsia" w:ascii="宋体" w:hAnsi="宋体"/>
                <w:color w:val="auto"/>
                <w:sz w:val="24"/>
                <w:highlight w:val="none"/>
                <w:u w:val="single"/>
              </w:rPr>
              <w:t>不需要提交履约保证金。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13" w:hRule="atLeast"/>
          <w:jc w:val="center"/>
        </w:trPr>
        <w:tc>
          <w:tcPr>
            <w:tcW w:w="1468" w:type="dxa"/>
            <w:vAlign w:val="center"/>
          </w:tcPr>
          <w:p>
            <w:pPr>
              <w:spacing w:line="240" w:lineRule="atLeast"/>
              <w:ind w:left="1080" w:leftChars="257" w:hanging="540"/>
              <w:rPr>
                <w:rFonts w:ascii="宋体" w:hAnsi="宋体"/>
                <w:color w:val="auto"/>
                <w:sz w:val="24"/>
                <w:highlight w:val="none"/>
              </w:rPr>
            </w:pPr>
            <w:r>
              <w:rPr>
                <w:rFonts w:ascii="宋体" w:hAnsi="宋体"/>
                <w:color w:val="auto"/>
                <w:sz w:val="24"/>
                <w:highlight w:val="none"/>
              </w:rPr>
              <w:t>32</w:t>
            </w:r>
          </w:p>
        </w:tc>
        <w:tc>
          <w:tcPr>
            <w:tcW w:w="6840" w:type="dxa"/>
            <w:gridSpan w:val="2"/>
            <w:vAlign w:val="center"/>
          </w:tcPr>
          <w:p>
            <w:pPr>
              <w:spacing w:line="240" w:lineRule="atLeast"/>
              <w:ind w:firstLine="638" w:firstLineChars="266"/>
              <w:rPr>
                <w:rFonts w:ascii="宋体" w:hAnsi="宋体"/>
                <w:color w:val="auto"/>
                <w:sz w:val="24"/>
                <w:highlight w:val="none"/>
              </w:rPr>
            </w:pPr>
            <w:r>
              <w:rPr>
                <w:rFonts w:hint="eastAsia" w:ascii="宋体" w:hAnsi="宋体"/>
                <w:color w:val="auto"/>
                <w:sz w:val="24"/>
                <w:highlight w:val="none"/>
              </w:rPr>
              <w:t>中标服务费按照中标金额进行计算，中标服务费的收费标准参照国家计委“关于印发《招标代理服务收费管理暂行办法》的通知”（计价格[2002]1980号文）和国家发展改革委调整招标代理服务收费标准(发改价格[2011]534号)的标准下浮后收取，具体下浮率如下：</w:t>
            </w:r>
          </w:p>
          <w:tbl>
            <w:tblPr>
              <w:tblStyle w:val="44"/>
              <w:tblW w:w="6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22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222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项目中标金额（万元）</w:t>
                  </w:r>
                </w:p>
              </w:tc>
              <w:tc>
                <w:tcPr>
                  <w:tcW w:w="33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222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100（含）以下</w:t>
                  </w:r>
                </w:p>
              </w:tc>
              <w:tc>
                <w:tcPr>
                  <w:tcW w:w="33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按上述标准计算服务费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222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100-200（含）</w:t>
                  </w:r>
                </w:p>
              </w:tc>
              <w:tc>
                <w:tcPr>
                  <w:tcW w:w="33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按上述标准计算服务费后下浮5%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222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200-500（含）</w:t>
                  </w:r>
                </w:p>
              </w:tc>
              <w:tc>
                <w:tcPr>
                  <w:tcW w:w="33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按上述标准计算服务费后下浮10%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4</w:t>
                  </w:r>
                </w:p>
              </w:tc>
              <w:tc>
                <w:tcPr>
                  <w:tcW w:w="222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500以上</w:t>
                  </w:r>
                </w:p>
              </w:tc>
              <w:tc>
                <w:tcPr>
                  <w:tcW w:w="33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按上述标准计算服务费后下浮15%</w:t>
                  </w:r>
                </w:p>
              </w:tc>
            </w:tr>
          </w:tbl>
          <w:p>
            <w:pPr>
              <w:spacing w:line="240" w:lineRule="atLeas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jc w:val="center"/>
        </w:trPr>
        <w:tc>
          <w:tcPr>
            <w:tcW w:w="8308" w:type="dxa"/>
            <w:gridSpan w:val="3"/>
            <w:tcBorders>
              <w:top w:val="single" w:color="auto" w:sz="12" w:space="0"/>
              <w:left w:val="single" w:color="auto" w:sz="12" w:space="0"/>
              <w:bottom w:val="single" w:color="auto" w:sz="12" w:space="0"/>
              <w:right w:val="single" w:color="auto" w:sz="12" w:space="0"/>
            </w:tcBorders>
            <w:vAlign w:val="center"/>
          </w:tcPr>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jc w:val="center"/>
        </w:trPr>
        <w:tc>
          <w:tcPr>
            <w:tcW w:w="1648" w:type="dxa"/>
            <w:gridSpan w:val="2"/>
            <w:vAlign w:val="center"/>
          </w:tcPr>
          <w:p>
            <w:pPr>
              <w:spacing w:line="240" w:lineRule="atLeast"/>
              <w:ind w:left="1080" w:leftChars="257" w:hanging="540"/>
              <w:rPr>
                <w:rFonts w:ascii="宋体" w:hAnsi="宋体"/>
                <w:color w:val="auto"/>
                <w:sz w:val="24"/>
                <w:highlight w:val="none"/>
              </w:rPr>
            </w:pPr>
          </w:p>
        </w:tc>
        <w:tc>
          <w:tcPr>
            <w:tcW w:w="6660" w:type="dxa"/>
            <w:vAlign w:val="center"/>
          </w:tcPr>
          <w:p>
            <w:pPr>
              <w:spacing w:line="240" w:lineRule="atLeast"/>
              <w:rPr>
                <w:rFonts w:ascii="宋体" w:hAnsi="宋体"/>
                <w:color w:val="auto"/>
                <w:sz w:val="24"/>
                <w:highlight w:val="none"/>
              </w:rPr>
            </w:pPr>
            <w:r>
              <w:rPr>
                <w:rFonts w:hint="eastAsia" w:ascii="宋体" w:hAnsi="宋体"/>
                <w:color w:val="auto"/>
                <w:sz w:val="24"/>
                <w:highlight w:val="none"/>
              </w:rPr>
              <w:t>其他</w:t>
            </w:r>
          </w:p>
        </w:tc>
      </w:tr>
    </w:tbl>
    <w:p>
      <w:pPr>
        <w:spacing w:line="240" w:lineRule="atLeast"/>
        <w:rPr>
          <w:rFonts w:ascii="宋体" w:hAnsi="宋体"/>
          <w:color w:val="auto"/>
          <w:sz w:val="24"/>
          <w:highlight w:val="none"/>
        </w:rPr>
      </w:pPr>
    </w:p>
    <w:p>
      <w:pPr>
        <w:spacing w:line="240" w:lineRule="atLeast"/>
        <w:rPr>
          <w:rFonts w:ascii="宋体" w:hAnsi="宋体"/>
          <w:color w:val="auto"/>
          <w:sz w:val="24"/>
          <w:highlight w:val="none"/>
        </w:rPr>
        <w:sectPr>
          <w:footerReference r:id="rId8" w:type="first"/>
          <w:footerReference r:id="rId6" w:type="default"/>
          <w:footerReference r:id="rId7" w:type="even"/>
          <w:type w:val="nextColumn"/>
          <w:pgSz w:w="11907" w:h="16840"/>
          <w:pgMar w:top="1440" w:right="1797" w:bottom="1440" w:left="1797" w:header="851" w:footer="851" w:gutter="0"/>
          <w:pgNumType w:start="1"/>
          <w:cols w:space="720" w:num="1"/>
          <w:docGrid w:linePitch="462" w:charSpace="0"/>
        </w:sectPr>
      </w:pPr>
    </w:p>
    <w:p>
      <w:pPr>
        <w:pStyle w:val="3"/>
        <w:spacing w:before="0" w:after="0" w:line="240" w:lineRule="atLeast"/>
        <w:rPr>
          <w:rFonts w:hAnsi="宋体"/>
          <w:color w:val="auto"/>
          <w:kern w:val="2"/>
          <w:highlight w:val="none"/>
        </w:rPr>
      </w:pPr>
      <w:bookmarkStart w:id="304" w:name="_Toc25738"/>
      <w:r>
        <w:rPr>
          <w:rFonts w:hint="eastAsia" w:hAnsi="宋体"/>
          <w:color w:val="auto"/>
          <w:kern w:val="2"/>
          <w:highlight w:val="none"/>
        </w:rPr>
        <w:t>第三章</w:t>
      </w:r>
      <w:bookmarkStart w:id="305" w:name="_Toc494445681"/>
      <w:r>
        <w:rPr>
          <w:rFonts w:hint="eastAsia" w:hAnsi="宋体"/>
          <w:color w:val="auto"/>
          <w:kern w:val="2"/>
          <w:highlight w:val="none"/>
        </w:rPr>
        <w:t xml:space="preserve">  资格性审查表</w:t>
      </w:r>
      <w:bookmarkEnd w:id="304"/>
      <w:bookmarkEnd w:id="305"/>
    </w:p>
    <w:p>
      <w:pPr>
        <w:spacing w:line="240" w:lineRule="atLeast"/>
        <w:rPr>
          <w:rFonts w:ascii="宋体" w:hAnsi="宋体"/>
          <w:color w:val="auto"/>
          <w:sz w:val="24"/>
          <w:highlight w:val="none"/>
        </w:rPr>
      </w:pPr>
    </w:p>
    <w:tbl>
      <w:tblPr>
        <w:tblStyle w:val="4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Merge w:val="restart"/>
            <w:vAlign w:val="center"/>
          </w:tcPr>
          <w:p>
            <w:pPr>
              <w:jc w:val="center"/>
              <w:rPr>
                <w:rFonts w:ascii="宋体" w:hAnsi="宋体"/>
                <w:color w:val="auto"/>
                <w:sz w:val="24"/>
                <w:highlight w:val="none"/>
              </w:rPr>
            </w:pPr>
            <w:r>
              <w:rPr>
                <w:rFonts w:hint="eastAsia" w:ascii="宋体" w:hAnsi="宋体"/>
                <w:color w:val="auto"/>
                <w:sz w:val="24"/>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8529" w:type="dxa"/>
            <w:vMerge w:val="continue"/>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olor w:val="auto"/>
                <w:sz w:val="24"/>
                <w:highlight w:val="none"/>
              </w:rPr>
            </w:pPr>
            <w:r>
              <w:rPr>
                <w:rFonts w:hint="eastAsia" w:ascii="宋体" w:hAnsi="宋体"/>
                <w:color w:val="auto"/>
                <w:sz w:val="24"/>
                <w:highlight w:val="none"/>
              </w:rPr>
              <w:t>供应商必须是具有独立承担民事责任能力的在中华人民共和国境内注册的法人或其他组织或自然人（提供有效的营业执照（或事业法人登记证或身份证等相关证明）副本复印件并加盖公章）。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olor w:val="auto"/>
                <w:sz w:val="24"/>
                <w:highlight w:val="none"/>
              </w:rPr>
            </w:pPr>
            <w:r>
              <w:rPr>
                <w:rFonts w:hint="eastAsia" w:ascii="宋体" w:hAnsi="宋体"/>
                <w:color w:val="auto"/>
                <w:sz w:val="24"/>
                <w:highlight w:val="none"/>
              </w:rPr>
              <w:t>供应商必须具有良好的商业信誉和健全的财务会计制度（提供2018年的财务状况报告（成立时间不满1年的，提供投标截止时间前近3个月内，任意1个月的财务状况报告）或者基本户开户银行出具的资信证明复印件</w:t>
            </w:r>
            <w:r>
              <w:rPr>
                <w:rFonts w:hint="eastAsia" w:ascii="宋体" w:hAnsi="宋体" w:cs="宋体"/>
                <w:color w:val="auto"/>
                <w:kern w:val="0"/>
                <w:sz w:val="24"/>
                <w:highlight w:val="none"/>
              </w:rPr>
              <w:t>并加盖公章</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olor w:val="auto"/>
                <w:sz w:val="24"/>
                <w:highlight w:val="none"/>
              </w:rPr>
            </w:pPr>
            <w:r>
              <w:rPr>
                <w:rFonts w:hint="eastAsia" w:ascii="宋体" w:hAnsi="宋体"/>
                <w:color w:val="auto"/>
                <w:sz w:val="24"/>
                <w:highlight w:val="none"/>
              </w:rPr>
              <w:t>供应商有依法缴纳税收和社会保障资金的良好记录（提供投标截止时间前12个月内任意1个月依法缴纳税收和社会保障资金的相关证明材料复印件</w:t>
            </w:r>
            <w:r>
              <w:rPr>
                <w:rFonts w:hint="eastAsia" w:ascii="宋体" w:hAnsi="宋体" w:cs="宋体"/>
                <w:color w:val="auto"/>
                <w:kern w:val="0"/>
                <w:sz w:val="24"/>
                <w:highlight w:val="none"/>
              </w:rPr>
              <w:t>并加盖公章</w:t>
            </w:r>
            <w:r>
              <w:rPr>
                <w:rFonts w:hint="eastAsia" w:ascii="宋体" w:hAnsi="宋体"/>
                <w:color w:val="auto"/>
                <w:sz w:val="24"/>
                <w:highlight w:val="none"/>
              </w:rPr>
              <w:t>。如依法免税或不需要缴纳社会保障资金的，提供相应证明材料）。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olor w:val="auto"/>
                <w:sz w:val="24"/>
                <w:highlight w:val="none"/>
              </w:rPr>
              <w:t>供应商具备履行合同所必需的设备和专业技术能力（</w:t>
            </w:r>
            <w:r>
              <w:rPr>
                <w:rFonts w:hint="eastAsia" w:ascii="宋体" w:hAnsi="宋体" w:cs="宋体"/>
                <w:color w:val="auto"/>
                <w:kern w:val="0"/>
                <w:sz w:val="24"/>
                <w:highlight w:val="none"/>
              </w:rPr>
              <w:t>提供设备的清单以及技术人员的名单材料并加盖公章或做出承诺</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olor w:val="auto"/>
                <w:sz w:val="24"/>
                <w:highlight w:val="none"/>
              </w:rPr>
              <w:t>供应商参加政府采购活动前三年内，在经营活动中没有重大违法记录</w:t>
            </w:r>
            <w:r>
              <w:rPr>
                <w:rFonts w:hint="eastAsia" w:ascii="宋体" w:hAnsi="宋体" w:cs="Tahoma"/>
                <w:color w:val="auto"/>
                <w:sz w:val="24"/>
                <w:szCs w:val="21"/>
                <w:highlight w:val="none"/>
              </w:rPr>
              <w:t>的书面声明（原件）。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olor w:val="auto"/>
                <w:sz w:val="24"/>
                <w:highlight w:val="none"/>
              </w:rPr>
              <w:t>供应商必须符合法律、行政法规规定的其他条件。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olor w:val="auto"/>
                <w:sz w:val="24"/>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www.ccgp.gov.cn)查询结果为准，如相关失信记录已失效，供应商需提供相关证明材料复印件</w:t>
            </w:r>
            <w:r>
              <w:rPr>
                <w:rFonts w:hint="eastAsia" w:ascii="宋体" w:hAnsi="宋体" w:cs="宋体"/>
                <w:color w:val="auto"/>
                <w:kern w:val="0"/>
                <w:sz w:val="24"/>
                <w:highlight w:val="none"/>
              </w:rPr>
              <w:t>并加盖公章</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olor w:val="auto"/>
                <w:sz w:val="24"/>
                <w:highlight w:val="none"/>
              </w:rPr>
              <w:t>单位负责人为同一人或者存在直接控股、管理关系的不同供应商，不得同时参加本采购项目投标。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olor w:val="auto"/>
                <w:sz w:val="24"/>
                <w:highlight w:val="none"/>
              </w:rPr>
              <w:t>为本项目提供整体设计、规范编制或者项目管理、监理、检测等服务的供应商，不得再参与本项目投标。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s="Tahoma"/>
                <w:color w:val="auto"/>
                <w:sz w:val="24"/>
                <w:szCs w:val="21"/>
                <w:highlight w:val="none"/>
              </w:rPr>
            </w:pPr>
            <w:r>
              <w:rPr>
                <w:rFonts w:hint="eastAsia" w:ascii="宋体" w:hAnsi="宋体" w:cs="Tahoma"/>
                <w:color w:val="auto"/>
                <w:sz w:val="24"/>
                <w:szCs w:val="21"/>
                <w:highlight w:val="none"/>
              </w:rPr>
              <w:t>本项目不允许联合体投标。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jc w:val="left"/>
              <w:rPr>
                <w:rFonts w:ascii="宋体" w:hAnsi="宋体"/>
                <w:color w:val="auto"/>
                <w:sz w:val="24"/>
                <w:highlight w:val="none"/>
              </w:rPr>
            </w:pPr>
            <w:r>
              <w:rPr>
                <w:rFonts w:hint="eastAsia" w:ascii="宋体" w:hAnsi="宋体" w:cs="Tahoma"/>
                <w:color w:val="auto"/>
                <w:sz w:val="24"/>
                <w:szCs w:val="21"/>
                <w:highlight w:val="none"/>
              </w:rPr>
              <w:t>已获取本项目招标文件。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529" w:type="dxa"/>
            <w:vAlign w:val="center"/>
          </w:tcPr>
          <w:p>
            <w:pPr>
              <w:pStyle w:val="129"/>
              <w:keepNext w:val="0"/>
              <w:adjustRightInd/>
              <w:spacing w:before="0" w:after="0" w:line="240" w:lineRule="auto"/>
              <w:textAlignment w:val="auto"/>
              <w:rPr>
                <w:rFonts w:ascii="宋体" w:hAnsi="宋体"/>
                <w:color w:val="auto"/>
                <w:spacing w:val="0"/>
                <w:kern w:val="2"/>
                <w:szCs w:val="24"/>
                <w:highlight w:val="none"/>
              </w:rPr>
            </w:pPr>
            <w:r>
              <w:rPr>
                <w:rFonts w:hint="eastAsia" w:ascii="宋体" w:hAnsi="宋体"/>
                <w:color w:val="auto"/>
                <w:spacing w:val="0"/>
                <w:kern w:val="2"/>
                <w:szCs w:val="24"/>
                <w:highlight w:val="none"/>
              </w:rPr>
              <w:t>结论</w:t>
            </w:r>
          </w:p>
        </w:tc>
      </w:tr>
    </w:tbl>
    <w:p>
      <w:pPr>
        <w:spacing w:line="360" w:lineRule="auto"/>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备注：1</w:t>
      </w:r>
      <w:r>
        <w:rPr>
          <w:rFonts w:cs="Arial" w:asciiTheme="minorEastAsia" w:hAnsiTheme="minorEastAsia" w:eastAsiaTheme="minorEastAsia"/>
          <w:color w:val="auto"/>
          <w:sz w:val="24"/>
          <w:highlight w:val="none"/>
        </w:rPr>
        <w:t>.每一项符合的打“○”，不符合的打“×”。</w:t>
      </w:r>
    </w:p>
    <w:p>
      <w:pPr>
        <w:spacing w:line="360" w:lineRule="auto"/>
        <w:ind w:left="975" w:leftChars="350" w:hanging="240" w:hangingChars="100"/>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2</w:t>
      </w:r>
      <w:r>
        <w:rPr>
          <w:rFonts w:cs="Arial" w:asciiTheme="minorEastAsia" w:hAnsiTheme="minorEastAsia" w:eastAsiaTheme="minorEastAsia"/>
          <w:color w:val="auto"/>
          <w:sz w:val="24"/>
          <w:highlight w:val="none"/>
        </w:rPr>
        <w:t>.“结论”一栏填写“通过”或“不通过”；任何一项出现“×”的，结论为不通过；不通过的为无效</w:t>
      </w:r>
      <w:r>
        <w:rPr>
          <w:rFonts w:hint="eastAsia" w:cs="Arial" w:asciiTheme="minorEastAsia" w:hAnsiTheme="minorEastAsia" w:eastAsiaTheme="minorEastAsia"/>
          <w:color w:val="auto"/>
          <w:sz w:val="24"/>
          <w:highlight w:val="none"/>
        </w:rPr>
        <w:t>投标。</w:t>
      </w:r>
    </w:p>
    <w:p>
      <w:pPr>
        <w:spacing w:line="240" w:lineRule="atLeast"/>
        <w:ind w:firstLine="720" w:firstLineChars="300"/>
        <w:rPr>
          <w:rFonts w:ascii="宋体" w:hAnsi="宋体"/>
          <w:color w:val="auto"/>
          <w:sz w:val="24"/>
          <w:highlight w:val="none"/>
        </w:rPr>
      </w:pPr>
    </w:p>
    <w:p>
      <w:pPr>
        <w:pStyle w:val="5"/>
        <w:spacing w:line="240" w:lineRule="atLeast"/>
        <w:ind w:left="1080" w:leftChars="257" w:hanging="540"/>
        <w:rPr>
          <w:rFonts w:hAnsi="宋体"/>
          <w:color w:val="auto"/>
          <w:szCs w:val="24"/>
          <w:highlight w:val="none"/>
        </w:rPr>
        <w:sectPr>
          <w:pgSz w:w="11907" w:h="16840"/>
          <w:pgMar w:top="1440" w:right="1797" w:bottom="1440" w:left="1797" w:header="851" w:footer="851" w:gutter="0"/>
          <w:cols w:space="720" w:num="1"/>
          <w:docGrid w:linePitch="462" w:charSpace="0"/>
        </w:sectPr>
      </w:pPr>
    </w:p>
    <w:p>
      <w:pPr>
        <w:pStyle w:val="3"/>
        <w:spacing w:before="0" w:after="0" w:line="240" w:lineRule="atLeast"/>
        <w:rPr>
          <w:rFonts w:hAnsi="宋体"/>
          <w:color w:val="auto"/>
          <w:kern w:val="2"/>
          <w:highlight w:val="none"/>
        </w:rPr>
      </w:pPr>
      <w:bookmarkStart w:id="306" w:name="_Toc23678"/>
      <w:bookmarkStart w:id="307" w:name="_Toc510950639"/>
      <w:r>
        <w:rPr>
          <w:rFonts w:hint="eastAsia" w:hAnsi="宋体"/>
          <w:color w:val="auto"/>
          <w:kern w:val="2"/>
          <w:highlight w:val="none"/>
        </w:rPr>
        <w:t>第四章  合同条款</w:t>
      </w:r>
    </w:p>
    <w:p>
      <w:pPr>
        <w:spacing w:line="360" w:lineRule="auto"/>
        <w:jc w:val="center"/>
        <w:rPr>
          <w:rFonts w:ascii="Verdana" w:hAnsi="Verdana"/>
          <w:color w:val="auto"/>
          <w:sz w:val="18"/>
          <w:szCs w:val="18"/>
          <w:highlight w:val="none"/>
        </w:rPr>
      </w:pPr>
    </w:p>
    <w:p>
      <w:pPr>
        <w:spacing w:line="360" w:lineRule="auto"/>
        <w:jc w:val="center"/>
        <w:rPr>
          <w:rFonts w:ascii="Verdana" w:hAnsi="Verdana"/>
          <w:color w:val="auto"/>
          <w:sz w:val="18"/>
          <w:szCs w:val="18"/>
          <w:highlight w:val="none"/>
        </w:rPr>
      </w:pPr>
    </w:p>
    <w:p>
      <w:pPr>
        <w:spacing w:line="360" w:lineRule="auto"/>
        <w:jc w:val="center"/>
        <w:rPr>
          <w:rFonts w:ascii="Verdana" w:hAnsi="Verdana"/>
          <w:color w:val="auto"/>
          <w:sz w:val="20"/>
          <w:szCs w:val="20"/>
          <w:highlight w:val="none"/>
        </w:rPr>
      </w:pPr>
      <w:r>
        <w:rPr>
          <w:rFonts w:hint="eastAsia" w:ascii="Verdana" w:hAnsi="Verdana"/>
          <w:color w:val="auto"/>
          <w:sz w:val="20"/>
          <w:szCs w:val="20"/>
          <w:highlight w:val="none"/>
        </w:rPr>
        <w:t>（合同范本仅供参考，以最终签订的内容为准）</w:t>
      </w:r>
    </w:p>
    <w:p>
      <w:pPr>
        <w:spacing w:line="360" w:lineRule="auto"/>
        <w:jc w:val="center"/>
        <w:rPr>
          <w:rFonts w:ascii="Verdana" w:hAnsi="Verdana"/>
          <w:color w:val="auto"/>
          <w:sz w:val="18"/>
          <w:szCs w:val="18"/>
          <w:highlight w:val="none"/>
        </w:rPr>
      </w:pPr>
    </w:p>
    <w:p>
      <w:pPr>
        <w:spacing w:line="360" w:lineRule="auto"/>
        <w:jc w:val="center"/>
        <w:rPr>
          <w:color w:val="auto"/>
          <w:sz w:val="72"/>
          <w:szCs w:val="72"/>
          <w:highlight w:val="none"/>
        </w:rPr>
      </w:pPr>
    </w:p>
    <w:p>
      <w:pPr>
        <w:spacing w:line="360" w:lineRule="auto"/>
        <w:jc w:val="center"/>
        <w:rPr>
          <w:color w:val="auto"/>
          <w:sz w:val="72"/>
          <w:szCs w:val="72"/>
          <w:highlight w:val="none"/>
        </w:rPr>
      </w:pPr>
    </w:p>
    <w:p>
      <w:pPr>
        <w:spacing w:line="360" w:lineRule="auto"/>
        <w:jc w:val="center"/>
        <w:rPr>
          <w:color w:val="auto"/>
          <w:sz w:val="72"/>
          <w:szCs w:val="72"/>
          <w:highlight w:val="none"/>
        </w:rPr>
      </w:pPr>
    </w:p>
    <w:p>
      <w:pPr>
        <w:spacing w:line="360" w:lineRule="auto"/>
        <w:jc w:val="center"/>
        <w:rPr>
          <w:color w:val="auto"/>
          <w:sz w:val="72"/>
          <w:szCs w:val="72"/>
          <w:highlight w:val="none"/>
        </w:rPr>
      </w:pPr>
      <w:r>
        <w:rPr>
          <w:rFonts w:hint="eastAsia"/>
          <w:color w:val="auto"/>
          <w:sz w:val="72"/>
          <w:szCs w:val="72"/>
          <w:highlight w:val="none"/>
        </w:rPr>
        <w:t>合同书</w:t>
      </w:r>
    </w:p>
    <w:p>
      <w:pPr>
        <w:spacing w:line="360" w:lineRule="auto"/>
        <w:jc w:val="center"/>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400" w:lineRule="exact"/>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400" w:lineRule="exact"/>
        <w:jc w:val="center"/>
        <w:rPr>
          <w:color w:val="auto"/>
          <w:sz w:val="72"/>
          <w:szCs w:val="72"/>
          <w:highlight w:val="none"/>
        </w:rPr>
      </w:pPr>
    </w:p>
    <w:p>
      <w:pPr>
        <w:spacing w:line="360" w:lineRule="auto"/>
        <w:ind w:left="3080" w:leftChars="800" w:hanging="1400" w:hangingChars="500"/>
        <w:rPr>
          <w:color w:val="auto"/>
          <w:sz w:val="28"/>
          <w:szCs w:val="28"/>
          <w:highlight w:val="none"/>
        </w:rPr>
      </w:pPr>
      <w:r>
        <w:rPr>
          <w:rFonts w:hint="eastAsia"/>
          <w:color w:val="auto"/>
          <w:sz w:val="28"/>
          <w:szCs w:val="28"/>
          <w:highlight w:val="none"/>
        </w:rPr>
        <w:t>项目名称：</w:t>
      </w:r>
    </w:p>
    <w:p>
      <w:pPr>
        <w:spacing w:line="360" w:lineRule="auto"/>
        <w:ind w:firstLine="1680" w:firstLineChars="600"/>
        <w:rPr>
          <w:color w:val="auto"/>
          <w:sz w:val="28"/>
          <w:szCs w:val="28"/>
          <w:highlight w:val="none"/>
          <w:u w:val="single"/>
        </w:rPr>
      </w:pPr>
      <w:r>
        <w:rPr>
          <w:rFonts w:hint="eastAsia"/>
          <w:color w:val="auto"/>
          <w:sz w:val="28"/>
          <w:szCs w:val="28"/>
          <w:highlight w:val="none"/>
        </w:rPr>
        <w:t>合同编号：</w:t>
      </w:r>
    </w:p>
    <w:p>
      <w:pPr>
        <w:spacing w:line="360" w:lineRule="auto"/>
        <w:ind w:firstLine="1680" w:firstLineChars="600"/>
        <w:rPr>
          <w:color w:val="auto"/>
          <w:sz w:val="28"/>
          <w:szCs w:val="28"/>
          <w:highlight w:val="none"/>
          <w:u w:val="single"/>
        </w:rPr>
      </w:pPr>
      <w:r>
        <w:rPr>
          <w:rFonts w:hint="eastAsia"/>
          <w:color w:val="auto"/>
          <w:sz w:val="28"/>
          <w:szCs w:val="28"/>
          <w:highlight w:val="none"/>
        </w:rPr>
        <w:t>签约地点：</w:t>
      </w:r>
      <w:r>
        <w:rPr>
          <w:color w:val="auto"/>
          <w:sz w:val="28"/>
          <w:szCs w:val="28"/>
          <w:highlight w:val="none"/>
          <w:u w:val="single"/>
        </w:rPr>
        <w:t xml:space="preserve"> </w:t>
      </w:r>
    </w:p>
    <w:p>
      <w:pPr>
        <w:spacing w:line="360" w:lineRule="auto"/>
        <w:ind w:firstLine="1680" w:firstLineChars="600"/>
        <w:rPr>
          <w:color w:val="auto"/>
          <w:sz w:val="28"/>
          <w:szCs w:val="28"/>
          <w:highlight w:val="none"/>
        </w:rPr>
      </w:pPr>
      <w:r>
        <w:rPr>
          <w:rFonts w:hint="eastAsia"/>
          <w:color w:val="auto"/>
          <w:sz w:val="28"/>
          <w:szCs w:val="28"/>
          <w:highlight w:val="none"/>
        </w:rPr>
        <w:t>签订日期：  年   月   日</w:t>
      </w:r>
    </w:p>
    <w:p>
      <w:pPr>
        <w:pStyle w:val="163"/>
        <w:numPr>
          <w:ilvl w:val="0"/>
          <w:numId w:val="3"/>
        </w:numPr>
        <w:spacing w:line="400" w:lineRule="exact"/>
        <w:ind w:firstLineChars="0"/>
        <w:rPr>
          <w:rFonts w:hint="default" w:ascii="Arial" w:hAnsi="Arial" w:cs="Arial"/>
          <w:color w:val="auto"/>
          <w:szCs w:val="21"/>
          <w:highlight w:val="none"/>
        </w:rPr>
      </w:pPr>
      <w:r>
        <w:rPr>
          <w:rFonts w:ascii="Arial" w:hAnsi="Arial" w:cs="Arial"/>
          <w:color w:val="auto"/>
          <w:szCs w:val="21"/>
          <w:highlight w:val="none"/>
        </w:rPr>
        <w:t>需方：</w:t>
      </w:r>
    </w:p>
    <w:p>
      <w:pPr>
        <w:pStyle w:val="163"/>
        <w:numPr>
          <w:ilvl w:val="0"/>
          <w:numId w:val="3"/>
        </w:numPr>
        <w:spacing w:line="400" w:lineRule="exact"/>
        <w:ind w:firstLineChars="0"/>
        <w:rPr>
          <w:rFonts w:hint="default" w:ascii="Arial" w:hAnsi="Arial" w:cs="Arial"/>
          <w:color w:val="auto"/>
          <w:szCs w:val="21"/>
          <w:highlight w:val="none"/>
        </w:rPr>
      </w:pPr>
      <w:r>
        <w:rPr>
          <w:rFonts w:ascii="Arial" w:hAnsi="Arial" w:cs="Arial"/>
          <w:color w:val="auto"/>
          <w:szCs w:val="21"/>
          <w:highlight w:val="none"/>
        </w:rPr>
        <w:t>供方：</w:t>
      </w:r>
    </w:p>
    <w:p>
      <w:pPr>
        <w:spacing w:line="400" w:lineRule="exact"/>
        <w:rPr>
          <w:rFonts w:ascii="Arial" w:hAnsi="Arial" w:cs="Arial"/>
          <w:color w:val="auto"/>
          <w:szCs w:val="21"/>
          <w:highlight w:val="none"/>
        </w:rPr>
      </w:pPr>
    </w:p>
    <w:p>
      <w:pPr>
        <w:adjustRightInd w:val="0"/>
        <w:spacing w:line="400" w:lineRule="exact"/>
        <w:ind w:firstLine="525" w:firstLineChars="250"/>
        <w:rPr>
          <w:color w:val="auto"/>
          <w:szCs w:val="21"/>
          <w:highlight w:val="none"/>
        </w:rPr>
      </w:pPr>
      <w:r>
        <w:rPr>
          <w:rFonts w:hint="eastAsia" w:ascii="Arial" w:hAnsi="Arial" w:cs="Arial"/>
          <w:color w:val="auto"/>
          <w:szCs w:val="21"/>
          <w:highlight w:val="none"/>
        </w:rPr>
        <w:t>本合同根据（招标编号</w:t>
      </w:r>
      <w:r>
        <w:rPr>
          <w:rFonts w:hint="eastAsia" w:ascii="Arial" w:hAnsi="Arial" w:cs="Arial"/>
          <w:color w:val="auto"/>
          <w:szCs w:val="21"/>
          <w:highlight w:val="none"/>
          <w:u w:val="single"/>
        </w:rPr>
        <w:t>：</w:t>
      </w:r>
      <w:r>
        <w:rPr>
          <w:rFonts w:hint="eastAsia" w:ascii="Arial" w:hAnsi="Arial" w:cs="Arial"/>
          <w:color w:val="auto"/>
          <w:szCs w:val="21"/>
          <w:highlight w:val="none"/>
        </w:rPr>
        <w:t>）招标文件和该项招标的中标通知书于年月日</w:t>
      </w:r>
      <w:r>
        <w:rPr>
          <w:rFonts w:hint="eastAsia"/>
          <w:color w:val="auto"/>
          <w:szCs w:val="21"/>
          <w:highlight w:val="none"/>
          <w:u w:val="single"/>
        </w:rPr>
        <w:t>工业和信息化部电子第五研究所</w:t>
      </w:r>
      <w:r>
        <w:rPr>
          <w:rFonts w:hint="eastAsia"/>
          <w:color w:val="auto"/>
          <w:szCs w:val="21"/>
          <w:highlight w:val="none"/>
        </w:rPr>
        <w:t>（以下简称需方）与(以下简称供方）就供方向需方提供的供货和服务，经供需双方协商一致，签订本合同，共同遵守如下条款：</w:t>
      </w:r>
    </w:p>
    <w:p>
      <w:pPr>
        <w:spacing w:beforeLines="50" w:afterLines="50" w:line="400" w:lineRule="exact"/>
        <w:rPr>
          <w:color w:val="auto"/>
          <w:sz w:val="24"/>
          <w:highlight w:val="none"/>
        </w:rPr>
      </w:pPr>
      <w:r>
        <w:rPr>
          <w:rFonts w:hint="eastAsia"/>
          <w:color w:val="auto"/>
          <w:sz w:val="24"/>
          <w:highlight w:val="none"/>
        </w:rPr>
        <w:t>一、总则</w:t>
      </w:r>
    </w:p>
    <w:p>
      <w:pPr>
        <w:spacing w:line="400" w:lineRule="exact"/>
        <w:rPr>
          <w:color w:val="auto"/>
          <w:szCs w:val="21"/>
          <w:highlight w:val="none"/>
        </w:rPr>
      </w:pPr>
      <w:r>
        <w:rPr>
          <w:color w:val="auto"/>
          <w:szCs w:val="21"/>
          <w:highlight w:val="none"/>
        </w:rPr>
        <w:t>1.</w:t>
      </w:r>
      <w:r>
        <w:rPr>
          <w:rFonts w:hint="eastAsia"/>
          <w:color w:val="auto"/>
          <w:szCs w:val="21"/>
          <w:highlight w:val="none"/>
        </w:rPr>
        <w:t>本合同供需双方必须遵守国家颁布的合同法，并各自履行应负的全部责任。</w:t>
      </w:r>
    </w:p>
    <w:p>
      <w:pPr>
        <w:spacing w:line="400" w:lineRule="exact"/>
        <w:rPr>
          <w:color w:val="auto"/>
          <w:szCs w:val="21"/>
          <w:highlight w:val="none"/>
        </w:rPr>
      </w:pPr>
      <w:r>
        <w:rPr>
          <w:color w:val="auto"/>
          <w:szCs w:val="21"/>
          <w:highlight w:val="none"/>
        </w:rPr>
        <w:t>2.</w:t>
      </w:r>
      <w:r>
        <w:rPr>
          <w:rFonts w:hint="eastAsia"/>
          <w:color w:val="auto"/>
          <w:szCs w:val="21"/>
          <w:highlight w:val="none"/>
        </w:rPr>
        <w:t>下列文件均为本合同不可分割部分：</w:t>
      </w:r>
    </w:p>
    <w:p>
      <w:pPr>
        <w:tabs>
          <w:tab w:val="left" w:pos="720"/>
        </w:tabs>
        <w:spacing w:line="400" w:lineRule="exact"/>
        <w:rPr>
          <w:rFonts w:ascii="Arial" w:hAnsi="Arial" w:cs="Arial"/>
          <w:color w:val="auto"/>
          <w:szCs w:val="21"/>
          <w:highlight w:val="none"/>
        </w:rPr>
      </w:pPr>
      <w:r>
        <w:rPr>
          <w:color w:val="auto"/>
          <w:szCs w:val="21"/>
          <w:highlight w:val="none"/>
        </w:rPr>
        <w:t>2.1</w:t>
      </w:r>
      <w:r>
        <w:rPr>
          <w:rFonts w:hint="eastAsia"/>
          <w:color w:val="auto"/>
          <w:szCs w:val="21"/>
          <w:highlight w:val="none"/>
        </w:rPr>
        <w:t>.</w:t>
      </w:r>
      <w:r>
        <w:rPr>
          <w:rFonts w:hint="eastAsia" w:ascii="Arial" w:hAnsi="Arial" w:cs="Arial"/>
          <w:color w:val="auto"/>
          <w:szCs w:val="21"/>
          <w:highlight w:val="none"/>
        </w:rPr>
        <w:t>中标通知书；</w:t>
      </w:r>
    </w:p>
    <w:p>
      <w:pPr>
        <w:tabs>
          <w:tab w:val="left" w:pos="720"/>
        </w:tabs>
        <w:spacing w:line="400" w:lineRule="exact"/>
        <w:rPr>
          <w:rFonts w:ascii="Arial" w:hAnsi="Arial" w:cs="Arial"/>
          <w:color w:val="auto"/>
          <w:szCs w:val="21"/>
          <w:highlight w:val="none"/>
        </w:rPr>
      </w:pPr>
      <w:r>
        <w:rPr>
          <w:color w:val="auto"/>
          <w:szCs w:val="21"/>
          <w:highlight w:val="none"/>
        </w:rPr>
        <w:t>2.</w:t>
      </w:r>
      <w:r>
        <w:rPr>
          <w:rFonts w:hint="eastAsia"/>
          <w:color w:val="auto"/>
          <w:szCs w:val="21"/>
          <w:highlight w:val="none"/>
        </w:rPr>
        <w:t>2.</w:t>
      </w:r>
      <w:r>
        <w:rPr>
          <w:rFonts w:hint="eastAsia" w:ascii="Arial" w:hAnsi="Arial" w:cs="Arial"/>
          <w:color w:val="auto"/>
          <w:szCs w:val="21"/>
          <w:highlight w:val="none"/>
        </w:rPr>
        <w:t>双方签订的有关书面补充协议或文件；</w:t>
      </w:r>
    </w:p>
    <w:p>
      <w:pPr>
        <w:spacing w:line="400" w:lineRule="exact"/>
        <w:rPr>
          <w:rFonts w:ascii="Arial" w:hAnsi="Arial" w:cs="Arial"/>
          <w:color w:val="auto"/>
          <w:szCs w:val="21"/>
          <w:highlight w:val="none"/>
        </w:rPr>
      </w:pPr>
      <w:r>
        <w:rPr>
          <w:color w:val="auto"/>
          <w:szCs w:val="21"/>
          <w:highlight w:val="none"/>
        </w:rPr>
        <w:t>2.</w:t>
      </w:r>
      <w:r>
        <w:rPr>
          <w:rFonts w:hint="eastAsia"/>
          <w:color w:val="auto"/>
          <w:szCs w:val="21"/>
          <w:highlight w:val="none"/>
        </w:rPr>
        <w:t>3.</w:t>
      </w:r>
      <w:r>
        <w:rPr>
          <w:rFonts w:hint="eastAsia" w:ascii="Arial" w:hAnsi="Arial" w:cs="Arial"/>
          <w:color w:val="auto"/>
          <w:szCs w:val="21"/>
          <w:highlight w:val="none"/>
        </w:rPr>
        <w:t>招标文件；</w:t>
      </w:r>
    </w:p>
    <w:p>
      <w:pPr>
        <w:spacing w:line="400" w:lineRule="exact"/>
        <w:rPr>
          <w:color w:val="auto"/>
          <w:szCs w:val="21"/>
          <w:highlight w:val="none"/>
        </w:rPr>
      </w:pPr>
      <w:r>
        <w:rPr>
          <w:color w:val="auto"/>
          <w:szCs w:val="21"/>
          <w:highlight w:val="none"/>
        </w:rPr>
        <w:t>2.</w:t>
      </w:r>
      <w:r>
        <w:rPr>
          <w:rFonts w:hint="eastAsia"/>
          <w:color w:val="auto"/>
          <w:szCs w:val="21"/>
          <w:highlight w:val="none"/>
        </w:rPr>
        <w:t>4.供方中标的投标文件。</w:t>
      </w:r>
    </w:p>
    <w:p>
      <w:pPr>
        <w:spacing w:line="400" w:lineRule="exact"/>
        <w:ind w:left="567" w:hanging="567"/>
        <w:rPr>
          <w:rFonts w:ascii="Arial" w:hAnsi="Arial" w:cs="Arial"/>
          <w:color w:val="auto"/>
          <w:szCs w:val="21"/>
          <w:highlight w:val="none"/>
        </w:rPr>
      </w:pPr>
      <w:r>
        <w:rPr>
          <w:color w:val="auto"/>
          <w:szCs w:val="21"/>
          <w:highlight w:val="none"/>
        </w:rPr>
        <w:t>3.</w:t>
      </w:r>
      <w:r>
        <w:rPr>
          <w:rFonts w:hint="eastAsia" w:ascii="Arial" w:hAnsi="Arial" w:cs="Arial"/>
          <w:color w:val="auto"/>
          <w:szCs w:val="21"/>
          <w:highlight w:val="none"/>
        </w:rPr>
        <w:t>供方保证全部按照合同条款的规定和交货期向需方提供合格的设备和服务。</w:t>
      </w:r>
    </w:p>
    <w:p>
      <w:pPr>
        <w:spacing w:line="400" w:lineRule="exact"/>
        <w:ind w:left="567" w:hanging="567"/>
        <w:rPr>
          <w:color w:val="auto"/>
          <w:szCs w:val="21"/>
          <w:highlight w:val="none"/>
        </w:rPr>
      </w:pPr>
      <w:r>
        <w:rPr>
          <w:color w:val="auto"/>
          <w:szCs w:val="21"/>
          <w:highlight w:val="none"/>
        </w:rPr>
        <w:t>4.</w:t>
      </w:r>
      <w:r>
        <w:rPr>
          <w:rFonts w:hint="eastAsia"/>
          <w:color w:val="auto"/>
          <w:szCs w:val="21"/>
          <w:highlight w:val="none"/>
        </w:rPr>
        <w:t>需方保证按照合同条款规定的时间和方式付给供方到期应付的货款。</w:t>
      </w:r>
    </w:p>
    <w:p>
      <w:pPr>
        <w:spacing w:line="400" w:lineRule="exact"/>
        <w:rPr>
          <w:color w:val="auto"/>
          <w:sz w:val="24"/>
          <w:highlight w:val="none"/>
        </w:rPr>
      </w:pPr>
      <w:r>
        <w:rPr>
          <w:rFonts w:hint="eastAsia"/>
          <w:color w:val="auto"/>
          <w:sz w:val="24"/>
          <w:highlight w:val="none"/>
        </w:rPr>
        <w:t>二、合同标的</w:t>
      </w:r>
    </w:p>
    <w:p>
      <w:pPr>
        <w:pStyle w:val="163"/>
        <w:numPr>
          <w:ilvl w:val="0"/>
          <w:numId w:val="4"/>
        </w:numPr>
        <w:spacing w:line="400" w:lineRule="exact"/>
        <w:ind w:firstLineChars="0"/>
        <w:rPr>
          <w:rFonts w:hint="default"/>
          <w:color w:val="auto"/>
          <w:szCs w:val="21"/>
          <w:highlight w:val="none"/>
          <w:u w:val="single"/>
        </w:rPr>
      </w:pPr>
      <w:r>
        <w:rPr>
          <w:color w:val="auto"/>
          <w:szCs w:val="21"/>
          <w:highlight w:val="none"/>
        </w:rPr>
        <w:t>本合同标的为，包括设计、货物供货、安装、调试、培训、验收、技术服务（包括技术资料、图纸的提供）、质保期保障等全部内容。</w:t>
      </w:r>
    </w:p>
    <w:p>
      <w:pPr>
        <w:pStyle w:val="163"/>
        <w:numPr>
          <w:ilvl w:val="0"/>
          <w:numId w:val="4"/>
        </w:numPr>
        <w:spacing w:line="400" w:lineRule="exact"/>
        <w:ind w:firstLineChars="0"/>
        <w:rPr>
          <w:rFonts w:hint="default"/>
          <w:color w:val="auto"/>
          <w:szCs w:val="21"/>
          <w:highlight w:val="none"/>
        </w:rPr>
      </w:pPr>
      <w:r>
        <w:rPr>
          <w:color w:val="auto"/>
          <w:szCs w:val="21"/>
          <w:highlight w:val="none"/>
        </w:rPr>
        <w:t>供货货物名称、型号、规格、数量。</w:t>
      </w:r>
    </w:p>
    <w:tbl>
      <w:tblPr>
        <w:tblStyle w:val="44"/>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01"/>
        <w:gridCol w:w="1512"/>
        <w:gridCol w:w="1223"/>
        <w:gridCol w:w="720"/>
        <w:gridCol w:w="720"/>
        <w:gridCol w:w="90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48" w:type="dxa"/>
            <w:vAlign w:val="center"/>
          </w:tcPr>
          <w:p>
            <w:pPr>
              <w:spacing w:line="400" w:lineRule="exact"/>
              <w:jc w:val="center"/>
              <w:rPr>
                <w:color w:val="auto"/>
                <w:szCs w:val="21"/>
                <w:highlight w:val="none"/>
              </w:rPr>
            </w:pPr>
            <w:r>
              <w:rPr>
                <w:rFonts w:hint="eastAsia"/>
                <w:color w:val="auto"/>
                <w:szCs w:val="21"/>
                <w:highlight w:val="none"/>
              </w:rPr>
              <w:t>序号</w:t>
            </w:r>
          </w:p>
        </w:tc>
        <w:tc>
          <w:tcPr>
            <w:tcW w:w="2001" w:type="dxa"/>
            <w:vAlign w:val="center"/>
          </w:tcPr>
          <w:p>
            <w:pPr>
              <w:spacing w:line="400" w:lineRule="exact"/>
              <w:jc w:val="center"/>
              <w:rPr>
                <w:color w:val="auto"/>
                <w:szCs w:val="21"/>
                <w:highlight w:val="none"/>
              </w:rPr>
            </w:pPr>
            <w:r>
              <w:rPr>
                <w:rFonts w:hint="eastAsia"/>
                <w:color w:val="auto"/>
                <w:szCs w:val="21"/>
                <w:highlight w:val="none"/>
              </w:rPr>
              <w:t>名称</w:t>
            </w:r>
          </w:p>
        </w:tc>
        <w:tc>
          <w:tcPr>
            <w:tcW w:w="1512" w:type="dxa"/>
            <w:vAlign w:val="center"/>
          </w:tcPr>
          <w:p>
            <w:pPr>
              <w:spacing w:line="400" w:lineRule="exact"/>
              <w:jc w:val="center"/>
              <w:rPr>
                <w:color w:val="auto"/>
                <w:szCs w:val="21"/>
                <w:highlight w:val="none"/>
              </w:rPr>
            </w:pPr>
            <w:r>
              <w:rPr>
                <w:rFonts w:hint="eastAsia"/>
                <w:color w:val="auto"/>
                <w:szCs w:val="21"/>
                <w:highlight w:val="none"/>
              </w:rPr>
              <w:t>型号规格</w:t>
            </w:r>
          </w:p>
        </w:tc>
        <w:tc>
          <w:tcPr>
            <w:tcW w:w="1223" w:type="dxa"/>
            <w:vAlign w:val="center"/>
          </w:tcPr>
          <w:p>
            <w:pPr>
              <w:spacing w:line="400" w:lineRule="exact"/>
              <w:jc w:val="center"/>
              <w:rPr>
                <w:color w:val="auto"/>
                <w:szCs w:val="21"/>
                <w:highlight w:val="none"/>
              </w:rPr>
            </w:pPr>
            <w:r>
              <w:rPr>
                <w:rFonts w:hint="eastAsia"/>
                <w:color w:val="auto"/>
                <w:szCs w:val="21"/>
                <w:highlight w:val="none"/>
              </w:rPr>
              <w:t>制造商</w:t>
            </w:r>
          </w:p>
        </w:tc>
        <w:tc>
          <w:tcPr>
            <w:tcW w:w="720" w:type="dxa"/>
            <w:vAlign w:val="center"/>
          </w:tcPr>
          <w:p>
            <w:pPr>
              <w:spacing w:line="400" w:lineRule="exact"/>
              <w:jc w:val="center"/>
              <w:rPr>
                <w:color w:val="auto"/>
                <w:szCs w:val="21"/>
                <w:highlight w:val="none"/>
              </w:rPr>
            </w:pPr>
            <w:r>
              <w:rPr>
                <w:rFonts w:hint="eastAsia"/>
                <w:color w:val="auto"/>
                <w:szCs w:val="21"/>
                <w:highlight w:val="none"/>
              </w:rPr>
              <w:t>单位</w:t>
            </w:r>
          </w:p>
        </w:tc>
        <w:tc>
          <w:tcPr>
            <w:tcW w:w="720" w:type="dxa"/>
            <w:vAlign w:val="center"/>
          </w:tcPr>
          <w:p>
            <w:pPr>
              <w:spacing w:line="400" w:lineRule="exact"/>
              <w:jc w:val="center"/>
              <w:rPr>
                <w:color w:val="auto"/>
                <w:szCs w:val="21"/>
                <w:highlight w:val="none"/>
              </w:rPr>
            </w:pPr>
            <w:r>
              <w:rPr>
                <w:rFonts w:hint="eastAsia"/>
                <w:color w:val="auto"/>
                <w:szCs w:val="21"/>
                <w:highlight w:val="none"/>
              </w:rPr>
              <w:t>数量</w:t>
            </w:r>
          </w:p>
        </w:tc>
        <w:tc>
          <w:tcPr>
            <w:tcW w:w="900" w:type="dxa"/>
            <w:vAlign w:val="center"/>
          </w:tcPr>
          <w:p>
            <w:pPr>
              <w:spacing w:line="400" w:lineRule="exact"/>
              <w:jc w:val="center"/>
              <w:rPr>
                <w:color w:val="auto"/>
                <w:szCs w:val="21"/>
                <w:highlight w:val="none"/>
              </w:rPr>
            </w:pPr>
            <w:r>
              <w:rPr>
                <w:rFonts w:hint="eastAsia"/>
                <w:color w:val="auto"/>
                <w:szCs w:val="21"/>
                <w:highlight w:val="none"/>
              </w:rPr>
              <w:t>交货期（天）</w:t>
            </w:r>
          </w:p>
        </w:tc>
        <w:tc>
          <w:tcPr>
            <w:tcW w:w="1579" w:type="dxa"/>
            <w:vAlign w:val="center"/>
          </w:tcPr>
          <w:p>
            <w:pPr>
              <w:spacing w:line="400" w:lineRule="exact"/>
              <w:jc w:val="center"/>
              <w:rPr>
                <w:color w:val="auto"/>
                <w:szCs w:val="21"/>
                <w:highlight w:val="none"/>
              </w:rPr>
            </w:pPr>
            <w:r>
              <w:rPr>
                <w:rFonts w:hint="eastAsia"/>
                <w:color w:val="auto"/>
                <w:szCs w:val="21"/>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400" w:lineRule="exact"/>
              <w:jc w:val="center"/>
              <w:rPr>
                <w:color w:val="auto"/>
                <w:szCs w:val="21"/>
                <w:highlight w:val="none"/>
              </w:rPr>
            </w:pPr>
          </w:p>
        </w:tc>
        <w:tc>
          <w:tcPr>
            <w:tcW w:w="2001" w:type="dxa"/>
            <w:vAlign w:val="center"/>
          </w:tcPr>
          <w:p>
            <w:pPr>
              <w:spacing w:line="400" w:lineRule="exact"/>
              <w:jc w:val="center"/>
              <w:rPr>
                <w:color w:val="auto"/>
                <w:szCs w:val="21"/>
                <w:highlight w:val="none"/>
              </w:rPr>
            </w:pPr>
          </w:p>
        </w:tc>
        <w:tc>
          <w:tcPr>
            <w:tcW w:w="1512" w:type="dxa"/>
            <w:vAlign w:val="center"/>
          </w:tcPr>
          <w:p>
            <w:pPr>
              <w:spacing w:line="400" w:lineRule="exact"/>
              <w:jc w:val="center"/>
              <w:rPr>
                <w:color w:val="auto"/>
                <w:szCs w:val="21"/>
                <w:highlight w:val="none"/>
              </w:rPr>
            </w:pPr>
          </w:p>
        </w:tc>
        <w:tc>
          <w:tcPr>
            <w:tcW w:w="1223" w:type="dxa"/>
            <w:vAlign w:val="center"/>
          </w:tcPr>
          <w:p>
            <w:pPr>
              <w:spacing w:line="400" w:lineRule="exact"/>
              <w:jc w:val="center"/>
              <w:rPr>
                <w:color w:val="auto"/>
                <w:szCs w:val="21"/>
                <w:highlight w:val="none"/>
              </w:rPr>
            </w:pPr>
          </w:p>
          <w:p>
            <w:pPr>
              <w:spacing w:line="400" w:lineRule="exact"/>
              <w:jc w:val="center"/>
              <w:rPr>
                <w:color w:val="auto"/>
                <w:szCs w:val="21"/>
                <w:highlight w:val="none"/>
              </w:rPr>
            </w:pPr>
          </w:p>
        </w:tc>
        <w:tc>
          <w:tcPr>
            <w:tcW w:w="720" w:type="dxa"/>
            <w:vAlign w:val="center"/>
          </w:tcPr>
          <w:p>
            <w:pPr>
              <w:spacing w:line="400" w:lineRule="exact"/>
              <w:jc w:val="center"/>
              <w:rPr>
                <w:color w:val="auto"/>
                <w:szCs w:val="21"/>
                <w:highlight w:val="none"/>
              </w:rPr>
            </w:pPr>
          </w:p>
        </w:tc>
        <w:tc>
          <w:tcPr>
            <w:tcW w:w="720" w:type="dxa"/>
            <w:vAlign w:val="center"/>
          </w:tcPr>
          <w:p>
            <w:pPr>
              <w:spacing w:line="400" w:lineRule="exact"/>
              <w:jc w:val="center"/>
              <w:rPr>
                <w:color w:val="auto"/>
                <w:szCs w:val="21"/>
                <w:highlight w:val="none"/>
              </w:rPr>
            </w:pPr>
          </w:p>
        </w:tc>
        <w:tc>
          <w:tcPr>
            <w:tcW w:w="900" w:type="dxa"/>
            <w:vAlign w:val="center"/>
          </w:tcPr>
          <w:p>
            <w:pPr>
              <w:spacing w:line="400" w:lineRule="exact"/>
              <w:jc w:val="center"/>
              <w:rPr>
                <w:color w:val="auto"/>
                <w:szCs w:val="21"/>
                <w:highlight w:val="none"/>
              </w:rPr>
            </w:pPr>
          </w:p>
        </w:tc>
        <w:tc>
          <w:tcPr>
            <w:tcW w:w="1579" w:type="dxa"/>
            <w:vAlign w:val="center"/>
          </w:tcPr>
          <w:p>
            <w:pPr>
              <w:spacing w:line="400" w:lineRule="exact"/>
              <w:jc w:val="center"/>
              <w:rPr>
                <w:color w:val="auto"/>
                <w:szCs w:val="21"/>
                <w:highlight w:val="none"/>
              </w:rPr>
            </w:pPr>
          </w:p>
        </w:tc>
      </w:tr>
    </w:tbl>
    <w:p>
      <w:pPr>
        <w:spacing w:line="400" w:lineRule="exact"/>
        <w:ind w:firstLine="308" w:firstLineChars="147"/>
        <w:rPr>
          <w:color w:val="auto"/>
          <w:szCs w:val="21"/>
          <w:highlight w:val="none"/>
        </w:rPr>
      </w:pPr>
      <w:r>
        <w:rPr>
          <w:rFonts w:hint="eastAsia"/>
          <w:color w:val="auto"/>
          <w:szCs w:val="21"/>
          <w:highlight w:val="none"/>
        </w:rPr>
        <w:t>具体的供货范围、技术规格及技术图纸详见合同附件</w:t>
      </w:r>
      <w:r>
        <w:rPr>
          <w:rFonts w:hint="eastAsia"/>
          <w:color w:val="auto"/>
          <w:szCs w:val="21"/>
          <w:highlight w:val="none"/>
          <w:u w:val="single"/>
        </w:rPr>
        <w:t>双方签订的技术协议书</w:t>
      </w:r>
      <w:r>
        <w:rPr>
          <w:rFonts w:hint="eastAsia"/>
          <w:color w:val="auto"/>
          <w:szCs w:val="21"/>
          <w:highlight w:val="none"/>
        </w:rPr>
        <w:t>。</w:t>
      </w:r>
    </w:p>
    <w:p>
      <w:pPr>
        <w:spacing w:line="400" w:lineRule="exact"/>
        <w:ind w:firstLine="308" w:firstLineChars="147"/>
        <w:rPr>
          <w:color w:val="auto"/>
          <w:szCs w:val="21"/>
          <w:highlight w:val="none"/>
        </w:rPr>
      </w:pPr>
    </w:p>
    <w:p>
      <w:pPr>
        <w:pStyle w:val="163"/>
        <w:numPr>
          <w:ilvl w:val="0"/>
          <w:numId w:val="4"/>
        </w:numPr>
        <w:spacing w:line="400" w:lineRule="exact"/>
        <w:ind w:firstLineChars="0"/>
        <w:rPr>
          <w:rFonts w:hint="default"/>
          <w:color w:val="auto"/>
          <w:szCs w:val="21"/>
          <w:highlight w:val="none"/>
        </w:rPr>
      </w:pPr>
      <w:r>
        <w:rPr>
          <w:color w:val="auto"/>
          <w:szCs w:val="21"/>
          <w:highlight w:val="none"/>
        </w:rPr>
        <w:t>供方应对本合同项下其承担的全部工作实施有效管理，以确保实施进度符合合同的要求。</w:t>
      </w:r>
    </w:p>
    <w:p>
      <w:pPr>
        <w:pStyle w:val="163"/>
        <w:numPr>
          <w:ilvl w:val="0"/>
          <w:numId w:val="4"/>
        </w:numPr>
        <w:spacing w:line="400" w:lineRule="exact"/>
        <w:ind w:firstLineChars="0"/>
        <w:rPr>
          <w:rFonts w:hint="default" w:ascii="Arial" w:hAnsi="Arial" w:cs="Arial"/>
          <w:color w:val="auto"/>
          <w:szCs w:val="21"/>
          <w:highlight w:val="none"/>
        </w:rPr>
      </w:pPr>
      <w:r>
        <w:rPr>
          <w:color w:val="auto"/>
          <w:szCs w:val="21"/>
          <w:highlight w:val="none"/>
        </w:rPr>
        <w:t>货物</w:t>
      </w:r>
      <w:r>
        <w:rPr>
          <w:rFonts w:ascii="Arial" w:hAnsi="Arial" w:cs="Arial"/>
          <w:color w:val="auto"/>
          <w:szCs w:val="21"/>
          <w:highlight w:val="none"/>
        </w:rPr>
        <w:t>交付至需方指定安装地点时间为</w:t>
      </w:r>
      <w:r>
        <w:rPr>
          <w:rFonts w:ascii="Arial" w:hAnsi="Arial" w:cs="Arial"/>
          <w:color w:val="auto"/>
          <w:szCs w:val="21"/>
          <w:highlight w:val="none"/>
          <w:u w:val="single"/>
        </w:rPr>
        <w:t xml:space="preserve">  </w:t>
      </w:r>
      <w:r>
        <w:rPr>
          <w:color w:val="auto"/>
          <w:szCs w:val="21"/>
          <w:highlight w:val="none"/>
          <w:u w:val="single"/>
        </w:rPr>
        <w:t>年  月  日</w:t>
      </w:r>
      <w:r>
        <w:rPr>
          <w:color w:val="auto"/>
          <w:szCs w:val="21"/>
          <w:highlight w:val="none"/>
        </w:rPr>
        <w:t>。</w:t>
      </w:r>
    </w:p>
    <w:p>
      <w:pPr>
        <w:spacing w:beforeLines="50" w:afterLines="50" w:line="400" w:lineRule="exact"/>
        <w:ind w:left="720" w:hanging="720" w:hangingChars="300"/>
        <w:rPr>
          <w:color w:val="auto"/>
          <w:sz w:val="24"/>
          <w:highlight w:val="none"/>
        </w:rPr>
      </w:pPr>
      <w:r>
        <w:rPr>
          <w:rFonts w:hint="eastAsia"/>
          <w:color w:val="auto"/>
          <w:sz w:val="24"/>
          <w:highlight w:val="none"/>
        </w:rPr>
        <w:t>三、价格</w:t>
      </w:r>
    </w:p>
    <w:p>
      <w:pPr>
        <w:pStyle w:val="163"/>
        <w:numPr>
          <w:ilvl w:val="0"/>
          <w:numId w:val="5"/>
        </w:numPr>
        <w:spacing w:beforeLines="50" w:afterLines="50" w:line="400" w:lineRule="exact"/>
        <w:ind w:left="390" w:hanging="390" w:firstLineChars="0"/>
        <w:rPr>
          <w:rFonts w:hint="default"/>
          <w:color w:val="auto"/>
          <w:szCs w:val="21"/>
          <w:highlight w:val="none"/>
        </w:rPr>
      </w:pPr>
      <w:r>
        <w:rPr>
          <w:color w:val="auto"/>
          <w:szCs w:val="21"/>
          <w:highlight w:val="none"/>
        </w:rPr>
        <w:t>合同总价（含税）：人民币（大写）（含13%税）。</w:t>
      </w:r>
    </w:p>
    <w:p>
      <w:pPr>
        <w:pStyle w:val="163"/>
        <w:numPr>
          <w:ilvl w:val="0"/>
          <w:numId w:val="5"/>
        </w:numPr>
        <w:spacing w:beforeLines="50" w:afterLines="50" w:line="400" w:lineRule="exact"/>
        <w:ind w:left="390" w:hanging="390" w:firstLineChars="0"/>
        <w:rPr>
          <w:rFonts w:hint="default"/>
          <w:color w:val="auto"/>
          <w:szCs w:val="21"/>
          <w:highlight w:val="none"/>
        </w:rPr>
      </w:pPr>
      <w:r>
        <w:rPr>
          <w:color w:val="auto"/>
          <w:szCs w:val="21"/>
          <w:highlight w:val="none"/>
        </w:rPr>
        <w:t>合同总价包括了货物的设计、制造、包装、仓储、运输、卸货放置、保险以及供方进行的安装、调试、试运行、验收、培训、技术服务（包括技术资料、图纸的提供）、质保期保障服务等的全部含税费用。</w:t>
      </w:r>
    </w:p>
    <w:p>
      <w:pPr>
        <w:pStyle w:val="163"/>
        <w:numPr>
          <w:ilvl w:val="0"/>
          <w:numId w:val="5"/>
        </w:numPr>
        <w:spacing w:beforeLines="50" w:afterLines="50" w:line="400" w:lineRule="exact"/>
        <w:ind w:left="390" w:hanging="390" w:firstLineChars="0"/>
        <w:rPr>
          <w:rFonts w:hint="default"/>
          <w:color w:val="auto"/>
          <w:szCs w:val="21"/>
          <w:highlight w:val="none"/>
        </w:rPr>
      </w:pPr>
      <w:r>
        <w:rPr>
          <w:color w:val="auto"/>
          <w:szCs w:val="21"/>
          <w:highlight w:val="none"/>
        </w:rPr>
        <w:t>合同总价中包括用户需求书中列明所需的备品备件。</w:t>
      </w:r>
    </w:p>
    <w:p>
      <w:pPr>
        <w:pStyle w:val="163"/>
        <w:numPr>
          <w:ilvl w:val="0"/>
          <w:numId w:val="5"/>
        </w:numPr>
        <w:spacing w:beforeLines="50" w:afterLines="50" w:line="400" w:lineRule="exact"/>
        <w:ind w:left="390" w:hanging="390" w:firstLineChars="0"/>
        <w:rPr>
          <w:rFonts w:hint="default"/>
          <w:color w:val="auto"/>
          <w:szCs w:val="21"/>
          <w:highlight w:val="none"/>
        </w:rPr>
      </w:pPr>
      <w:r>
        <w:rPr>
          <w:color w:val="auto"/>
          <w:szCs w:val="21"/>
          <w:highlight w:val="none"/>
        </w:rPr>
        <w:t>本合同价格为固定不变价，供方事后不得以物料、人工等涨价为由要求需方增加支付费用，否则每提出一次，视为供方违约，需方有权拒绝支付，并要求供方支合同总价的5%的违约金。</w:t>
      </w:r>
    </w:p>
    <w:p>
      <w:pPr>
        <w:pStyle w:val="163"/>
        <w:numPr>
          <w:ilvl w:val="0"/>
          <w:numId w:val="5"/>
        </w:numPr>
        <w:spacing w:beforeLines="50" w:afterLines="50" w:line="400" w:lineRule="exact"/>
        <w:ind w:left="390" w:hanging="390" w:firstLineChars="0"/>
        <w:rPr>
          <w:rFonts w:hint="default"/>
          <w:color w:val="auto"/>
          <w:szCs w:val="21"/>
          <w:highlight w:val="none"/>
        </w:rPr>
      </w:pPr>
      <w:r>
        <w:rPr>
          <w:color w:val="auto"/>
          <w:szCs w:val="21"/>
          <w:highlight w:val="none"/>
        </w:rPr>
        <w:t>如果单价和数量的乘积与总价不一致时，即实际计算结果超过本合同总价的仍按总价支付，低于合同总价的按实际计算结果支付。</w:t>
      </w:r>
    </w:p>
    <w:p>
      <w:pPr>
        <w:spacing w:beforeLines="50" w:afterLines="50" w:line="400" w:lineRule="exact"/>
        <w:rPr>
          <w:color w:val="auto"/>
          <w:sz w:val="24"/>
          <w:highlight w:val="none"/>
        </w:rPr>
      </w:pPr>
      <w:r>
        <w:rPr>
          <w:rFonts w:hint="eastAsia"/>
          <w:color w:val="auto"/>
          <w:sz w:val="24"/>
          <w:highlight w:val="none"/>
        </w:rPr>
        <w:t>四、货物产地及标准</w:t>
      </w:r>
    </w:p>
    <w:p>
      <w:pPr>
        <w:pStyle w:val="163"/>
        <w:numPr>
          <w:ilvl w:val="0"/>
          <w:numId w:val="6"/>
        </w:numPr>
        <w:spacing w:beforeLines="50" w:afterLines="50" w:line="400" w:lineRule="exact"/>
        <w:ind w:left="360" w:hanging="360" w:firstLineChars="0"/>
        <w:rPr>
          <w:rFonts w:hint="default"/>
          <w:color w:val="auto"/>
          <w:szCs w:val="21"/>
          <w:highlight w:val="none"/>
        </w:rPr>
      </w:pPr>
      <w:r>
        <w:rPr>
          <w:color w:val="auto"/>
          <w:szCs w:val="21"/>
          <w:highlight w:val="none"/>
        </w:rPr>
        <w:t>货物及其零配件、辅件、备品等均为全新的（原装）、未使用过产品。</w:t>
      </w:r>
    </w:p>
    <w:p>
      <w:pPr>
        <w:pStyle w:val="163"/>
        <w:numPr>
          <w:ilvl w:val="0"/>
          <w:numId w:val="6"/>
        </w:numPr>
        <w:spacing w:beforeLines="50" w:afterLines="50" w:line="400" w:lineRule="exact"/>
        <w:ind w:left="360" w:hanging="360" w:firstLineChars="0"/>
        <w:rPr>
          <w:rFonts w:hint="default"/>
          <w:color w:val="auto"/>
          <w:szCs w:val="21"/>
          <w:highlight w:val="none"/>
        </w:rPr>
      </w:pPr>
      <w:r>
        <w:rPr>
          <w:color w:val="auto"/>
          <w:szCs w:val="21"/>
          <w:highlight w:val="none"/>
        </w:rPr>
        <w:t>标准。</w:t>
      </w:r>
    </w:p>
    <w:p>
      <w:pPr>
        <w:spacing w:beforeLines="50" w:afterLines="50" w:line="400" w:lineRule="exact"/>
        <w:ind w:left="210" w:leftChars="100" w:firstLine="420" w:firstLineChars="200"/>
        <w:rPr>
          <w:color w:val="auto"/>
          <w:szCs w:val="21"/>
          <w:highlight w:val="none"/>
        </w:rPr>
      </w:pPr>
      <w:r>
        <w:rPr>
          <w:rFonts w:hint="eastAsia"/>
          <w:color w:val="auto"/>
          <w:szCs w:val="21"/>
          <w:highlight w:val="none"/>
        </w:rPr>
        <w:t>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同时，上述货物和服务必须具有合法的来源途径，质量和技术全部合格并无任何瑕疵、缺陷和安全隐患，也不侵犯任何第三方的专利、商标、版权等其他知识产权和合法权益，确保需方不会因为购买、使用供方产品而遭受任何损失、处罚或追索。否则，需方有权要求供方予以更换并给予补偿，如更换后仍不能解决前述问题或供方拒绝更换和补偿的，需方有权解除本合同要求退货，供方应当全部退还已收需方的合同款项。</w:t>
      </w:r>
    </w:p>
    <w:p>
      <w:pPr>
        <w:spacing w:beforeLines="50" w:afterLines="50" w:line="400" w:lineRule="exact"/>
        <w:rPr>
          <w:color w:val="auto"/>
          <w:sz w:val="24"/>
          <w:highlight w:val="none"/>
        </w:rPr>
      </w:pPr>
      <w:r>
        <w:rPr>
          <w:rFonts w:hint="eastAsia"/>
          <w:color w:val="auto"/>
          <w:sz w:val="24"/>
          <w:highlight w:val="none"/>
        </w:rPr>
        <w:t>五、到货、安装的时间、地点</w:t>
      </w:r>
    </w:p>
    <w:p>
      <w:pPr>
        <w:pStyle w:val="163"/>
        <w:numPr>
          <w:ilvl w:val="0"/>
          <w:numId w:val="7"/>
        </w:numPr>
        <w:spacing w:beforeLines="50" w:afterLines="50" w:line="400" w:lineRule="exact"/>
        <w:ind w:left="420" w:hanging="420" w:firstLineChars="0"/>
        <w:rPr>
          <w:rFonts w:hint="default"/>
          <w:color w:val="auto"/>
          <w:szCs w:val="21"/>
          <w:highlight w:val="none"/>
          <w:u w:val="single"/>
        </w:rPr>
      </w:pPr>
      <w:r>
        <w:rPr>
          <w:color w:val="auto"/>
          <w:szCs w:val="21"/>
          <w:highlight w:val="none"/>
        </w:rPr>
        <w:t>到货及安装地点：</w:t>
      </w:r>
      <w:r>
        <w:rPr>
          <w:b/>
          <w:color w:val="auto"/>
          <w:szCs w:val="21"/>
          <w:highlight w:val="none"/>
          <w:u w:val="single"/>
        </w:rPr>
        <w:t>签订合同后120天内到货，安装时间为到货后</w:t>
      </w:r>
      <w:r>
        <w:rPr>
          <w:rFonts w:hint="default"/>
          <w:b/>
          <w:color w:val="auto"/>
          <w:szCs w:val="21"/>
          <w:highlight w:val="none"/>
          <w:u w:val="single"/>
        </w:rPr>
        <w:t>5</w:t>
      </w:r>
      <w:r>
        <w:rPr>
          <w:b/>
          <w:color w:val="auto"/>
          <w:szCs w:val="21"/>
          <w:highlight w:val="none"/>
          <w:u w:val="single"/>
        </w:rPr>
        <w:t>天，地点为：广州市增城市朱村大道西76号</w:t>
      </w:r>
      <w:r>
        <w:rPr>
          <w:rFonts w:cs="宋体"/>
          <w:b/>
          <w:color w:val="auto"/>
          <w:highlight w:val="none"/>
          <w:u w:val="single"/>
        </w:rPr>
        <w:t>。</w:t>
      </w:r>
    </w:p>
    <w:p>
      <w:pPr>
        <w:pStyle w:val="163"/>
        <w:numPr>
          <w:ilvl w:val="0"/>
          <w:numId w:val="7"/>
        </w:numPr>
        <w:spacing w:beforeLines="50" w:afterLines="50" w:line="400" w:lineRule="exact"/>
        <w:ind w:left="420" w:hanging="420" w:firstLineChars="0"/>
        <w:rPr>
          <w:rFonts w:hint="default"/>
          <w:color w:val="auto"/>
          <w:szCs w:val="21"/>
          <w:highlight w:val="none"/>
        </w:rPr>
      </w:pPr>
      <w:r>
        <w:rPr>
          <w:color w:val="auto"/>
          <w:szCs w:val="21"/>
          <w:highlight w:val="none"/>
        </w:rPr>
        <w:t>合同生效，需方按合同规定履行付款等义务后，供方应按本合同要求的交付使用时间将货物运至上款指定到货地点卸货、安装，并按规定将到货时间提前通报需方。</w:t>
      </w:r>
    </w:p>
    <w:p>
      <w:pPr>
        <w:spacing w:beforeLines="50" w:afterLines="50" w:line="400" w:lineRule="exact"/>
        <w:rPr>
          <w:color w:val="auto"/>
          <w:sz w:val="24"/>
          <w:szCs w:val="21"/>
          <w:highlight w:val="none"/>
        </w:rPr>
      </w:pPr>
      <w:r>
        <w:rPr>
          <w:rFonts w:hint="eastAsia"/>
          <w:color w:val="auto"/>
          <w:sz w:val="24"/>
          <w:szCs w:val="21"/>
          <w:highlight w:val="none"/>
        </w:rPr>
        <w:t>六、保密</w:t>
      </w:r>
    </w:p>
    <w:p>
      <w:pPr>
        <w:pStyle w:val="163"/>
        <w:numPr>
          <w:ilvl w:val="0"/>
          <w:numId w:val="8"/>
        </w:numPr>
        <w:spacing w:beforeLines="50" w:afterLines="50" w:line="400" w:lineRule="exact"/>
        <w:ind w:left="390" w:hanging="390" w:firstLineChars="0"/>
        <w:rPr>
          <w:rFonts w:hint="default"/>
          <w:color w:val="auto"/>
          <w:szCs w:val="21"/>
          <w:highlight w:val="none"/>
        </w:rPr>
      </w:pPr>
      <w:r>
        <w:rPr>
          <w:color w:val="auto"/>
          <w:szCs w:val="21"/>
          <w:highlight w:val="none"/>
        </w:rPr>
        <w:t>未经需方事先书面同意，供方不得将由需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pStyle w:val="163"/>
        <w:numPr>
          <w:ilvl w:val="0"/>
          <w:numId w:val="8"/>
        </w:numPr>
        <w:spacing w:beforeLines="50" w:afterLines="50" w:line="400" w:lineRule="exact"/>
        <w:ind w:left="390" w:hanging="390" w:firstLineChars="0"/>
        <w:rPr>
          <w:rFonts w:hint="default"/>
          <w:color w:val="auto"/>
          <w:szCs w:val="21"/>
          <w:highlight w:val="none"/>
        </w:rPr>
      </w:pPr>
      <w:r>
        <w:rPr>
          <w:color w:val="auto"/>
          <w:szCs w:val="21"/>
          <w:highlight w:val="none"/>
        </w:rPr>
        <w:t>除了合同本身之外，上款所列举的任何物件均是需方的财产。如果需方有要求，供方在完成合同后应将这些物件及全部复制件还给需方。</w:t>
      </w:r>
    </w:p>
    <w:p>
      <w:pPr>
        <w:spacing w:beforeLines="50" w:afterLines="50" w:line="400" w:lineRule="exact"/>
        <w:rPr>
          <w:color w:val="auto"/>
          <w:sz w:val="24"/>
          <w:highlight w:val="none"/>
        </w:rPr>
      </w:pPr>
      <w:r>
        <w:rPr>
          <w:rFonts w:hint="eastAsia"/>
          <w:color w:val="auto"/>
          <w:sz w:val="24"/>
          <w:highlight w:val="none"/>
        </w:rPr>
        <w:t>七、技术文件</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供方应在供货同时向需方提供所有有关本合同执行的技术文件。如果项目必需但又未作规定的要供方才能提供的技术文件，供方也应及时向需方提供。技术文件可以使手册、图纸或其他形式的文件资料。</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上述技术文件应包含保证需方能够正确进行安装、操作、检查、维修、维护、测试、调试、验收和运作的需要的所有内容。</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需方完全按照技术文件的指导进行的任何安装、操作、检查、维修、维护、测试、调试、验收所引起的系统和/或货物或其部件的损坏由供方承担责任。</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供方应按照需方的要求提供上述技术文件一式两套给需方。</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所有供方提供的技术文件的全部费用已包含在合同货物价格中。</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所有未列明交付时间的供方应提供的技术文件，必须单独包装伴随货物按货物交付时间交付给需方。</w:t>
      </w:r>
    </w:p>
    <w:p>
      <w:pPr>
        <w:pStyle w:val="163"/>
        <w:numPr>
          <w:ilvl w:val="0"/>
          <w:numId w:val="9"/>
        </w:numPr>
        <w:spacing w:beforeLines="50" w:afterLines="50" w:line="400" w:lineRule="exact"/>
        <w:ind w:left="360" w:hanging="360" w:firstLineChars="0"/>
        <w:rPr>
          <w:rFonts w:hint="default"/>
          <w:color w:val="auto"/>
          <w:szCs w:val="21"/>
          <w:highlight w:val="none"/>
        </w:rPr>
      </w:pPr>
      <w:r>
        <w:rPr>
          <w:color w:val="auto"/>
          <w:szCs w:val="21"/>
          <w:highlight w:val="none"/>
        </w:rPr>
        <w:t>到货后需方如发现供方未提供有关文件，可以推迟付款，直至供方补齐有关文件。</w:t>
      </w:r>
    </w:p>
    <w:p>
      <w:pPr>
        <w:spacing w:beforeLines="50" w:afterLines="50" w:line="400" w:lineRule="exact"/>
        <w:rPr>
          <w:color w:val="auto"/>
          <w:sz w:val="24"/>
          <w:highlight w:val="none"/>
        </w:rPr>
      </w:pPr>
      <w:r>
        <w:rPr>
          <w:rFonts w:hint="eastAsia"/>
          <w:color w:val="auto"/>
          <w:sz w:val="24"/>
          <w:highlight w:val="none"/>
        </w:rPr>
        <w:t>八、知识产权</w:t>
      </w:r>
    </w:p>
    <w:p>
      <w:pPr>
        <w:pStyle w:val="163"/>
        <w:numPr>
          <w:ilvl w:val="0"/>
          <w:numId w:val="10"/>
        </w:numPr>
        <w:spacing w:beforeLines="50" w:afterLines="50" w:line="400" w:lineRule="exact"/>
        <w:ind w:left="420" w:hanging="420" w:firstLineChars="0"/>
        <w:rPr>
          <w:rFonts w:hint="default"/>
          <w:color w:val="auto"/>
          <w:szCs w:val="21"/>
          <w:highlight w:val="none"/>
        </w:rPr>
      </w:pPr>
      <w:r>
        <w:rPr>
          <w:color w:val="auto"/>
          <w:szCs w:val="21"/>
          <w:highlight w:val="none"/>
        </w:rPr>
        <w:t>供方应保证，需方在中华人民共和国只用该货物或货物的任何一部分时，免受第三方提出的侵犯其专利权、商标权、计算机软件著作权或其他知识产权的起诉、追索。如发生此类纠纷，由供方承担一切责任和损失。</w:t>
      </w:r>
    </w:p>
    <w:p>
      <w:pPr>
        <w:pStyle w:val="163"/>
        <w:numPr>
          <w:ilvl w:val="0"/>
          <w:numId w:val="10"/>
        </w:numPr>
        <w:spacing w:beforeLines="50" w:afterLines="50" w:line="400" w:lineRule="exact"/>
        <w:ind w:left="420" w:hanging="420" w:firstLineChars="0"/>
        <w:rPr>
          <w:rFonts w:hint="default"/>
          <w:color w:val="auto"/>
          <w:szCs w:val="21"/>
          <w:highlight w:val="none"/>
        </w:rPr>
      </w:pPr>
      <w:r>
        <w:rPr>
          <w:color w:val="auto"/>
          <w:szCs w:val="21"/>
          <w:highlight w:val="none"/>
        </w:rPr>
        <w:t>供方为执行本合同而提供的技术资料、软件的使用权归需方所有，如供方是根据需方的要求而单独开发的技术、软件等作品，以及需方在本合同项下产品的基础上后续开发的产品，其知识产权归需方所有。</w:t>
      </w:r>
    </w:p>
    <w:p>
      <w:pPr>
        <w:spacing w:beforeLines="50" w:afterLines="50" w:line="400" w:lineRule="exact"/>
        <w:rPr>
          <w:color w:val="auto"/>
          <w:sz w:val="24"/>
          <w:highlight w:val="none"/>
        </w:rPr>
      </w:pPr>
      <w:r>
        <w:rPr>
          <w:rFonts w:hint="eastAsia"/>
          <w:color w:val="auto"/>
          <w:sz w:val="24"/>
          <w:highlight w:val="none"/>
        </w:rPr>
        <w:t>九、包装、装卸和运输</w:t>
      </w:r>
    </w:p>
    <w:p>
      <w:pPr>
        <w:pStyle w:val="163"/>
        <w:numPr>
          <w:ilvl w:val="0"/>
          <w:numId w:val="11"/>
        </w:numPr>
        <w:spacing w:beforeLines="50" w:afterLines="50" w:line="400" w:lineRule="exact"/>
        <w:ind w:left="420" w:hanging="420" w:firstLineChars="0"/>
        <w:rPr>
          <w:rFonts w:hint="default"/>
          <w:color w:val="auto"/>
          <w:szCs w:val="21"/>
          <w:highlight w:val="none"/>
        </w:rPr>
      </w:pPr>
      <w:r>
        <w:rPr>
          <w:color w:val="auto"/>
          <w:szCs w:val="21"/>
          <w:highlight w:val="none"/>
        </w:rPr>
        <w:t>包装必须与运输方式相适应，包装方式的确定及包装费用均由供方负责；由于不适当的包装而造成货物的运输过程中有任何损坏、丢失由供方负责。</w:t>
      </w:r>
    </w:p>
    <w:p>
      <w:pPr>
        <w:pStyle w:val="163"/>
        <w:numPr>
          <w:ilvl w:val="0"/>
          <w:numId w:val="11"/>
        </w:numPr>
        <w:spacing w:beforeLines="50" w:afterLines="50" w:line="400" w:lineRule="exact"/>
        <w:ind w:left="420" w:hanging="420" w:firstLineChars="0"/>
        <w:rPr>
          <w:rFonts w:hint="default"/>
          <w:color w:val="auto"/>
          <w:szCs w:val="21"/>
          <w:highlight w:val="none"/>
        </w:rPr>
      </w:pPr>
      <w:r>
        <w:rPr>
          <w:color w:val="auto"/>
          <w:szCs w:val="21"/>
          <w:highlight w:val="none"/>
        </w:rPr>
        <w:t>包装应足以承受整个过程中的运输、转运、装卸、储存等，充分考虑到运输途中的各种情况（如暴露于恶劣气候等）和广州地区的气候特点，以及露天存放的需要。</w:t>
      </w:r>
    </w:p>
    <w:p>
      <w:pPr>
        <w:pStyle w:val="163"/>
        <w:numPr>
          <w:ilvl w:val="0"/>
          <w:numId w:val="11"/>
        </w:numPr>
        <w:spacing w:beforeLines="50" w:afterLines="50" w:line="400" w:lineRule="exact"/>
        <w:ind w:left="420" w:hanging="420" w:firstLineChars="0"/>
        <w:rPr>
          <w:rFonts w:hint="default"/>
          <w:color w:val="auto"/>
          <w:szCs w:val="21"/>
          <w:highlight w:val="none"/>
        </w:rPr>
      </w:pPr>
      <w:r>
        <w:rPr>
          <w:color w:val="auto"/>
          <w:szCs w:val="21"/>
          <w:highlight w:val="none"/>
        </w:rPr>
        <w:t>专用工具及备品备件应分别包装，并在包装箱外加以注明其用处。</w:t>
      </w:r>
    </w:p>
    <w:p>
      <w:pPr>
        <w:pStyle w:val="163"/>
        <w:numPr>
          <w:ilvl w:val="0"/>
          <w:numId w:val="11"/>
        </w:numPr>
        <w:spacing w:beforeLines="50" w:afterLines="50" w:line="400" w:lineRule="exact"/>
        <w:ind w:left="420" w:hanging="420" w:firstLineChars="0"/>
        <w:rPr>
          <w:rFonts w:hint="default"/>
          <w:color w:val="auto"/>
          <w:szCs w:val="21"/>
          <w:highlight w:val="none"/>
        </w:rPr>
      </w:pPr>
      <w:r>
        <w:rPr>
          <w:color w:val="auto"/>
          <w:szCs w:val="21"/>
          <w:highlight w:val="none"/>
        </w:rPr>
        <w:t>每一包装箱两个侧面用不褪色的油漆和明显易见的中文字样做出标记。</w:t>
      </w:r>
    </w:p>
    <w:p>
      <w:pPr>
        <w:spacing w:beforeLines="50" w:afterLines="50" w:line="400" w:lineRule="exact"/>
        <w:ind w:left="420"/>
        <w:rPr>
          <w:color w:val="auto"/>
          <w:szCs w:val="21"/>
          <w:highlight w:val="none"/>
        </w:rPr>
      </w:pPr>
      <w:r>
        <w:rPr>
          <w:rFonts w:hint="eastAsia"/>
          <w:color w:val="auto"/>
          <w:szCs w:val="21"/>
          <w:highlight w:val="none"/>
        </w:rPr>
        <w:t>标记内容包括：箱（件）号、装运标志（唛头）、毛重（kg）、尺码（长x宽x高，用mm表示）、净重（kg）、到货地址、收货人名称、货物名称、合同编号以及“勿近潮湿”、“小心轻放”、“此边向上”等。</w:t>
      </w:r>
    </w:p>
    <w:p>
      <w:pPr>
        <w:pStyle w:val="163"/>
        <w:numPr>
          <w:ilvl w:val="0"/>
          <w:numId w:val="11"/>
        </w:numPr>
        <w:spacing w:beforeLines="50" w:afterLines="50" w:line="400" w:lineRule="exact"/>
        <w:ind w:left="420" w:hanging="420" w:firstLineChars="0"/>
        <w:rPr>
          <w:rFonts w:hint="default"/>
          <w:color w:val="auto"/>
          <w:szCs w:val="21"/>
          <w:highlight w:val="none"/>
        </w:rPr>
      </w:pPr>
      <w:r>
        <w:rPr>
          <w:color w:val="auto"/>
          <w:szCs w:val="21"/>
          <w:highlight w:val="none"/>
        </w:rPr>
        <w:t>包装费、运费、卸货费用均已包含在合同价内。</w:t>
      </w:r>
    </w:p>
    <w:p>
      <w:pPr>
        <w:spacing w:beforeLines="50" w:afterLines="50" w:line="400" w:lineRule="exact"/>
        <w:rPr>
          <w:color w:val="auto"/>
          <w:sz w:val="24"/>
          <w:highlight w:val="none"/>
        </w:rPr>
      </w:pPr>
      <w:r>
        <w:rPr>
          <w:rFonts w:hint="eastAsia"/>
          <w:color w:val="auto"/>
          <w:sz w:val="24"/>
          <w:highlight w:val="none"/>
        </w:rPr>
        <w:t>十、装运单证</w:t>
      </w:r>
    </w:p>
    <w:p>
      <w:pPr>
        <w:spacing w:beforeLines="50" w:afterLines="50" w:line="400" w:lineRule="exact"/>
        <w:ind w:left="315" w:leftChars="150" w:firstLine="315" w:firstLineChars="150"/>
        <w:rPr>
          <w:color w:val="auto"/>
          <w:szCs w:val="21"/>
          <w:highlight w:val="none"/>
        </w:rPr>
      </w:pPr>
      <w:r>
        <w:rPr>
          <w:rFonts w:hint="eastAsia"/>
          <w:color w:val="auto"/>
          <w:szCs w:val="21"/>
          <w:highlight w:val="none"/>
        </w:rPr>
        <w:t>采用铁路运输、船运或空运的以下单证原件在到货同时交给需方，其单证副本（或复印件）则应在到货前三天交给需方。</w:t>
      </w:r>
    </w:p>
    <w:p>
      <w:pPr>
        <w:pStyle w:val="163"/>
        <w:numPr>
          <w:ilvl w:val="0"/>
          <w:numId w:val="12"/>
        </w:numPr>
        <w:spacing w:beforeLines="50" w:afterLines="50" w:line="400" w:lineRule="exact"/>
        <w:ind w:left="600" w:hanging="600" w:firstLineChars="0"/>
        <w:rPr>
          <w:rFonts w:hint="default"/>
          <w:color w:val="auto"/>
          <w:szCs w:val="21"/>
          <w:highlight w:val="none"/>
        </w:rPr>
      </w:pPr>
      <w:r>
        <w:rPr>
          <w:color w:val="auto"/>
          <w:szCs w:val="21"/>
          <w:highlight w:val="none"/>
        </w:rPr>
        <w:t>装箱单一式三份，注明合同号、装运标志、货物内容、每件包装尺码及重量。</w:t>
      </w:r>
    </w:p>
    <w:p>
      <w:pPr>
        <w:pStyle w:val="163"/>
        <w:numPr>
          <w:ilvl w:val="0"/>
          <w:numId w:val="12"/>
        </w:numPr>
        <w:spacing w:beforeLines="50" w:afterLines="50" w:line="400" w:lineRule="exact"/>
        <w:ind w:left="600" w:hanging="600" w:firstLineChars="0"/>
        <w:rPr>
          <w:rFonts w:hint="default"/>
          <w:color w:val="auto"/>
          <w:szCs w:val="21"/>
          <w:highlight w:val="none"/>
        </w:rPr>
      </w:pPr>
      <w:r>
        <w:rPr>
          <w:color w:val="auto"/>
          <w:szCs w:val="21"/>
          <w:highlight w:val="none"/>
        </w:rPr>
        <w:t>制造厂出具的出厂质量及数量检验证明书各一式一份。</w:t>
      </w:r>
    </w:p>
    <w:p>
      <w:pPr>
        <w:spacing w:beforeLines="50" w:afterLines="50" w:line="400" w:lineRule="exact"/>
        <w:rPr>
          <w:color w:val="auto"/>
          <w:sz w:val="24"/>
          <w:highlight w:val="none"/>
        </w:rPr>
      </w:pPr>
      <w:r>
        <w:rPr>
          <w:rFonts w:hint="eastAsia"/>
          <w:color w:val="auto"/>
          <w:sz w:val="24"/>
          <w:highlight w:val="none"/>
        </w:rPr>
        <w:t>十一、付款</w:t>
      </w:r>
    </w:p>
    <w:p>
      <w:pPr>
        <w:pStyle w:val="125"/>
        <w:numPr>
          <w:ilvl w:val="0"/>
          <w:numId w:val="13"/>
        </w:numPr>
        <w:spacing w:beforeLines="50" w:afterLines="50" w:line="400" w:lineRule="exact"/>
        <w:ind w:left="420" w:hanging="420" w:firstLineChars="0"/>
        <w:rPr>
          <w:rFonts w:hint="default"/>
          <w:color w:val="auto"/>
          <w:highlight w:val="none"/>
        </w:rPr>
      </w:pPr>
      <w:r>
        <w:rPr>
          <w:color w:val="auto"/>
          <w:highlight w:val="none"/>
        </w:rPr>
        <w:t>合同货款按以下方式支付（请在每个阶段勾选一种付款方式，多选无效）：</w:t>
      </w:r>
    </w:p>
    <w:p>
      <w:pPr>
        <w:pStyle w:val="125"/>
        <w:numPr>
          <w:ilvl w:val="1"/>
          <w:numId w:val="14"/>
        </w:numPr>
        <w:spacing w:beforeLines="50" w:afterLines="50" w:line="400" w:lineRule="exact"/>
        <w:ind w:left="375" w:hanging="375" w:firstLineChars="0"/>
        <w:rPr>
          <w:rFonts w:hint="default"/>
          <w:color w:val="auto"/>
          <w:highlight w:val="none"/>
        </w:rPr>
      </w:pPr>
      <w:r>
        <w:rPr>
          <w:color w:val="auto"/>
          <w:highlight w:val="none"/>
        </w:rPr>
        <w:t>预付款</w:t>
      </w:r>
    </w:p>
    <w:p>
      <w:pPr>
        <w:pStyle w:val="125"/>
        <w:spacing w:beforeLines="50" w:afterLines="50" w:line="400" w:lineRule="exact"/>
        <w:ind w:left="375" w:firstLine="0" w:firstLineChars="0"/>
        <w:rPr>
          <w:rFonts w:hint="default" w:ascii="宋体" w:hAnsi="宋体"/>
          <w:color w:val="auto"/>
          <w:szCs w:val="21"/>
          <w:highlight w:val="none"/>
        </w:rPr>
      </w:pPr>
      <w:r>
        <w:rPr>
          <w:rFonts w:ascii="宋体" w:hAnsi="宋体"/>
          <w:color w:val="auto"/>
          <w:sz w:val="22"/>
          <w:szCs w:val="21"/>
          <w:highlight w:val="none"/>
        </w:rPr>
        <w:t>□</w:t>
      </w:r>
      <w:r>
        <w:rPr>
          <w:rFonts w:ascii="宋体" w:hAnsi="宋体"/>
          <w:color w:val="auto"/>
          <w:szCs w:val="21"/>
          <w:highlight w:val="none"/>
        </w:rPr>
        <w:t>（</w:t>
      </w:r>
      <w:r>
        <w:rPr>
          <w:rFonts w:ascii="宋体" w:hAnsi="宋体"/>
          <w:color w:val="auto"/>
          <w:sz w:val="22"/>
          <w:szCs w:val="21"/>
          <w:highlight w:val="none"/>
        </w:rPr>
        <w:t>1</w:t>
      </w:r>
      <w:r>
        <w:rPr>
          <w:rFonts w:ascii="宋体" w:hAnsi="宋体"/>
          <w:color w:val="auto"/>
          <w:szCs w:val="21"/>
          <w:highlight w:val="none"/>
        </w:rPr>
        <w:t>）无预付款</w:t>
      </w:r>
    </w:p>
    <w:p>
      <w:pPr>
        <w:pStyle w:val="125"/>
        <w:spacing w:beforeLines="50" w:afterLines="50" w:line="400" w:lineRule="exact"/>
        <w:ind w:left="375" w:firstLine="0" w:firstLineChars="0"/>
        <w:rPr>
          <w:rFonts w:hint="default"/>
          <w:color w:val="auto"/>
          <w:highlight w:val="none"/>
        </w:rPr>
      </w:pPr>
      <w:r>
        <w:rPr>
          <w:rFonts w:ascii="宋体" w:hAnsi="宋体"/>
          <w:color w:val="auto"/>
          <w:sz w:val="22"/>
          <w:szCs w:val="21"/>
          <w:highlight w:val="none"/>
        </w:rPr>
        <w:t>□（2）</w:t>
      </w:r>
      <w:r>
        <w:rPr>
          <w:color w:val="auto"/>
          <w:highlight w:val="none"/>
        </w:rPr>
        <w:t>合同签订且需方收到供方同等金额的预付款保函后</w:t>
      </w:r>
      <w:r>
        <w:rPr>
          <w:color w:val="auto"/>
          <w:highlight w:val="none"/>
          <w:u w:val="single"/>
        </w:rPr>
        <w:t xml:space="preserve">   </w:t>
      </w:r>
      <w:r>
        <w:rPr>
          <w:color w:val="auto"/>
          <w:highlight w:val="none"/>
        </w:rPr>
        <w:t>个工作日内支付合同总金额</w:t>
      </w:r>
      <w:r>
        <w:rPr>
          <w:color w:val="auto"/>
          <w:highlight w:val="none"/>
          <w:u w:val="single"/>
        </w:rPr>
        <w:t xml:space="preserve">    </w:t>
      </w:r>
      <w:r>
        <w:rPr>
          <w:color w:val="auto"/>
          <w:highlight w:val="none"/>
        </w:rPr>
        <w:t>%的预付款；</w:t>
      </w:r>
    </w:p>
    <w:p>
      <w:pPr>
        <w:pStyle w:val="125"/>
        <w:spacing w:beforeLines="50" w:afterLines="50" w:line="400" w:lineRule="exact"/>
        <w:ind w:left="375" w:firstLine="0" w:firstLineChars="0"/>
        <w:rPr>
          <w:rFonts w:hint="default"/>
          <w:color w:val="auto"/>
          <w:szCs w:val="21"/>
          <w:highlight w:val="none"/>
        </w:rPr>
      </w:pPr>
      <w:r>
        <w:rPr>
          <w:rFonts w:ascii="宋体" w:hAnsi="宋体"/>
          <w:color w:val="auto"/>
          <w:sz w:val="22"/>
          <w:szCs w:val="21"/>
          <w:highlight w:val="none"/>
        </w:rPr>
        <w:t>☑（3）</w:t>
      </w:r>
      <w:r>
        <w:rPr>
          <w:color w:val="auto"/>
          <w:highlight w:val="none"/>
        </w:rPr>
        <w:t>合同签订后</w:t>
      </w:r>
      <w:r>
        <w:rPr>
          <w:color w:val="auto"/>
          <w:highlight w:val="none"/>
          <w:u w:val="single"/>
        </w:rPr>
        <w:t xml:space="preserve"> 15  </w:t>
      </w:r>
      <w:r>
        <w:rPr>
          <w:color w:val="auto"/>
          <w:highlight w:val="none"/>
        </w:rPr>
        <w:t>个工作日内，需方支付合同总金额</w:t>
      </w:r>
      <w:r>
        <w:rPr>
          <w:color w:val="auto"/>
          <w:highlight w:val="none"/>
          <w:u w:val="single"/>
        </w:rPr>
        <w:t xml:space="preserve"> 70%</w:t>
      </w:r>
      <w:r>
        <w:rPr>
          <w:color w:val="auto"/>
          <w:highlight w:val="none"/>
        </w:rPr>
        <w:t>的预付款；</w:t>
      </w:r>
    </w:p>
    <w:p>
      <w:pPr>
        <w:pStyle w:val="125"/>
        <w:numPr>
          <w:ilvl w:val="1"/>
          <w:numId w:val="14"/>
        </w:numPr>
        <w:spacing w:beforeLines="50" w:afterLines="50" w:line="400" w:lineRule="exact"/>
        <w:ind w:left="375" w:hanging="375" w:firstLineChars="0"/>
        <w:rPr>
          <w:rFonts w:hint="default"/>
          <w:color w:val="auto"/>
          <w:highlight w:val="none"/>
        </w:rPr>
      </w:pPr>
      <w:r>
        <w:rPr>
          <w:color w:val="auto"/>
          <w:highlight w:val="none"/>
        </w:rPr>
        <w:t>到货款及保修金</w:t>
      </w:r>
    </w:p>
    <w:p>
      <w:pPr>
        <w:pStyle w:val="125"/>
        <w:spacing w:beforeLines="50" w:afterLines="50" w:line="400" w:lineRule="exact"/>
        <w:ind w:left="375" w:firstLine="0" w:firstLineChars="0"/>
        <w:rPr>
          <w:rFonts w:hint="default"/>
          <w:color w:val="auto"/>
          <w:highlight w:val="none"/>
        </w:rPr>
      </w:pPr>
      <w:r>
        <w:rPr>
          <w:rFonts w:ascii="宋体" w:hAnsi="宋体"/>
          <w:color w:val="auto"/>
          <w:sz w:val="22"/>
          <w:szCs w:val="21"/>
          <w:highlight w:val="none"/>
        </w:rPr>
        <w:t>□（1）</w:t>
      </w:r>
      <w:r>
        <w:rPr>
          <w:color w:val="auto"/>
          <w:highlight w:val="none"/>
        </w:rPr>
        <w:t>供方将货物送达需方指定地点安装测试完毕并经过需方验收合格后</w:t>
      </w:r>
      <w:r>
        <w:rPr>
          <w:color w:val="auto"/>
          <w:highlight w:val="none"/>
          <w:u w:val="single"/>
        </w:rPr>
        <w:t xml:space="preserve">    </w:t>
      </w:r>
      <w:r>
        <w:rPr>
          <w:color w:val="auto"/>
          <w:highlight w:val="none"/>
        </w:rPr>
        <w:t>个工作日内，需方支付合同总金额</w:t>
      </w:r>
      <w:r>
        <w:rPr>
          <w:color w:val="auto"/>
          <w:highlight w:val="none"/>
          <w:u w:val="single"/>
        </w:rPr>
        <w:t xml:space="preserve">    </w:t>
      </w:r>
      <w:r>
        <w:rPr>
          <w:color w:val="auto"/>
          <w:highlight w:val="none"/>
        </w:rPr>
        <w:t>%的货款，</w:t>
      </w:r>
      <w:r>
        <w:rPr>
          <w:rFonts w:ascii="宋体" w:hAnsi="宋体" w:cs="宋体"/>
          <w:color w:val="auto"/>
          <w:kern w:val="0"/>
          <w:szCs w:val="21"/>
          <w:highlight w:val="none"/>
        </w:rPr>
        <w:t>剩余</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的货款作为保修金，在保修期届满之日起</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个工作日内无息支付给供方</w:t>
      </w:r>
      <w:r>
        <w:rPr>
          <w:color w:val="auto"/>
          <w:highlight w:val="none"/>
        </w:rPr>
        <w:t>。</w:t>
      </w:r>
    </w:p>
    <w:p>
      <w:pPr>
        <w:pStyle w:val="125"/>
        <w:spacing w:beforeLines="50" w:afterLines="50" w:line="400" w:lineRule="exact"/>
        <w:ind w:left="375" w:firstLine="0" w:firstLineChars="0"/>
        <w:rPr>
          <w:rFonts w:hint="default"/>
          <w:color w:val="auto"/>
          <w:highlight w:val="none"/>
        </w:rPr>
      </w:pPr>
      <w:r>
        <w:rPr>
          <w:rFonts w:ascii="宋体" w:hAnsi="宋体"/>
          <w:color w:val="auto"/>
          <w:sz w:val="22"/>
          <w:szCs w:val="21"/>
          <w:highlight w:val="none"/>
        </w:rPr>
        <w:t>□（2）</w:t>
      </w:r>
      <w:r>
        <w:rPr>
          <w:color w:val="auto"/>
          <w:highlight w:val="none"/>
        </w:rPr>
        <w:t>货物送达需方指定地点安装测试完毕且通过需方验收合格后，供方向需方提供质量履约保函（合同总金额</w:t>
      </w:r>
      <w:r>
        <w:rPr>
          <w:color w:val="auto"/>
          <w:highlight w:val="none"/>
          <w:u w:val="single"/>
        </w:rPr>
        <w:t xml:space="preserve">   </w:t>
      </w:r>
      <w:r>
        <w:rPr>
          <w:color w:val="auto"/>
          <w:highlight w:val="none"/>
        </w:rPr>
        <w:t>%，有效期至保修期满），需方收到质量履约保函后</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个工作日内，</w:t>
      </w:r>
      <w:r>
        <w:rPr>
          <w:color w:val="auto"/>
          <w:highlight w:val="none"/>
        </w:rPr>
        <w:t>支付合同总金额</w:t>
      </w:r>
      <w:r>
        <w:rPr>
          <w:color w:val="auto"/>
          <w:highlight w:val="none"/>
          <w:u w:val="single"/>
        </w:rPr>
        <w:t xml:space="preserve">   %</w:t>
      </w:r>
      <w:r>
        <w:rPr>
          <w:color w:val="auto"/>
          <w:highlight w:val="none"/>
        </w:rPr>
        <w:t>的款项。</w:t>
      </w:r>
    </w:p>
    <w:p>
      <w:pPr>
        <w:pStyle w:val="125"/>
        <w:spacing w:beforeLines="50" w:afterLines="50" w:line="400" w:lineRule="exact"/>
        <w:ind w:left="375" w:firstLine="0" w:firstLineChars="0"/>
        <w:rPr>
          <w:rFonts w:hint="default"/>
          <w:color w:val="auto"/>
          <w:highlight w:val="none"/>
        </w:rPr>
      </w:pPr>
      <w:r>
        <w:rPr>
          <w:rFonts w:ascii="宋体" w:hAnsi="宋体"/>
          <w:color w:val="auto"/>
          <w:sz w:val="22"/>
          <w:szCs w:val="21"/>
          <w:highlight w:val="none"/>
        </w:rPr>
        <w:t>☑（3）</w:t>
      </w:r>
      <w:r>
        <w:rPr>
          <w:color w:val="auto"/>
          <w:highlight w:val="none"/>
        </w:rPr>
        <w:t>供方将货物送达需方指定地点安装测试完毕并经过需方验收合格后</w:t>
      </w:r>
      <w:r>
        <w:rPr>
          <w:color w:val="auto"/>
          <w:highlight w:val="none"/>
          <w:u w:val="single"/>
        </w:rPr>
        <w:t xml:space="preserve">  7  </w:t>
      </w:r>
      <w:r>
        <w:rPr>
          <w:color w:val="auto"/>
          <w:highlight w:val="none"/>
        </w:rPr>
        <w:t>个工作日内，需方支付合同总金额</w:t>
      </w:r>
      <w:r>
        <w:rPr>
          <w:color w:val="auto"/>
          <w:highlight w:val="none"/>
          <w:u w:val="single"/>
        </w:rPr>
        <w:t>30%</w:t>
      </w:r>
      <w:r>
        <w:rPr>
          <w:color w:val="auto"/>
          <w:highlight w:val="none"/>
        </w:rPr>
        <w:t>的款项。</w:t>
      </w:r>
    </w:p>
    <w:p>
      <w:pPr>
        <w:pStyle w:val="125"/>
        <w:spacing w:beforeLines="50" w:afterLines="50" w:line="400" w:lineRule="exact"/>
        <w:ind w:firstLine="0" w:firstLineChars="0"/>
        <w:rPr>
          <w:rFonts w:hint="default"/>
          <w:color w:val="auto"/>
          <w:highlight w:val="none"/>
        </w:rPr>
      </w:pPr>
      <w:r>
        <w:rPr>
          <w:color w:val="auto"/>
          <w:highlight w:val="none"/>
        </w:rPr>
        <w:t>2. 双方同意按一下</w:t>
      </w:r>
      <w:r>
        <w:rPr>
          <w:color w:val="auto"/>
          <w:highlight w:val="none"/>
          <w:u w:val="single"/>
        </w:rPr>
        <w:t xml:space="preserve"> 2.2  </w:t>
      </w:r>
      <w:r>
        <w:rPr>
          <w:color w:val="auto"/>
          <w:highlight w:val="none"/>
        </w:rPr>
        <w:t>种方式开具发票：</w:t>
      </w:r>
    </w:p>
    <w:p>
      <w:pPr>
        <w:pStyle w:val="125"/>
        <w:spacing w:beforeLines="50" w:afterLines="50" w:line="400" w:lineRule="exact"/>
        <w:ind w:firstLine="0" w:firstLineChars="0"/>
        <w:rPr>
          <w:rFonts w:hint="default"/>
          <w:color w:val="auto"/>
          <w:highlight w:val="none"/>
        </w:rPr>
      </w:pPr>
      <w:r>
        <w:rPr>
          <w:color w:val="auto"/>
          <w:highlight w:val="none"/>
        </w:rPr>
        <w:t>2.1需方每次付款前，供方需开具同等金额的增值税专用发票，如因供方未及时提供发票，需方迟延支付不承担违约责任。</w:t>
      </w:r>
    </w:p>
    <w:p>
      <w:pPr>
        <w:pStyle w:val="125"/>
        <w:spacing w:beforeLines="50" w:afterLines="50" w:line="400" w:lineRule="exact"/>
        <w:ind w:firstLine="0" w:firstLineChars="0"/>
        <w:rPr>
          <w:rFonts w:hint="default"/>
          <w:color w:val="auto"/>
          <w:highlight w:val="none"/>
        </w:rPr>
      </w:pPr>
      <w:r>
        <w:rPr>
          <w:color w:val="auto"/>
          <w:highlight w:val="none"/>
        </w:rPr>
        <w:t>2.2 供方在需方支付尾款或全部款项前，应向供方开具正规的全额增值税专用发票，如因供方未及时提供发票，需方迟延支付不承担违约责任。</w:t>
      </w:r>
    </w:p>
    <w:p>
      <w:pPr>
        <w:pStyle w:val="125"/>
        <w:spacing w:beforeLines="50" w:afterLines="50" w:line="400" w:lineRule="exact"/>
        <w:ind w:firstLine="0" w:firstLineChars="0"/>
        <w:rPr>
          <w:rFonts w:hint="default"/>
          <w:color w:val="auto"/>
          <w:highlight w:val="none"/>
        </w:rPr>
      </w:pPr>
      <w:r>
        <w:rPr>
          <w:color w:val="auto"/>
          <w:highlight w:val="none"/>
        </w:rPr>
        <w:t xml:space="preserve">3. </w:t>
      </w:r>
      <w:r>
        <w:rPr>
          <w:color w:val="auto"/>
          <w:szCs w:val="21"/>
          <w:highlight w:val="none"/>
        </w:rPr>
        <w:t>付款方式：采用</w:t>
      </w:r>
      <w:r>
        <w:rPr>
          <w:color w:val="auto"/>
          <w:szCs w:val="21"/>
          <w:highlight w:val="none"/>
          <w:u w:val="single"/>
        </w:rPr>
        <w:t xml:space="preserve">    电汇       </w:t>
      </w:r>
      <w:r>
        <w:rPr>
          <w:color w:val="auto"/>
          <w:szCs w:val="21"/>
          <w:highlight w:val="none"/>
        </w:rPr>
        <w:t>形式。</w:t>
      </w:r>
    </w:p>
    <w:p>
      <w:pPr>
        <w:widowControl/>
        <w:spacing w:before="100" w:beforeAutospacing="1" w:after="100" w:afterAutospacing="1" w:line="3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供方</w:t>
      </w:r>
      <w:r>
        <w:rPr>
          <w:rFonts w:ascii="宋体" w:hAnsi="宋体" w:cs="宋体"/>
          <w:color w:val="auto"/>
          <w:kern w:val="0"/>
          <w:szCs w:val="21"/>
          <w:highlight w:val="none"/>
        </w:rPr>
        <w:t>开户行名称:</w:t>
      </w:r>
      <w:r>
        <w:rPr>
          <w:rFonts w:ascii="宋体" w:hAnsi="宋体" w:cs="宋体"/>
          <w:color w:val="auto"/>
          <w:kern w:val="0"/>
          <w:szCs w:val="21"/>
          <w:highlight w:val="none"/>
        </w:rPr>
        <w:tab/>
      </w:r>
      <w:r>
        <w:rPr>
          <w:rFonts w:hint="eastAsia" w:ascii="宋体" w:hAnsi="宋体" w:cs="宋体"/>
          <w:color w:val="auto"/>
          <w:kern w:val="0"/>
          <w:szCs w:val="21"/>
          <w:highlight w:val="none"/>
          <w:u w:val="single"/>
        </w:rPr>
        <w:t xml:space="preserve">                                </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rPr>
        <w:t xml:space="preserve"> </w:t>
      </w:r>
    </w:p>
    <w:p>
      <w:pPr>
        <w:spacing w:beforeLines="50" w:afterLines="50" w:line="400" w:lineRule="exact"/>
        <w:rPr>
          <w:color w:val="auto"/>
          <w:sz w:val="24"/>
          <w:highlight w:val="none"/>
        </w:rPr>
      </w:pPr>
      <w:r>
        <w:rPr>
          <w:rFonts w:ascii="宋体" w:hAnsi="宋体" w:cs="宋体"/>
          <w:color w:val="auto"/>
          <w:kern w:val="0"/>
          <w:szCs w:val="21"/>
          <w:highlight w:val="none"/>
        </w:rPr>
        <w:t xml:space="preserve">供方银行账号: </w:t>
      </w:r>
      <w:r>
        <w:rPr>
          <w:rFonts w:ascii="宋体" w:hAnsi="宋体" w:cs="宋体"/>
          <w:color w:val="auto"/>
          <w:kern w:val="0"/>
          <w:szCs w:val="21"/>
          <w:highlight w:val="none"/>
          <w:u w:val="single"/>
        </w:rPr>
        <w:t xml:space="preserve"> </w:t>
      </w:r>
      <w:r>
        <w:rPr>
          <w:rFonts w:hint="eastAsia"/>
          <w:color w:val="auto"/>
          <w:sz w:val="24"/>
          <w:highlight w:val="none"/>
        </w:rPr>
        <w:t>十二、产权与风险转移</w:t>
      </w:r>
    </w:p>
    <w:p>
      <w:pPr>
        <w:spacing w:beforeLines="50" w:afterLines="50" w:line="400" w:lineRule="exact"/>
        <w:ind w:firstLine="735" w:firstLineChars="350"/>
        <w:rPr>
          <w:color w:val="auto"/>
          <w:szCs w:val="21"/>
          <w:highlight w:val="none"/>
        </w:rPr>
      </w:pPr>
      <w:r>
        <w:rPr>
          <w:rFonts w:hint="eastAsia"/>
          <w:color w:val="auto"/>
          <w:szCs w:val="21"/>
          <w:highlight w:val="none"/>
        </w:rPr>
        <w:t>合同标的产权与风险转移遵守如下约定：</w:t>
      </w:r>
    </w:p>
    <w:p>
      <w:pPr>
        <w:numPr>
          <w:ilvl w:val="0"/>
          <w:numId w:val="15"/>
        </w:numPr>
        <w:spacing w:beforeLines="50" w:afterLines="50" w:line="400" w:lineRule="exact"/>
        <w:ind w:left="420" w:hanging="420"/>
        <w:rPr>
          <w:color w:val="auto"/>
          <w:szCs w:val="21"/>
          <w:highlight w:val="none"/>
        </w:rPr>
      </w:pPr>
      <w:r>
        <w:rPr>
          <w:rFonts w:hint="eastAsia"/>
          <w:color w:val="auto"/>
          <w:szCs w:val="21"/>
          <w:highlight w:val="none"/>
        </w:rPr>
        <w:t>供方交由承运人运输的在途货物，毁损、灭失的风险由供方承担。</w:t>
      </w:r>
    </w:p>
    <w:p>
      <w:pPr>
        <w:numPr>
          <w:ilvl w:val="0"/>
          <w:numId w:val="15"/>
        </w:numPr>
        <w:spacing w:beforeLines="50" w:afterLines="50" w:line="400" w:lineRule="exact"/>
        <w:ind w:left="420" w:hanging="420"/>
        <w:rPr>
          <w:color w:val="auto"/>
          <w:szCs w:val="21"/>
          <w:highlight w:val="none"/>
        </w:rPr>
      </w:pPr>
      <w:r>
        <w:rPr>
          <w:rFonts w:hint="eastAsia"/>
          <w:color w:val="auto"/>
          <w:szCs w:val="21"/>
          <w:highlight w:val="none"/>
        </w:rPr>
        <w:t>货物的产权自交付时起转移至给需方，货物的损坏、灭失的风险，在货物通过验收交付使用时起由供方转移至需方。</w:t>
      </w:r>
    </w:p>
    <w:p>
      <w:pPr>
        <w:numPr>
          <w:ilvl w:val="0"/>
          <w:numId w:val="15"/>
        </w:numPr>
        <w:spacing w:beforeLines="50" w:afterLines="50" w:line="400" w:lineRule="exact"/>
        <w:ind w:left="420" w:hanging="420"/>
        <w:rPr>
          <w:color w:val="auto"/>
          <w:szCs w:val="21"/>
          <w:highlight w:val="none"/>
        </w:rPr>
      </w:pPr>
      <w:r>
        <w:rPr>
          <w:rFonts w:hint="eastAsia"/>
          <w:color w:val="auto"/>
          <w:szCs w:val="21"/>
          <w:highlight w:val="none"/>
        </w:rPr>
        <w:t>因货物验收不合格需方拒收，或双方已解除合同，货物毁损、灭失的风险由供方承担。</w:t>
      </w:r>
    </w:p>
    <w:p>
      <w:pPr>
        <w:numPr>
          <w:ilvl w:val="0"/>
          <w:numId w:val="15"/>
        </w:numPr>
        <w:spacing w:beforeLines="50" w:afterLines="50" w:line="400" w:lineRule="exact"/>
        <w:ind w:left="420" w:hanging="420"/>
        <w:rPr>
          <w:color w:val="auto"/>
          <w:szCs w:val="21"/>
          <w:highlight w:val="none"/>
        </w:rPr>
      </w:pPr>
      <w:r>
        <w:rPr>
          <w:rFonts w:hint="eastAsia"/>
          <w:color w:val="auto"/>
          <w:szCs w:val="21"/>
          <w:highlight w:val="none"/>
        </w:rPr>
        <w:t>产权和风险的转移，不影响因供方履行义务不符合约定，需方要求其承担违约责任的权力。</w:t>
      </w:r>
    </w:p>
    <w:p>
      <w:pPr>
        <w:spacing w:beforeLines="50" w:afterLines="50" w:line="400" w:lineRule="exact"/>
        <w:rPr>
          <w:color w:val="auto"/>
          <w:sz w:val="24"/>
          <w:highlight w:val="none"/>
        </w:rPr>
      </w:pPr>
      <w:r>
        <w:rPr>
          <w:rFonts w:hint="eastAsia"/>
          <w:color w:val="auto"/>
          <w:sz w:val="24"/>
          <w:highlight w:val="none"/>
        </w:rPr>
        <w:t>十三、保险</w:t>
      </w:r>
    </w:p>
    <w:p>
      <w:pPr>
        <w:spacing w:beforeLines="50" w:afterLines="50" w:line="400" w:lineRule="exact"/>
        <w:ind w:left="359" w:leftChars="171" w:firstLine="420" w:firstLineChars="200"/>
        <w:rPr>
          <w:color w:val="auto"/>
          <w:szCs w:val="21"/>
          <w:highlight w:val="none"/>
        </w:rPr>
      </w:pPr>
      <w:r>
        <w:rPr>
          <w:rFonts w:hint="eastAsia"/>
          <w:color w:val="auto"/>
          <w:szCs w:val="21"/>
          <w:highlight w:val="none"/>
        </w:rPr>
        <w:t>根据本合同关于产权与风险转移条款规定，供方承担货物到达交货地点并安装、验收合格交付使用之前的所有风险。因此，供方应按货物总价的110%价值为货物投保一切险、为派往需方服务的人员投保人身险、为货物交付前有关本项目活动可能涉及的第三方投保相关险种，保险费用均由供方负责。</w:t>
      </w:r>
    </w:p>
    <w:p>
      <w:pPr>
        <w:spacing w:beforeLines="50" w:afterLines="50" w:line="400" w:lineRule="exact"/>
        <w:rPr>
          <w:color w:val="auto"/>
          <w:sz w:val="24"/>
          <w:highlight w:val="none"/>
        </w:rPr>
      </w:pPr>
      <w:r>
        <w:rPr>
          <w:rFonts w:hint="eastAsia"/>
          <w:color w:val="auto"/>
          <w:sz w:val="24"/>
          <w:highlight w:val="none"/>
        </w:rPr>
        <w:t>十四、检验与测试及验收</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需方或其代表有权检验和/或测试货物，以确认货物是否符合合同规格的要求，并且不承担额外的费用。合同条款的技术规格将说明需方要求进行的检验和测试，以及在何处进行这些检验和测试。需方将及时以书面形式把进行的检验和/或需方测试代表的身份通知供方。</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检验和测试可以在供方或其分包人的驻地、交货地和/或货物的最终目的地进行。如果在供方或其分包人的驻地进行，检测人员应能得全部合理的设施和协助，需方不应承担费用。</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如果任何被检验或测试的货物不能满足规格的要求，需方可以拒绝接受该货物，供方应更换被拒绝的货物，或者免费进行必要的修改以满足规格的要求。</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需方在货物到达的目的地后对货物进行检验、测试及必要时拒绝接受货物的权力将不会因为货物在供方或其分包人的驻地已通过了需方或其代表的检验、测试和认可而受到限制或放弃。</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交货时，供方应将制造商对货物的质量、规格、性能、数量和重量等进行详细而全面检验、并出具证明货物符合合同规定的检验证书提交需方。检验证书是付款的文件依据之一，但不能作为有关质量、规格、性能、数量或重量的最终检验。制造商检验的结果和细节应附在质量检验证书后面。</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如果货物是进口产品，且属于强制检验商品，供方应附上经中国国家商检部门对货物的质量、规格、数量和重量进行检验并合格的检验证书。</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本“检验与测试”的有关条款不能免除供方在本合同项下的保证义务或其他义务。</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供方必须在合同签订后两个月内，派专业的安装调试工程师到用户安装现场对振动、磁场、噪音等影响设备正常使用的参数进行测试，如果有问题，需提出合理的整改意见。到货之前，还需再次派专业的安装调试工程师对整改后的安装现场进行测试，这两次均为上门服务，需方不再支付任何费用。</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安装调试在设备到货后3个工作日内开始进行，并在7个工作日内完成。</w:t>
      </w:r>
    </w:p>
    <w:p>
      <w:pPr>
        <w:numPr>
          <w:ilvl w:val="0"/>
          <w:numId w:val="16"/>
        </w:numPr>
        <w:spacing w:beforeLines="50" w:afterLines="50" w:line="400" w:lineRule="exact"/>
        <w:ind w:left="360" w:hanging="360"/>
        <w:rPr>
          <w:color w:val="auto"/>
          <w:szCs w:val="21"/>
          <w:highlight w:val="none"/>
        </w:rPr>
      </w:pPr>
      <w:r>
        <w:rPr>
          <w:rFonts w:hint="eastAsia"/>
          <w:color w:val="auto"/>
          <w:szCs w:val="21"/>
          <w:highlight w:val="none"/>
        </w:rPr>
        <w:t>所有设备均须由供方送货上门并安装调试。需方不再支付任何费用。</w:t>
      </w:r>
    </w:p>
    <w:p>
      <w:pPr>
        <w:spacing w:beforeLines="50" w:afterLines="50" w:line="400" w:lineRule="exact"/>
        <w:rPr>
          <w:color w:val="auto"/>
          <w:sz w:val="24"/>
          <w:highlight w:val="none"/>
        </w:rPr>
      </w:pPr>
      <w:r>
        <w:rPr>
          <w:rFonts w:hint="eastAsia"/>
          <w:color w:val="auto"/>
          <w:sz w:val="24"/>
          <w:highlight w:val="none"/>
        </w:rPr>
        <w:t>十五、伴随服务</w:t>
      </w:r>
    </w:p>
    <w:p>
      <w:pPr>
        <w:numPr>
          <w:ilvl w:val="0"/>
          <w:numId w:val="17"/>
        </w:numPr>
        <w:spacing w:beforeLines="50" w:afterLines="50" w:line="400" w:lineRule="exact"/>
        <w:ind w:left="360" w:hanging="360"/>
        <w:rPr>
          <w:color w:val="auto"/>
          <w:szCs w:val="21"/>
          <w:highlight w:val="none"/>
        </w:rPr>
      </w:pPr>
      <w:r>
        <w:rPr>
          <w:rFonts w:hint="eastAsia"/>
          <w:color w:val="auto"/>
          <w:szCs w:val="21"/>
          <w:highlight w:val="none"/>
        </w:rPr>
        <w:t>安装、调试与试运行</w:t>
      </w:r>
    </w:p>
    <w:p>
      <w:pPr>
        <w:spacing w:beforeLines="50" w:afterLines="50" w:line="400" w:lineRule="exact"/>
        <w:rPr>
          <w:color w:val="auto"/>
          <w:szCs w:val="21"/>
          <w:highlight w:val="none"/>
        </w:rPr>
      </w:pPr>
      <w:r>
        <w:rPr>
          <w:rFonts w:hint="eastAsia"/>
          <w:color w:val="auto"/>
          <w:szCs w:val="21"/>
          <w:highlight w:val="none"/>
        </w:rPr>
        <w:t>1.1  供方必须向需方提供合同货物安装所需的材料及技术资料以及组装/维修所需工具。</w:t>
      </w:r>
    </w:p>
    <w:p>
      <w:pPr>
        <w:spacing w:beforeLines="50" w:afterLines="50" w:line="400" w:lineRule="exact"/>
        <w:ind w:left="420" w:hanging="420" w:hangingChars="200"/>
        <w:rPr>
          <w:color w:val="auto"/>
          <w:szCs w:val="21"/>
          <w:highlight w:val="none"/>
        </w:rPr>
      </w:pPr>
      <w:r>
        <w:rPr>
          <w:rFonts w:hint="eastAsia"/>
          <w:color w:val="auto"/>
          <w:szCs w:val="21"/>
          <w:highlight w:val="none"/>
        </w:rPr>
        <w:t>1.2  供方在接到需方要求开始安装的通知后</w:t>
      </w:r>
      <w:r>
        <w:rPr>
          <w:rFonts w:hint="eastAsia"/>
          <w:color w:val="auto"/>
          <w:szCs w:val="21"/>
          <w:highlight w:val="none"/>
          <w:u w:val="single"/>
        </w:rPr>
        <w:t>3</w:t>
      </w:r>
      <w:r>
        <w:rPr>
          <w:rFonts w:hint="eastAsia"/>
          <w:color w:val="auto"/>
          <w:szCs w:val="21"/>
          <w:highlight w:val="none"/>
        </w:rPr>
        <w:t>个工作日内必须派合适的人员到现场进行安装和调试。</w:t>
      </w:r>
    </w:p>
    <w:p>
      <w:pPr>
        <w:spacing w:beforeLines="50" w:afterLines="50" w:line="400" w:lineRule="exact"/>
        <w:ind w:left="420" w:hanging="420" w:hangingChars="200"/>
        <w:rPr>
          <w:color w:val="auto"/>
          <w:szCs w:val="21"/>
          <w:highlight w:val="none"/>
        </w:rPr>
      </w:pPr>
      <w:r>
        <w:rPr>
          <w:rFonts w:hint="eastAsia"/>
          <w:color w:val="auto"/>
          <w:szCs w:val="21"/>
          <w:highlight w:val="none"/>
        </w:rPr>
        <w:t>1.3  供方派出的安装人员应具备相关的专业知识、技术水平、相应资质和能力，熟悉本合同所述货物的规格、技术指标及安装工艺，有足够能力安装、调试本合同的货物并使之达到本合同要求；</w:t>
      </w:r>
    </w:p>
    <w:p>
      <w:pPr>
        <w:spacing w:beforeLines="50" w:afterLines="50" w:line="400" w:lineRule="exact"/>
        <w:ind w:left="420" w:hanging="420" w:hangingChars="200"/>
        <w:rPr>
          <w:color w:val="auto"/>
          <w:szCs w:val="21"/>
          <w:highlight w:val="none"/>
        </w:rPr>
      </w:pPr>
      <w:r>
        <w:rPr>
          <w:rFonts w:hint="eastAsia"/>
          <w:color w:val="auto"/>
          <w:szCs w:val="21"/>
          <w:highlight w:val="none"/>
        </w:rPr>
        <w:t>1.4  供方已对需方现场进行详细考察，完全了解现场的状况及环境要求，并承诺不因上述原因对需方索赔。</w:t>
      </w:r>
    </w:p>
    <w:p>
      <w:pPr>
        <w:spacing w:beforeLines="50" w:afterLines="50" w:line="400" w:lineRule="exact"/>
        <w:ind w:left="420" w:hanging="420" w:hangingChars="200"/>
        <w:rPr>
          <w:color w:val="auto"/>
          <w:szCs w:val="21"/>
          <w:highlight w:val="none"/>
        </w:rPr>
      </w:pPr>
      <w:r>
        <w:rPr>
          <w:rFonts w:hint="eastAsia"/>
          <w:color w:val="auto"/>
          <w:szCs w:val="21"/>
          <w:highlight w:val="none"/>
        </w:rPr>
        <w:t>1.5  供方人员实施及监督所提供货物的试运行，并在双方商定的一定期限内对所供货物运行、维护实施监督指导，但监督指导并不能免除供方在质量保证期内所承担的义务。</w:t>
      </w:r>
    </w:p>
    <w:p>
      <w:pPr>
        <w:spacing w:beforeLines="50" w:afterLines="50" w:line="400" w:lineRule="exact"/>
        <w:rPr>
          <w:color w:val="auto"/>
          <w:szCs w:val="21"/>
          <w:highlight w:val="none"/>
        </w:rPr>
      </w:pPr>
      <w:r>
        <w:rPr>
          <w:rFonts w:hint="eastAsia"/>
          <w:color w:val="auto"/>
          <w:szCs w:val="21"/>
          <w:highlight w:val="none"/>
        </w:rPr>
        <w:t>2.  测试与验收（详见技术规格协议书）</w:t>
      </w:r>
    </w:p>
    <w:p>
      <w:pPr>
        <w:spacing w:beforeLines="50" w:afterLines="50" w:line="400" w:lineRule="exact"/>
        <w:ind w:left="420" w:hanging="420" w:hangingChars="200"/>
        <w:rPr>
          <w:color w:val="auto"/>
          <w:szCs w:val="21"/>
          <w:highlight w:val="none"/>
        </w:rPr>
      </w:pPr>
      <w:r>
        <w:rPr>
          <w:rFonts w:hint="eastAsia"/>
          <w:color w:val="auto"/>
          <w:szCs w:val="21"/>
          <w:highlight w:val="none"/>
        </w:rPr>
        <w:t>2.1  供方必须在测试与验收前，向需方提供按本合同的技术规格、技术规范的要求进行的测试与验收方案。</w:t>
      </w:r>
    </w:p>
    <w:p>
      <w:pPr>
        <w:spacing w:beforeLines="50" w:afterLines="50" w:line="400" w:lineRule="exact"/>
        <w:ind w:left="420" w:hanging="420" w:hangingChars="200"/>
        <w:rPr>
          <w:color w:val="auto"/>
          <w:szCs w:val="21"/>
          <w:highlight w:val="none"/>
        </w:rPr>
      </w:pPr>
      <w:r>
        <w:rPr>
          <w:rFonts w:hint="eastAsia"/>
          <w:color w:val="auto"/>
          <w:szCs w:val="21"/>
          <w:highlight w:val="none"/>
        </w:rPr>
        <w:t>2.2  供方提供的货物不符合合同的质量要求，致使货物未达到需方要求的设计性能，需方可拒收货物或解除合同。</w:t>
      </w:r>
    </w:p>
    <w:p>
      <w:pPr>
        <w:spacing w:beforeLines="50" w:afterLines="50" w:line="400" w:lineRule="exact"/>
        <w:ind w:left="420" w:hanging="420" w:hangingChars="200"/>
        <w:rPr>
          <w:color w:val="auto"/>
          <w:szCs w:val="21"/>
          <w:highlight w:val="none"/>
        </w:rPr>
      </w:pPr>
      <w:r>
        <w:rPr>
          <w:rFonts w:hint="eastAsia"/>
          <w:color w:val="auto"/>
          <w:szCs w:val="21"/>
          <w:highlight w:val="none"/>
        </w:rPr>
        <w:t>2.3  测试及验收工作由需方组织（供方配合），并经第三方国家</w:t>
      </w:r>
      <w:r>
        <w:rPr>
          <w:color w:val="auto"/>
          <w:szCs w:val="21"/>
          <w:highlight w:val="none"/>
        </w:rPr>
        <w:t>二级</w:t>
      </w:r>
      <w:r>
        <w:rPr>
          <w:rFonts w:hint="eastAsia"/>
          <w:color w:val="auto"/>
          <w:szCs w:val="21"/>
          <w:highlight w:val="none"/>
        </w:rPr>
        <w:t>计量部门计量合格，验收合格后，买卖双方签署验收合格证书。</w:t>
      </w:r>
    </w:p>
    <w:p>
      <w:pPr>
        <w:spacing w:beforeLines="50" w:afterLines="50" w:line="400" w:lineRule="exact"/>
        <w:ind w:left="420" w:hanging="420" w:hangingChars="200"/>
        <w:rPr>
          <w:color w:val="auto"/>
          <w:szCs w:val="21"/>
          <w:highlight w:val="none"/>
        </w:rPr>
      </w:pPr>
      <w:r>
        <w:rPr>
          <w:rFonts w:hint="eastAsia"/>
          <w:color w:val="auto"/>
          <w:szCs w:val="21"/>
          <w:highlight w:val="none"/>
        </w:rPr>
        <w:t>2.4  如果供方没有按以上要求，按需方安排的时间进行有关工作，需方有权在相应的付款时间段推迟付款，直至供方完成此时间段的工作。</w:t>
      </w:r>
    </w:p>
    <w:p>
      <w:pPr>
        <w:spacing w:beforeLines="50" w:afterLines="50" w:line="400" w:lineRule="exact"/>
        <w:rPr>
          <w:color w:val="auto"/>
          <w:szCs w:val="21"/>
          <w:highlight w:val="none"/>
        </w:rPr>
      </w:pPr>
      <w:r>
        <w:rPr>
          <w:rFonts w:hint="eastAsia"/>
          <w:color w:val="auto"/>
          <w:szCs w:val="21"/>
          <w:highlight w:val="none"/>
        </w:rPr>
        <w:t>3.  培训</w:t>
      </w:r>
    </w:p>
    <w:p>
      <w:pPr>
        <w:spacing w:beforeLines="50" w:afterLines="50" w:line="400" w:lineRule="exact"/>
        <w:rPr>
          <w:color w:val="auto"/>
          <w:szCs w:val="21"/>
          <w:highlight w:val="none"/>
        </w:rPr>
      </w:pPr>
      <w:r>
        <w:rPr>
          <w:rFonts w:hint="eastAsia"/>
          <w:color w:val="auto"/>
          <w:szCs w:val="21"/>
          <w:highlight w:val="none"/>
        </w:rPr>
        <w:t>3.1  供方负责提供现场操作、运行、维护、修理的培训方案及必需的培训资料。</w:t>
      </w:r>
    </w:p>
    <w:p>
      <w:pPr>
        <w:spacing w:beforeLines="50" w:afterLines="50" w:line="400" w:lineRule="exact"/>
        <w:rPr>
          <w:color w:val="auto"/>
          <w:szCs w:val="21"/>
          <w:highlight w:val="none"/>
        </w:rPr>
      </w:pPr>
      <w:r>
        <w:rPr>
          <w:rFonts w:hint="eastAsia"/>
          <w:color w:val="auto"/>
          <w:szCs w:val="21"/>
          <w:highlight w:val="none"/>
        </w:rPr>
        <w:t>3.2  供方负责对需方受训人员进行操作培训、维修培训。</w:t>
      </w:r>
    </w:p>
    <w:p>
      <w:pPr>
        <w:spacing w:beforeLines="50" w:afterLines="50" w:line="400" w:lineRule="exact"/>
        <w:rPr>
          <w:color w:val="auto"/>
          <w:sz w:val="24"/>
          <w:highlight w:val="none"/>
        </w:rPr>
      </w:pPr>
      <w:r>
        <w:rPr>
          <w:rFonts w:hint="eastAsia"/>
          <w:color w:val="auto"/>
          <w:sz w:val="24"/>
          <w:highlight w:val="none"/>
        </w:rPr>
        <w:t>十六、合同转让与分包</w:t>
      </w:r>
    </w:p>
    <w:p>
      <w:pPr>
        <w:numPr>
          <w:ilvl w:val="0"/>
          <w:numId w:val="18"/>
        </w:numPr>
        <w:spacing w:beforeLines="50" w:afterLines="50" w:line="400" w:lineRule="exact"/>
        <w:ind w:left="360" w:hanging="360"/>
        <w:rPr>
          <w:color w:val="auto"/>
          <w:szCs w:val="21"/>
          <w:highlight w:val="none"/>
        </w:rPr>
      </w:pPr>
      <w:r>
        <w:rPr>
          <w:rFonts w:hint="eastAsia"/>
          <w:color w:val="auto"/>
          <w:szCs w:val="21"/>
          <w:highlight w:val="none"/>
        </w:rPr>
        <w:t>本合同供方在任何情况下都不得全部或部分转让其应履行的合同义务。</w:t>
      </w:r>
    </w:p>
    <w:p>
      <w:pPr>
        <w:numPr>
          <w:ilvl w:val="0"/>
          <w:numId w:val="18"/>
        </w:numPr>
        <w:spacing w:beforeLines="50" w:afterLines="50" w:line="400" w:lineRule="exact"/>
        <w:ind w:left="360" w:hanging="360"/>
        <w:rPr>
          <w:color w:val="auto"/>
          <w:szCs w:val="21"/>
          <w:highlight w:val="none"/>
        </w:rPr>
      </w:pPr>
      <w:r>
        <w:rPr>
          <w:rFonts w:hint="eastAsia"/>
          <w:color w:val="auto"/>
          <w:szCs w:val="21"/>
          <w:highlight w:val="none"/>
        </w:rPr>
        <w:t>供方拟将本合同的非主体、非关键性工作交由他人完成（分包，或更换分包人的），应事先征得需方同意，并提交证明拟分包人合格的文件，及供方与分包人签订的分包合同予需方，且分包人不得再分包。</w:t>
      </w:r>
    </w:p>
    <w:p>
      <w:pPr>
        <w:numPr>
          <w:ilvl w:val="0"/>
          <w:numId w:val="18"/>
        </w:numPr>
        <w:spacing w:beforeLines="50" w:afterLines="50" w:line="400" w:lineRule="exact"/>
        <w:ind w:left="360" w:hanging="360"/>
        <w:rPr>
          <w:color w:val="auto"/>
          <w:szCs w:val="21"/>
          <w:highlight w:val="none"/>
        </w:rPr>
      </w:pPr>
      <w:r>
        <w:rPr>
          <w:rFonts w:hint="eastAsia"/>
          <w:color w:val="auto"/>
          <w:szCs w:val="21"/>
          <w:highlight w:val="none"/>
        </w:rPr>
        <w:t>供方将本合同分包的，其就分包部分向需方负责，分包人就分包部分承担连带责任。</w:t>
      </w:r>
    </w:p>
    <w:p>
      <w:pPr>
        <w:spacing w:beforeLines="50" w:afterLines="50" w:line="400" w:lineRule="exact"/>
        <w:rPr>
          <w:color w:val="auto"/>
          <w:sz w:val="24"/>
          <w:highlight w:val="none"/>
        </w:rPr>
      </w:pPr>
      <w:r>
        <w:rPr>
          <w:rFonts w:hint="eastAsia"/>
          <w:color w:val="auto"/>
          <w:sz w:val="24"/>
          <w:highlight w:val="none"/>
        </w:rPr>
        <w:t>十七、质量保证及售后服务</w:t>
      </w:r>
    </w:p>
    <w:p>
      <w:pPr>
        <w:numPr>
          <w:ilvl w:val="0"/>
          <w:numId w:val="19"/>
        </w:numPr>
        <w:spacing w:beforeLines="50" w:afterLines="50" w:line="400" w:lineRule="exact"/>
        <w:ind w:left="360" w:hanging="360"/>
        <w:rPr>
          <w:color w:val="auto"/>
          <w:szCs w:val="21"/>
          <w:highlight w:val="none"/>
        </w:rPr>
      </w:pPr>
      <w:r>
        <w:rPr>
          <w:rFonts w:hint="eastAsia"/>
          <w:color w:val="auto"/>
          <w:szCs w:val="21"/>
          <w:highlight w:val="none"/>
        </w:rPr>
        <w:t>质量保证</w:t>
      </w:r>
    </w:p>
    <w:p>
      <w:pPr>
        <w:numPr>
          <w:ilvl w:val="1"/>
          <w:numId w:val="19"/>
        </w:numPr>
        <w:tabs>
          <w:tab w:val="clear" w:pos="720"/>
        </w:tabs>
        <w:spacing w:beforeLines="50" w:afterLines="50" w:line="400" w:lineRule="exact"/>
        <w:ind w:left="720" w:hanging="720"/>
        <w:rPr>
          <w:color w:val="auto"/>
          <w:szCs w:val="21"/>
          <w:highlight w:val="none"/>
        </w:rPr>
      </w:pPr>
      <w:r>
        <w:rPr>
          <w:rFonts w:hint="eastAsia"/>
          <w:color w:val="auto"/>
          <w:szCs w:val="21"/>
          <w:highlight w:val="none"/>
        </w:rPr>
        <w:t>供方应保证合同项下所供货物是全新的、未使用过的，是目前的型号。供方进一步保证，合同项下提供的全部货物没有设计、材料或工艺上的瑕疵、缺陷和隐患，或者没有因供方的行为或疏忽而产生的缺陷，这些缺陷是所供货物在我国现行条件下正常使用可能产生的。</w:t>
      </w:r>
    </w:p>
    <w:p>
      <w:pPr>
        <w:numPr>
          <w:ilvl w:val="1"/>
          <w:numId w:val="19"/>
        </w:numPr>
        <w:tabs>
          <w:tab w:val="clear" w:pos="720"/>
        </w:tabs>
        <w:spacing w:beforeLines="50" w:afterLines="50" w:line="400" w:lineRule="exact"/>
        <w:ind w:left="720" w:hanging="720"/>
        <w:rPr>
          <w:rFonts w:ascii="Arial" w:hAnsi="Arial" w:cs="Arial"/>
          <w:color w:val="auto"/>
          <w:szCs w:val="21"/>
          <w:highlight w:val="none"/>
        </w:rPr>
      </w:pPr>
      <w:r>
        <w:rPr>
          <w:rFonts w:hint="eastAsia"/>
          <w:color w:val="auto"/>
          <w:szCs w:val="21"/>
          <w:highlight w:val="none"/>
        </w:rPr>
        <w:t>保修期：1年，保修</w:t>
      </w:r>
      <w:r>
        <w:rPr>
          <w:rFonts w:hint="eastAsia" w:ascii="Arial" w:hAnsi="Arial" w:cs="Arial"/>
          <w:color w:val="auto"/>
          <w:szCs w:val="21"/>
          <w:highlight w:val="none"/>
        </w:rPr>
        <w:t>期内的整机保修服务均须由供方提供，保修期自供需双方代表在设备验收单上签字之日起计算。保修费用计入本合同总价。</w:t>
      </w:r>
    </w:p>
    <w:p>
      <w:pPr>
        <w:numPr>
          <w:ilvl w:val="1"/>
          <w:numId w:val="19"/>
        </w:numPr>
        <w:tabs>
          <w:tab w:val="clear" w:pos="720"/>
        </w:tabs>
        <w:spacing w:beforeLines="50" w:afterLines="50" w:line="400" w:lineRule="exact"/>
        <w:ind w:left="720" w:hanging="720"/>
        <w:rPr>
          <w:rFonts w:ascii="Arial" w:hAnsi="Arial" w:cs="Arial"/>
          <w:color w:val="auto"/>
          <w:szCs w:val="21"/>
          <w:highlight w:val="none"/>
        </w:rPr>
      </w:pPr>
      <w:r>
        <w:rPr>
          <w:rFonts w:hint="eastAsia" w:ascii="Arial" w:hAnsi="Arial" w:cs="Arial"/>
          <w:color w:val="auto"/>
          <w:szCs w:val="21"/>
          <w:highlight w:val="none"/>
        </w:rPr>
        <w:t>需方在质量保证期内发现缺陷应尽快通知供方。供方对质保期内的故障维修响应时间为：电话（</w:t>
      </w:r>
      <w:r>
        <w:rPr>
          <w:rFonts w:ascii="Arial" w:hAnsi="Arial" w:cs="Arial"/>
          <w:color w:val="auto"/>
          <w:szCs w:val="21"/>
          <w:highlight w:val="none"/>
        </w:rPr>
        <w:t>8</w:t>
      </w:r>
      <w:r>
        <w:rPr>
          <w:rFonts w:hint="eastAsia" w:ascii="Arial" w:hAnsi="Arial" w:cs="Arial"/>
          <w:color w:val="auto"/>
          <w:szCs w:val="21"/>
          <w:highlight w:val="none"/>
        </w:rPr>
        <w:t>：</w:t>
      </w:r>
      <w:r>
        <w:rPr>
          <w:rFonts w:ascii="Arial" w:hAnsi="Arial" w:cs="Arial"/>
          <w:color w:val="auto"/>
          <w:szCs w:val="21"/>
          <w:highlight w:val="none"/>
        </w:rPr>
        <w:t>30</w:t>
      </w:r>
      <w:r>
        <w:rPr>
          <w:rFonts w:hint="eastAsia" w:ascii="Arial" w:hAnsi="Arial" w:cs="Arial"/>
          <w:color w:val="auto"/>
          <w:szCs w:val="21"/>
          <w:highlight w:val="none"/>
        </w:rPr>
        <w:t>～</w:t>
      </w:r>
      <w:r>
        <w:rPr>
          <w:rFonts w:ascii="Arial" w:hAnsi="Arial" w:cs="Arial"/>
          <w:color w:val="auto"/>
          <w:szCs w:val="21"/>
          <w:highlight w:val="none"/>
        </w:rPr>
        <w:t>18:00</w:t>
      </w:r>
      <w:r>
        <w:rPr>
          <w:rFonts w:hint="eastAsia" w:ascii="Arial" w:hAnsi="Arial" w:cs="Arial"/>
          <w:color w:val="auto"/>
          <w:szCs w:val="21"/>
          <w:highlight w:val="none"/>
        </w:rPr>
        <w:t>期间）为</w:t>
      </w:r>
      <w:r>
        <w:rPr>
          <w:rFonts w:ascii="Arial" w:hAnsi="Arial" w:cs="Arial"/>
          <w:color w:val="auto"/>
          <w:szCs w:val="21"/>
          <w:highlight w:val="none"/>
        </w:rPr>
        <w:t>2</w:t>
      </w:r>
      <w:r>
        <w:rPr>
          <w:rFonts w:hint="eastAsia" w:ascii="Arial" w:hAnsi="Arial" w:cs="Arial"/>
          <w:color w:val="auto"/>
          <w:szCs w:val="21"/>
          <w:highlight w:val="none"/>
        </w:rPr>
        <w:t>小时。若在电话中无法解决，周一至周五24小时内到达现场进行维护（不可抗拒原因除外），其余期间为48小时。</w:t>
      </w:r>
    </w:p>
    <w:p>
      <w:pPr>
        <w:numPr>
          <w:ilvl w:val="1"/>
          <w:numId w:val="19"/>
        </w:numPr>
        <w:tabs>
          <w:tab w:val="clear" w:pos="720"/>
        </w:tabs>
        <w:spacing w:beforeLines="50" w:afterLines="50" w:line="400" w:lineRule="exact"/>
        <w:ind w:left="720" w:hanging="720"/>
        <w:rPr>
          <w:color w:val="auto"/>
          <w:szCs w:val="21"/>
          <w:highlight w:val="none"/>
        </w:rPr>
      </w:pPr>
      <w:r>
        <w:rPr>
          <w:rFonts w:hint="eastAsia" w:ascii="Arial" w:hAnsi="Arial" w:cs="Arial"/>
          <w:color w:val="auto"/>
          <w:szCs w:val="21"/>
          <w:highlight w:val="none"/>
        </w:rPr>
        <w:t>质量保证期内</w:t>
      </w:r>
      <w:r>
        <w:rPr>
          <w:rFonts w:hint="eastAsia"/>
          <w:color w:val="auto"/>
          <w:szCs w:val="21"/>
          <w:highlight w:val="none"/>
        </w:rPr>
        <w:t>如果设备故障在检修</w:t>
      </w:r>
      <w:r>
        <w:rPr>
          <w:color w:val="auto"/>
          <w:szCs w:val="21"/>
          <w:highlight w:val="none"/>
        </w:rPr>
        <w:t>120</w:t>
      </w:r>
      <w:r>
        <w:rPr>
          <w:rFonts w:hint="eastAsia"/>
          <w:color w:val="auto"/>
          <w:szCs w:val="21"/>
          <w:highlight w:val="none"/>
        </w:rPr>
        <w:t>小时后仍无法排除，供方应在</w:t>
      </w:r>
      <w:r>
        <w:rPr>
          <w:color w:val="auto"/>
          <w:szCs w:val="21"/>
          <w:highlight w:val="none"/>
        </w:rPr>
        <w:t>72</w:t>
      </w:r>
      <w:r>
        <w:rPr>
          <w:rFonts w:hint="eastAsia"/>
          <w:color w:val="auto"/>
          <w:szCs w:val="21"/>
          <w:highlight w:val="none"/>
        </w:rPr>
        <w:t>小时内提供不低于故障设备规格型号档次的备用设备供需方使用，直至故障设备修复。</w:t>
      </w:r>
    </w:p>
    <w:p>
      <w:pPr>
        <w:numPr>
          <w:ilvl w:val="1"/>
          <w:numId w:val="19"/>
        </w:numPr>
        <w:tabs>
          <w:tab w:val="clear" w:pos="720"/>
        </w:tabs>
        <w:spacing w:beforeLines="50" w:afterLines="50" w:line="400" w:lineRule="exact"/>
        <w:ind w:left="720" w:hanging="720"/>
        <w:rPr>
          <w:color w:val="auto"/>
          <w:szCs w:val="21"/>
          <w:highlight w:val="none"/>
        </w:rPr>
      </w:pPr>
      <w:r>
        <w:rPr>
          <w:rFonts w:hint="eastAsia"/>
          <w:color w:val="auto"/>
          <w:szCs w:val="21"/>
          <w:highlight w:val="none"/>
        </w:rPr>
        <w:t>所有设备保修服务方式均为免费上门保修，即由供方派员到需方设备使用现场维修。由此产生的一切费用均由供方承担。</w:t>
      </w:r>
    </w:p>
    <w:p>
      <w:pPr>
        <w:numPr>
          <w:ilvl w:val="0"/>
          <w:numId w:val="19"/>
        </w:numPr>
        <w:spacing w:beforeLines="50" w:afterLines="50" w:line="400" w:lineRule="exact"/>
        <w:ind w:left="360" w:hanging="360"/>
        <w:rPr>
          <w:color w:val="auto"/>
          <w:szCs w:val="21"/>
          <w:highlight w:val="none"/>
        </w:rPr>
      </w:pPr>
      <w:r>
        <w:rPr>
          <w:rFonts w:hint="eastAsia"/>
          <w:color w:val="auto"/>
          <w:szCs w:val="21"/>
          <w:highlight w:val="none"/>
        </w:rPr>
        <w:t>质量保证期后服务</w:t>
      </w:r>
    </w:p>
    <w:p>
      <w:pPr>
        <w:numPr>
          <w:ilvl w:val="1"/>
          <w:numId w:val="20"/>
        </w:numPr>
        <w:tabs>
          <w:tab w:val="clear" w:pos="360"/>
        </w:tabs>
        <w:spacing w:beforeLines="50" w:afterLines="50" w:line="400" w:lineRule="exact"/>
        <w:ind w:left="360" w:hanging="360"/>
        <w:rPr>
          <w:color w:val="auto"/>
          <w:szCs w:val="21"/>
          <w:highlight w:val="none"/>
        </w:rPr>
      </w:pPr>
      <w:r>
        <w:rPr>
          <w:rFonts w:hint="eastAsia"/>
          <w:color w:val="auto"/>
          <w:szCs w:val="21"/>
          <w:highlight w:val="none"/>
        </w:rPr>
        <w:t>质保期满后，若有零部件出现故障，经权威部门鉴定属于寿命异常问题（明显短于</w:t>
      </w:r>
    </w:p>
    <w:p>
      <w:pPr>
        <w:spacing w:beforeLines="50" w:afterLines="50" w:line="400" w:lineRule="exact"/>
        <w:ind w:firstLine="735" w:firstLineChars="350"/>
        <w:rPr>
          <w:color w:val="auto"/>
          <w:szCs w:val="21"/>
          <w:highlight w:val="none"/>
        </w:rPr>
      </w:pPr>
      <w:r>
        <w:rPr>
          <w:rFonts w:hint="eastAsia"/>
          <w:color w:val="auto"/>
          <w:szCs w:val="21"/>
          <w:highlight w:val="none"/>
        </w:rPr>
        <w:t>该零部件正常寿命）时，则由供方负责免费更换及维修。</w:t>
      </w:r>
    </w:p>
    <w:p>
      <w:pPr>
        <w:numPr>
          <w:ilvl w:val="1"/>
          <w:numId w:val="20"/>
        </w:numPr>
        <w:tabs>
          <w:tab w:val="clear" w:pos="360"/>
        </w:tabs>
        <w:spacing w:beforeLines="50" w:afterLines="50" w:line="400" w:lineRule="exact"/>
        <w:ind w:left="360" w:hanging="360"/>
        <w:rPr>
          <w:color w:val="auto"/>
          <w:szCs w:val="21"/>
          <w:highlight w:val="none"/>
        </w:rPr>
      </w:pPr>
      <w:r>
        <w:rPr>
          <w:rFonts w:hint="eastAsia"/>
          <w:color w:val="auto"/>
          <w:szCs w:val="21"/>
          <w:highlight w:val="none"/>
        </w:rPr>
        <w:t>质保期满后，应需方要求，供方应（参考当时的市场价格）按优惠价格与需方签订</w:t>
      </w:r>
    </w:p>
    <w:p>
      <w:pPr>
        <w:tabs>
          <w:tab w:val="left" w:pos="360"/>
        </w:tabs>
        <w:spacing w:beforeLines="50" w:afterLines="50" w:line="400" w:lineRule="exact"/>
        <w:ind w:firstLine="630" w:firstLineChars="300"/>
        <w:rPr>
          <w:color w:val="auto"/>
          <w:szCs w:val="21"/>
          <w:highlight w:val="none"/>
        </w:rPr>
      </w:pPr>
      <w:r>
        <w:rPr>
          <w:rFonts w:hint="eastAsia"/>
          <w:color w:val="auto"/>
          <w:szCs w:val="21"/>
          <w:highlight w:val="none"/>
        </w:rPr>
        <w:t>定期维修保养合同及提供需方所需零配件。</w:t>
      </w:r>
    </w:p>
    <w:p>
      <w:pPr>
        <w:numPr>
          <w:ilvl w:val="1"/>
          <w:numId w:val="20"/>
        </w:numPr>
        <w:tabs>
          <w:tab w:val="clear" w:pos="360"/>
        </w:tabs>
        <w:spacing w:beforeLines="50" w:afterLines="50" w:line="400" w:lineRule="exact"/>
        <w:ind w:left="360" w:hanging="360"/>
        <w:rPr>
          <w:color w:val="auto"/>
          <w:szCs w:val="21"/>
          <w:highlight w:val="none"/>
        </w:rPr>
      </w:pPr>
      <w:r>
        <w:rPr>
          <w:rFonts w:hint="eastAsia"/>
          <w:color w:val="auto"/>
          <w:szCs w:val="21"/>
          <w:highlight w:val="none"/>
        </w:rPr>
        <w:t>在备件停止生产的情况下，供方应事先将要停止生产的计划通知需方，使需方有足</w:t>
      </w:r>
    </w:p>
    <w:p>
      <w:pPr>
        <w:spacing w:beforeLines="50" w:afterLines="50" w:line="400" w:lineRule="exact"/>
        <w:ind w:left="735" w:leftChars="350"/>
        <w:rPr>
          <w:color w:val="auto"/>
          <w:szCs w:val="21"/>
          <w:highlight w:val="none"/>
        </w:rPr>
      </w:pPr>
      <w:r>
        <w:rPr>
          <w:rFonts w:hint="eastAsia"/>
          <w:color w:val="auto"/>
          <w:szCs w:val="21"/>
          <w:highlight w:val="none"/>
        </w:rPr>
        <w:t>够的时间采购所需备件；在备件停止生产后，供方应免费向需方提供备件的图纸、资料。</w:t>
      </w:r>
    </w:p>
    <w:p>
      <w:pPr>
        <w:spacing w:beforeLines="50" w:afterLines="50" w:line="400" w:lineRule="exact"/>
        <w:rPr>
          <w:color w:val="auto"/>
          <w:sz w:val="24"/>
          <w:highlight w:val="none"/>
        </w:rPr>
      </w:pPr>
      <w:r>
        <w:rPr>
          <w:rFonts w:hint="eastAsia"/>
          <w:color w:val="auto"/>
          <w:sz w:val="24"/>
          <w:highlight w:val="none"/>
        </w:rPr>
        <w:t>十八、索赔</w:t>
      </w:r>
    </w:p>
    <w:p>
      <w:pPr>
        <w:spacing w:beforeLines="50" w:afterLines="50" w:line="400" w:lineRule="exact"/>
        <w:ind w:left="420" w:leftChars="200" w:firstLine="315" w:firstLineChars="150"/>
        <w:rPr>
          <w:color w:val="auto"/>
          <w:szCs w:val="21"/>
          <w:highlight w:val="none"/>
        </w:rPr>
      </w:pPr>
      <w:r>
        <w:rPr>
          <w:rFonts w:hint="eastAsia"/>
          <w:color w:val="auto"/>
          <w:szCs w:val="21"/>
          <w:highlight w:val="none"/>
        </w:rPr>
        <w:t>供方对所供货物与合同要求不符负有责任，如经检验证实不符或缺陷存在的，包括潜在的缺陷或使用不合适的材料，需方可根据本合同有关质量保证或检验、安装、调试的规定，在质量保证期内及时提出索赔，供方同意需方选择下述一种或多种结合的方法解决索赔事宜：</w:t>
      </w:r>
    </w:p>
    <w:p>
      <w:pPr>
        <w:numPr>
          <w:ilvl w:val="0"/>
          <w:numId w:val="21"/>
        </w:numPr>
        <w:spacing w:beforeLines="50" w:afterLines="50" w:line="400" w:lineRule="exact"/>
        <w:ind w:left="425" w:hanging="425"/>
        <w:rPr>
          <w:color w:val="auto"/>
          <w:szCs w:val="21"/>
          <w:highlight w:val="none"/>
        </w:rPr>
      </w:pPr>
      <w:r>
        <w:rPr>
          <w:rFonts w:hint="eastAsia"/>
          <w:color w:val="auto"/>
          <w:szCs w:val="21"/>
          <w:highlight w:val="none"/>
        </w:rPr>
        <w:t>供方同意需方退货，并将货物被拒收前需方已付的所有款项退还需方，供方承担由此发生的一切损失和费用，包括利息、银行手续费、运费、保险费、检验费、仓储费、装卸费以及为保管、维护和退回被拒收货物所发生的其它必要费用。</w:t>
      </w:r>
    </w:p>
    <w:p>
      <w:pPr>
        <w:numPr>
          <w:ilvl w:val="0"/>
          <w:numId w:val="21"/>
        </w:numPr>
        <w:spacing w:beforeLines="50" w:afterLines="50" w:line="400" w:lineRule="exact"/>
        <w:ind w:left="425" w:hanging="425"/>
        <w:rPr>
          <w:color w:val="auto"/>
          <w:szCs w:val="21"/>
          <w:highlight w:val="none"/>
        </w:rPr>
      </w:pPr>
      <w:r>
        <w:rPr>
          <w:rFonts w:hint="eastAsia"/>
          <w:color w:val="auto"/>
          <w:szCs w:val="21"/>
          <w:highlight w:val="none"/>
        </w:rPr>
        <w:t>根据货物的疵劣和受损程度以及需方因此遭受损失的金额，经供需双方商定，降低货物成交价格。</w:t>
      </w:r>
    </w:p>
    <w:p>
      <w:pPr>
        <w:numPr>
          <w:ilvl w:val="0"/>
          <w:numId w:val="21"/>
        </w:numPr>
        <w:spacing w:beforeLines="50" w:afterLines="50" w:line="400" w:lineRule="exact"/>
        <w:ind w:left="425" w:hanging="425"/>
        <w:rPr>
          <w:color w:val="auto"/>
          <w:szCs w:val="21"/>
          <w:highlight w:val="none"/>
        </w:rPr>
      </w:pPr>
      <w:r>
        <w:rPr>
          <w:rFonts w:hint="eastAsia"/>
          <w:color w:val="auto"/>
          <w:szCs w:val="21"/>
          <w:highlight w:val="none"/>
        </w:rPr>
        <w:t>用符合合同规定的规格、质量和性能要求的新零件、部件和/或设备来更换有缺陷的部分和/或修补缺陷部分，以使货物达到合同规定的规格、质量和性能，供方承担一切费用和风险并负担需方遭受的一切损失。同时供方相应延长被更换货物的质保期。</w:t>
      </w:r>
    </w:p>
    <w:p>
      <w:pPr>
        <w:numPr>
          <w:ilvl w:val="0"/>
          <w:numId w:val="21"/>
        </w:numPr>
        <w:spacing w:beforeLines="50" w:afterLines="50" w:line="400" w:lineRule="exact"/>
        <w:ind w:left="425" w:hanging="425"/>
        <w:rPr>
          <w:color w:val="auto"/>
          <w:szCs w:val="21"/>
          <w:highlight w:val="none"/>
        </w:rPr>
      </w:pPr>
      <w:r>
        <w:rPr>
          <w:rFonts w:hint="eastAsia"/>
          <w:color w:val="auto"/>
          <w:szCs w:val="21"/>
          <w:highlight w:val="none"/>
        </w:rPr>
        <w:t>供方收到索赔通知后10天内，未给需方答复的，视为索赔已被供方接受。供方未能在收到索赔通知后10天内，或征得需方同意的延长期限内，按照需方从上列方法中选择的方案解决索赔事宜的，需方将有权从未付货款中扣回索赔金额，同时保留进一步要求索赔的权利。</w:t>
      </w:r>
    </w:p>
    <w:p>
      <w:pPr>
        <w:spacing w:beforeLines="50" w:afterLines="50" w:line="400" w:lineRule="exact"/>
        <w:rPr>
          <w:color w:val="auto"/>
          <w:sz w:val="24"/>
          <w:highlight w:val="none"/>
        </w:rPr>
      </w:pPr>
      <w:r>
        <w:rPr>
          <w:rFonts w:hint="eastAsia"/>
          <w:color w:val="auto"/>
          <w:sz w:val="24"/>
          <w:highlight w:val="none"/>
        </w:rPr>
        <w:t>十九、不可抗力</w:t>
      </w:r>
    </w:p>
    <w:p>
      <w:pPr>
        <w:numPr>
          <w:ilvl w:val="0"/>
          <w:numId w:val="22"/>
        </w:numPr>
        <w:spacing w:beforeLines="50" w:afterLines="50" w:line="400" w:lineRule="exact"/>
        <w:ind w:left="360" w:hanging="360"/>
        <w:rPr>
          <w:color w:val="auto"/>
          <w:szCs w:val="21"/>
          <w:highlight w:val="none"/>
        </w:rPr>
      </w:pPr>
      <w:r>
        <w:rPr>
          <w:rFonts w:hint="eastAsia"/>
          <w:color w:val="auto"/>
          <w:szCs w:val="21"/>
          <w:highlight w:val="none"/>
        </w:rPr>
        <w:t>签约双方的任何一方由于不可抗力事件影响而不能执行合同时，履行合同的期限应予以延长，其延长的期限应相当于事件所影响的时间。不可抗力事件系指供需双方在缔结合同时所不能预见的，并且它的发生及其后果是无法避免和克服的事件，诸如战争、严重水灾、洪水、台风、地震等。</w:t>
      </w:r>
    </w:p>
    <w:p>
      <w:pPr>
        <w:numPr>
          <w:ilvl w:val="0"/>
          <w:numId w:val="22"/>
        </w:numPr>
        <w:spacing w:beforeLines="50" w:afterLines="50" w:line="400" w:lineRule="exact"/>
        <w:ind w:left="360" w:hanging="360"/>
        <w:rPr>
          <w:color w:val="auto"/>
          <w:szCs w:val="21"/>
          <w:highlight w:val="none"/>
        </w:rPr>
      </w:pPr>
      <w:r>
        <w:rPr>
          <w:rFonts w:hint="eastAsia"/>
          <w:color w:val="auto"/>
          <w:szCs w:val="21"/>
          <w:highlight w:val="none"/>
        </w:rPr>
        <w:t>受阻一方应在不可抗力事件后，尽快用电报、传真或电传通知对方，并于事件发生后14天内将有关部门出具的证明文件用特快专递或挂号信寄给对方审阅确认。一旦不可抗力事件的影响持续60天以上，双方应通过友好协商在合理的时间内达成进一步履行合同的协议或解除合同。</w:t>
      </w:r>
    </w:p>
    <w:p>
      <w:pPr>
        <w:spacing w:beforeLines="50" w:afterLines="50" w:line="400" w:lineRule="exact"/>
        <w:rPr>
          <w:color w:val="auto"/>
          <w:sz w:val="24"/>
          <w:highlight w:val="none"/>
        </w:rPr>
      </w:pPr>
      <w:r>
        <w:rPr>
          <w:rFonts w:hint="eastAsia"/>
          <w:color w:val="auto"/>
          <w:sz w:val="24"/>
          <w:highlight w:val="none"/>
        </w:rPr>
        <w:t>二十、逾期交货及逾期付款的赔偿</w:t>
      </w:r>
    </w:p>
    <w:p>
      <w:pPr>
        <w:numPr>
          <w:ilvl w:val="0"/>
          <w:numId w:val="23"/>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除不可抗力因素外，如果供方不能按照合同规定的时间交货和提供服务， 应及时以书面形式将延迟的事实、可能延迟的时间和原因通知需方。需方收到供方通知后，将尽快做出评价，决定是否同意延长交货期及收取误期赔偿费。需方在不影响合同项下的其它补救措施情况下，可从合同未付款中扣除误期违约金。违约金按迟交货物交货价的5‰/天计算，误期期限为30天。一旦达此限期，需方有权解除合同，并要求供方按合同总金额的20%计付违约金。此时如果需方按合同支付了定金的，需方有权要求供方</w:t>
      </w:r>
      <w:r>
        <w:rPr>
          <w:rFonts w:ascii="宋体" w:hAnsi="宋体"/>
          <w:color w:val="auto"/>
          <w:szCs w:val="21"/>
          <w:highlight w:val="none"/>
        </w:rPr>
        <w:t>退</w:t>
      </w:r>
      <w:r>
        <w:rPr>
          <w:rFonts w:hint="eastAsia" w:ascii="宋体" w:hAnsi="宋体"/>
          <w:color w:val="auto"/>
          <w:szCs w:val="21"/>
          <w:highlight w:val="none"/>
        </w:rPr>
        <w:t>还定金</w:t>
      </w:r>
      <w:r>
        <w:rPr>
          <w:rFonts w:ascii="宋体" w:hAnsi="宋体"/>
          <w:color w:val="auto"/>
          <w:szCs w:val="21"/>
          <w:highlight w:val="none"/>
        </w:rPr>
        <w:t>。</w:t>
      </w:r>
      <w:r>
        <w:rPr>
          <w:rFonts w:hint="eastAsia" w:ascii="宋体" w:hAnsi="宋体"/>
          <w:color w:val="auto"/>
          <w:szCs w:val="21"/>
          <w:highlight w:val="none"/>
        </w:rPr>
        <w:t>如按上述办法计算的违约金乃不足以补偿因供方违约造成的损失，需方有权进一步向供方提出索赔。</w:t>
      </w:r>
    </w:p>
    <w:p>
      <w:pPr>
        <w:numPr>
          <w:ilvl w:val="0"/>
          <w:numId w:val="23"/>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如果需方不能按合同约定支付预付款\定金，则供方有权延期交货；违约金按拖欠款金额的1‰/天计算，延迟付款期限为 30 天。一旦达此限期，供方有权解除合同，并要求需方按合同总金额的10%计付违约金。超过合同付款期限30天需方仍不付款，且造成供方损失的，需方应支付赔偿予供方。</w:t>
      </w:r>
    </w:p>
    <w:p>
      <w:pPr>
        <w:numPr>
          <w:ilvl w:val="0"/>
          <w:numId w:val="23"/>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本合同中对于需方付款和供方交付使用有先决条件约定的，按约定执行。</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二十一、合同变更</w:t>
      </w:r>
    </w:p>
    <w:p>
      <w:pPr>
        <w:numPr>
          <w:ilvl w:val="0"/>
          <w:numId w:val="24"/>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需方根据现场实际或施工情况，发现合同原计划或方案不尽合理，确实需变更原合同约定的货物的，应及时通知需方，并提出变更理由、修正方案、及变更清单，经双方协商并签署有关文件作为合同附件后实施。</w:t>
      </w:r>
    </w:p>
    <w:p>
      <w:pPr>
        <w:numPr>
          <w:ilvl w:val="0"/>
          <w:numId w:val="24"/>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因需方的原因变更合同货物的，需方应以书面形式通知供方，并经双方协商一致签署有关变更文件。如因此造成供方履行合同义务的价格或时间增减，将对合同价、交货时间进行公平调整。供方据此要求的调整必须在收到需方通知后30天内提出。</w:t>
      </w:r>
    </w:p>
    <w:p>
      <w:pPr>
        <w:numPr>
          <w:ilvl w:val="0"/>
          <w:numId w:val="24"/>
        </w:numPr>
        <w:spacing w:beforeLines="50" w:afterLines="50" w:line="400" w:lineRule="exact"/>
        <w:ind w:left="360" w:hanging="360"/>
        <w:rPr>
          <w:color w:val="auto"/>
          <w:szCs w:val="21"/>
          <w:highlight w:val="none"/>
        </w:rPr>
      </w:pPr>
      <w:r>
        <w:rPr>
          <w:rFonts w:hint="eastAsia" w:ascii="宋体" w:hAnsi="宋体"/>
          <w:color w:val="auto"/>
          <w:szCs w:val="21"/>
          <w:highlight w:val="none"/>
        </w:rPr>
        <w:t>无论是按原合同要求，或是根据现场实际情况做出变更提供货物，供方都不能免除其对货物应承担的责任。</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二十二、合同解除和终止</w:t>
      </w:r>
    </w:p>
    <w:p>
      <w:pPr>
        <w:numPr>
          <w:ilvl w:val="0"/>
          <w:numId w:val="24"/>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合同自然终止</w:t>
      </w:r>
    </w:p>
    <w:p>
      <w:pPr>
        <w:spacing w:beforeLines="50" w:afterLines="50" w:line="400" w:lineRule="exact"/>
        <w:ind w:firstLine="360"/>
        <w:rPr>
          <w:rFonts w:ascii="宋体" w:hAnsi="宋体"/>
          <w:color w:val="auto"/>
          <w:szCs w:val="21"/>
          <w:highlight w:val="none"/>
        </w:rPr>
      </w:pPr>
      <w:r>
        <w:rPr>
          <w:rFonts w:hint="eastAsia" w:ascii="宋体" w:hAnsi="宋体"/>
          <w:color w:val="auto"/>
          <w:szCs w:val="21"/>
          <w:highlight w:val="none"/>
        </w:rPr>
        <w:t>供需双方各自完成合同规定的责任和义务，合同自然终止。</w:t>
      </w:r>
    </w:p>
    <w:p>
      <w:pPr>
        <w:numPr>
          <w:ilvl w:val="0"/>
          <w:numId w:val="24"/>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合同因需方便利而解除或终止。</w:t>
      </w:r>
    </w:p>
    <w:p>
      <w:pPr>
        <w:numPr>
          <w:ilvl w:val="1"/>
          <w:numId w:val="24"/>
        </w:numPr>
        <w:tabs>
          <w:tab w:val="clear" w:pos="720"/>
        </w:tabs>
        <w:spacing w:beforeLines="50" w:afterLines="50" w:line="400" w:lineRule="exact"/>
        <w:ind w:left="720" w:hanging="720"/>
        <w:rPr>
          <w:rFonts w:ascii="宋体" w:hAnsi="宋体"/>
          <w:color w:val="auto"/>
          <w:szCs w:val="21"/>
          <w:highlight w:val="none"/>
        </w:rPr>
      </w:pPr>
      <w:r>
        <w:rPr>
          <w:rFonts w:hint="eastAsia" w:ascii="宋体" w:hAnsi="宋体"/>
          <w:color w:val="auto"/>
          <w:szCs w:val="21"/>
          <w:highlight w:val="none"/>
        </w:rPr>
        <w:t>需方可在任何时候出于自身的便利向供方发出书面通知终止或部分终止合同，终止 通知应明确该终止合同是出于需方的便利，并明确合同终止的程度，以及终止的生效日期。</w:t>
      </w:r>
    </w:p>
    <w:p>
      <w:pPr>
        <w:numPr>
          <w:ilvl w:val="1"/>
          <w:numId w:val="24"/>
        </w:numPr>
        <w:tabs>
          <w:tab w:val="clear" w:pos="720"/>
        </w:tabs>
        <w:spacing w:beforeLines="50" w:afterLines="50" w:line="400" w:lineRule="exact"/>
        <w:ind w:left="720" w:hanging="720"/>
        <w:rPr>
          <w:color w:val="auto"/>
          <w:szCs w:val="21"/>
          <w:highlight w:val="none"/>
        </w:rPr>
      </w:pPr>
      <w:r>
        <w:rPr>
          <w:rFonts w:hint="eastAsia" w:ascii="宋体" w:hAnsi="宋体"/>
          <w:color w:val="auto"/>
          <w:szCs w:val="21"/>
          <w:highlight w:val="none"/>
        </w:rPr>
        <w:t>对供方在收到终止通知后30天内已完成并准备装运的货物，需方应按合同价格和 条款予以接受，对于剩下的货物，需方可：</w:t>
      </w:r>
    </w:p>
    <w:p>
      <w:pPr>
        <w:spacing w:beforeLines="50" w:afterLines="50" w:line="400" w:lineRule="exact"/>
        <w:rPr>
          <w:rFonts w:ascii="宋体" w:hAnsi="宋体"/>
          <w:color w:val="auto"/>
          <w:szCs w:val="21"/>
          <w:highlight w:val="none"/>
        </w:rPr>
      </w:pPr>
      <w:r>
        <w:rPr>
          <w:rFonts w:hAnsi="宋体"/>
          <w:color w:val="auto"/>
          <w:szCs w:val="21"/>
          <w:highlight w:val="none"/>
        </w:rPr>
        <w:t>⑴</w:t>
      </w:r>
      <w:r>
        <w:rPr>
          <w:rFonts w:hint="eastAsia" w:ascii="宋体" w:hAnsi="宋体"/>
          <w:color w:val="auto"/>
          <w:szCs w:val="21"/>
          <w:highlight w:val="none"/>
        </w:rPr>
        <w:t xml:space="preserve">     仅对部分货物按照原来合同价格和条款予以接受；或</w:t>
      </w:r>
    </w:p>
    <w:p>
      <w:pPr>
        <w:spacing w:beforeLines="50" w:afterLines="50" w:line="400" w:lineRule="exact"/>
        <w:ind w:left="735" w:hanging="735" w:hangingChars="350"/>
        <w:rPr>
          <w:rFonts w:ascii="宋体" w:hAnsi="宋体"/>
          <w:color w:val="auto"/>
          <w:szCs w:val="21"/>
          <w:highlight w:val="none"/>
        </w:rPr>
      </w:pPr>
      <w:r>
        <w:rPr>
          <w:rFonts w:hint="eastAsia" w:ascii="宋体" w:hAnsi="宋体"/>
          <w:color w:val="auto"/>
          <w:szCs w:val="21"/>
          <w:highlight w:val="none"/>
        </w:rPr>
        <w:t>⑵     取消对所剩下货物的采购，并按双方商定的金额向供方支付部分完成的货物和服务以及卖以前已采购的材料和部件的费用。</w:t>
      </w:r>
    </w:p>
    <w:p>
      <w:pPr>
        <w:numPr>
          <w:ilvl w:val="0"/>
          <w:numId w:val="24"/>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违约违规终止合同</w:t>
      </w:r>
    </w:p>
    <w:p>
      <w:pPr>
        <w:spacing w:beforeLines="50" w:afterLines="50" w:line="400" w:lineRule="exact"/>
        <w:ind w:firstLine="360"/>
        <w:rPr>
          <w:rFonts w:ascii="宋体" w:hAnsi="宋体"/>
          <w:color w:val="auto"/>
          <w:szCs w:val="21"/>
          <w:highlight w:val="none"/>
        </w:rPr>
      </w:pPr>
      <w:r>
        <w:rPr>
          <w:rFonts w:hint="eastAsia" w:ascii="宋体" w:hAnsi="宋体"/>
          <w:color w:val="auto"/>
          <w:szCs w:val="21"/>
          <w:highlight w:val="none"/>
        </w:rPr>
        <w:t>在需方对供方违约违规而采取的任何补救措施不受影响的情况下，需方可向供方发出书面的违约通知书，提出终止部分或全部合同；</w:t>
      </w:r>
    </w:p>
    <w:p>
      <w:pPr>
        <w:numPr>
          <w:ilvl w:val="1"/>
          <w:numId w:val="24"/>
        </w:numPr>
        <w:tabs>
          <w:tab w:val="clear" w:pos="720"/>
        </w:tabs>
        <w:spacing w:beforeLines="50" w:afterLines="50" w:line="400" w:lineRule="exact"/>
        <w:ind w:left="720" w:hanging="720"/>
        <w:rPr>
          <w:rFonts w:ascii="宋体" w:hAnsi="宋体"/>
          <w:color w:val="auto"/>
          <w:szCs w:val="21"/>
          <w:highlight w:val="none"/>
        </w:rPr>
      </w:pPr>
      <w:r>
        <w:rPr>
          <w:rFonts w:hint="eastAsia" w:ascii="宋体" w:hAnsi="宋体"/>
          <w:color w:val="auto"/>
          <w:szCs w:val="21"/>
          <w:highlight w:val="none"/>
        </w:rPr>
        <w:t>如果供方未能在合同规定的期限内提供货物；</w:t>
      </w:r>
    </w:p>
    <w:p>
      <w:pPr>
        <w:numPr>
          <w:ilvl w:val="1"/>
          <w:numId w:val="24"/>
        </w:numPr>
        <w:tabs>
          <w:tab w:val="clear" w:pos="720"/>
        </w:tabs>
        <w:spacing w:beforeLines="50" w:afterLines="50" w:line="400" w:lineRule="exact"/>
        <w:ind w:left="720" w:hanging="720"/>
        <w:rPr>
          <w:color w:val="auto"/>
          <w:szCs w:val="21"/>
          <w:highlight w:val="none"/>
        </w:rPr>
      </w:pPr>
      <w:r>
        <w:rPr>
          <w:rFonts w:hint="eastAsia" w:ascii="宋体" w:hAnsi="宋体"/>
          <w:color w:val="auto"/>
          <w:szCs w:val="21"/>
          <w:highlight w:val="none"/>
        </w:rPr>
        <w:t>如果供方未能履行合同规定的其它任何义务；</w:t>
      </w:r>
    </w:p>
    <w:p>
      <w:pPr>
        <w:numPr>
          <w:ilvl w:val="1"/>
          <w:numId w:val="24"/>
        </w:numPr>
        <w:tabs>
          <w:tab w:val="clear" w:pos="720"/>
        </w:tabs>
        <w:spacing w:beforeLines="50" w:afterLines="50" w:line="400" w:lineRule="exact"/>
        <w:ind w:left="720" w:hanging="720"/>
        <w:rPr>
          <w:color w:val="auto"/>
          <w:szCs w:val="21"/>
          <w:highlight w:val="none"/>
        </w:rPr>
      </w:pPr>
      <w:r>
        <w:rPr>
          <w:rFonts w:hint="eastAsia" w:ascii="宋体" w:hAnsi="宋体"/>
          <w:color w:val="auto"/>
          <w:szCs w:val="21"/>
          <w:highlight w:val="none"/>
        </w:rPr>
        <w:t>如果需方认为供方在本合同的投标竞争和实施过程中有违反有关政府采购的法律、法规、涉嫌用不正当手段影响需方采购过程，包括谎报或隐瞒事实、损害需方利益、干扰需方、评委、采购代理机构的招标、评标等行为。</w:t>
      </w:r>
    </w:p>
    <w:p>
      <w:pPr>
        <w:spacing w:beforeLines="50" w:afterLines="50" w:line="400" w:lineRule="exact"/>
        <w:ind w:left="735" w:leftChars="350"/>
        <w:rPr>
          <w:rFonts w:ascii="宋体" w:hAnsi="宋体"/>
          <w:color w:val="auto"/>
          <w:szCs w:val="21"/>
          <w:highlight w:val="none"/>
        </w:rPr>
      </w:pPr>
      <w:r>
        <w:rPr>
          <w:rFonts w:hint="eastAsia" w:ascii="宋体" w:hAnsi="宋体"/>
          <w:color w:val="auto"/>
          <w:szCs w:val="21"/>
          <w:highlight w:val="none"/>
        </w:rPr>
        <w:t>如果需方根据本条的规定，终止了全部或部分合同，需方可以依其认为适当的条件和方法购买与未交货物类似的货物或服务，供方应承担需方应购买类似货物或服务而产生的额外支出。但是，供方应继续执行合同中未终止的部分。</w:t>
      </w:r>
    </w:p>
    <w:p>
      <w:pPr>
        <w:numPr>
          <w:ilvl w:val="0"/>
          <w:numId w:val="24"/>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因供方破产而终止合同</w:t>
      </w:r>
    </w:p>
    <w:p>
      <w:pPr>
        <w:spacing w:beforeLines="50" w:afterLines="50" w:line="400" w:lineRule="exact"/>
        <w:ind w:firstLine="360"/>
        <w:rPr>
          <w:rFonts w:ascii="宋体" w:hAnsi="宋体"/>
          <w:color w:val="auto"/>
          <w:szCs w:val="21"/>
          <w:highlight w:val="none"/>
        </w:rPr>
      </w:pPr>
      <w:r>
        <w:rPr>
          <w:rFonts w:hint="eastAsia" w:ascii="宋体" w:hAnsi="宋体"/>
          <w:color w:val="auto"/>
          <w:szCs w:val="21"/>
          <w:highlight w:val="none"/>
        </w:rPr>
        <w:t>如果供方破产或无清偿能力，需方可在任何时候以书面形式通知供方，提出终止合同而不给供方补偿。该合同的终止将不损害或影响需方已经采取或将要采取的任何行动或补救措施的权力。</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二十三、争端的解决</w:t>
      </w:r>
    </w:p>
    <w:p>
      <w:pPr>
        <w:numPr>
          <w:ilvl w:val="0"/>
          <w:numId w:val="25"/>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凡与本合同有关的一切争议，供需双方应首先通过友好协商解决，如经协商后仍不能达成协议时，任何一方可以向法院提出诉讼。</w:t>
      </w:r>
    </w:p>
    <w:p>
      <w:pPr>
        <w:numPr>
          <w:ilvl w:val="0"/>
          <w:numId w:val="25"/>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本合同的诉讼管辖为需方住所地的人民法院。</w:t>
      </w:r>
    </w:p>
    <w:p>
      <w:pPr>
        <w:numPr>
          <w:ilvl w:val="0"/>
          <w:numId w:val="25"/>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在法院审理期间，除提交法院审理的事项外，合同其他部分仍应继续履行。</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二十四、适用法律</w:t>
      </w:r>
    </w:p>
    <w:p>
      <w:pPr>
        <w:numPr>
          <w:ilvl w:val="0"/>
          <w:numId w:val="26"/>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本合同按照中华人民共和国的法律进行解释。</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二十五、税和关税</w:t>
      </w:r>
    </w:p>
    <w:p>
      <w:pPr>
        <w:numPr>
          <w:ilvl w:val="0"/>
          <w:numId w:val="27"/>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根据中华人民共和国现行税法的有关规定执行。</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二十六、合同生效</w:t>
      </w:r>
    </w:p>
    <w:p>
      <w:pPr>
        <w:numPr>
          <w:ilvl w:val="0"/>
          <w:numId w:val="28"/>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合同经双方授权代表签字或盖章</w:t>
      </w:r>
      <w:r>
        <w:rPr>
          <w:rFonts w:ascii="宋体" w:hAnsi="宋体"/>
          <w:color w:val="auto"/>
          <w:szCs w:val="21"/>
          <w:highlight w:val="none"/>
        </w:rPr>
        <w:t>之</w:t>
      </w:r>
      <w:r>
        <w:rPr>
          <w:rFonts w:hint="eastAsia" w:ascii="宋体" w:hAnsi="宋体"/>
          <w:color w:val="auto"/>
          <w:szCs w:val="21"/>
          <w:highlight w:val="none"/>
        </w:rPr>
        <w:t>日起生效，合同签署日期以较迟签注的日期为准。</w:t>
      </w:r>
    </w:p>
    <w:p>
      <w:pPr>
        <w:spacing w:beforeLines="50" w:afterLines="50" w:line="400" w:lineRule="exact"/>
        <w:rPr>
          <w:rFonts w:ascii="宋体" w:hAnsi="宋体"/>
          <w:color w:val="auto"/>
          <w:sz w:val="24"/>
          <w:highlight w:val="none"/>
        </w:rPr>
      </w:pPr>
      <w:r>
        <w:rPr>
          <w:rFonts w:hint="eastAsia" w:ascii="宋体" w:hAnsi="宋体"/>
          <w:color w:val="auto"/>
          <w:sz w:val="24"/>
          <w:highlight w:val="none"/>
        </w:rPr>
        <w:t>二十七、其他</w:t>
      </w:r>
    </w:p>
    <w:p>
      <w:pPr>
        <w:numPr>
          <w:ilvl w:val="0"/>
          <w:numId w:val="29"/>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中标通知书、投标文件、招标文件及本合同之所有附件均为本合同的有效组成部分， 与本合同具有同样法律效力，解释的顺序以文件生成时间在后的为准。</w:t>
      </w:r>
    </w:p>
    <w:p>
      <w:pPr>
        <w:numPr>
          <w:ilvl w:val="0"/>
          <w:numId w:val="29"/>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在执行本合同的过程中，所有经供需双方签署确认的文件（包括会议纪要、补充协 议、合同修改书、往来信函等）均为本合同的有效组成部分，其生效日期为双方均签字盖章或确认之日期。</w:t>
      </w:r>
    </w:p>
    <w:p>
      <w:pPr>
        <w:numPr>
          <w:ilvl w:val="0"/>
          <w:numId w:val="29"/>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除需方事先以书面形式确认同意外，供方不得部分或全部转让其应履行的合同项下的义务。</w:t>
      </w:r>
    </w:p>
    <w:p>
      <w:pPr>
        <w:numPr>
          <w:ilvl w:val="0"/>
          <w:numId w:val="29"/>
        </w:numPr>
        <w:spacing w:beforeLines="50" w:afterLines="50" w:line="400" w:lineRule="exact"/>
        <w:ind w:left="360" w:hanging="360"/>
        <w:rPr>
          <w:rFonts w:ascii="宋体" w:hAnsi="宋体"/>
          <w:color w:val="auto"/>
          <w:szCs w:val="21"/>
          <w:highlight w:val="none"/>
        </w:rPr>
      </w:pPr>
      <w:r>
        <w:rPr>
          <w:rFonts w:hint="eastAsia" w:ascii="宋体" w:hAnsi="宋体"/>
          <w:color w:val="auto"/>
          <w:szCs w:val="21"/>
          <w:highlight w:val="none"/>
        </w:rPr>
        <w:t>本合同一式</w:t>
      </w:r>
      <w:r>
        <w:rPr>
          <w:rFonts w:hint="eastAsia" w:ascii="宋体" w:hAnsi="宋体"/>
          <w:color w:val="auto"/>
          <w:szCs w:val="21"/>
          <w:highlight w:val="none"/>
          <w:u w:val="single"/>
        </w:rPr>
        <w:t>四</w:t>
      </w:r>
      <w:r>
        <w:rPr>
          <w:rFonts w:hint="eastAsia" w:ascii="宋体" w:hAnsi="宋体"/>
          <w:color w:val="auto"/>
          <w:szCs w:val="21"/>
          <w:highlight w:val="none"/>
        </w:rPr>
        <w:t>份，双方各执</w:t>
      </w:r>
      <w:r>
        <w:rPr>
          <w:rFonts w:hint="eastAsia" w:ascii="宋体" w:hAnsi="宋体"/>
          <w:color w:val="auto"/>
          <w:szCs w:val="21"/>
          <w:highlight w:val="none"/>
          <w:u w:val="single"/>
        </w:rPr>
        <w:t>贰</w:t>
      </w:r>
      <w:r>
        <w:rPr>
          <w:rFonts w:hint="eastAsia" w:ascii="宋体" w:hAnsi="宋体"/>
          <w:color w:val="auto"/>
          <w:szCs w:val="21"/>
          <w:highlight w:val="none"/>
        </w:rPr>
        <w:t>份。</w:t>
      </w:r>
    </w:p>
    <w:p>
      <w:pPr>
        <w:spacing w:beforeLines="50" w:afterLines="50" w:line="400" w:lineRule="exact"/>
        <w:rPr>
          <w:rFonts w:ascii="宋体" w:hAnsi="宋体"/>
          <w:color w:val="auto"/>
          <w:szCs w:val="21"/>
          <w:highlight w:val="none"/>
        </w:rPr>
      </w:pPr>
    </w:p>
    <w:p>
      <w:pPr>
        <w:spacing w:beforeLines="50" w:afterLines="50" w:line="400" w:lineRule="exact"/>
        <w:ind w:left="5985" w:hanging="5985" w:hangingChars="2850"/>
        <w:rPr>
          <w:rFonts w:ascii="宋体" w:hAnsi="宋体"/>
          <w:color w:val="auto"/>
          <w:szCs w:val="21"/>
          <w:highlight w:val="none"/>
        </w:rPr>
      </w:pPr>
      <w:r>
        <w:rPr>
          <w:rFonts w:hint="eastAsia" w:ascii="宋体" w:hAnsi="宋体"/>
          <w:color w:val="auto"/>
          <w:szCs w:val="21"/>
          <w:highlight w:val="none"/>
        </w:rPr>
        <w:t xml:space="preserve">需方（盖章）：工业和信息化部电子第五研究所   供方： </w:t>
      </w:r>
    </w:p>
    <w:p>
      <w:pPr>
        <w:spacing w:beforeLines="50" w:afterLines="50" w:line="400" w:lineRule="exact"/>
        <w:rPr>
          <w:rFonts w:ascii="宋体" w:hAnsi="宋体"/>
          <w:color w:val="auto"/>
          <w:szCs w:val="21"/>
          <w:highlight w:val="none"/>
        </w:rPr>
      </w:pPr>
      <w:r>
        <w:rPr>
          <w:rFonts w:hint="eastAsia" w:ascii="宋体" w:hAnsi="宋体"/>
          <w:color w:val="auto"/>
          <w:szCs w:val="21"/>
          <w:highlight w:val="none"/>
        </w:rPr>
        <w:t>需方代表（签字）：                           供方代表（签字）：</w:t>
      </w:r>
    </w:p>
    <w:p>
      <w:pPr>
        <w:spacing w:beforeLines="50" w:afterLines="50" w:line="400" w:lineRule="exact"/>
        <w:rPr>
          <w:rFonts w:ascii="宋体" w:hAnsi="宋体"/>
          <w:color w:val="auto"/>
          <w:szCs w:val="21"/>
          <w:highlight w:val="none"/>
        </w:rPr>
      </w:pPr>
      <w:r>
        <w:rPr>
          <w:rFonts w:hint="eastAsia" w:ascii="宋体" w:hAnsi="宋体"/>
          <w:color w:val="auto"/>
          <w:szCs w:val="21"/>
          <w:highlight w:val="none"/>
        </w:rPr>
        <w:t>地  址：广州市天河区东莞庄110号             地  址：</w:t>
      </w:r>
    </w:p>
    <w:p>
      <w:pPr>
        <w:spacing w:beforeLines="50" w:afterLines="50" w:line="400" w:lineRule="exact"/>
        <w:jc w:val="left"/>
        <w:rPr>
          <w:rFonts w:ascii="宋体" w:hAnsi="宋体"/>
          <w:color w:val="auto"/>
          <w:szCs w:val="21"/>
          <w:highlight w:val="none"/>
        </w:rPr>
      </w:pPr>
      <w:r>
        <w:rPr>
          <w:rFonts w:hint="eastAsia" w:ascii="宋体" w:hAnsi="宋体"/>
          <w:color w:val="auto"/>
          <w:szCs w:val="21"/>
          <w:highlight w:val="none"/>
        </w:rPr>
        <w:t>邮政编码：510610                             邮政编码：                                    电话：                                       电话：                                 传真：                                       传真</w:t>
      </w:r>
    </w:p>
    <w:bookmarkEnd w:id="306"/>
    <w:bookmarkEnd w:id="307"/>
    <w:p>
      <w:pPr>
        <w:rPr>
          <w:rFonts w:hAnsi="宋体"/>
          <w:color w:val="auto"/>
          <w:highlight w:val="none"/>
        </w:rPr>
      </w:pPr>
      <w:r>
        <w:rPr>
          <w:rFonts w:hint="eastAsia" w:hAnsi="宋体"/>
          <w:color w:val="auto"/>
          <w:highlight w:val="none"/>
        </w:rPr>
        <w:br w:type="page"/>
      </w:r>
    </w:p>
    <w:p>
      <w:pPr>
        <w:pStyle w:val="3"/>
        <w:numPr>
          <w:ilvl w:val="0"/>
          <w:numId w:val="30"/>
        </w:numPr>
        <w:spacing w:before="0" w:after="0" w:line="240" w:lineRule="atLeast"/>
        <w:rPr>
          <w:rFonts w:hAnsi="宋体"/>
          <w:color w:val="auto"/>
          <w:kern w:val="2"/>
          <w:highlight w:val="none"/>
        </w:rPr>
      </w:pPr>
      <w:bookmarkStart w:id="308" w:name="_Toc4549"/>
      <w:r>
        <w:rPr>
          <w:rFonts w:hint="eastAsia" w:hAnsi="宋体"/>
          <w:color w:val="auto"/>
          <w:kern w:val="2"/>
          <w:highlight w:val="none"/>
        </w:rPr>
        <w:t>投标文件格式</w:t>
      </w:r>
      <w:bookmarkEnd w:id="308"/>
    </w:p>
    <w:p>
      <w:pPr>
        <w:spacing w:line="240" w:lineRule="atLeast"/>
        <w:ind w:left="900" w:hanging="900" w:hangingChars="375"/>
        <w:rPr>
          <w:rFonts w:asciiTheme="minorEastAsia" w:hAnsiTheme="minorEastAsia" w:eastAsiaTheme="minorEastAsia"/>
          <w:color w:val="auto"/>
          <w:sz w:val="24"/>
          <w:highlight w:val="none"/>
          <w:u w:val="wave"/>
        </w:rPr>
      </w:pPr>
    </w:p>
    <w:p>
      <w:pPr>
        <w:spacing w:line="360" w:lineRule="auto"/>
        <w:ind w:left="904" w:hanging="900" w:hangingChars="375"/>
        <w:rPr>
          <w:rFonts w:asciiTheme="minorEastAsia" w:hAnsiTheme="minorEastAsia" w:eastAsiaTheme="minorEastAsia"/>
          <w:b/>
          <w:bCs/>
          <w:color w:val="auto"/>
          <w:sz w:val="24"/>
          <w:highlight w:val="none"/>
          <w:u w:val="wave"/>
        </w:rPr>
      </w:pPr>
      <w:r>
        <w:rPr>
          <w:rFonts w:hint="eastAsia" w:asciiTheme="minorEastAsia" w:hAnsiTheme="minorEastAsia" w:eastAsiaTheme="minorEastAsia"/>
          <w:b/>
          <w:bCs/>
          <w:color w:val="auto"/>
          <w:sz w:val="24"/>
          <w:highlight w:val="none"/>
          <w:u w:val="wave"/>
        </w:rPr>
        <w:t>投标人</w:t>
      </w:r>
      <w:r>
        <w:rPr>
          <w:rFonts w:asciiTheme="minorEastAsia" w:hAnsiTheme="minorEastAsia" w:eastAsiaTheme="minorEastAsia"/>
          <w:b/>
          <w:bCs/>
          <w:color w:val="auto"/>
          <w:sz w:val="24"/>
          <w:highlight w:val="none"/>
          <w:u w:val="wave"/>
        </w:rPr>
        <w:t>按</w:t>
      </w:r>
      <w:r>
        <w:rPr>
          <w:rFonts w:hint="eastAsia" w:asciiTheme="minorEastAsia" w:hAnsiTheme="minorEastAsia" w:eastAsiaTheme="minorEastAsia"/>
          <w:b/>
          <w:bCs/>
          <w:color w:val="auto"/>
          <w:sz w:val="24"/>
          <w:highlight w:val="none"/>
          <w:u w:val="wave"/>
        </w:rPr>
        <w:t>招标文件《第一章 投标人须知》9.1条将</w:t>
      </w:r>
      <w:r>
        <w:rPr>
          <w:rFonts w:asciiTheme="minorEastAsia" w:hAnsiTheme="minorEastAsia" w:eastAsiaTheme="minorEastAsia"/>
          <w:b/>
          <w:bCs/>
          <w:color w:val="auto"/>
          <w:sz w:val="24"/>
          <w:highlight w:val="none"/>
          <w:u w:val="wave"/>
        </w:rPr>
        <w:t>投标文件</w:t>
      </w:r>
      <w:r>
        <w:rPr>
          <w:rFonts w:hint="eastAsia" w:asciiTheme="minorEastAsia" w:hAnsiTheme="minorEastAsia" w:eastAsiaTheme="minorEastAsia"/>
          <w:b/>
          <w:bCs/>
          <w:color w:val="auto"/>
          <w:sz w:val="24"/>
          <w:highlight w:val="none"/>
          <w:u w:val="wave"/>
        </w:rPr>
        <w:t>装订</w:t>
      </w:r>
      <w:r>
        <w:rPr>
          <w:rFonts w:asciiTheme="minorEastAsia" w:hAnsiTheme="minorEastAsia" w:eastAsiaTheme="minorEastAsia"/>
          <w:b/>
          <w:bCs/>
          <w:color w:val="auto"/>
          <w:sz w:val="24"/>
          <w:highlight w:val="none"/>
          <w:u w:val="wave"/>
        </w:rPr>
        <w:t>成</w:t>
      </w:r>
      <w:r>
        <w:rPr>
          <w:rFonts w:hint="eastAsia" w:asciiTheme="minorEastAsia" w:hAnsiTheme="minorEastAsia" w:eastAsiaTheme="minorEastAsia"/>
          <w:b/>
          <w:bCs/>
          <w:color w:val="auto"/>
          <w:sz w:val="24"/>
          <w:highlight w:val="none"/>
          <w:u w:val="wave"/>
        </w:rPr>
        <w:t>一</w:t>
      </w:r>
      <w:r>
        <w:rPr>
          <w:rFonts w:asciiTheme="minorEastAsia" w:hAnsiTheme="minorEastAsia" w:eastAsiaTheme="minorEastAsia"/>
          <w:b/>
          <w:bCs/>
          <w:color w:val="auto"/>
          <w:sz w:val="24"/>
          <w:highlight w:val="none"/>
          <w:u w:val="wave"/>
        </w:rPr>
        <w:t>册，</w:t>
      </w:r>
      <w:r>
        <w:rPr>
          <w:rFonts w:hint="eastAsia" w:asciiTheme="minorEastAsia" w:hAnsiTheme="minorEastAsia" w:eastAsiaTheme="minorEastAsia"/>
          <w:b/>
          <w:bCs/>
          <w:color w:val="auto"/>
          <w:sz w:val="24"/>
          <w:highlight w:val="none"/>
          <w:u w:val="wave"/>
        </w:rPr>
        <w:t>密封</w:t>
      </w:r>
      <w:r>
        <w:rPr>
          <w:rFonts w:asciiTheme="minorEastAsia" w:hAnsiTheme="minorEastAsia" w:eastAsiaTheme="minorEastAsia"/>
          <w:b/>
          <w:bCs/>
          <w:color w:val="auto"/>
          <w:sz w:val="24"/>
          <w:highlight w:val="none"/>
          <w:u w:val="wave"/>
        </w:rPr>
        <w:t>递交。投标人</w:t>
      </w:r>
      <w:r>
        <w:rPr>
          <w:rFonts w:hint="eastAsia" w:asciiTheme="minorEastAsia" w:hAnsiTheme="minorEastAsia" w:eastAsiaTheme="minorEastAsia"/>
          <w:b/>
          <w:bCs/>
          <w:color w:val="auto"/>
          <w:sz w:val="24"/>
          <w:highlight w:val="none"/>
          <w:u w:val="wave"/>
        </w:rPr>
        <w:t>应承担</w:t>
      </w:r>
      <w:r>
        <w:rPr>
          <w:rFonts w:asciiTheme="minorEastAsia" w:hAnsiTheme="minorEastAsia" w:eastAsiaTheme="minorEastAsia"/>
          <w:b/>
          <w:bCs/>
          <w:color w:val="auto"/>
          <w:sz w:val="24"/>
          <w:highlight w:val="none"/>
          <w:u w:val="wave"/>
        </w:rPr>
        <w:t>装订失误</w:t>
      </w:r>
      <w:r>
        <w:rPr>
          <w:rFonts w:hint="eastAsia" w:asciiTheme="minorEastAsia" w:hAnsiTheme="minorEastAsia" w:eastAsiaTheme="minorEastAsia"/>
          <w:b/>
          <w:bCs/>
          <w:color w:val="auto"/>
          <w:sz w:val="24"/>
          <w:highlight w:val="none"/>
          <w:u w:val="wave"/>
        </w:rPr>
        <w:t>产生任何</w:t>
      </w:r>
      <w:r>
        <w:rPr>
          <w:rFonts w:asciiTheme="minorEastAsia" w:hAnsiTheme="minorEastAsia" w:eastAsiaTheme="minorEastAsia"/>
          <w:b/>
          <w:bCs/>
          <w:color w:val="auto"/>
          <w:sz w:val="24"/>
          <w:highlight w:val="none"/>
          <w:u w:val="wave"/>
        </w:rPr>
        <w:t>后果</w:t>
      </w:r>
      <w:r>
        <w:rPr>
          <w:rFonts w:hint="eastAsia" w:asciiTheme="minorEastAsia" w:hAnsiTheme="minorEastAsia" w:eastAsiaTheme="minorEastAsia"/>
          <w:b/>
          <w:bCs/>
          <w:color w:val="auto"/>
          <w:sz w:val="24"/>
          <w:highlight w:val="none"/>
          <w:u w:val="wave"/>
        </w:rPr>
        <w:t>。</w:t>
      </w:r>
    </w:p>
    <w:p>
      <w:pPr>
        <w:tabs>
          <w:tab w:val="left" w:pos="5580"/>
        </w:tabs>
        <w:spacing w:line="240" w:lineRule="atLeast"/>
        <w:ind w:left="1079" w:leftChars="257" w:hanging="540"/>
        <w:rPr>
          <w:rFonts w:ascii="宋体" w:hAnsi="宋体"/>
          <w:color w:val="auto"/>
          <w:sz w:val="24"/>
          <w:highlight w:val="none"/>
        </w:rPr>
      </w:pPr>
    </w:p>
    <w:p>
      <w:pPr>
        <w:spacing w:line="240" w:lineRule="atLeast"/>
        <w:ind w:left="735" w:leftChars="350" w:firstLine="120" w:firstLineChars="50"/>
        <w:rPr>
          <w:rFonts w:ascii="宋体" w:hAnsi="宋体"/>
          <w:color w:val="auto"/>
          <w:sz w:val="24"/>
          <w:highlight w:val="none"/>
        </w:rPr>
      </w:pPr>
    </w:p>
    <w:p>
      <w:pPr>
        <w:pStyle w:val="4"/>
        <w:spacing w:before="0" w:line="240" w:lineRule="atLeast"/>
        <w:ind w:left="1079" w:leftChars="257" w:hanging="540"/>
        <w:rPr>
          <w:rFonts w:ascii="宋体" w:hAnsi="宋体" w:eastAsia="宋体"/>
          <w:color w:val="auto"/>
          <w:sz w:val="24"/>
          <w:highlight w:val="none"/>
        </w:rPr>
      </w:pPr>
      <w:bookmarkStart w:id="309" w:name="_Toc533275356"/>
      <w:bookmarkStart w:id="310" w:name="_Toc510950641"/>
      <w:bookmarkStart w:id="311" w:name="_Toc10871"/>
      <w:bookmarkStart w:id="312" w:name="_Toc495418081"/>
      <w:bookmarkStart w:id="313" w:name="_Toc494447296"/>
      <w:r>
        <w:rPr>
          <w:rFonts w:ascii="宋体" w:hAnsi="宋体" w:eastAsia="宋体"/>
          <w:color w:val="auto"/>
          <w:sz w:val="24"/>
          <w:highlight w:val="none"/>
        </w:rPr>
        <w:t>第一部分</w:t>
      </w:r>
      <w:r>
        <w:rPr>
          <w:rFonts w:hint="eastAsia" w:ascii="宋体" w:hAnsi="宋体" w:eastAsia="宋体"/>
          <w:color w:val="auto"/>
          <w:sz w:val="24"/>
          <w:highlight w:val="none"/>
        </w:rPr>
        <w:t xml:space="preserve"> 开标一览表及资格证明文件</w:t>
      </w:r>
      <w:bookmarkEnd w:id="309"/>
      <w:bookmarkEnd w:id="310"/>
      <w:bookmarkEnd w:id="311"/>
      <w:bookmarkEnd w:id="312"/>
      <w:bookmarkEnd w:id="313"/>
    </w:p>
    <w:p>
      <w:pPr>
        <w:spacing w:line="240" w:lineRule="atLeast"/>
        <w:ind w:left="708" w:hanging="708" w:hangingChars="295"/>
        <w:jc w:val="center"/>
        <w:rPr>
          <w:rFonts w:ascii="宋体" w:hAnsi="宋体"/>
          <w:color w:val="auto"/>
          <w:sz w:val="24"/>
          <w:highlight w:val="none"/>
        </w:rPr>
      </w:pPr>
    </w:p>
    <w:p>
      <w:pPr>
        <w:tabs>
          <w:tab w:val="left" w:pos="5580"/>
        </w:tabs>
        <w:spacing w:line="240" w:lineRule="atLeast"/>
        <w:ind w:firstLine="566" w:firstLineChars="236"/>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 、开标一览表（见</w:t>
      </w:r>
      <w:r>
        <w:rPr>
          <w:rFonts w:ascii="宋体" w:hAnsi="宋体"/>
          <w:color w:val="auto"/>
          <w:sz w:val="24"/>
          <w:highlight w:val="none"/>
        </w:rPr>
        <w:t>投标文件</w:t>
      </w:r>
      <w:r>
        <w:rPr>
          <w:rFonts w:hint="eastAsia" w:ascii="宋体" w:hAnsi="宋体"/>
          <w:color w:val="auto"/>
          <w:sz w:val="24"/>
          <w:highlight w:val="none"/>
        </w:rPr>
        <w:t>格式一）</w:t>
      </w:r>
      <w:r>
        <w:rPr>
          <w:rFonts w:ascii="宋体" w:hAnsi="宋体"/>
          <w:color w:val="auto"/>
          <w:sz w:val="24"/>
          <w:highlight w:val="none"/>
        </w:rPr>
        <w:t>;</w:t>
      </w:r>
    </w:p>
    <w:p>
      <w:pPr>
        <w:tabs>
          <w:tab w:val="left" w:pos="5580"/>
        </w:tabs>
        <w:spacing w:line="240" w:lineRule="atLeast"/>
        <w:ind w:left="1" w:firstLine="564" w:firstLineChars="235"/>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、法人或者非法人组织的营业执照等证明文件复印件（须加盖本单位公章）或自然人的身份证明复印件;</w:t>
      </w:r>
    </w:p>
    <w:p>
      <w:pPr>
        <w:tabs>
          <w:tab w:val="left" w:pos="5580"/>
        </w:tabs>
        <w:spacing w:line="240" w:lineRule="atLeast"/>
        <w:ind w:left="1" w:firstLine="564" w:firstLineChars="235"/>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、法定代表人授权书（见</w:t>
      </w:r>
      <w:r>
        <w:rPr>
          <w:rFonts w:ascii="宋体" w:hAnsi="宋体"/>
          <w:color w:val="auto"/>
          <w:sz w:val="24"/>
          <w:highlight w:val="none"/>
        </w:rPr>
        <w:t>投标文件</w:t>
      </w:r>
      <w:r>
        <w:rPr>
          <w:rFonts w:hint="eastAsia" w:ascii="宋体" w:hAnsi="宋体"/>
          <w:color w:val="auto"/>
          <w:sz w:val="24"/>
          <w:highlight w:val="none"/>
        </w:rPr>
        <w:t>格式二，自然人投标的无需提供）;</w:t>
      </w:r>
    </w:p>
    <w:p>
      <w:pPr>
        <w:tabs>
          <w:tab w:val="left" w:pos="5580"/>
        </w:tabs>
        <w:spacing w:line="240" w:lineRule="atLeast"/>
        <w:ind w:left="1" w:firstLine="564" w:firstLineChars="235"/>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投标人</w:t>
      </w:r>
      <w:r>
        <w:rPr>
          <w:rFonts w:hint="eastAsia" w:ascii="宋体" w:hAnsi="宋体"/>
          <w:color w:val="auto"/>
          <w:sz w:val="24"/>
          <w:highlight w:val="none"/>
        </w:rPr>
        <w:t>具有良好</w:t>
      </w:r>
      <w:r>
        <w:rPr>
          <w:rFonts w:ascii="宋体" w:hAnsi="宋体"/>
          <w:color w:val="auto"/>
          <w:sz w:val="24"/>
          <w:highlight w:val="none"/>
        </w:rPr>
        <w:t>的商业信誉和健全的财务会计制度</w:t>
      </w:r>
      <w:r>
        <w:rPr>
          <w:rFonts w:hint="eastAsia" w:ascii="宋体" w:hAnsi="宋体"/>
          <w:color w:val="auto"/>
          <w:sz w:val="24"/>
          <w:highlight w:val="none"/>
        </w:rPr>
        <w:t>的证明</w:t>
      </w:r>
      <w:r>
        <w:rPr>
          <w:rFonts w:ascii="宋体" w:hAnsi="宋体"/>
          <w:color w:val="auto"/>
          <w:sz w:val="24"/>
          <w:highlight w:val="none"/>
        </w:rPr>
        <w:t>文件</w:t>
      </w:r>
      <w:r>
        <w:rPr>
          <w:rFonts w:hint="eastAsia" w:ascii="宋体" w:hAnsi="宋体"/>
          <w:color w:val="auto"/>
          <w:sz w:val="24"/>
          <w:highlight w:val="none"/>
        </w:rPr>
        <w:t>；</w:t>
      </w:r>
    </w:p>
    <w:p>
      <w:pPr>
        <w:tabs>
          <w:tab w:val="left" w:pos="5580"/>
        </w:tabs>
        <w:spacing w:line="240" w:lineRule="atLeast"/>
        <w:ind w:left="1" w:firstLine="564" w:firstLineChars="235"/>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、投标保证金缴纳凭证复印件或投标担保函;</w:t>
      </w:r>
    </w:p>
    <w:p>
      <w:pPr>
        <w:tabs>
          <w:tab w:val="left" w:pos="5580"/>
        </w:tabs>
        <w:spacing w:line="240" w:lineRule="atLeast"/>
        <w:ind w:left="1" w:firstLine="564" w:firstLineChars="235"/>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、符合投标人须知资料表要求依法缴纳税收和社会保障资金的记录;</w:t>
      </w:r>
    </w:p>
    <w:p>
      <w:pPr>
        <w:tabs>
          <w:tab w:val="left" w:pos="5580"/>
        </w:tabs>
        <w:spacing w:line="240" w:lineRule="atLeast"/>
        <w:ind w:left="1" w:firstLine="564" w:firstLineChars="235"/>
        <w:rPr>
          <w:rFonts w:ascii="宋体" w:hAnsi="宋体"/>
          <w:color w:val="auto"/>
          <w:sz w:val="24"/>
          <w:highlight w:val="none"/>
        </w:rPr>
      </w:pPr>
      <w:r>
        <w:rPr>
          <w:rFonts w:hint="eastAsia" w:hAnsi="宋体" w:cs="Tahoma"/>
          <w:color w:val="auto"/>
          <w:sz w:val="24"/>
          <w:szCs w:val="21"/>
          <w:highlight w:val="none"/>
        </w:rPr>
        <w:t>7、</w:t>
      </w:r>
      <w:r>
        <w:rPr>
          <w:rFonts w:hint="eastAsia" w:ascii="宋体" w:hAnsi="宋体" w:cs="Tahoma"/>
          <w:color w:val="auto"/>
          <w:sz w:val="24"/>
          <w:szCs w:val="21"/>
          <w:highlight w:val="none"/>
        </w:rPr>
        <w:t>履行合同所必须的设备和专业技术能力的证明材料</w:t>
      </w:r>
      <w:r>
        <w:rPr>
          <w:rFonts w:hint="eastAsia" w:asciiTheme="minorEastAsia" w:hAnsiTheme="minorEastAsia" w:eastAsiaTheme="minorEastAsia"/>
          <w:color w:val="auto"/>
          <w:sz w:val="24"/>
          <w:highlight w:val="none"/>
        </w:rPr>
        <w:t>;</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8、参加政府采购活动前3年内在经营活动中没有重大违法记录的书面声明;</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9、投标人须知资料表要求的其他资格证明文件;</w:t>
      </w:r>
    </w:p>
    <w:p>
      <w:pPr>
        <w:tabs>
          <w:tab w:val="left" w:pos="5580"/>
        </w:tabs>
        <w:spacing w:line="240" w:lineRule="atLeast"/>
        <w:ind w:left="1" w:firstLine="564" w:firstLineChars="235"/>
        <w:rPr>
          <w:rFonts w:ascii="宋体" w:hAnsi="宋体"/>
          <w:color w:val="auto"/>
          <w:sz w:val="24"/>
          <w:highlight w:val="none"/>
          <w:u w:val="single"/>
        </w:rPr>
      </w:pPr>
      <w:r>
        <w:rPr>
          <w:rFonts w:hint="eastAsia" w:ascii="宋体" w:hAnsi="宋体"/>
          <w:color w:val="auto"/>
          <w:sz w:val="24"/>
          <w:highlight w:val="none"/>
        </w:rPr>
        <w:t>10、投标人所</w:t>
      </w:r>
      <w:r>
        <w:rPr>
          <w:rFonts w:ascii="宋体" w:hAnsi="宋体"/>
          <w:color w:val="auto"/>
          <w:sz w:val="24"/>
          <w:highlight w:val="none"/>
        </w:rPr>
        <w:t>投产品为进口产品提供</w:t>
      </w:r>
      <w:r>
        <w:rPr>
          <w:rFonts w:hint="eastAsia" w:ascii="宋体" w:hAnsi="宋体"/>
          <w:color w:val="auto"/>
          <w:sz w:val="24"/>
          <w:highlight w:val="none"/>
        </w:rPr>
        <w:t>以下</w:t>
      </w:r>
      <w:r>
        <w:rPr>
          <w:rFonts w:ascii="宋体" w:hAnsi="宋体"/>
          <w:color w:val="auto"/>
          <w:sz w:val="24"/>
          <w:highlight w:val="none"/>
        </w:rPr>
        <w:t>证明文件</w:t>
      </w:r>
      <w:r>
        <w:rPr>
          <w:rFonts w:hint="eastAsia" w:ascii="宋体" w:hAnsi="宋体"/>
          <w:color w:val="auto"/>
          <w:sz w:val="24"/>
          <w:highlight w:val="none"/>
        </w:rPr>
        <w:t>。</w:t>
      </w:r>
      <w:r>
        <w:rPr>
          <w:rFonts w:hint="eastAsia" w:ascii="宋体" w:hAnsi="宋体"/>
          <w:color w:val="auto"/>
          <w:sz w:val="24"/>
          <w:highlight w:val="none"/>
          <w:u w:val="single"/>
        </w:rPr>
        <w:t>如投标人须知资料表中规定</w:t>
      </w:r>
      <w:r>
        <w:rPr>
          <w:rFonts w:ascii="宋体" w:hAnsi="宋体"/>
          <w:color w:val="auto"/>
          <w:sz w:val="24"/>
          <w:highlight w:val="none"/>
          <w:u w:val="single"/>
        </w:rPr>
        <w:t>其</w:t>
      </w:r>
      <w:r>
        <w:rPr>
          <w:rFonts w:hint="eastAsia" w:ascii="宋体" w:hAnsi="宋体"/>
          <w:color w:val="auto"/>
          <w:sz w:val="24"/>
          <w:highlight w:val="none"/>
          <w:u w:val="single"/>
        </w:rPr>
        <w:t>不</w:t>
      </w:r>
      <w:r>
        <w:rPr>
          <w:rFonts w:ascii="宋体" w:hAnsi="宋体"/>
          <w:color w:val="auto"/>
          <w:sz w:val="24"/>
          <w:highlight w:val="none"/>
          <w:u w:val="single"/>
        </w:rPr>
        <w:t>作为资格要求，请勿装订在投标文件第一部分。</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w:t>
      </w:r>
      <w:r>
        <w:rPr>
          <w:rFonts w:hint="eastAsia" w:ascii="宋体" w:hAnsi="宋体"/>
          <w:color w:val="auto"/>
          <w:sz w:val="24"/>
          <w:highlight w:val="none"/>
        </w:rPr>
        <w:t>1、制造厂家的授权书（见</w:t>
      </w:r>
      <w:r>
        <w:rPr>
          <w:rFonts w:ascii="宋体" w:hAnsi="宋体"/>
          <w:color w:val="auto"/>
          <w:sz w:val="24"/>
          <w:highlight w:val="none"/>
        </w:rPr>
        <w:t>投标文件</w:t>
      </w:r>
      <w:r>
        <w:rPr>
          <w:rFonts w:hint="eastAsia" w:ascii="宋体" w:hAnsi="宋体"/>
          <w:color w:val="auto"/>
          <w:sz w:val="24"/>
          <w:highlight w:val="none"/>
        </w:rPr>
        <w:t>格式四）；</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-2</w:t>
      </w:r>
      <w:r>
        <w:rPr>
          <w:rFonts w:hint="eastAsia" w:ascii="宋体" w:hAnsi="宋体"/>
          <w:color w:val="auto"/>
          <w:sz w:val="24"/>
          <w:highlight w:val="none"/>
        </w:rPr>
        <w:t>、经销商（作为代理）的资格声明（见</w:t>
      </w:r>
      <w:r>
        <w:rPr>
          <w:rFonts w:ascii="宋体" w:hAnsi="宋体"/>
          <w:color w:val="auto"/>
          <w:sz w:val="24"/>
          <w:highlight w:val="none"/>
        </w:rPr>
        <w:t>投标文件</w:t>
      </w:r>
      <w:r>
        <w:rPr>
          <w:rFonts w:hint="eastAsia" w:ascii="宋体" w:hAnsi="宋体"/>
          <w:color w:val="auto"/>
          <w:sz w:val="24"/>
          <w:highlight w:val="none"/>
        </w:rPr>
        <w:t>格式五）。</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11、自查表</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11-1 资格性自查表</w:t>
      </w:r>
    </w:p>
    <w:p>
      <w:pPr>
        <w:tabs>
          <w:tab w:val="left" w:pos="5580"/>
        </w:tabs>
        <w:spacing w:line="240" w:lineRule="atLeast"/>
        <w:ind w:left="1" w:firstLine="564" w:firstLineChars="235"/>
        <w:rPr>
          <w:rFonts w:ascii="宋体" w:hAnsi="宋体"/>
          <w:color w:val="auto"/>
          <w:sz w:val="24"/>
          <w:highlight w:val="none"/>
        </w:rPr>
      </w:pPr>
      <w:r>
        <w:rPr>
          <w:rFonts w:hint="eastAsia" w:ascii="宋体" w:hAnsi="宋体"/>
          <w:color w:val="auto"/>
          <w:sz w:val="24"/>
          <w:highlight w:val="none"/>
        </w:rPr>
        <w:t>11-2 符合性自查表</w:t>
      </w: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ind w:left="1" w:firstLine="564" w:firstLineChars="235"/>
        <w:rPr>
          <w:rFonts w:ascii="宋体" w:hAnsi="宋体"/>
          <w:color w:val="auto"/>
          <w:sz w:val="24"/>
          <w:highlight w:val="none"/>
        </w:rPr>
      </w:pPr>
    </w:p>
    <w:p>
      <w:pPr>
        <w:tabs>
          <w:tab w:val="left" w:pos="5580"/>
        </w:tabs>
        <w:spacing w:line="240" w:lineRule="atLeast"/>
        <w:rPr>
          <w:rFonts w:ascii="宋体" w:hAnsi="宋体"/>
          <w:color w:val="auto"/>
          <w:sz w:val="24"/>
          <w:highlight w:val="none"/>
        </w:rPr>
      </w:pPr>
    </w:p>
    <w:p>
      <w:pPr>
        <w:pStyle w:val="4"/>
        <w:spacing w:before="0" w:line="240" w:lineRule="atLeast"/>
        <w:rPr>
          <w:rFonts w:ascii="宋体" w:hAnsi="宋体" w:eastAsia="宋体"/>
          <w:color w:val="auto"/>
          <w:sz w:val="24"/>
          <w:highlight w:val="none"/>
        </w:rPr>
      </w:pPr>
      <w:bookmarkStart w:id="314" w:name="_Toc533275357"/>
      <w:bookmarkStart w:id="315" w:name="_Toc494447297"/>
      <w:bookmarkStart w:id="316" w:name="_Toc510950642"/>
      <w:bookmarkStart w:id="317" w:name="_Toc495418082"/>
      <w:bookmarkStart w:id="318" w:name="_Toc18176"/>
      <w:r>
        <w:rPr>
          <w:rFonts w:ascii="宋体" w:hAnsi="宋体" w:eastAsia="宋体"/>
          <w:color w:val="auto"/>
          <w:sz w:val="24"/>
          <w:highlight w:val="none"/>
        </w:rPr>
        <w:t>1</w:t>
      </w:r>
      <w:r>
        <w:rPr>
          <w:rFonts w:hint="eastAsia" w:ascii="宋体" w:hAnsi="宋体" w:eastAsia="宋体"/>
          <w:color w:val="auto"/>
          <w:sz w:val="24"/>
          <w:highlight w:val="none"/>
        </w:rPr>
        <w:t xml:space="preserve">  开标一览表（</w:t>
      </w:r>
      <w:r>
        <w:rPr>
          <w:rFonts w:ascii="宋体" w:hAnsi="宋体" w:eastAsia="宋体"/>
          <w:color w:val="auto"/>
          <w:sz w:val="24"/>
          <w:highlight w:val="none"/>
        </w:rPr>
        <w:t>投标文件</w:t>
      </w:r>
      <w:r>
        <w:rPr>
          <w:rFonts w:hint="eastAsia" w:ascii="宋体" w:hAnsi="宋体" w:eastAsia="宋体"/>
          <w:color w:val="auto"/>
          <w:sz w:val="24"/>
          <w:highlight w:val="none"/>
        </w:rPr>
        <w:t>格式一）</w:t>
      </w:r>
      <w:bookmarkEnd w:id="314"/>
      <w:bookmarkEnd w:id="315"/>
      <w:bookmarkEnd w:id="316"/>
      <w:bookmarkEnd w:id="317"/>
      <w:bookmarkEnd w:id="318"/>
    </w:p>
    <w:p>
      <w:pPr>
        <w:pStyle w:val="22"/>
        <w:tabs>
          <w:tab w:val="left" w:pos="5580"/>
        </w:tabs>
        <w:spacing w:line="240" w:lineRule="atLeast"/>
        <w:ind w:left="268" w:leftChars="128"/>
        <w:rPr>
          <w:rFonts w:hAnsi="宋体"/>
          <w:color w:val="auto"/>
          <w:sz w:val="24"/>
          <w:highlight w:val="none"/>
        </w:rPr>
      </w:pPr>
    </w:p>
    <w:p>
      <w:pPr>
        <w:pStyle w:val="22"/>
        <w:tabs>
          <w:tab w:val="left" w:pos="5580"/>
        </w:tabs>
        <w:spacing w:line="240" w:lineRule="atLeast"/>
        <w:ind w:left="268" w:leftChars="128"/>
        <w:rPr>
          <w:rFonts w:hAnsi="宋体"/>
          <w:color w:val="auto"/>
          <w:sz w:val="24"/>
          <w:szCs w:val="24"/>
          <w:highlight w:val="none"/>
        </w:rPr>
      </w:pPr>
    </w:p>
    <w:p>
      <w:pPr>
        <w:pStyle w:val="5"/>
        <w:tabs>
          <w:tab w:val="left" w:pos="5580"/>
        </w:tabs>
        <w:spacing w:line="240" w:lineRule="atLeast"/>
        <w:ind w:left="268" w:leftChars="128" w:firstLine="0"/>
        <w:jc w:val="center"/>
        <w:rPr>
          <w:rFonts w:hAnsi="宋体"/>
          <w:b/>
          <w:color w:val="auto"/>
          <w:highlight w:val="none"/>
        </w:rPr>
      </w:pPr>
      <w:bookmarkStart w:id="319" w:name="_Hlt520356241"/>
      <w:bookmarkEnd w:id="319"/>
      <w:bookmarkStart w:id="320" w:name="_Toc494296984"/>
      <w:bookmarkStart w:id="321" w:name="_Ref467988698"/>
      <w:bookmarkStart w:id="322" w:name="_Toc480942349"/>
      <w:bookmarkStart w:id="323" w:name="_Toc520356217"/>
      <w:bookmarkStart w:id="324" w:name="_Toc216582813"/>
      <w:r>
        <w:rPr>
          <w:rFonts w:hint="eastAsia" w:hAnsi="宋体"/>
          <w:b/>
          <w:color w:val="auto"/>
          <w:highlight w:val="none"/>
        </w:rPr>
        <w:t>开标一览表</w:t>
      </w:r>
      <w:bookmarkEnd w:id="320"/>
      <w:r>
        <w:rPr>
          <w:rFonts w:hint="eastAsia" w:hAnsi="宋体"/>
          <w:b/>
          <w:color w:val="auto"/>
          <w:highlight w:val="none"/>
        </w:rPr>
        <w:cr/>
      </w:r>
    </w:p>
    <w:p>
      <w:pPr>
        <w:pStyle w:val="5"/>
        <w:tabs>
          <w:tab w:val="left" w:pos="5580"/>
        </w:tabs>
        <w:spacing w:line="240" w:lineRule="atLeast"/>
        <w:ind w:left="1079" w:leftChars="257" w:hanging="540"/>
        <w:rPr>
          <w:rFonts w:hAnsi="宋体"/>
          <w:color w:val="auto"/>
          <w:highlight w:val="none"/>
        </w:rPr>
      </w:pPr>
    </w:p>
    <w:p>
      <w:pPr>
        <w:tabs>
          <w:tab w:val="left" w:pos="1800"/>
          <w:tab w:val="left" w:pos="5580"/>
        </w:tabs>
        <w:spacing w:line="240" w:lineRule="atLeast"/>
        <w:ind w:left="1079" w:leftChars="257" w:right="-867" w:rightChars="-413" w:hanging="540"/>
        <w:rPr>
          <w:rFonts w:ascii="宋体" w:hAnsi="宋体"/>
          <w:color w:val="auto"/>
          <w:sz w:val="24"/>
          <w:highlight w:val="none"/>
        </w:rPr>
      </w:pPr>
      <w:r>
        <w:rPr>
          <w:rFonts w:hint="eastAsia" w:ascii="宋体" w:hAnsi="宋体"/>
          <w:color w:val="auto"/>
          <w:sz w:val="24"/>
          <w:highlight w:val="none"/>
        </w:rPr>
        <w:t xml:space="preserve">项目名称：                招标编号：                包号：         </w:t>
      </w:r>
    </w:p>
    <w:p>
      <w:pPr>
        <w:tabs>
          <w:tab w:val="left" w:pos="1800"/>
          <w:tab w:val="left" w:pos="5580"/>
        </w:tabs>
        <w:spacing w:line="240" w:lineRule="atLeast"/>
        <w:ind w:left="1079" w:leftChars="257" w:right="-867" w:rightChars="-413" w:hanging="540"/>
        <w:rPr>
          <w:rFonts w:ascii="宋体" w:hAnsi="宋体"/>
          <w:color w:val="auto"/>
          <w:sz w:val="24"/>
          <w:highlight w:val="none"/>
        </w:rPr>
      </w:pPr>
      <w:r>
        <w:rPr>
          <w:rFonts w:hint="eastAsia" w:ascii="宋体" w:hAnsi="宋体"/>
          <w:color w:val="auto"/>
          <w:sz w:val="24"/>
          <w:highlight w:val="none"/>
        </w:rPr>
        <w:t>报价单位：人民币</w:t>
      </w:r>
      <w:r>
        <w:rPr>
          <w:rFonts w:hint="eastAsia" w:ascii="宋体" w:hAnsi="宋体"/>
          <w:b/>
          <w:color w:val="auto"/>
          <w:sz w:val="24"/>
          <w:highlight w:val="none"/>
        </w:rPr>
        <w:t>万元</w:t>
      </w:r>
    </w:p>
    <w:tbl>
      <w:tblPr>
        <w:tblStyle w:val="44"/>
        <w:tblW w:w="9155" w:type="dxa"/>
        <w:tblInd w:w="-56"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宋体" w:hAnsi="宋体"/>
                <w:color w:val="auto"/>
                <w:sz w:val="24"/>
                <w:highlight w:val="none"/>
              </w:rPr>
            </w:pPr>
            <w:r>
              <w:rPr>
                <w:rFonts w:hint="eastAsia" w:ascii="宋体" w:hAnsi="宋体"/>
                <w:color w:val="auto"/>
                <w:sz w:val="24"/>
                <w:highlight w:val="none"/>
              </w:rPr>
              <w:t>货物名称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highlight w:val="none"/>
              </w:rPr>
            </w:pPr>
            <w:r>
              <w:rPr>
                <w:rFonts w:hint="eastAsia" w:ascii="宋体" w:hAnsi="宋体"/>
                <w:color w:val="auto"/>
                <w:sz w:val="24"/>
                <w:highlight w:val="none"/>
              </w:rPr>
              <w:t>投标总价</w:t>
            </w:r>
          </w:p>
          <w:p>
            <w:pPr>
              <w:tabs>
                <w:tab w:val="left" w:pos="5580"/>
              </w:tabs>
              <w:spacing w:line="240" w:lineRule="atLeast"/>
              <w:jc w:val="center"/>
              <w:rPr>
                <w:rFonts w:ascii="宋体" w:hAnsi="宋体"/>
                <w:color w:val="auto"/>
                <w:sz w:val="24"/>
                <w:highlight w:val="none"/>
              </w:rPr>
            </w:pPr>
            <w:r>
              <w:rPr>
                <w:rFonts w:hint="eastAsia" w:ascii="宋体" w:hAnsi="宋体"/>
                <w:color w:val="auto"/>
                <w:sz w:val="24"/>
                <w:highlight w:val="none"/>
              </w:rPr>
              <w:t>（含税）</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highlight w:val="none"/>
              </w:rPr>
            </w:pPr>
            <w:r>
              <w:rPr>
                <w:rFonts w:hint="eastAsia" w:ascii="宋体" w:hAnsi="宋体"/>
                <w:color w:val="auto"/>
                <w:sz w:val="24"/>
                <w:highlight w:val="none"/>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highlight w:val="none"/>
              </w:rPr>
            </w:pPr>
            <w:r>
              <w:rPr>
                <w:rFonts w:hint="eastAsia" w:ascii="宋体" w:hAnsi="宋体"/>
                <w:color w:val="auto"/>
                <w:sz w:val="24"/>
                <w:highlight w:val="none"/>
              </w:rPr>
              <w:t>交货期</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宋体" w:hAnsi="宋体"/>
                <w:color w:val="auto"/>
                <w:sz w:val="24"/>
                <w:highlight w:val="none"/>
              </w:rPr>
            </w:pPr>
            <w:r>
              <w:rPr>
                <w:rFonts w:hint="eastAsia" w:ascii="宋体" w:hAnsi="宋体"/>
                <w:color w:val="auto"/>
                <w:sz w:val="24"/>
                <w:highlight w:val="none"/>
              </w:rPr>
              <w:t>交货地点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宋体" w:hAnsi="宋体"/>
                <w:color w:val="auto"/>
                <w:sz w:val="24"/>
                <w:highlight w:val="none"/>
              </w:rPr>
            </w:pPr>
            <w:r>
              <w:rPr>
                <w:rFonts w:hint="eastAsia" w:ascii="宋体" w:hAnsi="宋体"/>
                <w:color w:val="auto"/>
                <w:sz w:val="24"/>
                <w:highlight w:val="none"/>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jc w:val="center"/>
              <w:rPr>
                <w:rFonts w:ascii="宋体" w:hAnsi="宋体"/>
                <w:color w:val="auto"/>
                <w:sz w:val="24"/>
                <w:highlight w:val="none"/>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宋体" w:hAnsi="宋体"/>
                <w:color w:val="auto"/>
                <w:sz w:val="24"/>
                <w:highlight w:val="none"/>
              </w:rPr>
            </w:pPr>
            <w:r>
              <w:rPr>
                <w:rFonts w:hint="eastAsia" w:ascii="宋体" w:hAnsi="宋体"/>
                <w:color w:val="auto"/>
                <w:sz w:val="24"/>
                <w:highlight w:val="none"/>
              </w:rPr>
              <w:t xml:space="preserve">大写： </w:t>
            </w:r>
          </w:p>
          <w:p>
            <w:pPr>
              <w:tabs>
                <w:tab w:val="left" w:pos="5580"/>
              </w:tabs>
              <w:spacing w:line="240" w:lineRule="atLeast"/>
              <w:jc w:val="left"/>
              <w:rPr>
                <w:rFonts w:ascii="宋体" w:hAnsi="宋体"/>
                <w:color w:val="auto"/>
                <w:sz w:val="24"/>
                <w:highlight w:val="none"/>
              </w:rPr>
            </w:pPr>
            <w:r>
              <w:rPr>
                <w:rFonts w:hint="eastAsia" w:ascii="宋体" w:hAnsi="宋体"/>
                <w:color w:val="auto"/>
                <w:sz w:val="24"/>
                <w:highlight w:val="none"/>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olor w:val="auto"/>
                <w:sz w:val="24"/>
                <w:highlight w:val="none"/>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olor w:val="auto"/>
                <w:sz w:val="24"/>
                <w:highlight w:val="none"/>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olor w:val="auto"/>
                <w:sz w:val="24"/>
                <w:highlight w:val="none"/>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ascii="宋体" w:hAnsi="宋体"/>
                <w:color w:val="auto"/>
                <w:sz w:val="24"/>
                <w:highlight w:val="none"/>
              </w:rPr>
            </w:pPr>
          </w:p>
        </w:tc>
      </w:tr>
    </w:tbl>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u w:val="singl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投标人名称（盖章）：</w:t>
      </w:r>
    </w:p>
    <w:p>
      <w:pPr>
        <w:pStyle w:val="22"/>
        <w:tabs>
          <w:tab w:val="left" w:pos="5580"/>
        </w:tabs>
        <w:spacing w:line="240" w:lineRule="atLeast"/>
        <w:ind w:left="1079" w:leftChars="257" w:hanging="540"/>
        <w:rPr>
          <w:rFonts w:hAnsi="宋体"/>
          <w:color w:val="auto"/>
          <w:sz w:val="24"/>
          <w:highlight w:val="none"/>
          <w:u w:val="single"/>
        </w:rPr>
      </w:pPr>
      <w:r>
        <w:rPr>
          <w:rFonts w:hint="eastAsia" w:hAnsi="宋体"/>
          <w:color w:val="auto"/>
          <w:sz w:val="24"/>
          <w:highlight w:val="none"/>
        </w:rPr>
        <w:t>投标人授权代表(签字):</w:t>
      </w:r>
      <w:r>
        <w:rPr>
          <w:rFonts w:hAnsi="宋体"/>
          <w:color w:val="auto"/>
          <w:sz w:val="24"/>
          <w:highlight w:val="none"/>
          <w:u w:val="single"/>
        </w:rPr>
        <w:tab/>
      </w: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注:1、此表应按投标人须知的规定装订密封。</w:t>
      </w:r>
    </w:p>
    <w:p>
      <w:pPr>
        <w:pStyle w:val="22"/>
        <w:tabs>
          <w:tab w:val="left" w:pos="5580"/>
        </w:tabs>
        <w:spacing w:line="240" w:lineRule="atLeast"/>
        <w:ind w:left="1078" w:leftChars="428" w:hanging="180" w:hangingChars="75"/>
        <w:rPr>
          <w:rFonts w:hAnsi="宋体"/>
          <w:color w:val="auto"/>
          <w:sz w:val="24"/>
          <w:highlight w:val="none"/>
        </w:rPr>
      </w:pPr>
      <w:r>
        <w:rPr>
          <w:rFonts w:hint="eastAsia" w:hAnsi="宋体"/>
          <w:color w:val="auto"/>
          <w:sz w:val="24"/>
          <w:highlight w:val="none"/>
        </w:rPr>
        <w:t>2、此表中，每包的投标总价应和投标分项报价表（</w:t>
      </w:r>
      <w:r>
        <w:rPr>
          <w:rFonts w:hAnsi="宋体"/>
          <w:color w:val="auto"/>
          <w:sz w:val="24"/>
          <w:highlight w:val="none"/>
        </w:rPr>
        <w:t>投标文件</w:t>
      </w:r>
      <w:r>
        <w:rPr>
          <w:rFonts w:hint="eastAsia" w:hAnsi="宋体"/>
          <w:color w:val="auto"/>
          <w:sz w:val="24"/>
          <w:highlight w:val="none"/>
        </w:rPr>
        <w:t>格式七）的总价相一致。</w:t>
      </w:r>
    </w:p>
    <w:p>
      <w:pPr>
        <w:pStyle w:val="4"/>
        <w:spacing w:before="0" w:line="240" w:lineRule="atLeast"/>
        <w:ind w:left="1079" w:leftChars="257" w:hanging="540"/>
        <w:rPr>
          <w:rFonts w:ascii="宋体" w:hAnsi="宋体" w:eastAsia="宋体"/>
          <w:b w:val="0"/>
          <w:color w:val="auto"/>
          <w:sz w:val="24"/>
          <w:highlight w:val="none"/>
        </w:rPr>
      </w:pPr>
      <w:r>
        <w:rPr>
          <w:rFonts w:ascii="宋体" w:hAnsi="宋体" w:eastAsia="宋体"/>
          <w:color w:val="auto"/>
          <w:sz w:val="24"/>
          <w:highlight w:val="none"/>
        </w:rPr>
        <w:br w:type="page"/>
      </w:r>
    </w:p>
    <w:p>
      <w:pPr>
        <w:pStyle w:val="22"/>
        <w:tabs>
          <w:tab w:val="left" w:pos="5580"/>
        </w:tabs>
        <w:spacing w:line="240" w:lineRule="atLeast"/>
        <w:ind w:left="1079" w:leftChars="257" w:hanging="540"/>
        <w:jc w:val="center"/>
        <w:rPr>
          <w:rFonts w:hAnsi="宋体"/>
          <w:b/>
          <w:color w:val="auto"/>
          <w:sz w:val="24"/>
          <w:highlight w:val="none"/>
        </w:rPr>
      </w:pPr>
    </w:p>
    <w:p>
      <w:pPr>
        <w:pStyle w:val="4"/>
        <w:spacing w:before="0" w:line="240" w:lineRule="atLeast"/>
        <w:rPr>
          <w:rFonts w:ascii="宋体" w:hAnsi="宋体" w:eastAsia="宋体"/>
          <w:color w:val="auto"/>
          <w:sz w:val="24"/>
          <w:highlight w:val="none"/>
        </w:rPr>
      </w:pPr>
      <w:bookmarkStart w:id="325" w:name="_Toc494447298"/>
      <w:bookmarkStart w:id="326" w:name="_Toc533275358"/>
      <w:bookmarkStart w:id="327" w:name="_Toc495418083"/>
      <w:bookmarkStart w:id="328" w:name="_Toc19710"/>
      <w:bookmarkStart w:id="329" w:name="_Toc510950643"/>
      <w:r>
        <w:rPr>
          <w:rFonts w:ascii="宋体" w:hAnsi="宋体" w:eastAsia="宋体"/>
          <w:color w:val="auto"/>
          <w:sz w:val="24"/>
          <w:highlight w:val="none"/>
        </w:rPr>
        <w:t>2</w:t>
      </w:r>
      <w:r>
        <w:rPr>
          <w:rFonts w:hint="eastAsia" w:ascii="宋体" w:hAnsi="宋体" w:eastAsia="宋体"/>
          <w:color w:val="auto"/>
          <w:sz w:val="24"/>
          <w:highlight w:val="none"/>
        </w:rPr>
        <w:t xml:space="preserve">  法人或者非法人组织的营业执照等证明文件</w:t>
      </w:r>
      <w:bookmarkEnd w:id="325"/>
      <w:bookmarkEnd w:id="326"/>
      <w:bookmarkEnd w:id="327"/>
      <w:bookmarkStart w:id="330" w:name="_Toc533275359"/>
      <w:bookmarkStart w:id="331" w:name="_Toc495418084"/>
      <w:bookmarkStart w:id="332" w:name="_Toc494447299"/>
      <w:r>
        <w:rPr>
          <w:rFonts w:hint="eastAsia" w:ascii="宋体" w:hAnsi="宋体" w:eastAsia="宋体"/>
          <w:color w:val="auto"/>
          <w:sz w:val="24"/>
          <w:highlight w:val="none"/>
        </w:rPr>
        <w:t>或自然人的身份证明</w:t>
      </w:r>
      <w:bookmarkEnd w:id="328"/>
      <w:bookmarkEnd w:id="329"/>
      <w:bookmarkEnd w:id="330"/>
      <w:bookmarkEnd w:id="331"/>
      <w:bookmarkEnd w:id="332"/>
    </w:p>
    <w:p>
      <w:pPr>
        <w:pStyle w:val="4"/>
        <w:spacing w:before="0" w:line="240" w:lineRule="atLeast"/>
        <w:ind w:left="1079" w:leftChars="257" w:hanging="540"/>
        <w:rPr>
          <w:rFonts w:ascii="宋体" w:hAnsi="宋体" w:eastAsia="宋体"/>
          <w:color w:val="auto"/>
          <w:sz w:val="24"/>
          <w:highlight w:val="none"/>
        </w:rPr>
      </w:pPr>
    </w:p>
    <w:p>
      <w:pPr>
        <w:pStyle w:val="22"/>
        <w:tabs>
          <w:tab w:val="left" w:pos="5580"/>
        </w:tabs>
        <w:spacing w:line="240" w:lineRule="atLeast"/>
        <w:ind w:left="1079" w:leftChars="257" w:hanging="540"/>
        <w:jc w:val="center"/>
        <w:rPr>
          <w:rFonts w:hAnsi="宋体"/>
          <w:b/>
          <w:color w:val="auto"/>
          <w:sz w:val="24"/>
          <w:highlight w:val="none"/>
        </w:rPr>
      </w:pPr>
    </w:p>
    <w:p>
      <w:pPr>
        <w:pStyle w:val="22"/>
        <w:tabs>
          <w:tab w:val="left" w:pos="5580"/>
        </w:tabs>
        <w:spacing w:line="240" w:lineRule="atLeast"/>
        <w:ind w:left="1079" w:leftChars="257" w:hanging="540"/>
        <w:rPr>
          <w:rFonts w:hAnsi="宋体"/>
          <w:b/>
          <w:color w:val="auto"/>
          <w:sz w:val="24"/>
          <w:highlight w:val="none"/>
        </w:rPr>
      </w:pPr>
    </w:p>
    <w:p>
      <w:pPr>
        <w:pStyle w:val="22"/>
        <w:tabs>
          <w:tab w:val="left" w:pos="5580"/>
        </w:tabs>
        <w:spacing w:line="240" w:lineRule="atLeast"/>
        <w:ind w:left="1079" w:leftChars="257" w:hanging="540"/>
        <w:rPr>
          <w:rFonts w:hAnsi="宋体"/>
          <w:b/>
          <w:color w:val="auto"/>
          <w:sz w:val="24"/>
          <w:highlight w:val="none"/>
        </w:rPr>
      </w:pPr>
    </w:p>
    <w:p>
      <w:pPr>
        <w:pStyle w:val="22"/>
        <w:tabs>
          <w:tab w:val="left" w:pos="5580"/>
        </w:tabs>
        <w:spacing w:line="240" w:lineRule="atLeast"/>
        <w:ind w:left="540"/>
        <w:rPr>
          <w:rFonts w:hAnsi="宋体"/>
          <w:color w:val="auto"/>
          <w:sz w:val="24"/>
          <w:highlight w:val="none"/>
        </w:rPr>
      </w:pPr>
      <w:r>
        <w:rPr>
          <w:rFonts w:hint="eastAsia" w:hAnsi="宋体"/>
          <w:color w:val="auto"/>
          <w:sz w:val="24"/>
          <w:highlight w:val="none"/>
        </w:rPr>
        <w:t>说明：1.按照</w:t>
      </w:r>
      <w:r>
        <w:rPr>
          <w:rFonts w:hint="eastAsia" w:hAnsi="宋体"/>
          <w:color w:val="auto"/>
          <w:sz w:val="24"/>
          <w:highlight w:val="none"/>
          <w:u w:val="single"/>
        </w:rPr>
        <w:t>投标邀请书</w:t>
      </w:r>
      <w:r>
        <w:rPr>
          <w:rFonts w:hint="eastAsia" w:hAnsi="宋体"/>
          <w:color w:val="auto"/>
          <w:sz w:val="24"/>
          <w:highlight w:val="none"/>
        </w:rPr>
        <w:t>中的规定提供复印件。</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      2.复印件上应加盖本单位公章。</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3.如果是联合体投标，联合体各方均需提供上述证明。</w:t>
      </w: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jc w:val="center"/>
        <w:rPr>
          <w:rFonts w:hAnsi="宋体"/>
          <w:color w:val="auto"/>
          <w:sz w:val="24"/>
          <w:highlight w:val="none"/>
        </w:rPr>
      </w:pPr>
      <w:r>
        <w:rPr>
          <w:rFonts w:hAnsi="宋体"/>
          <w:color w:val="auto"/>
          <w:sz w:val="24"/>
          <w:highlight w:val="none"/>
        </w:rPr>
        <w:br w:type="page"/>
      </w:r>
    </w:p>
    <w:p>
      <w:pPr>
        <w:pStyle w:val="4"/>
        <w:spacing w:before="0" w:line="240" w:lineRule="atLeast"/>
        <w:rPr>
          <w:rFonts w:ascii="宋体" w:hAnsi="宋体" w:eastAsia="宋体"/>
          <w:b w:val="0"/>
          <w:color w:val="auto"/>
          <w:sz w:val="24"/>
          <w:highlight w:val="none"/>
          <w:u w:val="single"/>
        </w:rPr>
      </w:pPr>
      <w:bookmarkStart w:id="333" w:name="_Toc533275360"/>
      <w:bookmarkStart w:id="334" w:name="_Toc494447300"/>
      <w:bookmarkStart w:id="335" w:name="_Toc495418085"/>
      <w:bookmarkStart w:id="336" w:name="_Toc14825"/>
      <w:bookmarkStart w:id="337" w:name="_Toc510950644"/>
      <w:r>
        <w:rPr>
          <w:rFonts w:ascii="宋体" w:hAnsi="宋体" w:eastAsia="宋体"/>
          <w:color w:val="auto"/>
          <w:sz w:val="24"/>
          <w:highlight w:val="none"/>
        </w:rPr>
        <w:t>3</w:t>
      </w:r>
      <w:r>
        <w:rPr>
          <w:rFonts w:hint="eastAsia" w:ascii="宋体" w:hAnsi="宋体" w:eastAsia="宋体"/>
          <w:color w:val="auto"/>
          <w:sz w:val="24"/>
          <w:highlight w:val="none"/>
        </w:rPr>
        <w:t xml:space="preserve">  法定代表人授权书</w:t>
      </w:r>
      <w:r>
        <w:rPr>
          <w:rFonts w:ascii="宋体" w:hAnsi="宋体" w:eastAsia="宋体"/>
          <w:color w:val="auto"/>
          <w:sz w:val="24"/>
          <w:highlight w:val="none"/>
        </w:rPr>
        <w:t>(投标文件</w:t>
      </w:r>
      <w:r>
        <w:rPr>
          <w:rFonts w:hint="eastAsia" w:ascii="宋体" w:hAnsi="宋体" w:eastAsia="宋体"/>
          <w:color w:val="auto"/>
          <w:sz w:val="24"/>
          <w:highlight w:val="none"/>
        </w:rPr>
        <w:t>格式二，法人或自然人投标的无需提供</w:t>
      </w:r>
      <w:r>
        <w:rPr>
          <w:rFonts w:ascii="宋体" w:hAnsi="宋体" w:eastAsia="宋体"/>
          <w:color w:val="auto"/>
          <w:sz w:val="24"/>
          <w:highlight w:val="none"/>
        </w:rPr>
        <w:t>)</w:t>
      </w:r>
      <w:bookmarkEnd w:id="333"/>
      <w:bookmarkEnd w:id="334"/>
      <w:bookmarkEnd w:id="335"/>
      <w:bookmarkEnd w:id="336"/>
      <w:bookmarkEnd w:id="337"/>
    </w:p>
    <w:p>
      <w:pPr>
        <w:pStyle w:val="22"/>
        <w:spacing w:line="240" w:lineRule="atLeast"/>
        <w:ind w:left="1079" w:leftChars="257" w:hanging="540"/>
        <w:rPr>
          <w:rFonts w:hAnsi="宋体"/>
          <w:color w:val="auto"/>
          <w:sz w:val="24"/>
          <w:highlight w:val="none"/>
        </w:rPr>
      </w:pPr>
      <w:r>
        <w:rPr>
          <w:rFonts w:hint="eastAsia" w:hAnsi="宋体"/>
          <w:color w:val="auto"/>
          <w:sz w:val="24"/>
          <w:highlight w:val="none"/>
          <w:u w:val="single"/>
        </w:rPr>
        <w:cr/>
      </w:r>
    </w:p>
    <w:p>
      <w:pPr>
        <w:pStyle w:val="22"/>
        <w:tabs>
          <w:tab w:val="left" w:pos="5580"/>
        </w:tabs>
        <w:spacing w:line="240" w:lineRule="atLeast"/>
        <w:rPr>
          <w:rFonts w:hAnsi="宋体"/>
          <w:color w:val="auto"/>
          <w:sz w:val="24"/>
          <w:highlight w:val="none"/>
        </w:rPr>
      </w:pPr>
      <w:r>
        <w:rPr>
          <w:rFonts w:hAnsi="宋体"/>
          <w:color w:val="auto"/>
          <w:sz w:val="24"/>
          <w:highlight w:val="none"/>
        </w:rPr>
        <w:cr/>
      </w:r>
      <w:r>
        <w:rPr>
          <w:rFonts w:hint="eastAsia" w:hAnsi="宋体"/>
          <w:color w:val="auto"/>
          <w:sz w:val="24"/>
          <w:highlight w:val="none"/>
        </w:rPr>
        <w:t xml:space="preserve">    本授权书声明：注册于</w:t>
      </w:r>
      <w:r>
        <w:rPr>
          <w:rFonts w:hint="eastAsia" w:hAnsi="宋体"/>
          <w:color w:val="auto"/>
          <w:sz w:val="24"/>
          <w:highlight w:val="none"/>
          <w:u w:val="single"/>
        </w:rPr>
        <w:t>（国家或地区的名称）</w:t>
      </w:r>
      <w:r>
        <w:rPr>
          <w:rFonts w:hint="eastAsia" w:hAnsi="宋体"/>
          <w:color w:val="auto"/>
          <w:sz w:val="24"/>
          <w:highlight w:val="none"/>
        </w:rPr>
        <w:t>的（</w:t>
      </w:r>
      <w:r>
        <w:rPr>
          <w:rFonts w:hint="eastAsia" w:hAnsi="宋体"/>
          <w:i/>
          <w:color w:val="auto"/>
          <w:sz w:val="24"/>
          <w:highlight w:val="none"/>
          <w:u w:val="single"/>
        </w:rPr>
        <w:t>投标人</w:t>
      </w:r>
      <w:r>
        <w:rPr>
          <w:rFonts w:hint="eastAsia" w:hAnsi="宋体"/>
          <w:color w:val="auto"/>
          <w:sz w:val="24"/>
          <w:highlight w:val="none"/>
        </w:rPr>
        <w:t>）的在下面签字的（</w:t>
      </w:r>
      <w:r>
        <w:rPr>
          <w:rFonts w:hint="eastAsia" w:hAnsi="宋体"/>
          <w:i/>
          <w:color w:val="auto"/>
          <w:sz w:val="24"/>
          <w:highlight w:val="none"/>
          <w:u w:val="single"/>
        </w:rPr>
        <w:t>法人代表姓名、职务</w:t>
      </w:r>
      <w:r>
        <w:rPr>
          <w:rFonts w:hint="eastAsia" w:hAnsi="宋体"/>
          <w:color w:val="auto"/>
          <w:sz w:val="24"/>
          <w:highlight w:val="none"/>
        </w:rPr>
        <w:t>）代表本公司授权（</w:t>
      </w:r>
      <w:r>
        <w:rPr>
          <w:rFonts w:hint="eastAsia" w:hAnsi="宋体"/>
          <w:i/>
          <w:color w:val="auto"/>
          <w:sz w:val="24"/>
          <w:highlight w:val="none"/>
          <w:u w:val="single"/>
        </w:rPr>
        <w:t>单位名称</w:t>
      </w:r>
      <w:r>
        <w:rPr>
          <w:rFonts w:hint="eastAsia" w:hAnsi="宋体"/>
          <w:color w:val="auto"/>
          <w:sz w:val="24"/>
          <w:highlight w:val="none"/>
        </w:rPr>
        <w:t>）的在下面签字的（</w:t>
      </w:r>
      <w:r>
        <w:rPr>
          <w:rFonts w:hint="eastAsia" w:hAnsi="宋体"/>
          <w:i/>
          <w:color w:val="auto"/>
          <w:sz w:val="24"/>
          <w:highlight w:val="none"/>
          <w:u w:val="single"/>
        </w:rPr>
        <w:t>被授权人的姓名、职务</w:t>
      </w:r>
      <w:r>
        <w:rPr>
          <w:rFonts w:hint="eastAsia" w:hAnsi="宋体"/>
          <w:color w:val="auto"/>
          <w:sz w:val="24"/>
          <w:highlight w:val="none"/>
        </w:rPr>
        <w:t>）为本公司的合法代理人，就（</w:t>
      </w:r>
      <w:r>
        <w:rPr>
          <w:rFonts w:hint="eastAsia" w:hAnsi="宋体"/>
          <w:i/>
          <w:color w:val="auto"/>
          <w:sz w:val="24"/>
          <w:highlight w:val="none"/>
          <w:u w:val="single"/>
        </w:rPr>
        <w:t>项目名称</w:t>
      </w:r>
      <w:r>
        <w:rPr>
          <w:rFonts w:hint="eastAsia" w:hAnsi="宋体"/>
          <w:color w:val="auto"/>
          <w:sz w:val="24"/>
          <w:highlight w:val="none"/>
        </w:rPr>
        <w:t>）的（</w:t>
      </w:r>
      <w:r>
        <w:rPr>
          <w:rFonts w:hint="eastAsia" w:hAnsi="宋体"/>
          <w:i/>
          <w:color w:val="auto"/>
          <w:sz w:val="24"/>
          <w:highlight w:val="none"/>
          <w:u w:val="single"/>
        </w:rPr>
        <w:t>合同名称</w:t>
      </w:r>
      <w:r>
        <w:rPr>
          <w:rFonts w:hint="eastAsia" w:hAnsi="宋体"/>
          <w:color w:val="auto"/>
          <w:sz w:val="24"/>
          <w:highlight w:val="none"/>
        </w:rPr>
        <w:t>）投标，以本公司名义处理一切与之有关的事务。</w:t>
      </w:r>
      <w:r>
        <w:rPr>
          <w:rFonts w:hint="eastAsia" w:hAnsi="宋体"/>
          <w:color w:val="auto"/>
          <w:sz w:val="24"/>
          <w:highlight w:val="none"/>
        </w:rPr>
        <w:cr/>
      </w:r>
      <w:r>
        <w:rPr>
          <w:rFonts w:hint="eastAsia" w:hAnsi="宋体"/>
          <w:color w:val="auto"/>
          <w:sz w:val="24"/>
          <w:highlight w:val="none"/>
        </w:rPr>
        <w:t>　　</w:t>
      </w:r>
    </w:p>
    <w:p>
      <w:pPr>
        <w:pStyle w:val="22"/>
        <w:tabs>
          <w:tab w:val="left" w:pos="5580"/>
        </w:tabs>
        <w:spacing w:line="240" w:lineRule="atLeast"/>
        <w:ind w:left="-539" w:leftChars="-257" w:firstLine="900" w:firstLineChars="375"/>
        <w:rPr>
          <w:rFonts w:hAnsi="宋体"/>
          <w:color w:val="auto"/>
          <w:sz w:val="24"/>
          <w:highlight w:val="none"/>
        </w:rPr>
      </w:pPr>
      <w:r>
        <w:rPr>
          <w:rFonts w:hint="eastAsia" w:hAnsi="宋体"/>
          <w:color w:val="auto"/>
          <w:sz w:val="24"/>
          <w:highlight w:val="none"/>
        </w:rPr>
        <w:t>本授权书于年月日签字生效,特此声明。</w:t>
      </w:r>
      <w:r>
        <w:rPr>
          <w:rFonts w:hint="eastAsia" w:hAnsi="宋体"/>
          <w:color w:val="auto"/>
          <w:sz w:val="24"/>
          <w:highlight w:val="none"/>
        </w:rPr>
        <w:cr/>
      </w:r>
      <w:r>
        <w:rPr>
          <w:rFonts w:hint="eastAsia" w:hAnsi="宋体"/>
          <w:color w:val="auto"/>
          <w:sz w:val="24"/>
          <w:highlight w:val="none"/>
        </w:rPr>
        <w:cr/>
      </w:r>
    </w:p>
    <w:p>
      <w:pPr>
        <w:pStyle w:val="22"/>
        <w:tabs>
          <w:tab w:val="left" w:pos="5580"/>
        </w:tabs>
        <w:spacing w:line="240" w:lineRule="atLeast"/>
        <w:ind w:left="-539" w:leftChars="-257" w:firstLine="900" w:firstLineChars="375"/>
        <w:rPr>
          <w:rFonts w:hAnsi="宋体"/>
          <w:color w:val="auto"/>
          <w:sz w:val="24"/>
          <w:highlight w:val="none"/>
        </w:rPr>
      </w:pPr>
    </w:p>
    <w:p>
      <w:pPr>
        <w:pStyle w:val="22"/>
        <w:tabs>
          <w:tab w:val="left" w:pos="5580"/>
        </w:tabs>
        <w:spacing w:line="240" w:lineRule="atLeast"/>
        <w:ind w:left="-539" w:leftChars="-257" w:firstLine="900" w:firstLineChars="375"/>
        <w:rPr>
          <w:rFonts w:hAnsi="宋体"/>
          <w:color w:val="auto"/>
          <w:sz w:val="24"/>
          <w:highlight w:val="none"/>
        </w:rPr>
      </w:pPr>
      <w:r>
        <w:rPr>
          <w:rFonts w:hint="eastAsia" w:hAnsi="宋体"/>
          <w:color w:val="auto"/>
          <w:sz w:val="24"/>
          <w:highlight w:val="none"/>
        </w:rPr>
        <w:t xml:space="preserve"> 法定代表人签字或签章</w:t>
      </w:r>
    </w:p>
    <w:p>
      <w:pPr>
        <w:pStyle w:val="22"/>
        <w:tabs>
          <w:tab w:val="left" w:pos="5580"/>
        </w:tabs>
        <w:spacing w:line="240" w:lineRule="atLeast"/>
        <w:ind w:firstLine="480" w:firstLineChars="200"/>
        <w:rPr>
          <w:rFonts w:hAnsi="宋体"/>
          <w:color w:val="auto"/>
          <w:sz w:val="24"/>
          <w:highlight w:val="none"/>
        </w:rPr>
      </w:pPr>
      <w:r>
        <w:rPr>
          <w:rFonts w:hint="eastAsia" w:hAnsi="宋体"/>
          <w:color w:val="auto"/>
          <w:sz w:val="24"/>
          <w:highlight w:val="none"/>
        </w:rPr>
        <w:t>被授权人签字</w:t>
      </w: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投标人盖章：                                 </w:t>
      </w: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附：</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被授权人姓名：</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职　　　　务：</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详细通讯地址：</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邮 政 编 码 ：</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传　　　　真：</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电　　　　话：</w:t>
      </w:r>
    </w:p>
    <w:p>
      <w:pPr>
        <w:pStyle w:val="4"/>
        <w:spacing w:before="0" w:line="240" w:lineRule="atLeast"/>
        <w:rPr>
          <w:rFonts w:ascii="宋体" w:hAnsi="宋体" w:eastAsia="宋体"/>
          <w:color w:val="auto"/>
          <w:sz w:val="24"/>
          <w:highlight w:val="none"/>
        </w:rPr>
      </w:pPr>
      <w:r>
        <w:rPr>
          <w:rFonts w:ascii="宋体" w:hAnsi="宋体" w:eastAsia="宋体"/>
          <w:color w:val="auto"/>
          <w:sz w:val="24"/>
          <w:highlight w:val="none"/>
        </w:rPr>
        <w:br w:type="page"/>
      </w:r>
      <w:bookmarkStart w:id="338" w:name="_Toc533275361"/>
      <w:bookmarkStart w:id="339" w:name="_Toc357"/>
      <w:bookmarkStart w:id="340" w:name="_Toc494447301"/>
      <w:bookmarkStart w:id="341" w:name="_Toc510950645"/>
      <w:bookmarkStart w:id="342" w:name="_Toc495418086"/>
      <w:r>
        <w:rPr>
          <w:rFonts w:ascii="宋体" w:hAnsi="宋体" w:eastAsia="宋体"/>
          <w:color w:val="auto"/>
          <w:sz w:val="24"/>
          <w:highlight w:val="none"/>
        </w:rPr>
        <w:t>4投标人</w:t>
      </w:r>
      <w:r>
        <w:rPr>
          <w:rFonts w:hint="eastAsia" w:ascii="宋体" w:hAnsi="宋体" w:eastAsia="宋体"/>
          <w:color w:val="auto"/>
          <w:sz w:val="24"/>
          <w:highlight w:val="none"/>
        </w:rPr>
        <w:t>具有良好</w:t>
      </w:r>
      <w:r>
        <w:rPr>
          <w:rFonts w:ascii="宋体" w:hAnsi="宋体" w:eastAsia="宋体"/>
          <w:color w:val="auto"/>
          <w:sz w:val="24"/>
          <w:highlight w:val="none"/>
        </w:rPr>
        <w:t>的商业信誉和健全的财务会计制度</w:t>
      </w:r>
      <w:r>
        <w:rPr>
          <w:rFonts w:hint="eastAsia" w:ascii="宋体" w:hAnsi="宋体" w:eastAsia="宋体"/>
          <w:color w:val="auto"/>
          <w:sz w:val="24"/>
          <w:highlight w:val="none"/>
        </w:rPr>
        <w:t>的</w:t>
      </w:r>
      <w:r>
        <w:rPr>
          <w:rFonts w:ascii="宋体" w:hAnsi="宋体" w:eastAsia="宋体"/>
          <w:color w:val="auto"/>
          <w:sz w:val="24"/>
          <w:highlight w:val="none"/>
        </w:rPr>
        <w:t>证明文件</w:t>
      </w:r>
      <w:bookmarkEnd w:id="338"/>
      <w:bookmarkEnd w:id="339"/>
      <w:bookmarkEnd w:id="340"/>
      <w:bookmarkEnd w:id="341"/>
      <w:bookmarkEnd w:id="342"/>
    </w:p>
    <w:p>
      <w:pPr>
        <w:tabs>
          <w:tab w:val="left" w:pos="5580"/>
        </w:tabs>
        <w:spacing w:line="240" w:lineRule="atLeast"/>
        <w:ind w:left="1079" w:leftChars="257" w:hanging="540"/>
        <w:jc w:val="center"/>
        <w:rPr>
          <w:rFonts w:ascii="宋体" w:hAnsi="宋体"/>
          <w:b/>
          <w:color w:val="auto"/>
          <w:sz w:val="24"/>
          <w:highlight w:val="none"/>
        </w:rPr>
      </w:pPr>
    </w:p>
    <w:p>
      <w:pPr>
        <w:tabs>
          <w:tab w:val="left" w:pos="5580"/>
        </w:tabs>
        <w:spacing w:line="240" w:lineRule="atLeast"/>
        <w:ind w:left="1079" w:leftChars="257" w:hanging="540"/>
        <w:jc w:val="center"/>
        <w:rPr>
          <w:rFonts w:ascii="宋体" w:hAnsi="宋体"/>
          <w:b/>
          <w:color w:val="auto"/>
          <w:sz w:val="24"/>
          <w:highlight w:val="none"/>
        </w:rPr>
      </w:pPr>
    </w:p>
    <w:p>
      <w:pPr>
        <w:tabs>
          <w:tab w:val="left" w:pos="5580"/>
        </w:tabs>
        <w:spacing w:line="240" w:lineRule="atLeast"/>
        <w:ind w:left="1079" w:leftChars="257" w:hanging="540"/>
        <w:jc w:val="center"/>
        <w:rPr>
          <w:rFonts w:ascii="宋体" w:hAnsi="宋体"/>
          <w:b/>
          <w:color w:val="auto"/>
          <w:sz w:val="24"/>
          <w:highlight w:val="none"/>
        </w:rPr>
      </w:pPr>
    </w:p>
    <w:p>
      <w:pPr>
        <w:pStyle w:val="22"/>
        <w:tabs>
          <w:tab w:val="left" w:pos="5580"/>
        </w:tabs>
        <w:spacing w:line="240" w:lineRule="atLeast"/>
        <w:ind w:left="540"/>
        <w:rPr>
          <w:rFonts w:hAnsi="宋体"/>
          <w:color w:val="auto"/>
          <w:sz w:val="24"/>
          <w:highlight w:val="none"/>
        </w:rPr>
      </w:pPr>
      <w:r>
        <w:rPr>
          <w:rFonts w:hint="eastAsia" w:hAnsi="宋体"/>
          <w:color w:val="auto"/>
          <w:sz w:val="24"/>
          <w:highlight w:val="none"/>
        </w:rPr>
        <w:t>说明：1.按照</w:t>
      </w:r>
      <w:r>
        <w:rPr>
          <w:rFonts w:hint="eastAsia" w:hAnsi="宋体"/>
          <w:color w:val="auto"/>
          <w:sz w:val="24"/>
          <w:highlight w:val="none"/>
          <w:u w:val="single"/>
        </w:rPr>
        <w:t>投标邀请书</w:t>
      </w:r>
      <w:r>
        <w:rPr>
          <w:rFonts w:hint="eastAsia" w:hAnsi="宋体"/>
          <w:color w:val="auto"/>
          <w:sz w:val="24"/>
          <w:highlight w:val="none"/>
        </w:rPr>
        <w:t>中的规定提供复印件。</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      2.复印件上应加盖本单位公章。</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3.如果是联合体投标，联合体各方均需提供上述证明。</w:t>
      </w:r>
    </w:p>
    <w:p>
      <w:pPr>
        <w:tabs>
          <w:tab w:val="left" w:pos="5580"/>
        </w:tabs>
        <w:spacing w:line="240" w:lineRule="atLeast"/>
        <w:ind w:left="1079" w:leftChars="257" w:hanging="540"/>
        <w:rPr>
          <w:rFonts w:ascii="宋体" w:hAnsi="宋体"/>
          <w:color w:val="auto"/>
          <w:sz w:val="24"/>
          <w:highlight w:val="none"/>
        </w:rPr>
      </w:pPr>
    </w:p>
    <w:p>
      <w:pPr>
        <w:pStyle w:val="4"/>
        <w:spacing w:before="0" w:line="240" w:lineRule="atLeast"/>
        <w:rPr>
          <w:rFonts w:ascii="宋体" w:hAnsi="宋体" w:eastAsia="宋体"/>
          <w:color w:val="auto"/>
          <w:sz w:val="24"/>
          <w:highlight w:val="none"/>
        </w:rPr>
      </w:pPr>
      <w:r>
        <w:rPr>
          <w:rFonts w:ascii="宋体" w:hAnsi="宋体" w:eastAsia="宋体"/>
          <w:color w:val="auto"/>
          <w:sz w:val="24"/>
          <w:highlight w:val="none"/>
        </w:rPr>
        <w:br w:type="page"/>
      </w:r>
      <w:bookmarkStart w:id="343" w:name="_Toc533275362"/>
      <w:bookmarkStart w:id="344" w:name="_Toc495418087"/>
      <w:bookmarkStart w:id="345" w:name="_Toc8040"/>
      <w:bookmarkStart w:id="346" w:name="_Toc494447302"/>
      <w:bookmarkStart w:id="347" w:name="_Toc510950646"/>
      <w:r>
        <w:rPr>
          <w:rFonts w:ascii="宋体" w:hAnsi="宋体" w:eastAsia="宋体"/>
          <w:color w:val="auto"/>
          <w:sz w:val="24"/>
          <w:highlight w:val="none"/>
        </w:rPr>
        <w:t xml:space="preserve">5  </w:t>
      </w:r>
      <w:r>
        <w:rPr>
          <w:rFonts w:hint="eastAsia" w:ascii="宋体" w:hAnsi="宋体" w:eastAsia="宋体"/>
          <w:color w:val="auto"/>
          <w:sz w:val="24"/>
          <w:highlight w:val="none"/>
        </w:rPr>
        <w:t>投标保证金缴纳凭证复印件或投标担保函</w:t>
      </w:r>
      <w:bookmarkEnd w:id="343"/>
      <w:bookmarkEnd w:id="344"/>
      <w:bookmarkEnd w:id="345"/>
      <w:bookmarkEnd w:id="346"/>
      <w:bookmarkEnd w:id="347"/>
    </w:p>
    <w:p>
      <w:pPr>
        <w:pStyle w:val="4"/>
        <w:spacing w:before="0" w:line="240" w:lineRule="atLeast"/>
        <w:ind w:left="1079" w:leftChars="257" w:hanging="540"/>
        <w:rPr>
          <w:rFonts w:ascii="宋体" w:hAnsi="宋体" w:eastAsia="宋体"/>
          <w:color w:val="auto"/>
          <w:sz w:val="24"/>
          <w:highlight w:val="none"/>
        </w:rPr>
      </w:pPr>
    </w:p>
    <w:p>
      <w:pPr>
        <w:pStyle w:val="6"/>
        <w:spacing w:before="0" w:after="0" w:line="360" w:lineRule="auto"/>
        <w:jc w:val="center"/>
        <w:rPr>
          <w:rFonts w:hAnsi="宋体"/>
          <w:color w:val="auto"/>
          <w:sz w:val="21"/>
          <w:szCs w:val="21"/>
          <w:highlight w:val="none"/>
          <w:u w:val="none"/>
          <w:lang w:val="hr-HR"/>
        </w:rPr>
      </w:pPr>
      <w:bookmarkStart w:id="348" w:name="_Toc533275363"/>
      <w:bookmarkStart w:id="349" w:name="_Toc509265230"/>
      <w:bookmarkStart w:id="350" w:name="_Toc510950647"/>
      <w:bookmarkStart w:id="351" w:name="_Toc19053"/>
      <w:bookmarkStart w:id="352" w:name="_Toc494296665"/>
      <w:bookmarkStart w:id="353" w:name="_Toc494296991"/>
      <w:r>
        <w:rPr>
          <w:rFonts w:hint="eastAsia" w:hAnsi="宋体"/>
          <w:color w:val="auto"/>
          <w:sz w:val="21"/>
          <w:szCs w:val="21"/>
          <w:highlight w:val="none"/>
          <w:u w:val="none"/>
          <w:lang w:val="hr-HR"/>
        </w:rPr>
        <w:t>（一）投标保证金交纳凭证（采用电汇或银行转账方式）</w:t>
      </w:r>
      <w:bookmarkEnd w:id="348"/>
      <w:bookmarkEnd w:id="349"/>
      <w:bookmarkEnd w:id="350"/>
      <w:bookmarkEnd w:id="351"/>
    </w:p>
    <w:p>
      <w:pPr>
        <w:spacing w:line="440" w:lineRule="exact"/>
        <w:rPr>
          <w:rFonts w:ascii="宋体" w:hAnsi="宋体"/>
          <w:b/>
          <w:color w:val="auto"/>
          <w:szCs w:val="21"/>
          <w:highlight w:val="none"/>
        </w:rPr>
      </w:pPr>
      <w:r>
        <w:rPr>
          <w:rFonts w:hint="eastAsia" w:ascii="宋体" w:hAnsi="宋体"/>
          <w:b/>
          <w:color w:val="auto"/>
          <w:szCs w:val="21"/>
          <w:highlight w:val="none"/>
        </w:rPr>
        <w:t xml:space="preserve">致：广东华伦招标有限公司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本单位已按“</w:t>
      </w:r>
      <w:r>
        <w:rPr>
          <w:rFonts w:hint="eastAsia" w:ascii="宋体" w:hAnsi="宋体"/>
          <w:color w:val="auto"/>
          <w:szCs w:val="21"/>
          <w:highlight w:val="none"/>
          <w:u w:val="single"/>
        </w:rPr>
        <w:t>（项目名称）</w:t>
      </w:r>
      <w:r>
        <w:rPr>
          <w:rFonts w:hint="eastAsia" w:ascii="宋体" w:hAnsi="宋体"/>
          <w:color w:val="auto"/>
          <w:szCs w:val="21"/>
          <w:highlight w:val="none"/>
        </w:rPr>
        <w:t>”（文件编号：        ）的招标文件要求，于年月日前以</w:t>
      </w:r>
      <w:r>
        <w:rPr>
          <w:rFonts w:hint="eastAsia" w:ascii="宋体" w:hAnsi="宋体"/>
          <w:color w:val="auto"/>
          <w:szCs w:val="21"/>
          <w:highlight w:val="none"/>
          <w:u w:val="single"/>
        </w:rPr>
        <w:t xml:space="preserve">           （付款形式）</w:t>
      </w:r>
      <w:r>
        <w:rPr>
          <w:rFonts w:hint="eastAsia" w:ascii="宋体" w:hAnsi="宋体"/>
          <w:color w:val="auto"/>
          <w:szCs w:val="21"/>
          <w:highlight w:val="none"/>
        </w:rPr>
        <w:t>方式汇入指定账户（账户名称：，账号  ，开户银行：）。</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本单位投标保证金的汇款情况：（详见附件－投标保证金进账单）</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汇出时间：    年    月    日；</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汇款金额：（大写）人民币       元（小写：￥      元）；</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汇款账户名称：</w:t>
      </w:r>
      <w:r>
        <w:rPr>
          <w:rFonts w:hint="eastAsia" w:ascii="宋体" w:hAnsi="宋体"/>
          <w:color w:val="auto"/>
          <w:szCs w:val="21"/>
          <w:highlight w:val="none"/>
          <w:u w:val="single"/>
        </w:rPr>
        <w:t xml:space="preserve">  （必须是投标时使用的账户名）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帐    号：</w:t>
      </w:r>
      <w:r>
        <w:rPr>
          <w:rFonts w:hint="eastAsia" w:ascii="宋体" w:hAnsi="宋体"/>
          <w:color w:val="auto"/>
          <w:szCs w:val="21"/>
          <w:highlight w:val="none"/>
          <w:u w:val="single"/>
        </w:rPr>
        <w:t xml:space="preserve">      （必须是投标时使用的账号）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开户银行：</w:t>
      </w:r>
      <w:r>
        <w:rPr>
          <w:rFonts w:hint="eastAsia" w:ascii="宋体" w:hAnsi="宋体"/>
          <w:color w:val="auto"/>
          <w:szCs w:val="21"/>
          <w:highlight w:val="none"/>
          <w:u w:val="single"/>
        </w:rPr>
        <w:t xml:space="preserve">    省    市                         </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本单位谨承诺上述资料是正确、真实的，如因上述证明与事实不符导致的一切损失，本单位保证承担赔偿等一切法律责任。</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投标保证金退回时，请按上述资料退回。</w:t>
      </w:r>
    </w:p>
    <w:p>
      <w:pPr>
        <w:spacing w:line="440" w:lineRule="exact"/>
        <w:ind w:right="844" w:rightChars="402"/>
        <w:jc w:val="right"/>
        <w:rPr>
          <w:rFonts w:ascii="宋体" w:hAnsi="宋体"/>
          <w:color w:val="auto"/>
          <w:szCs w:val="21"/>
          <w:highlight w:val="none"/>
        </w:rPr>
      </w:pPr>
      <w:r>
        <w:rPr>
          <w:rFonts w:hint="eastAsia" w:ascii="宋体" w:hAnsi="宋体"/>
          <w:color w:val="auto"/>
          <w:szCs w:val="21"/>
          <w:highlight w:val="none"/>
        </w:rPr>
        <w:t>（单位公章）</w:t>
      </w:r>
    </w:p>
    <w:p>
      <w:pPr>
        <w:spacing w:line="440" w:lineRule="exact"/>
        <w:ind w:right="627" w:rightChars="299"/>
        <w:jc w:val="right"/>
        <w:rPr>
          <w:rFonts w:ascii="宋体" w:hAnsi="宋体"/>
          <w:color w:val="auto"/>
          <w:szCs w:val="21"/>
          <w:highlight w:val="none"/>
        </w:rPr>
      </w:pPr>
      <w:r>
        <w:rPr>
          <w:rFonts w:hint="eastAsia" w:ascii="宋体" w:hAnsi="宋体"/>
          <w:color w:val="auto"/>
          <w:szCs w:val="21"/>
          <w:highlight w:val="none"/>
        </w:rPr>
        <w:t>二〇一  年 月 日</w:t>
      </w:r>
    </w:p>
    <w:p>
      <w:pPr>
        <w:spacing w:line="440" w:lineRule="exact"/>
        <w:rPr>
          <w:rFonts w:ascii="宋体" w:hAnsi="宋体"/>
          <w:color w:val="auto"/>
          <w:szCs w:val="21"/>
          <w:highlight w:val="none"/>
        </w:rPr>
      </w:pPr>
      <w:r>
        <w:rPr>
          <w:rFonts w:hint="eastAsia" w:ascii="宋体" w:hAnsi="宋体"/>
          <w:color w:val="auto"/>
          <w:szCs w:val="21"/>
          <w:highlight w:val="none"/>
        </w:rPr>
        <w:t>单位名称：</w:t>
      </w:r>
    </w:p>
    <w:p>
      <w:pPr>
        <w:spacing w:line="440" w:lineRule="exact"/>
        <w:rPr>
          <w:rFonts w:ascii="宋体" w:hAnsi="宋体"/>
          <w:color w:val="auto"/>
          <w:szCs w:val="21"/>
          <w:highlight w:val="none"/>
        </w:rPr>
      </w:pPr>
      <w:r>
        <w:rPr>
          <w:rFonts w:hint="eastAsia" w:ascii="宋体" w:hAnsi="宋体"/>
          <w:color w:val="auto"/>
          <w:szCs w:val="21"/>
          <w:highlight w:val="none"/>
        </w:rPr>
        <w:t>单位地址：</w:t>
      </w:r>
    </w:p>
    <w:p>
      <w:pPr>
        <w:spacing w:line="440" w:lineRule="exact"/>
        <w:rPr>
          <w:rFonts w:ascii="宋体" w:hAnsi="宋体"/>
          <w:color w:val="auto"/>
          <w:szCs w:val="21"/>
          <w:highlight w:val="none"/>
        </w:rPr>
      </w:pPr>
      <w:r>
        <w:rPr>
          <w:rFonts w:hint="eastAsia" w:ascii="宋体" w:hAnsi="宋体"/>
          <w:color w:val="auto"/>
          <w:szCs w:val="21"/>
          <w:highlight w:val="none"/>
        </w:rPr>
        <w:t>联系人：</w:t>
      </w:r>
    </w:p>
    <w:p>
      <w:pPr>
        <w:spacing w:line="440" w:lineRule="exact"/>
        <w:rPr>
          <w:rFonts w:ascii="宋体" w:hAnsi="宋体"/>
          <w:color w:val="auto"/>
          <w:szCs w:val="21"/>
          <w:highlight w:val="none"/>
        </w:rPr>
      </w:pPr>
      <w:r>
        <w:rPr>
          <w:rFonts w:hint="eastAsia" w:ascii="宋体" w:hAnsi="宋体"/>
          <w:color w:val="auto"/>
          <w:szCs w:val="21"/>
          <w:highlight w:val="none"/>
        </w:rPr>
        <w:t>单位电话： 联系人手机：</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附：我方投标保证金汇款凭证</w:t>
      </w:r>
    </w:p>
    <w:tbl>
      <w:tblPr>
        <w:tblStyle w:val="44"/>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9489" w:type="dxa"/>
          </w:tcPr>
          <w:p>
            <w:pPr>
              <w:spacing w:line="300" w:lineRule="auto"/>
              <w:rPr>
                <w:rFonts w:ascii="宋体" w:hAnsi="宋体"/>
                <w:color w:val="auto"/>
                <w:szCs w:val="21"/>
                <w:highlight w:val="none"/>
              </w:rPr>
            </w:pPr>
            <w:r>
              <w:rPr>
                <w:rFonts w:hint="eastAsia" w:ascii="宋体" w:hAnsi="宋体"/>
                <w:color w:val="auto"/>
                <w:szCs w:val="21"/>
                <w:highlight w:val="none"/>
              </w:rPr>
              <w:t>粘贴转账或汇款的银行凭证复印件</w:t>
            </w:r>
          </w:p>
        </w:tc>
      </w:tr>
    </w:tbl>
    <w:p>
      <w:pPr>
        <w:spacing w:line="360" w:lineRule="auto"/>
        <w:rPr>
          <w:rFonts w:ascii="宋体" w:hAnsi="宋体"/>
          <w:color w:val="auto"/>
          <w:szCs w:val="21"/>
          <w:highlight w:val="none"/>
        </w:rPr>
      </w:pPr>
      <w:r>
        <w:rPr>
          <w:rFonts w:hint="eastAsia" w:ascii="宋体" w:hAnsi="宋体"/>
          <w:color w:val="auto"/>
          <w:szCs w:val="21"/>
          <w:highlight w:val="none"/>
        </w:rPr>
        <w:t>注：1.投标人投标响应时，应当按招标文件要求交纳投标保证金。投标保证金可以采用转账、银行汇款、银行汇票等形式交纳。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2.招标人在中标通知书发出后五个工作日内凭投标人归还的投标保证金收据退还未中标的投标保证金，在采购合同签订后五个工作日内退还中标服务商的投标保证金。</w:t>
      </w:r>
    </w:p>
    <w:p>
      <w:pPr>
        <w:pStyle w:val="6"/>
        <w:spacing w:before="0" w:after="0" w:line="360" w:lineRule="auto"/>
        <w:jc w:val="center"/>
        <w:rPr>
          <w:rFonts w:hAnsi="宋体"/>
          <w:color w:val="auto"/>
          <w:sz w:val="21"/>
          <w:szCs w:val="21"/>
          <w:highlight w:val="none"/>
          <w:u w:val="none"/>
          <w:lang w:val="hr-HR"/>
        </w:rPr>
      </w:pPr>
      <w:bookmarkStart w:id="354" w:name="_Toc509265231"/>
      <w:bookmarkStart w:id="355" w:name="_Toc533275364"/>
      <w:bookmarkStart w:id="356" w:name="_Toc21219"/>
      <w:bookmarkStart w:id="357" w:name="_Toc510950648"/>
      <w:r>
        <w:rPr>
          <w:rFonts w:hint="eastAsia" w:hAnsi="宋体"/>
          <w:color w:val="auto"/>
          <w:sz w:val="21"/>
          <w:szCs w:val="21"/>
          <w:highlight w:val="none"/>
          <w:u w:val="none"/>
          <w:lang w:val="hr-HR"/>
        </w:rPr>
        <w:t>（二）退还保证金声明</w:t>
      </w:r>
      <w:bookmarkEnd w:id="354"/>
      <w:bookmarkEnd w:id="355"/>
      <w:bookmarkEnd w:id="356"/>
      <w:bookmarkEnd w:id="357"/>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广东华伦招标有限公司：</w:t>
      </w: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我方为“</w:t>
      </w:r>
      <w:r>
        <w:rPr>
          <w:rFonts w:hint="eastAsia" w:ascii="宋体" w:hAnsi="宋体"/>
          <w:color w:val="auto"/>
          <w:szCs w:val="21"/>
          <w:highlight w:val="none"/>
          <w:u w:val="single"/>
        </w:rPr>
        <w:t>（项目名称）</w:t>
      </w:r>
      <w:r>
        <w:rPr>
          <w:rFonts w:hint="eastAsia" w:ascii="宋体" w:hAnsi="宋体"/>
          <w:color w:val="auto"/>
          <w:szCs w:val="21"/>
          <w:highlight w:val="none"/>
        </w:rPr>
        <w:t>”（文件编号：            ）提交的投标保证金，在符合退还条件时请代划入下列账户：</w:t>
      </w:r>
    </w:p>
    <w:p>
      <w:pPr>
        <w:spacing w:line="360" w:lineRule="auto"/>
        <w:rPr>
          <w:rFonts w:ascii="宋体" w:hAnsi="宋体"/>
          <w:color w:val="auto"/>
          <w:szCs w:val="21"/>
          <w:highlight w:val="none"/>
        </w:rPr>
      </w:pPr>
    </w:p>
    <w:tbl>
      <w:tblPr>
        <w:tblStyle w:val="44"/>
        <w:tblW w:w="9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08"/>
        <w:gridCol w:w="7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0" w:type="dxa"/>
            <w:left w:w="108" w:type="dxa"/>
            <w:bottom w:w="0" w:type="dxa"/>
            <w:right w:w="108" w:type="dxa"/>
          </w:tblCellMar>
        </w:tblPrEx>
        <w:trPr>
          <w:trHeight w:val="302"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保证金提交方式</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□银行转账      □银行汇票      □支票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开 户 人 名 称</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开  户  银  行</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银  行  账  号</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汇  入  地  点</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20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r>
              <w:rPr>
                <w:rFonts w:hint="eastAsia" w:ascii="宋体" w:hAnsi="宋体"/>
                <w:color w:val="auto"/>
                <w:szCs w:val="21"/>
                <w:highlight w:val="none"/>
              </w:rPr>
              <w:t>总    金    额</w:t>
            </w:r>
          </w:p>
        </w:tc>
        <w:tc>
          <w:tcPr>
            <w:tcW w:w="72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olor w:val="auto"/>
                <w:szCs w:val="21"/>
                <w:highlight w:val="none"/>
              </w:rPr>
            </w:pPr>
          </w:p>
        </w:tc>
      </w:tr>
    </w:tbl>
    <w:p>
      <w:pPr>
        <w:spacing w:line="360" w:lineRule="auto"/>
        <w:rPr>
          <w:rFonts w:ascii="宋体" w:hAnsi="宋体"/>
          <w:color w:val="auto"/>
          <w:szCs w:val="21"/>
          <w:highlight w:val="none"/>
          <w:lang w:val="en-GB"/>
        </w:rPr>
      </w:pPr>
    </w:p>
    <w:p>
      <w:pPr>
        <w:spacing w:line="360" w:lineRule="auto"/>
        <w:rPr>
          <w:rFonts w:ascii="宋体" w:hAnsi="宋体"/>
          <w:color w:val="auto"/>
          <w:szCs w:val="21"/>
          <w:highlight w:val="none"/>
        </w:rPr>
      </w:pPr>
      <w:r>
        <w:rPr>
          <w:rFonts w:hint="eastAsia" w:ascii="宋体" w:hAnsi="宋体"/>
          <w:color w:val="auto"/>
          <w:szCs w:val="21"/>
          <w:highlight w:val="none"/>
        </w:rPr>
        <w:t>投标人法定代表人（或法定代表人授权代表）亲笔签字或私章：</w:t>
      </w:r>
    </w:p>
    <w:p>
      <w:pPr>
        <w:spacing w:line="360" w:lineRule="auto"/>
        <w:rPr>
          <w:rFonts w:ascii="宋体" w:hAnsi="宋体"/>
          <w:color w:val="auto"/>
          <w:szCs w:val="21"/>
          <w:highlight w:val="none"/>
        </w:rPr>
      </w:pPr>
      <w:r>
        <w:rPr>
          <w:rFonts w:hint="eastAsia" w:ascii="宋体" w:hAnsi="宋体"/>
          <w:color w:val="auto"/>
          <w:szCs w:val="21"/>
          <w:highlight w:val="none"/>
        </w:rPr>
        <w:t>投标人名称（加盖法人公章）：</w:t>
      </w:r>
    </w:p>
    <w:p>
      <w:pPr>
        <w:spacing w:line="360" w:lineRule="auto"/>
        <w:rPr>
          <w:rFonts w:ascii="宋体" w:hAnsi="宋体"/>
          <w:color w:val="auto"/>
          <w:szCs w:val="21"/>
          <w:highlight w:val="none"/>
        </w:rPr>
      </w:pPr>
      <w:r>
        <w:rPr>
          <w:rFonts w:hint="eastAsia" w:ascii="宋体" w:hAnsi="宋体"/>
          <w:color w:val="auto"/>
          <w:szCs w:val="21"/>
          <w:highlight w:val="none"/>
        </w:rPr>
        <w:t>日期：          年      月     日</w:t>
      </w:r>
    </w:p>
    <w:p>
      <w:pPr>
        <w:spacing w:line="360" w:lineRule="auto"/>
        <w:rPr>
          <w:rFonts w:ascii="宋体" w:hAnsi="宋体"/>
          <w:color w:val="auto"/>
          <w:szCs w:val="21"/>
          <w:highlight w:val="none"/>
        </w:rPr>
      </w:pPr>
    </w:p>
    <w:p>
      <w:pPr>
        <w:ind w:firstLine="420" w:firstLineChars="200"/>
        <w:rPr>
          <w:rFonts w:ascii="宋体" w:hAnsi="宋体"/>
          <w:color w:val="auto"/>
          <w:highlight w:val="none"/>
        </w:rPr>
      </w:pPr>
      <w:r>
        <w:rPr>
          <w:rFonts w:hint="eastAsia" w:ascii="宋体" w:hAnsi="宋体"/>
          <w:color w:val="auto"/>
          <w:szCs w:val="21"/>
          <w:highlight w:val="none"/>
        </w:rPr>
        <w:t>注：银行汇款底单复印件（加盖投标人法人公章）或由招标代理机构出具的投标保证金收据复印件及退还保证金声明应装在唱标信封内，封口盖公章并在投标截止时间前提交。</w:t>
      </w:r>
      <w:bookmarkEnd w:id="352"/>
      <w:bookmarkEnd w:id="353"/>
    </w:p>
    <w:p>
      <w:pPr>
        <w:spacing w:line="240" w:lineRule="atLeast"/>
        <w:ind w:left="1079" w:leftChars="257" w:hanging="540"/>
        <w:jc w:val="center"/>
        <w:rPr>
          <w:rFonts w:ascii="宋体" w:hAnsi="宋体"/>
          <w:color w:val="auto"/>
          <w:sz w:val="24"/>
          <w:highlight w:val="none"/>
        </w:rPr>
      </w:pPr>
    </w:p>
    <w:p>
      <w:pPr>
        <w:pStyle w:val="6"/>
        <w:spacing w:before="0" w:after="0" w:line="360" w:lineRule="auto"/>
        <w:jc w:val="center"/>
        <w:rPr>
          <w:rFonts w:hAnsi="宋体"/>
          <w:color w:val="auto"/>
          <w:sz w:val="21"/>
          <w:szCs w:val="21"/>
          <w:highlight w:val="none"/>
          <w:u w:val="none"/>
          <w:lang w:val="hr-HR"/>
        </w:rPr>
      </w:pPr>
      <w:r>
        <w:rPr>
          <w:rFonts w:hAnsi="宋体"/>
          <w:color w:val="auto"/>
          <w:highlight w:val="none"/>
        </w:rPr>
        <w:br w:type="page"/>
      </w:r>
      <w:bookmarkStart w:id="358" w:name="_Toc510950649"/>
      <w:bookmarkStart w:id="359" w:name="_Toc4834"/>
      <w:bookmarkStart w:id="360" w:name="_Toc533275365"/>
      <w:r>
        <w:rPr>
          <w:rFonts w:hint="eastAsia" w:hAnsi="宋体"/>
          <w:color w:val="auto"/>
          <w:sz w:val="21"/>
          <w:szCs w:val="21"/>
          <w:highlight w:val="none"/>
          <w:u w:val="none"/>
          <w:lang w:val="hr-HR"/>
        </w:rPr>
        <w:t>（三）政府采购投标担保函 （项目用）（</w:t>
      </w:r>
      <w:r>
        <w:rPr>
          <w:rFonts w:hAnsi="宋体"/>
          <w:color w:val="auto"/>
          <w:sz w:val="21"/>
          <w:szCs w:val="21"/>
          <w:highlight w:val="none"/>
          <w:u w:val="none"/>
          <w:lang w:val="hr-HR"/>
        </w:rPr>
        <w:t>投标文件</w:t>
      </w:r>
      <w:r>
        <w:rPr>
          <w:rFonts w:hint="eastAsia" w:hAnsi="宋体"/>
          <w:color w:val="auto"/>
          <w:sz w:val="21"/>
          <w:szCs w:val="21"/>
          <w:highlight w:val="none"/>
          <w:u w:val="none"/>
          <w:lang w:val="hr-HR"/>
        </w:rPr>
        <w:t>格式三）</w:t>
      </w:r>
      <w:bookmarkEnd w:id="358"/>
      <w:bookmarkEnd w:id="359"/>
      <w:bookmarkEnd w:id="360"/>
    </w:p>
    <w:p>
      <w:pPr>
        <w:ind w:firstLine="6720" w:firstLineChars="3200"/>
        <w:rPr>
          <w:rFonts w:ascii="宋体" w:hAnsi="宋体"/>
          <w:color w:val="auto"/>
          <w:highlight w:val="none"/>
        </w:rPr>
      </w:pPr>
      <w:r>
        <w:rPr>
          <w:rFonts w:hint="eastAsia" w:ascii="宋体" w:hAnsi="宋体"/>
          <w:color w:val="auto"/>
          <w:highlight w:val="none"/>
        </w:rPr>
        <w:t>编号：</w:t>
      </w:r>
    </w:p>
    <w:p>
      <w:pPr>
        <w:rPr>
          <w:rFonts w:ascii="宋体" w:hAnsi="宋体"/>
          <w:color w:val="auto"/>
          <w:highlight w:val="none"/>
        </w:rPr>
      </w:pPr>
      <w:r>
        <w:rPr>
          <w:rFonts w:hint="eastAsia" w:ascii="宋体" w:hAnsi="宋体"/>
          <w:color w:val="auto"/>
          <w:highlight w:val="none"/>
        </w:rPr>
        <w:t>（采购人或采购代理机构）：</w:t>
      </w:r>
    </w:p>
    <w:p>
      <w:pPr>
        <w:ind w:firstLine="420" w:firstLineChars="200"/>
        <w:rPr>
          <w:rFonts w:ascii="宋体" w:hAnsi="宋体"/>
          <w:color w:val="auto"/>
          <w:highlight w:val="none"/>
        </w:rPr>
      </w:pPr>
      <w:r>
        <w:rPr>
          <w:rFonts w:hint="eastAsia" w:ascii="宋体" w:hAnsi="宋体"/>
          <w:color w:val="auto"/>
          <w:highlight w:val="none"/>
        </w:rPr>
        <w:t>鉴于（以下简称“投标人”）拟参加编号为的</w:t>
      </w:r>
    </w:p>
    <w:p>
      <w:pPr>
        <w:rPr>
          <w:rFonts w:ascii="宋体" w:hAnsi="宋体"/>
          <w:color w:val="auto"/>
          <w:highlight w:val="none"/>
        </w:rPr>
      </w:pPr>
      <w:r>
        <w:rPr>
          <w:rFonts w:hint="eastAsia" w:ascii="宋体" w:hAnsi="宋体"/>
          <w:color w:val="auto"/>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宋体" w:hAnsi="宋体"/>
          <w:color w:val="auto"/>
          <w:highlight w:val="none"/>
        </w:rPr>
      </w:pPr>
      <w:r>
        <w:rPr>
          <w:rFonts w:hint="eastAsia" w:ascii="宋体" w:hAnsi="宋体"/>
          <w:color w:val="auto"/>
          <w:highlight w:val="none"/>
        </w:rPr>
        <w:t>一、保证责任的情形及保证金额</w:t>
      </w:r>
    </w:p>
    <w:p>
      <w:pPr>
        <w:ind w:firstLine="210" w:firstLineChars="100"/>
        <w:rPr>
          <w:rFonts w:ascii="宋体" w:hAnsi="宋体"/>
          <w:color w:val="auto"/>
          <w:highlight w:val="none"/>
        </w:rPr>
      </w:pPr>
      <w:r>
        <w:rPr>
          <w:rFonts w:hint="eastAsia" w:ascii="宋体" w:hAnsi="宋体"/>
          <w:color w:val="auto"/>
          <w:highlight w:val="none"/>
        </w:rPr>
        <w:t>（一）在投标人出现下列情形之一时，我方承担保证责任：</w:t>
      </w:r>
    </w:p>
    <w:p>
      <w:pPr>
        <w:ind w:firstLine="420" w:firstLineChars="200"/>
        <w:rPr>
          <w:rFonts w:ascii="宋体" w:hAnsi="宋体"/>
          <w:color w:val="auto"/>
          <w:highlight w:val="none"/>
        </w:rPr>
      </w:pPr>
      <w:r>
        <w:rPr>
          <w:rFonts w:hint="eastAsia" w:ascii="宋体" w:hAnsi="宋体"/>
          <w:color w:val="auto"/>
          <w:highlight w:val="none"/>
        </w:rPr>
        <w:t>1．中标后投标人无正当理由不与采购人或者采购代理机构签订《政府采购合同》；</w:t>
      </w:r>
    </w:p>
    <w:p>
      <w:pPr>
        <w:ind w:firstLine="420" w:firstLineChars="200"/>
        <w:rPr>
          <w:rFonts w:ascii="宋体" w:hAnsi="宋体"/>
          <w:color w:val="auto"/>
          <w:highlight w:val="none"/>
        </w:rPr>
      </w:pPr>
      <w:r>
        <w:rPr>
          <w:rFonts w:hint="eastAsia" w:ascii="宋体" w:hAnsi="宋体"/>
          <w:color w:val="auto"/>
          <w:highlight w:val="none"/>
        </w:rPr>
        <w:t>2．招标文件规定的投标人应当缴纳保证金的其他情形。</w:t>
      </w:r>
    </w:p>
    <w:p>
      <w:pPr>
        <w:ind w:firstLine="210" w:firstLineChars="100"/>
        <w:rPr>
          <w:rFonts w:ascii="宋体" w:hAnsi="宋体"/>
          <w:color w:val="auto"/>
          <w:highlight w:val="none"/>
        </w:rPr>
      </w:pPr>
      <w:r>
        <w:rPr>
          <w:rFonts w:hint="eastAsia" w:ascii="宋体" w:hAnsi="宋体"/>
          <w:color w:val="auto"/>
          <w:highlight w:val="none"/>
        </w:rPr>
        <w:t>（二）我方承担保证责任的最高金额为人民币元（大写），即本项目的投标保证金金额。</w:t>
      </w:r>
    </w:p>
    <w:p>
      <w:pPr>
        <w:ind w:firstLine="420" w:firstLineChars="200"/>
        <w:rPr>
          <w:rFonts w:ascii="宋体" w:hAnsi="宋体"/>
          <w:color w:val="auto"/>
          <w:highlight w:val="none"/>
        </w:rPr>
      </w:pPr>
      <w:r>
        <w:rPr>
          <w:rFonts w:hint="eastAsia" w:ascii="宋体" w:hAnsi="宋体"/>
          <w:color w:val="auto"/>
          <w:highlight w:val="none"/>
        </w:rPr>
        <w:t>二、保证的方式及保证期间</w:t>
      </w:r>
    </w:p>
    <w:p>
      <w:pPr>
        <w:ind w:firstLine="420" w:firstLineChars="200"/>
        <w:rPr>
          <w:rFonts w:ascii="宋体" w:hAnsi="宋体"/>
          <w:color w:val="auto"/>
          <w:highlight w:val="none"/>
        </w:rPr>
      </w:pPr>
      <w:r>
        <w:rPr>
          <w:rFonts w:hint="eastAsia" w:ascii="宋体" w:hAnsi="宋体"/>
          <w:color w:val="auto"/>
          <w:highlight w:val="none"/>
        </w:rPr>
        <w:t>我方保证的方式为：连带责任保证。</w:t>
      </w:r>
    </w:p>
    <w:p>
      <w:pPr>
        <w:ind w:firstLine="420" w:firstLineChars="200"/>
        <w:rPr>
          <w:rFonts w:ascii="宋体" w:hAnsi="宋体"/>
          <w:color w:val="auto"/>
          <w:highlight w:val="none"/>
        </w:rPr>
      </w:pPr>
      <w:r>
        <w:rPr>
          <w:rFonts w:hint="eastAsia" w:ascii="宋体" w:hAnsi="宋体"/>
          <w:color w:val="auto"/>
          <w:highlight w:val="none"/>
        </w:rPr>
        <w:t>我方的保证期间为：自本保函生效之日起个月止。</w:t>
      </w:r>
    </w:p>
    <w:p>
      <w:pPr>
        <w:ind w:firstLine="420" w:firstLineChars="200"/>
        <w:rPr>
          <w:rFonts w:ascii="宋体" w:hAnsi="宋体"/>
          <w:color w:val="auto"/>
          <w:highlight w:val="none"/>
        </w:rPr>
      </w:pPr>
      <w:r>
        <w:rPr>
          <w:rFonts w:hint="eastAsia" w:ascii="宋体" w:hAnsi="宋体"/>
          <w:color w:val="auto"/>
          <w:highlight w:val="none"/>
        </w:rPr>
        <w:t>三、承担保证责任的程序</w:t>
      </w:r>
    </w:p>
    <w:p>
      <w:pPr>
        <w:ind w:firstLine="420" w:firstLineChars="200"/>
        <w:rPr>
          <w:rFonts w:ascii="宋体" w:hAnsi="宋体"/>
          <w:color w:val="auto"/>
          <w:highlight w:val="none"/>
        </w:rPr>
      </w:pPr>
      <w:r>
        <w:rPr>
          <w:rFonts w:hint="eastAsia" w:ascii="宋体" w:hAnsi="宋体"/>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宋体" w:hAnsi="宋体"/>
          <w:color w:val="auto"/>
          <w:highlight w:val="none"/>
        </w:rPr>
      </w:pPr>
      <w:r>
        <w:rPr>
          <w:rFonts w:hint="eastAsia" w:ascii="宋体" w:hAnsi="宋体"/>
          <w:color w:val="auto"/>
          <w:highlight w:val="none"/>
        </w:rPr>
        <w:t>2．我方在收到索赔通知及相关证明材料后，在</w:t>
      </w:r>
      <w:r>
        <w:rPr>
          <w:rFonts w:hint="eastAsia" w:ascii="宋体" w:hAnsi="宋体"/>
          <w:color w:val="auto"/>
          <w:highlight w:val="none"/>
          <w:u w:val="single"/>
        </w:rPr>
        <w:t>　　　</w:t>
      </w:r>
      <w:r>
        <w:rPr>
          <w:rFonts w:hint="eastAsia" w:ascii="宋体" w:hAnsi="宋体"/>
          <w:color w:val="auto"/>
          <w:highlight w:val="none"/>
        </w:rPr>
        <w:t>个工作日内进行审查，符合应承担保证责任情形的，我方应按照你方的要求代投标人向你方支付投标保证金。</w:t>
      </w:r>
    </w:p>
    <w:p>
      <w:pPr>
        <w:ind w:firstLine="420" w:firstLineChars="200"/>
        <w:rPr>
          <w:rFonts w:ascii="宋体" w:hAnsi="宋体"/>
          <w:color w:val="auto"/>
          <w:highlight w:val="none"/>
        </w:rPr>
      </w:pPr>
      <w:r>
        <w:rPr>
          <w:rFonts w:hint="eastAsia" w:ascii="宋体" w:hAnsi="宋体"/>
          <w:color w:val="auto"/>
          <w:highlight w:val="none"/>
        </w:rPr>
        <w:t>四、保证责任的终止</w:t>
      </w:r>
    </w:p>
    <w:p>
      <w:pPr>
        <w:ind w:firstLine="420" w:firstLineChars="200"/>
        <w:rPr>
          <w:rFonts w:ascii="宋体" w:hAnsi="宋体"/>
          <w:color w:val="auto"/>
          <w:highlight w:val="none"/>
        </w:rPr>
      </w:pPr>
      <w:r>
        <w:rPr>
          <w:rFonts w:hint="eastAsia" w:ascii="宋体" w:hAnsi="宋体"/>
          <w:color w:val="auto"/>
          <w:highlight w:val="none"/>
        </w:rPr>
        <w:t>1．保证期间届满你方未向我方书面主张保证责任的，自保证期间届满次日起，我方保证责任自动终止。</w:t>
      </w:r>
    </w:p>
    <w:p>
      <w:pPr>
        <w:ind w:firstLine="420" w:firstLineChars="200"/>
        <w:rPr>
          <w:rFonts w:ascii="宋体" w:hAnsi="宋体"/>
          <w:color w:val="auto"/>
          <w:highlight w:val="none"/>
        </w:rPr>
      </w:pPr>
      <w:r>
        <w:rPr>
          <w:rFonts w:hint="eastAsia" w:ascii="宋体" w:hAnsi="宋体"/>
          <w:color w:val="auto"/>
          <w:highlight w:val="none"/>
        </w:rPr>
        <w:t>2．我方按照本保函向你贵方履行了保证责任后，自我方向你贵方支付款项（支付款项从我方账户划出）之日起，保证责任终止。</w:t>
      </w:r>
    </w:p>
    <w:p>
      <w:pPr>
        <w:ind w:firstLine="420" w:firstLineChars="200"/>
        <w:rPr>
          <w:rFonts w:ascii="宋体" w:hAnsi="宋体"/>
          <w:color w:val="auto"/>
          <w:highlight w:val="none"/>
        </w:rPr>
      </w:pPr>
      <w:r>
        <w:rPr>
          <w:rFonts w:hint="eastAsia" w:ascii="宋体" w:hAnsi="宋体"/>
          <w:color w:val="auto"/>
          <w:highlight w:val="none"/>
        </w:rPr>
        <w:t>3．按照法律法规的规定或出现我方保证责任终止的其它情形的，我方在本保函项下的保证责任亦终止。</w:t>
      </w:r>
    </w:p>
    <w:p>
      <w:pPr>
        <w:ind w:firstLine="420" w:firstLineChars="200"/>
        <w:rPr>
          <w:rFonts w:ascii="宋体" w:hAnsi="宋体"/>
          <w:color w:val="auto"/>
          <w:highlight w:val="none"/>
        </w:rPr>
      </w:pPr>
      <w:r>
        <w:rPr>
          <w:rFonts w:hint="eastAsia" w:ascii="宋体" w:hAnsi="宋体"/>
          <w:color w:val="auto"/>
          <w:highlight w:val="none"/>
        </w:rPr>
        <w:t>五、免责条款</w:t>
      </w:r>
    </w:p>
    <w:p>
      <w:pPr>
        <w:ind w:firstLine="420" w:firstLineChars="200"/>
        <w:rPr>
          <w:rFonts w:ascii="宋体" w:hAnsi="宋体"/>
          <w:color w:val="auto"/>
          <w:highlight w:val="none"/>
        </w:rPr>
      </w:pPr>
      <w:r>
        <w:rPr>
          <w:rFonts w:hint="eastAsia" w:ascii="宋体" w:hAnsi="宋体"/>
          <w:color w:val="auto"/>
          <w:highlight w:val="none"/>
        </w:rPr>
        <w:t>1．依照法律规定或你方与投标人的另行约定，全部或者部分免除投标人投标保证金义务时，我方亦免除相应的保证责任。</w:t>
      </w:r>
    </w:p>
    <w:p>
      <w:pPr>
        <w:ind w:firstLine="420" w:firstLineChars="200"/>
        <w:rPr>
          <w:rFonts w:ascii="宋体" w:hAnsi="宋体"/>
          <w:color w:val="auto"/>
          <w:highlight w:val="none"/>
        </w:rPr>
      </w:pPr>
      <w:r>
        <w:rPr>
          <w:rFonts w:hint="eastAsia" w:ascii="宋体" w:hAnsi="宋体"/>
          <w:color w:val="auto"/>
          <w:highlight w:val="none"/>
        </w:rPr>
        <w:t>2．因你方原因致使投标人发生本保函第一条第（一）款约定情形的，我方不承担保证责任。</w:t>
      </w:r>
    </w:p>
    <w:p>
      <w:pPr>
        <w:ind w:firstLine="420" w:firstLineChars="200"/>
        <w:rPr>
          <w:rFonts w:ascii="宋体" w:hAnsi="宋体"/>
          <w:color w:val="auto"/>
          <w:highlight w:val="none"/>
        </w:rPr>
      </w:pPr>
      <w:r>
        <w:rPr>
          <w:rFonts w:hint="eastAsia" w:ascii="宋体" w:hAnsi="宋体"/>
          <w:color w:val="auto"/>
          <w:highlight w:val="none"/>
        </w:rPr>
        <w:t>3．因不可抗力造成投标人发生本保函第一条约定情形的，我方不承担保证责任。</w:t>
      </w:r>
    </w:p>
    <w:p>
      <w:pPr>
        <w:ind w:firstLine="420" w:firstLineChars="200"/>
        <w:rPr>
          <w:rFonts w:ascii="宋体" w:hAnsi="宋体"/>
          <w:color w:val="auto"/>
          <w:highlight w:val="none"/>
        </w:rPr>
      </w:pPr>
      <w:r>
        <w:rPr>
          <w:rFonts w:hint="eastAsia" w:ascii="宋体" w:hAnsi="宋体"/>
          <w:color w:val="auto"/>
          <w:highlight w:val="none"/>
        </w:rPr>
        <w:t>4．你方或其他有权机关对招标文件进行任何澄清或修改，加重我方保证责任的，我方对加重部分不承担保证责任，但该澄清或修改经我方事先书面同意的除外。</w:t>
      </w:r>
    </w:p>
    <w:p>
      <w:pPr>
        <w:ind w:firstLine="420" w:firstLineChars="200"/>
        <w:rPr>
          <w:rFonts w:ascii="宋体" w:hAnsi="宋体"/>
          <w:color w:val="auto"/>
          <w:highlight w:val="none"/>
        </w:rPr>
      </w:pPr>
      <w:r>
        <w:rPr>
          <w:rFonts w:hint="eastAsia" w:ascii="宋体" w:hAnsi="宋体"/>
          <w:color w:val="auto"/>
          <w:highlight w:val="none"/>
        </w:rPr>
        <w:t>六、争议的解决</w:t>
      </w:r>
    </w:p>
    <w:p>
      <w:pPr>
        <w:ind w:firstLine="420" w:firstLineChars="200"/>
        <w:rPr>
          <w:rFonts w:ascii="宋体" w:hAnsi="宋体"/>
          <w:color w:val="auto"/>
          <w:highlight w:val="none"/>
        </w:rPr>
      </w:pPr>
      <w:r>
        <w:rPr>
          <w:rFonts w:hint="eastAsia" w:ascii="宋体" w:hAnsi="宋体"/>
          <w:color w:val="auto"/>
          <w:highlight w:val="none"/>
        </w:rPr>
        <w:t>因本保函发生的纠纷，由你我双方协商解决，协商不成的，通过诉讼程序解决，诉讼管辖地法院为法院。</w:t>
      </w:r>
    </w:p>
    <w:p>
      <w:pPr>
        <w:ind w:firstLine="420" w:firstLineChars="200"/>
        <w:rPr>
          <w:rFonts w:ascii="宋体" w:hAnsi="宋体"/>
          <w:color w:val="auto"/>
          <w:highlight w:val="none"/>
        </w:rPr>
      </w:pPr>
      <w:r>
        <w:rPr>
          <w:rFonts w:hint="eastAsia" w:ascii="宋体" w:hAnsi="宋体"/>
          <w:color w:val="auto"/>
          <w:highlight w:val="none"/>
        </w:rPr>
        <w:t>七、保函的生效</w:t>
      </w:r>
    </w:p>
    <w:p>
      <w:pPr>
        <w:ind w:firstLine="420" w:firstLineChars="200"/>
        <w:rPr>
          <w:rFonts w:ascii="宋体" w:hAnsi="宋体"/>
          <w:color w:val="auto"/>
          <w:highlight w:val="none"/>
        </w:rPr>
      </w:pPr>
      <w:r>
        <w:rPr>
          <w:rFonts w:hint="eastAsia" w:ascii="宋体" w:hAnsi="宋体"/>
          <w:color w:val="auto"/>
          <w:highlight w:val="none"/>
        </w:rPr>
        <w:t>本保函自我方加盖公章之日起生效。</w:t>
      </w:r>
    </w:p>
    <w:p>
      <w:pPr>
        <w:ind w:firstLine="5565" w:firstLineChars="2650"/>
        <w:rPr>
          <w:rFonts w:ascii="宋体" w:hAnsi="宋体"/>
          <w:color w:val="auto"/>
          <w:highlight w:val="none"/>
        </w:rPr>
      </w:pPr>
      <w:r>
        <w:rPr>
          <w:rFonts w:hint="eastAsia" w:ascii="宋体" w:hAnsi="宋体"/>
          <w:color w:val="auto"/>
          <w:highlight w:val="none"/>
        </w:rPr>
        <w:t>保证人：（公章）</w:t>
      </w:r>
    </w:p>
    <w:p>
      <w:pPr>
        <w:jc w:val="right"/>
        <w:rPr>
          <w:rFonts w:ascii="宋体" w:hAnsi="宋体"/>
          <w:color w:val="auto"/>
          <w:highlight w:val="none"/>
        </w:rPr>
      </w:pPr>
      <w:r>
        <w:rPr>
          <w:rFonts w:hint="eastAsia" w:ascii="宋体" w:hAnsi="宋体"/>
          <w:color w:val="auto"/>
          <w:highlight w:val="none"/>
        </w:rPr>
        <w:t>年     月      日</w:t>
      </w:r>
    </w:p>
    <w:p>
      <w:pPr>
        <w:ind w:firstLine="5775" w:firstLineChars="2750"/>
        <w:rPr>
          <w:rFonts w:ascii="宋体" w:hAnsi="宋体"/>
          <w:color w:val="auto"/>
          <w:highlight w:val="none"/>
        </w:rPr>
        <w:sectPr>
          <w:footerReference r:id="rId11" w:type="first"/>
          <w:footerReference r:id="rId9" w:type="default"/>
          <w:footerReference r:id="rId10" w:type="even"/>
          <w:pgSz w:w="11906" w:h="16838"/>
          <w:pgMar w:top="1440" w:right="1797" w:bottom="1440" w:left="1797" w:header="851" w:footer="992" w:gutter="0"/>
          <w:cols w:space="720" w:num="1"/>
          <w:docGrid w:type="linesAndChars" w:linePitch="312" w:charSpace="0"/>
        </w:sectPr>
      </w:pPr>
    </w:p>
    <w:p>
      <w:pPr>
        <w:ind w:firstLine="5775" w:firstLineChars="2750"/>
        <w:rPr>
          <w:rFonts w:ascii="宋体" w:hAnsi="宋体"/>
          <w:color w:val="auto"/>
          <w:highlight w:val="none"/>
        </w:rPr>
      </w:pPr>
    </w:p>
    <w:p>
      <w:pPr>
        <w:pStyle w:val="4"/>
        <w:spacing w:before="0" w:line="240" w:lineRule="atLeast"/>
        <w:rPr>
          <w:rFonts w:ascii="宋体" w:hAnsi="宋体" w:eastAsia="宋体"/>
          <w:color w:val="auto"/>
          <w:sz w:val="24"/>
          <w:highlight w:val="none"/>
        </w:rPr>
      </w:pPr>
      <w:bookmarkStart w:id="361" w:name="_Toc9457"/>
      <w:bookmarkStart w:id="362" w:name="_Toc533275366"/>
      <w:bookmarkStart w:id="363" w:name="_Toc510950650"/>
      <w:bookmarkStart w:id="364" w:name="_Toc494447303"/>
      <w:bookmarkStart w:id="365" w:name="_Toc495418088"/>
      <w:r>
        <w:rPr>
          <w:rFonts w:ascii="宋体" w:hAnsi="宋体" w:eastAsia="宋体"/>
          <w:color w:val="auto"/>
          <w:sz w:val="24"/>
          <w:highlight w:val="none"/>
        </w:rPr>
        <w:t xml:space="preserve">6  </w:t>
      </w:r>
      <w:r>
        <w:rPr>
          <w:rFonts w:hint="eastAsia" w:ascii="宋体" w:hAnsi="宋体" w:eastAsia="宋体"/>
          <w:color w:val="auto"/>
          <w:sz w:val="24"/>
          <w:highlight w:val="none"/>
        </w:rPr>
        <w:t>依法缴纳税收和社会保障资金的记录</w:t>
      </w:r>
      <w:bookmarkEnd w:id="361"/>
      <w:bookmarkEnd w:id="362"/>
      <w:bookmarkEnd w:id="363"/>
      <w:bookmarkEnd w:id="364"/>
      <w:bookmarkEnd w:id="365"/>
    </w:p>
    <w:p>
      <w:pPr>
        <w:pStyle w:val="22"/>
        <w:tabs>
          <w:tab w:val="left" w:pos="5580"/>
        </w:tabs>
        <w:spacing w:line="240" w:lineRule="atLeast"/>
        <w:ind w:left="1079" w:leftChars="257" w:hanging="540"/>
        <w:jc w:val="center"/>
        <w:rPr>
          <w:rFonts w:hAnsi="宋体"/>
          <w:b/>
          <w:color w:val="auto"/>
          <w:sz w:val="24"/>
          <w:highlight w:val="none"/>
        </w:rPr>
      </w:pPr>
    </w:p>
    <w:p>
      <w:pPr>
        <w:pStyle w:val="22"/>
        <w:tabs>
          <w:tab w:val="left" w:pos="5580"/>
        </w:tabs>
        <w:spacing w:line="240" w:lineRule="atLeast"/>
        <w:ind w:left="540"/>
        <w:rPr>
          <w:rFonts w:hAnsi="宋体"/>
          <w:b/>
          <w:color w:val="auto"/>
          <w:sz w:val="24"/>
          <w:highlight w:val="none"/>
        </w:rPr>
      </w:pPr>
    </w:p>
    <w:p>
      <w:pPr>
        <w:pStyle w:val="22"/>
        <w:tabs>
          <w:tab w:val="left" w:pos="5580"/>
        </w:tabs>
        <w:spacing w:line="240" w:lineRule="atLeast"/>
        <w:ind w:left="540"/>
        <w:rPr>
          <w:rFonts w:hAnsi="宋体"/>
          <w:color w:val="auto"/>
          <w:sz w:val="24"/>
          <w:highlight w:val="none"/>
        </w:rPr>
      </w:pPr>
      <w:r>
        <w:rPr>
          <w:rFonts w:hint="eastAsia" w:hAnsi="宋体"/>
          <w:color w:val="auto"/>
          <w:sz w:val="24"/>
          <w:highlight w:val="none"/>
        </w:rPr>
        <w:t>说明：1.按照</w:t>
      </w:r>
      <w:r>
        <w:rPr>
          <w:rFonts w:hint="eastAsia" w:hAnsi="宋体"/>
          <w:color w:val="auto"/>
          <w:sz w:val="24"/>
          <w:highlight w:val="none"/>
          <w:u w:val="single"/>
        </w:rPr>
        <w:t>投标邀请书</w:t>
      </w:r>
      <w:r>
        <w:rPr>
          <w:rFonts w:hint="eastAsia" w:hAnsi="宋体"/>
          <w:color w:val="auto"/>
          <w:sz w:val="24"/>
          <w:highlight w:val="none"/>
        </w:rPr>
        <w:t>中的规定提供复印件。</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      2.复印件上应加盖本单位公章。</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3.如果是联合体投标，联合体各方均需提供上述证明。</w:t>
      </w:r>
    </w:p>
    <w:p>
      <w:pPr>
        <w:pStyle w:val="22"/>
        <w:tabs>
          <w:tab w:val="left" w:pos="5580"/>
        </w:tabs>
        <w:spacing w:line="240" w:lineRule="atLeast"/>
        <w:ind w:left="1079" w:leftChars="257" w:hanging="540"/>
        <w:rPr>
          <w:rFonts w:hAnsi="宋体"/>
          <w:color w:val="auto"/>
          <w:sz w:val="24"/>
          <w:highlight w:val="none"/>
        </w:rPr>
      </w:pPr>
    </w:p>
    <w:p>
      <w:pPr>
        <w:widowControl/>
        <w:jc w:val="left"/>
        <w:rPr>
          <w:rFonts w:ascii="宋体" w:hAnsi="宋体"/>
          <w:b/>
          <w:color w:val="auto"/>
          <w:kern w:val="0"/>
          <w:sz w:val="24"/>
          <w:szCs w:val="20"/>
          <w:highlight w:val="none"/>
        </w:rPr>
      </w:pPr>
      <w:r>
        <w:rPr>
          <w:rFonts w:ascii="宋体" w:hAnsi="宋体"/>
          <w:color w:val="auto"/>
          <w:sz w:val="24"/>
          <w:highlight w:val="none"/>
        </w:rPr>
        <w:br w:type="page"/>
      </w:r>
    </w:p>
    <w:p>
      <w:pPr>
        <w:pStyle w:val="4"/>
        <w:spacing w:before="0" w:line="240" w:lineRule="atLeast"/>
        <w:rPr>
          <w:rFonts w:ascii="宋体" w:hAnsi="宋体" w:eastAsia="宋体"/>
          <w:color w:val="auto"/>
          <w:sz w:val="24"/>
          <w:highlight w:val="none"/>
        </w:rPr>
      </w:pPr>
      <w:bookmarkStart w:id="366" w:name="_Toc533275367"/>
      <w:bookmarkStart w:id="367" w:name="_Toc7699"/>
      <w:r>
        <w:rPr>
          <w:rFonts w:hint="eastAsia" w:ascii="宋体" w:hAnsi="宋体" w:eastAsia="宋体"/>
          <w:color w:val="auto"/>
          <w:sz w:val="24"/>
          <w:highlight w:val="none"/>
        </w:rPr>
        <w:t>7履行合同所必须的设备和专业技术能力的证明材料</w:t>
      </w:r>
      <w:bookmarkEnd w:id="366"/>
      <w:bookmarkEnd w:id="367"/>
    </w:p>
    <w:p>
      <w:pPr>
        <w:pStyle w:val="22"/>
        <w:tabs>
          <w:tab w:val="left" w:pos="5580"/>
        </w:tabs>
        <w:spacing w:line="240" w:lineRule="atLeast"/>
        <w:ind w:left="1079" w:leftChars="257" w:hanging="540"/>
        <w:jc w:val="center"/>
        <w:rPr>
          <w:rFonts w:hAnsi="宋体"/>
          <w:b/>
          <w:color w:val="auto"/>
          <w:sz w:val="24"/>
          <w:highlight w:val="none"/>
        </w:rPr>
      </w:pPr>
    </w:p>
    <w:p>
      <w:pPr>
        <w:pStyle w:val="22"/>
        <w:tabs>
          <w:tab w:val="left" w:pos="5580"/>
        </w:tabs>
        <w:spacing w:line="240" w:lineRule="atLeast"/>
        <w:ind w:left="540"/>
        <w:rPr>
          <w:rFonts w:hAnsi="宋体"/>
          <w:b/>
          <w:color w:val="auto"/>
          <w:sz w:val="24"/>
          <w:highlight w:val="none"/>
        </w:rPr>
      </w:pPr>
    </w:p>
    <w:p>
      <w:pPr>
        <w:pStyle w:val="22"/>
        <w:tabs>
          <w:tab w:val="left" w:pos="5580"/>
        </w:tabs>
        <w:spacing w:line="240" w:lineRule="atLeast"/>
        <w:ind w:left="540"/>
        <w:rPr>
          <w:rFonts w:hAnsi="宋体"/>
          <w:color w:val="auto"/>
          <w:sz w:val="24"/>
          <w:highlight w:val="none"/>
        </w:rPr>
      </w:pPr>
      <w:r>
        <w:rPr>
          <w:rFonts w:hint="eastAsia" w:hAnsi="宋体"/>
          <w:color w:val="auto"/>
          <w:sz w:val="24"/>
          <w:highlight w:val="none"/>
        </w:rPr>
        <w:t>说明：1.按照</w:t>
      </w:r>
      <w:r>
        <w:rPr>
          <w:rFonts w:hint="eastAsia" w:hAnsi="宋体"/>
          <w:color w:val="auto"/>
          <w:sz w:val="24"/>
          <w:highlight w:val="none"/>
          <w:u w:val="single"/>
        </w:rPr>
        <w:t>投标邀请书</w:t>
      </w:r>
      <w:r>
        <w:rPr>
          <w:rFonts w:hint="eastAsia" w:hAnsi="宋体"/>
          <w:color w:val="auto"/>
          <w:sz w:val="24"/>
          <w:highlight w:val="none"/>
        </w:rPr>
        <w:t>中的规定提供复印件。</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      2.复印件上应加盖本单位公章。</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3.如果是联合体投标，联合体各方均需提供上述证明。</w:t>
      </w:r>
    </w:p>
    <w:p>
      <w:pPr>
        <w:pStyle w:val="22"/>
        <w:tabs>
          <w:tab w:val="left" w:pos="5580"/>
        </w:tabs>
        <w:spacing w:line="240" w:lineRule="atLeast"/>
        <w:ind w:left="1079" w:leftChars="257" w:hanging="540"/>
        <w:rPr>
          <w:rFonts w:hAnsi="宋体"/>
          <w:color w:val="auto"/>
          <w:sz w:val="24"/>
          <w:highlight w:val="none"/>
        </w:rPr>
      </w:pPr>
    </w:p>
    <w:p>
      <w:pPr>
        <w:pStyle w:val="4"/>
        <w:spacing w:before="0" w:line="240" w:lineRule="atLeast"/>
        <w:rPr>
          <w:rFonts w:ascii="宋体" w:hAnsi="宋体" w:eastAsia="宋体"/>
          <w:color w:val="auto"/>
          <w:sz w:val="24"/>
          <w:highlight w:val="none"/>
        </w:rPr>
      </w:pPr>
      <w:r>
        <w:rPr>
          <w:rFonts w:ascii="宋体" w:hAnsi="宋体" w:eastAsia="宋体"/>
          <w:color w:val="auto"/>
          <w:sz w:val="24"/>
          <w:highlight w:val="none"/>
        </w:rPr>
        <w:br w:type="page"/>
      </w:r>
      <w:bookmarkStart w:id="368" w:name="_Toc494447304"/>
      <w:bookmarkStart w:id="369" w:name="_Toc495418089"/>
      <w:bookmarkStart w:id="370" w:name="_Toc533275368"/>
      <w:bookmarkStart w:id="371" w:name="_Toc510950651"/>
      <w:bookmarkStart w:id="372" w:name="_Toc29804"/>
      <w:r>
        <w:rPr>
          <w:rFonts w:hint="eastAsia" w:ascii="宋体" w:hAnsi="宋体" w:eastAsia="宋体"/>
          <w:color w:val="auto"/>
          <w:sz w:val="24"/>
          <w:highlight w:val="none"/>
        </w:rPr>
        <w:t>8参加政府采购活动前3年内</w:t>
      </w:r>
      <w:bookmarkEnd w:id="368"/>
      <w:bookmarkEnd w:id="369"/>
      <w:bookmarkEnd w:id="370"/>
      <w:bookmarkStart w:id="373" w:name="_Toc495418090"/>
      <w:bookmarkStart w:id="374" w:name="_Toc494447305"/>
      <w:bookmarkStart w:id="375" w:name="_Toc533275369"/>
      <w:r>
        <w:rPr>
          <w:rFonts w:hint="eastAsia" w:ascii="宋体" w:hAnsi="宋体" w:eastAsia="宋体"/>
          <w:color w:val="auto"/>
          <w:sz w:val="24"/>
          <w:highlight w:val="none"/>
        </w:rPr>
        <w:t>在经营活动中没有重大违法记录的书面声明</w:t>
      </w:r>
      <w:bookmarkEnd w:id="371"/>
      <w:bookmarkEnd w:id="372"/>
      <w:bookmarkEnd w:id="373"/>
      <w:bookmarkEnd w:id="374"/>
      <w:bookmarkEnd w:id="375"/>
    </w:p>
    <w:p>
      <w:pPr>
        <w:pStyle w:val="4"/>
        <w:spacing w:before="0" w:line="240" w:lineRule="atLeast"/>
        <w:ind w:left="1079" w:leftChars="257" w:hanging="540"/>
        <w:rPr>
          <w:rFonts w:ascii="宋体" w:hAnsi="宋体" w:eastAsia="宋体"/>
          <w:color w:val="auto"/>
          <w:sz w:val="24"/>
          <w:highlight w:val="none"/>
        </w:rPr>
      </w:pPr>
    </w:p>
    <w:p>
      <w:pPr>
        <w:pStyle w:val="22"/>
        <w:tabs>
          <w:tab w:val="left" w:pos="5580"/>
        </w:tabs>
        <w:spacing w:line="240" w:lineRule="atLeast"/>
        <w:ind w:left="1079" w:leftChars="257" w:hanging="540"/>
        <w:jc w:val="center"/>
        <w:rPr>
          <w:rFonts w:hAnsi="宋体"/>
          <w:b/>
          <w:color w:val="auto"/>
          <w:sz w:val="24"/>
          <w:highlight w:val="none"/>
        </w:rPr>
      </w:pP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说明：1.按照招标文件的规定提供，并加盖公章（自然人投标的无需盖章，需要签字）。</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      2.如果是联合体投标，联合体各方均需提供上述证明。</w:t>
      </w:r>
    </w:p>
    <w:p>
      <w:pPr>
        <w:pStyle w:val="4"/>
        <w:spacing w:before="0" w:line="240" w:lineRule="atLeast"/>
        <w:ind w:left="1079" w:leftChars="257" w:hanging="540"/>
        <w:rPr>
          <w:rFonts w:ascii="宋体" w:hAnsi="宋体" w:eastAsia="宋体"/>
          <w:color w:val="auto"/>
          <w:sz w:val="24"/>
          <w:highlight w:val="none"/>
        </w:rPr>
      </w:pPr>
      <w:r>
        <w:rPr>
          <w:rFonts w:ascii="宋体" w:hAnsi="宋体" w:eastAsia="宋体"/>
          <w:color w:val="auto"/>
          <w:sz w:val="24"/>
          <w:highlight w:val="none"/>
        </w:rPr>
        <w:br w:type="page"/>
      </w:r>
    </w:p>
    <w:p>
      <w:pPr>
        <w:pStyle w:val="4"/>
        <w:spacing w:before="0" w:line="240" w:lineRule="atLeast"/>
        <w:rPr>
          <w:rFonts w:ascii="宋体" w:hAnsi="宋体" w:eastAsia="宋体"/>
          <w:color w:val="auto"/>
          <w:sz w:val="24"/>
          <w:highlight w:val="none"/>
        </w:rPr>
      </w:pPr>
      <w:bookmarkStart w:id="376" w:name="_Toc510950652"/>
      <w:bookmarkStart w:id="377" w:name="_Toc533275370"/>
      <w:bookmarkStart w:id="378" w:name="_Toc494447306"/>
      <w:bookmarkStart w:id="379" w:name="_Toc32018"/>
      <w:bookmarkStart w:id="380" w:name="_Toc495418091"/>
      <w:r>
        <w:rPr>
          <w:rFonts w:hint="eastAsia" w:ascii="宋体" w:hAnsi="宋体" w:eastAsia="宋体"/>
          <w:color w:val="auto"/>
          <w:sz w:val="24"/>
          <w:highlight w:val="none"/>
        </w:rPr>
        <w:t>9  投标人须知资料表要求的其他资格证明文件</w:t>
      </w:r>
      <w:bookmarkEnd w:id="376"/>
      <w:bookmarkEnd w:id="377"/>
      <w:bookmarkEnd w:id="378"/>
      <w:bookmarkEnd w:id="379"/>
      <w:bookmarkEnd w:id="380"/>
    </w:p>
    <w:p>
      <w:pPr>
        <w:spacing w:line="240" w:lineRule="atLeast"/>
        <w:ind w:left="1079" w:leftChars="257" w:hanging="540"/>
        <w:jc w:val="center"/>
        <w:rPr>
          <w:rFonts w:ascii="宋体" w:hAnsi="宋体"/>
          <w:b/>
          <w:bCs/>
          <w:color w:val="auto"/>
          <w:sz w:val="24"/>
          <w:highlight w:val="none"/>
        </w:rPr>
      </w:pPr>
    </w:p>
    <w:p>
      <w:pPr>
        <w:spacing w:line="240" w:lineRule="atLeast"/>
        <w:ind w:left="1079" w:leftChars="257" w:hanging="540"/>
        <w:jc w:val="center"/>
        <w:rPr>
          <w:rFonts w:ascii="宋体" w:hAnsi="宋体"/>
          <w:b/>
          <w:bCs/>
          <w:color w:val="auto"/>
          <w:sz w:val="24"/>
          <w:highlight w:val="none"/>
        </w:rPr>
      </w:pPr>
    </w:p>
    <w:p>
      <w:pPr>
        <w:spacing w:line="240" w:lineRule="atLeast"/>
        <w:ind w:left="1079" w:leftChars="257" w:hanging="540"/>
        <w:jc w:val="center"/>
        <w:rPr>
          <w:rFonts w:ascii="宋体" w:hAnsi="宋体"/>
          <w:b/>
          <w:bCs/>
          <w:color w:val="auto"/>
          <w:sz w:val="24"/>
          <w:highlight w:val="non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说明：1.应提供</w:t>
      </w:r>
      <w:r>
        <w:rPr>
          <w:rFonts w:hint="eastAsia" w:hAnsi="宋体"/>
          <w:color w:val="auto"/>
          <w:sz w:val="24"/>
          <w:highlight w:val="none"/>
          <w:u w:val="single"/>
        </w:rPr>
        <w:t>投标邀请书</w:t>
      </w:r>
      <w:r>
        <w:rPr>
          <w:rFonts w:hint="eastAsia" w:hAnsi="宋体"/>
          <w:color w:val="auto"/>
          <w:sz w:val="24"/>
          <w:highlight w:val="none"/>
        </w:rPr>
        <w:t>要求的其他资格证明文件。</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 xml:space="preserve">      2.复印件上应加盖本单位公章（自然人投标的无需盖章，需要签字）。</w:t>
      </w:r>
    </w:p>
    <w:p>
      <w:pPr>
        <w:pStyle w:val="22"/>
        <w:tabs>
          <w:tab w:val="left" w:pos="5580"/>
        </w:tabs>
        <w:spacing w:line="240" w:lineRule="atLeast"/>
        <w:ind w:left="1260" w:leftChars="344" w:hanging="538"/>
        <w:rPr>
          <w:rFonts w:hAnsi="宋体"/>
          <w:color w:val="auto"/>
          <w:sz w:val="24"/>
          <w:highlight w:val="none"/>
        </w:rPr>
      </w:pPr>
      <w:r>
        <w:rPr>
          <w:rFonts w:hint="eastAsia" w:hAnsi="宋体"/>
          <w:color w:val="auto"/>
          <w:sz w:val="24"/>
          <w:highlight w:val="none"/>
        </w:rPr>
        <w:t xml:space="preserve">     3. 如果是联合体投标，联合体各方需提供的满足招标文件要求的其他资格证明文件。</w:t>
      </w:r>
    </w:p>
    <w:p>
      <w:pPr>
        <w:pStyle w:val="4"/>
        <w:spacing w:before="0" w:line="240" w:lineRule="atLeast"/>
        <w:ind w:left="1079" w:leftChars="257" w:hanging="540"/>
        <w:rPr>
          <w:rFonts w:ascii="宋体" w:hAnsi="宋体" w:eastAsia="宋体"/>
          <w:color w:val="auto"/>
          <w:sz w:val="24"/>
          <w:highlight w:val="none"/>
        </w:rPr>
      </w:pPr>
      <w:r>
        <w:rPr>
          <w:rFonts w:ascii="宋体" w:hAnsi="宋体" w:eastAsia="宋体"/>
          <w:color w:val="auto"/>
          <w:sz w:val="24"/>
          <w:highlight w:val="none"/>
        </w:rPr>
        <w:br w:type="page"/>
      </w:r>
    </w:p>
    <w:p>
      <w:pPr>
        <w:pStyle w:val="4"/>
        <w:spacing w:before="0" w:line="240" w:lineRule="atLeast"/>
        <w:rPr>
          <w:rFonts w:ascii="宋体" w:hAnsi="宋体" w:eastAsia="宋体"/>
          <w:color w:val="auto"/>
          <w:sz w:val="24"/>
          <w:highlight w:val="none"/>
        </w:rPr>
      </w:pPr>
      <w:bookmarkStart w:id="381" w:name="_Toc495418092"/>
      <w:bookmarkStart w:id="382" w:name="_Toc533275371"/>
      <w:bookmarkStart w:id="383" w:name="_Toc494447307"/>
      <w:bookmarkStart w:id="384" w:name="_Toc510950653"/>
      <w:bookmarkStart w:id="385" w:name="_Toc3388"/>
      <w:r>
        <w:rPr>
          <w:rFonts w:hint="eastAsia" w:ascii="宋体" w:hAnsi="宋体" w:eastAsia="宋体"/>
          <w:color w:val="auto"/>
          <w:sz w:val="24"/>
          <w:highlight w:val="none"/>
        </w:rPr>
        <w:t>10</w:t>
      </w:r>
      <w:r>
        <w:rPr>
          <w:rFonts w:ascii="宋体" w:hAnsi="宋体" w:eastAsia="宋体"/>
          <w:color w:val="auto"/>
          <w:sz w:val="24"/>
          <w:highlight w:val="none"/>
        </w:rPr>
        <w:t>-1</w:t>
      </w:r>
      <w:r>
        <w:rPr>
          <w:rFonts w:hint="eastAsia" w:ascii="宋体" w:hAnsi="宋体" w:eastAsia="宋体"/>
          <w:color w:val="auto"/>
          <w:sz w:val="24"/>
          <w:highlight w:val="none"/>
        </w:rPr>
        <w:t xml:space="preserve">  制造厂家的授权书　（</w:t>
      </w:r>
      <w:r>
        <w:rPr>
          <w:rFonts w:ascii="宋体" w:hAnsi="宋体" w:eastAsia="宋体"/>
          <w:color w:val="auto"/>
          <w:sz w:val="24"/>
          <w:highlight w:val="none"/>
        </w:rPr>
        <w:t>投标文件</w:t>
      </w:r>
      <w:r>
        <w:rPr>
          <w:rFonts w:hint="eastAsia" w:ascii="宋体" w:hAnsi="宋体" w:eastAsia="宋体"/>
          <w:color w:val="auto"/>
          <w:sz w:val="24"/>
          <w:highlight w:val="none"/>
        </w:rPr>
        <w:t>格式四）</w:t>
      </w:r>
      <w:bookmarkEnd w:id="381"/>
      <w:bookmarkEnd w:id="382"/>
      <w:bookmarkEnd w:id="383"/>
      <w:bookmarkEnd w:id="384"/>
      <w:bookmarkEnd w:id="385"/>
    </w:p>
    <w:p>
      <w:pPr>
        <w:tabs>
          <w:tab w:val="left" w:pos="5580"/>
        </w:tabs>
        <w:spacing w:line="240" w:lineRule="atLeast"/>
        <w:ind w:left="1079" w:leftChars="257" w:hanging="540"/>
        <w:rPr>
          <w:rFonts w:ascii="宋体" w:hAnsi="宋体"/>
          <w:color w:val="auto"/>
          <w:sz w:val="24"/>
          <w:highlight w:val="none"/>
        </w:rPr>
      </w:pPr>
    </w:p>
    <w:p>
      <w:pPr>
        <w:tabs>
          <w:tab w:val="left" w:pos="5580"/>
        </w:tabs>
        <w:spacing w:line="240" w:lineRule="atLeast"/>
        <w:rPr>
          <w:rFonts w:ascii="宋体" w:hAnsi="宋体"/>
          <w:color w:val="auto"/>
          <w:sz w:val="24"/>
          <w:highlight w:val="none"/>
          <w:u w:val="single"/>
        </w:rPr>
      </w:pPr>
      <w:r>
        <w:rPr>
          <w:rFonts w:hint="eastAsia" w:ascii="宋体" w:hAnsi="宋体"/>
          <w:color w:val="auto"/>
          <w:sz w:val="24"/>
          <w:highlight w:val="none"/>
        </w:rPr>
        <w:t>致：广东华伦招标有限公司</w:t>
      </w:r>
    </w:p>
    <w:p>
      <w:pPr>
        <w:pStyle w:val="22"/>
        <w:tabs>
          <w:tab w:val="left" w:pos="5580"/>
        </w:tabs>
        <w:spacing w:line="240" w:lineRule="atLeast"/>
        <w:ind w:firstLine="540" w:firstLineChars="225"/>
        <w:rPr>
          <w:rFonts w:hAnsi="宋体"/>
          <w:color w:val="auto"/>
          <w:sz w:val="24"/>
          <w:highlight w:val="none"/>
        </w:rPr>
      </w:pPr>
      <w:r>
        <w:rPr>
          <w:rFonts w:hint="eastAsia" w:hAnsi="宋体"/>
          <w:color w:val="auto"/>
          <w:sz w:val="24"/>
          <w:highlight w:val="none"/>
        </w:rPr>
        <w:t>我们（</w:t>
      </w:r>
      <w:r>
        <w:rPr>
          <w:rFonts w:hint="eastAsia" w:hAnsi="宋体"/>
          <w:i/>
          <w:color w:val="auto"/>
          <w:sz w:val="24"/>
          <w:highlight w:val="none"/>
          <w:u w:val="single"/>
        </w:rPr>
        <w:t>制造商名称</w:t>
      </w:r>
      <w:r>
        <w:rPr>
          <w:rFonts w:hint="eastAsia" w:hAnsi="宋体"/>
          <w:color w:val="auto"/>
          <w:sz w:val="24"/>
          <w:highlight w:val="none"/>
        </w:rPr>
        <w:t>）是按（</w:t>
      </w:r>
      <w:r>
        <w:rPr>
          <w:rFonts w:hint="eastAsia" w:hAnsi="宋体"/>
          <w:i/>
          <w:color w:val="auto"/>
          <w:sz w:val="24"/>
          <w:highlight w:val="none"/>
          <w:u w:val="single"/>
        </w:rPr>
        <w:t>国家名称</w:t>
      </w:r>
      <w:r>
        <w:rPr>
          <w:rFonts w:hint="eastAsia" w:hAnsi="宋体"/>
          <w:color w:val="auto"/>
          <w:sz w:val="24"/>
          <w:highlight w:val="none"/>
        </w:rPr>
        <w:t>）法律成立的一家制造商，主要营业地点设在（</w:t>
      </w:r>
      <w:r>
        <w:rPr>
          <w:rFonts w:hint="eastAsia" w:hAnsi="宋体"/>
          <w:i/>
          <w:color w:val="auto"/>
          <w:sz w:val="24"/>
          <w:highlight w:val="none"/>
          <w:u w:val="single"/>
        </w:rPr>
        <w:t>制造商地址</w:t>
      </w:r>
      <w:r>
        <w:rPr>
          <w:rFonts w:hint="eastAsia" w:hAnsi="宋体"/>
          <w:color w:val="auto"/>
          <w:sz w:val="24"/>
          <w:highlight w:val="none"/>
        </w:rPr>
        <w:t>）。兹指派按（</w:t>
      </w:r>
      <w:r>
        <w:rPr>
          <w:rFonts w:hint="eastAsia" w:hAnsi="宋体"/>
          <w:i/>
          <w:color w:val="auto"/>
          <w:sz w:val="24"/>
          <w:highlight w:val="none"/>
          <w:u w:val="single"/>
        </w:rPr>
        <w:t>国家名称</w:t>
      </w:r>
      <w:r>
        <w:rPr>
          <w:rFonts w:hint="eastAsia" w:hAnsi="宋体"/>
          <w:color w:val="auto"/>
          <w:sz w:val="24"/>
          <w:highlight w:val="none"/>
        </w:rPr>
        <w:t>）的法律正式成立的，主要营业地点设在（</w:t>
      </w:r>
      <w:r>
        <w:rPr>
          <w:rFonts w:hint="eastAsia" w:hAnsi="宋体"/>
          <w:i/>
          <w:color w:val="auto"/>
          <w:sz w:val="24"/>
          <w:highlight w:val="none"/>
          <w:u w:val="single"/>
        </w:rPr>
        <w:t>经销商地址</w:t>
      </w:r>
      <w:r>
        <w:rPr>
          <w:rFonts w:hint="eastAsia" w:hAnsi="宋体"/>
          <w:color w:val="auto"/>
          <w:sz w:val="24"/>
          <w:highlight w:val="none"/>
        </w:rPr>
        <w:t>）的（</w:t>
      </w:r>
      <w:r>
        <w:rPr>
          <w:rFonts w:hint="eastAsia" w:hAnsi="宋体"/>
          <w:i/>
          <w:color w:val="auto"/>
          <w:sz w:val="24"/>
          <w:highlight w:val="none"/>
          <w:u w:val="single"/>
        </w:rPr>
        <w:t>经销商名称</w:t>
      </w:r>
      <w:r>
        <w:rPr>
          <w:rFonts w:hint="eastAsia" w:hAnsi="宋体"/>
          <w:color w:val="auto"/>
          <w:sz w:val="24"/>
          <w:highlight w:val="none"/>
        </w:rPr>
        <w:t>）作为我方真正的合法的代理人进行下列有效的活动：</w:t>
      </w:r>
    </w:p>
    <w:p>
      <w:pPr>
        <w:pStyle w:val="22"/>
        <w:tabs>
          <w:tab w:val="left" w:pos="5580"/>
        </w:tabs>
        <w:spacing w:line="240" w:lineRule="atLeast"/>
        <w:ind w:firstLine="540" w:firstLineChars="225"/>
        <w:rPr>
          <w:rFonts w:hAnsi="宋体"/>
          <w:color w:val="auto"/>
          <w:sz w:val="24"/>
          <w:highlight w:val="none"/>
        </w:rPr>
      </w:pPr>
    </w:p>
    <w:p>
      <w:pPr>
        <w:pStyle w:val="22"/>
        <w:numPr>
          <w:ilvl w:val="0"/>
          <w:numId w:val="31"/>
        </w:numPr>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代表我方办理贵方</w:t>
      </w:r>
      <w:r>
        <w:rPr>
          <w:rFonts w:hint="eastAsia" w:hAnsi="宋体"/>
          <w:color w:val="auto"/>
          <w:sz w:val="24"/>
          <w:highlight w:val="none"/>
          <w:u w:val="single"/>
        </w:rPr>
        <w:t>　　（招标编号）　</w:t>
      </w:r>
      <w:r>
        <w:rPr>
          <w:rFonts w:hint="eastAsia" w:hAnsi="宋体"/>
          <w:color w:val="auto"/>
          <w:sz w:val="24"/>
          <w:highlight w:val="none"/>
        </w:rPr>
        <w:t>投标邀请要求提供的由我方制造的货物的有关事宜，并对我方具有约束力。</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（2）作为制造商，我方保证以投标合作者来约束自己，并对该投标共同和分别承担招标文件中所规定的义务。</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（3）我方兹授予</w:t>
      </w:r>
      <w:r>
        <w:rPr>
          <w:rFonts w:hint="eastAsia" w:hAnsi="宋体"/>
          <w:color w:val="auto"/>
          <w:sz w:val="24"/>
          <w:highlight w:val="none"/>
          <w:u w:val="single"/>
        </w:rPr>
        <w:t>　　（经销商名称）　　</w:t>
      </w:r>
      <w:r>
        <w:rPr>
          <w:rFonts w:hint="eastAsia" w:hAnsi="宋体"/>
          <w:color w:val="auto"/>
          <w:sz w:val="24"/>
          <w:highlight w:val="none"/>
        </w:rPr>
        <w:t>全权办理和履行上述我方为完成上述各点所必须的事宜，具有替换或撤销的全权。兹确认</w:t>
      </w:r>
      <w:r>
        <w:rPr>
          <w:rFonts w:hint="eastAsia" w:hAnsi="宋体"/>
          <w:color w:val="auto"/>
          <w:sz w:val="24"/>
          <w:highlight w:val="none"/>
          <w:u w:val="single"/>
        </w:rPr>
        <w:t>　　（经销商名称）　　</w:t>
      </w:r>
      <w:r>
        <w:rPr>
          <w:rFonts w:hint="eastAsia" w:hAnsi="宋体"/>
          <w:color w:val="auto"/>
          <w:sz w:val="24"/>
          <w:highlight w:val="none"/>
        </w:rPr>
        <w:t>或其正式授权代表依此合法地办理一切事宜。</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（4）我方于</w:t>
      </w:r>
      <w:r>
        <w:rPr>
          <w:rFonts w:hint="eastAsia" w:hAnsi="宋体"/>
          <w:color w:val="auto"/>
          <w:sz w:val="24"/>
          <w:highlight w:val="none"/>
          <w:u w:val="single"/>
        </w:rPr>
        <w:t>　　　</w:t>
      </w:r>
      <w:r>
        <w:rPr>
          <w:rFonts w:hint="eastAsia" w:hAnsi="宋体"/>
          <w:color w:val="auto"/>
          <w:sz w:val="24"/>
          <w:highlight w:val="none"/>
        </w:rPr>
        <w:t>年</w:t>
      </w:r>
      <w:r>
        <w:rPr>
          <w:rFonts w:hint="eastAsia" w:hAnsi="宋体"/>
          <w:color w:val="auto"/>
          <w:sz w:val="24"/>
          <w:highlight w:val="none"/>
          <w:u w:val="single"/>
        </w:rPr>
        <w:t>　　　</w:t>
      </w:r>
      <w:r>
        <w:rPr>
          <w:rFonts w:hint="eastAsia" w:hAnsi="宋体"/>
          <w:color w:val="auto"/>
          <w:sz w:val="24"/>
          <w:highlight w:val="none"/>
        </w:rPr>
        <w:t>月</w:t>
      </w:r>
      <w:r>
        <w:rPr>
          <w:rFonts w:hint="eastAsia" w:hAnsi="宋体"/>
          <w:color w:val="auto"/>
          <w:sz w:val="24"/>
          <w:highlight w:val="none"/>
          <w:u w:val="single"/>
        </w:rPr>
        <w:t>　　　</w:t>
      </w:r>
      <w:r>
        <w:rPr>
          <w:rFonts w:hint="eastAsia" w:hAnsi="宋体"/>
          <w:color w:val="auto"/>
          <w:sz w:val="24"/>
          <w:highlight w:val="none"/>
        </w:rPr>
        <w:t>日签署本文件，</w:t>
      </w:r>
      <w:r>
        <w:rPr>
          <w:rFonts w:hint="eastAsia" w:hAnsi="宋体"/>
          <w:color w:val="auto"/>
          <w:sz w:val="24"/>
          <w:highlight w:val="none"/>
          <w:u w:val="single"/>
        </w:rPr>
        <w:t>　　（经销商名称）　　</w:t>
      </w:r>
      <w:r>
        <w:rPr>
          <w:rFonts w:hint="eastAsia" w:hAnsi="宋体"/>
          <w:color w:val="auto"/>
          <w:sz w:val="24"/>
          <w:highlight w:val="none"/>
        </w:rPr>
        <w:t>于</w:t>
      </w:r>
      <w:r>
        <w:rPr>
          <w:rFonts w:hint="eastAsia" w:hAnsi="宋体"/>
          <w:color w:val="auto"/>
          <w:sz w:val="24"/>
          <w:highlight w:val="none"/>
          <w:u w:val="single"/>
        </w:rPr>
        <w:t>　　</w:t>
      </w:r>
      <w:r>
        <w:rPr>
          <w:rFonts w:hint="eastAsia" w:hAnsi="宋体"/>
          <w:color w:val="auto"/>
          <w:sz w:val="24"/>
          <w:highlight w:val="none"/>
        </w:rPr>
        <w:t>年</w:t>
      </w:r>
      <w:r>
        <w:rPr>
          <w:rFonts w:hint="eastAsia" w:hAnsi="宋体"/>
          <w:color w:val="auto"/>
          <w:sz w:val="24"/>
          <w:highlight w:val="none"/>
          <w:u w:val="single"/>
        </w:rPr>
        <w:t>　　　</w:t>
      </w:r>
      <w:r>
        <w:rPr>
          <w:rFonts w:hint="eastAsia" w:hAnsi="宋体"/>
          <w:color w:val="auto"/>
          <w:sz w:val="24"/>
          <w:highlight w:val="none"/>
        </w:rPr>
        <w:t>月</w:t>
      </w:r>
      <w:r>
        <w:rPr>
          <w:rFonts w:hint="eastAsia" w:hAnsi="宋体"/>
          <w:color w:val="auto"/>
          <w:sz w:val="24"/>
          <w:highlight w:val="none"/>
          <w:u w:val="single"/>
        </w:rPr>
        <w:t>　　　</w:t>
      </w:r>
      <w:r>
        <w:rPr>
          <w:rFonts w:hint="eastAsia" w:hAnsi="宋体"/>
          <w:color w:val="auto"/>
          <w:sz w:val="24"/>
          <w:highlight w:val="none"/>
        </w:rPr>
        <w:t>日接受此件，以此为证。</w:t>
      </w: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制造商名称：（盖章）</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签字人职务和部门：</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签字人姓名：</w:t>
      </w:r>
    </w:p>
    <w:p>
      <w:pPr>
        <w:pStyle w:val="22"/>
        <w:tabs>
          <w:tab w:val="left" w:pos="5580"/>
        </w:tabs>
        <w:spacing w:line="240" w:lineRule="atLeast"/>
        <w:ind w:left="1079" w:leftChars="257" w:hanging="540"/>
        <w:rPr>
          <w:rFonts w:hAnsi="宋体"/>
          <w:color w:val="auto"/>
          <w:sz w:val="24"/>
          <w:highlight w:val="none"/>
        </w:rPr>
      </w:pPr>
      <w:bookmarkStart w:id="386" w:name="_Toc494296997"/>
      <w:bookmarkStart w:id="387" w:name="_Toc494296666"/>
      <w:r>
        <w:rPr>
          <w:rFonts w:hint="eastAsia" w:hAnsi="宋体"/>
          <w:color w:val="auto"/>
          <w:sz w:val="24"/>
          <w:highlight w:val="none"/>
        </w:rPr>
        <w:t>签字人签名：</w:t>
      </w:r>
      <w:bookmarkEnd w:id="386"/>
      <w:bookmarkEnd w:id="387"/>
      <w:r>
        <w:rPr>
          <w:rFonts w:hAnsi="宋体"/>
          <w:color w:val="auto"/>
          <w:sz w:val="24"/>
          <w:highlight w:val="none"/>
        </w:rPr>
        <w:br w:type="page"/>
      </w:r>
    </w:p>
    <w:p>
      <w:pPr>
        <w:pStyle w:val="4"/>
        <w:spacing w:before="0" w:line="240" w:lineRule="atLeast"/>
        <w:ind w:left="1079" w:leftChars="257" w:hanging="540"/>
        <w:rPr>
          <w:rFonts w:ascii="宋体" w:hAnsi="宋体" w:eastAsia="宋体"/>
          <w:color w:val="auto"/>
          <w:sz w:val="24"/>
          <w:highlight w:val="none"/>
        </w:rPr>
      </w:pPr>
    </w:p>
    <w:p>
      <w:pPr>
        <w:pStyle w:val="4"/>
        <w:spacing w:before="0" w:line="240" w:lineRule="atLeast"/>
        <w:rPr>
          <w:rFonts w:ascii="宋体" w:hAnsi="宋体" w:eastAsia="宋体"/>
          <w:color w:val="auto"/>
          <w:sz w:val="24"/>
          <w:highlight w:val="none"/>
        </w:rPr>
      </w:pPr>
      <w:bookmarkStart w:id="388" w:name="_Toc495418093"/>
      <w:bookmarkStart w:id="389" w:name="_Toc533275372"/>
      <w:bookmarkStart w:id="390" w:name="_Toc494447308"/>
      <w:bookmarkStart w:id="391" w:name="_Toc510950654"/>
      <w:bookmarkStart w:id="392" w:name="_Toc14044"/>
      <w:r>
        <w:rPr>
          <w:rFonts w:hint="eastAsia" w:ascii="宋体" w:hAnsi="宋体" w:eastAsia="宋体"/>
          <w:color w:val="auto"/>
          <w:sz w:val="24"/>
          <w:highlight w:val="none"/>
        </w:rPr>
        <w:t>10</w:t>
      </w:r>
      <w:r>
        <w:rPr>
          <w:rFonts w:ascii="宋体" w:hAnsi="宋体" w:eastAsia="宋体"/>
          <w:color w:val="auto"/>
          <w:sz w:val="24"/>
          <w:highlight w:val="none"/>
        </w:rPr>
        <w:t>-2</w:t>
      </w:r>
      <w:r>
        <w:rPr>
          <w:rFonts w:hint="eastAsia" w:ascii="宋体" w:hAnsi="宋体" w:eastAsia="宋体"/>
          <w:color w:val="auto"/>
          <w:sz w:val="24"/>
          <w:highlight w:val="none"/>
        </w:rPr>
        <w:t xml:space="preserve">  经销商</w:t>
      </w:r>
      <w:r>
        <w:rPr>
          <w:rFonts w:ascii="宋体" w:hAnsi="宋体" w:eastAsia="宋体"/>
          <w:color w:val="auto"/>
          <w:sz w:val="24"/>
          <w:highlight w:val="none"/>
        </w:rPr>
        <w:t>(</w:t>
      </w:r>
      <w:r>
        <w:rPr>
          <w:rFonts w:hint="eastAsia" w:ascii="宋体" w:hAnsi="宋体" w:eastAsia="宋体"/>
          <w:color w:val="auto"/>
          <w:sz w:val="24"/>
          <w:highlight w:val="none"/>
        </w:rPr>
        <w:t>作为代理</w:t>
      </w:r>
      <w:r>
        <w:rPr>
          <w:rFonts w:ascii="宋体" w:hAnsi="宋体" w:eastAsia="宋体"/>
          <w:color w:val="auto"/>
          <w:sz w:val="24"/>
          <w:highlight w:val="none"/>
        </w:rPr>
        <w:t>)</w:t>
      </w:r>
      <w:r>
        <w:rPr>
          <w:rFonts w:hint="eastAsia" w:ascii="宋体" w:hAnsi="宋体" w:eastAsia="宋体"/>
          <w:color w:val="auto"/>
          <w:sz w:val="24"/>
          <w:highlight w:val="none"/>
        </w:rPr>
        <w:t>的资格声明　</w:t>
      </w:r>
      <w:r>
        <w:rPr>
          <w:rFonts w:ascii="宋体" w:hAnsi="宋体" w:eastAsia="宋体"/>
          <w:color w:val="auto"/>
          <w:sz w:val="24"/>
          <w:highlight w:val="none"/>
        </w:rPr>
        <w:t>(投标文件</w:t>
      </w:r>
      <w:r>
        <w:rPr>
          <w:rFonts w:hint="eastAsia" w:ascii="宋体" w:hAnsi="宋体" w:eastAsia="宋体"/>
          <w:color w:val="auto"/>
          <w:sz w:val="24"/>
          <w:highlight w:val="none"/>
        </w:rPr>
        <w:t>格式五</w:t>
      </w:r>
      <w:r>
        <w:rPr>
          <w:rFonts w:ascii="宋体" w:hAnsi="宋体" w:eastAsia="宋体"/>
          <w:color w:val="auto"/>
          <w:sz w:val="24"/>
          <w:highlight w:val="none"/>
        </w:rPr>
        <w:t>)</w:t>
      </w:r>
      <w:bookmarkEnd w:id="388"/>
      <w:bookmarkEnd w:id="389"/>
      <w:bookmarkEnd w:id="390"/>
      <w:bookmarkEnd w:id="391"/>
      <w:bookmarkEnd w:id="392"/>
    </w:p>
    <w:p>
      <w:pPr>
        <w:spacing w:line="240" w:lineRule="atLeast"/>
        <w:ind w:left="1079" w:leftChars="257" w:hanging="540"/>
        <w:jc w:val="center"/>
        <w:rPr>
          <w:rFonts w:ascii="宋体" w:hAnsi="宋体"/>
          <w:b/>
          <w:color w:val="auto"/>
          <w:sz w:val="24"/>
          <w:highlight w:val="none"/>
        </w:rPr>
      </w:pP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、名称及概况：</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投标人名称：</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地址及邮编：</w:t>
      </w:r>
    </w:p>
    <w:p>
      <w:pPr>
        <w:tabs>
          <w:tab w:val="left" w:pos="5580"/>
        </w:tabs>
        <w:spacing w:line="240" w:lineRule="atLeast"/>
        <w:ind w:left="1079" w:leftChars="257" w:hanging="540"/>
        <w:rPr>
          <w:rFonts w:ascii="宋体" w:hAnsi="宋体"/>
          <w:color w:val="auto"/>
          <w:sz w:val="24"/>
          <w:highlight w:val="none"/>
          <w:u w:val="single"/>
        </w:rPr>
      </w:pPr>
      <w:r>
        <w:rPr>
          <w:rFonts w:ascii="宋体" w:hAnsi="宋体"/>
          <w:color w:val="auto"/>
          <w:sz w:val="24"/>
          <w:highlight w:val="none"/>
        </w:rPr>
        <w:t>(3)</w:t>
      </w:r>
      <w:r>
        <w:rPr>
          <w:rFonts w:hint="eastAsia" w:ascii="宋体" w:hAnsi="宋体"/>
          <w:color w:val="auto"/>
          <w:sz w:val="24"/>
          <w:highlight w:val="none"/>
        </w:rPr>
        <w:t>成立和注册日期：</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主管部门：</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公司性质：</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法人代表：</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职员人数：</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近期资产负债表</w:t>
      </w:r>
      <w:r>
        <w:rPr>
          <w:rFonts w:ascii="宋体" w:hAnsi="宋体"/>
          <w:color w:val="auto"/>
          <w:sz w:val="24"/>
          <w:highlight w:val="none"/>
        </w:rPr>
        <w:t>(</w:t>
      </w:r>
      <w:r>
        <w:rPr>
          <w:rFonts w:hint="eastAsia" w:ascii="宋体" w:hAnsi="宋体"/>
          <w:color w:val="auto"/>
          <w:sz w:val="24"/>
          <w:highlight w:val="none"/>
        </w:rPr>
        <w:t>到年月日止</w:t>
      </w:r>
      <w:r>
        <w:rPr>
          <w:rFonts w:ascii="宋体" w:hAnsi="宋体"/>
          <w:color w:val="auto"/>
          <w:sz w:val="24"/>
          <w:highlight w:val="none"/>
        </w:rPr>
        <w:t>)</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〉固定资产：</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原值：</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净值：</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〉流动资金：</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〉长期负债：</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〉短期负债：</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〉资金来源：</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自有资金：</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银行贷款：</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〉资金类型：</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商 业 性：</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非商业性：</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、最近三年的年度总营业额：</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年份　　　　　　　   　总额</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、最近三年投标货物主要销售给国内及国外用户名称及地址：</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名称和地址　　　　　　　  销售的项目和数量</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 出口销售：</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 xml:space="preserve"> (2)</w:t>
      </w:r>
      <w:r>
        <w:rPr>
          <w:rFonts w:hint="eastAsia" w:ascii="宋体" w:hAnsi="宋体"/>
          <w:color w:val="auto"/>
          <w:sz w:val="24"/>
          <w:highlight w:val="none"/>
        </w:rPr>
        <w:t xml:space="preserve"> 国内销售：</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、同意为投标人制造投标货物的制造厂并附有制造厂的资格声明：</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制造厂名称和地址　　　　　制造项目和数量</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、须由其它制造厂家供应和制造的部件</w:t>
      </w:r>
      <w:r>
        <w:rPr>
          <w:rFonts w:ascii="宋体" w:hAnsi="宋体"/>
          <w:color w:val="auto"/>
          <w:sz w:val="24"/>
          <w:highlight w:val="none"/>
        </w:rPr>
        <w:t>(</w:t>
      </w:r>
      <w:r>
        <w:rPr>
          <w:rFonts w:hint="eastAsia" w:ascii="宋体" w:hAnsi="宋体"/>
          <w:color w:val="auto"/>
          <w:sz w:val="24"/>
          <w:highlight w:val="none"/>
        </w:rPr>
        <w:t>如果有的话</w:t>
      </w:r>
      <w:r>
        <w:rPr>
          <w:rFonts w:ascii="宋体" w:hAnsi="宋体"/>
          <w:color w:val="auto"/>
          <w:sz w:val="24"/>
          <w:highlight w:val="none"/>
        </w:rPr>
        <w:t>)</w:t>
      </w:r>
      <w:r>
        <w:rPr>
          <w:rFonts w:hint="eastAsia" w:ascii="宋体" w:hAnsi="宋体"/>
          <w:color w:val="auto"/>
          <w:sz w:val="24"/>
          <w:highlight w:val="none"/>
        </w:rPr>
        <w:t>：</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制造厂名称和地址　　　　　　制造项目</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 xml:space="preserve">　      　　 </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、最近三年中与各经销商成交的此种投标货物</w:t>
      </w:r>
      <w:r>
        <w:rPr>
          <w:rFonts w:ascii="宋体" w:hAnsi="宋体"/>
          <w:color w:val="auto"/>
          <w:sz w:val="24"/>
          <w:highlight w:val="none"/>
        </w:rPr>
        <w:t>(</w:t>
      </w:r>
      <w:r>
        <w:rPr>
          <w:rFonts w:hint="eastAsia" w:ascii="宋体" w:hAnsi="宋体"/>
          <w:color w:val="auto"/>
          <w:sz w:val="24"/>
          <w:highlight w:val="none"/>
        </w:rPr>
        <w:t>如果有的话</w:t>
      </w:r>
      <w:r>
        <w:rPr>
          <w:rFonts w:ascii="宋体" w:hAnsi="宋体"/>
          <w:color w:val="auto"/>
          <w:sz w:val="24"/>
          <w:highlight w:val="none"/>
        </w:rPr>
        <w:t>)</w:t>
      </w:r>
      <w:r>
        <w:rPr>
          <w:rFonts w:hint="eastAsia" w:ascii="宋体" w:hAnsi="宋体"/>
          <w:color w:val="auto"/>
          <w:sz w:val="24"/>
          <w:highlight w:val="none"/>
        </w:rPr>
        <w:t>：</w:t>
      </w:r>
    </w:p>
    <w:p>
      <w:pPr>
        <w:tabs>
          <w:tab w:val="left" w:pos="5580"/>
        </w:tabs>
        <w:spacing w:line="240" w:lineRule="atLeast"/>
        <w:ind w:left="1079" w:leftChars="257" w:hanging="540"/>
        <w:rPr>
          <w:rFonts w:ascii="宋体" w:hAnsi="宋体"/>
          <w:color w:val="auto"/>
          <w:sz w:val="24"/>
          <w:highlight w:val="none"/>
          <w:u w:val="single"/>
        </w:rPr>
      </w:pPr>
      <w:r>
        <w:rPr>
          <w:rFonts w:hint="eastAsia" w:ascii="宋体" w:hAnsi="宋体"/>
          <w:color w:val="auto"/>
          <w:sz w:val="24"/>
          <w:highlight w:val="none"/>
        </w:rPr>
        <w:t>合 同 号：</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签字日期：</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产品名称：</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数    量：</w:t>
      </w:r>
    </w:p>
    <w:p>
      <w:pPr>
        <w:tabs>
          <w:tab w:val="left" w:pos="5580"/>
        </w:tabs>
        <w:spacing w:line="240" w:lineRule="atLeast"/>
        <w:ind w:left="1079" w:leftChars="257" w:hanging="540"/>
        <w:rPr>
          <w:rFonts w:ascii="宋体" w:hAnsi="宋体"/>
          <w:color w:val="auto"/>
          <w:sz w:val="24"/>
          <w:highlight w:val="none"/>
          <w:u w:val="single"/>
        </w:rPr>
      </w:pPr>
      <w:r>
        <w:rPr>
          <w:rFonts w:hint="eastAsia" w:ascii="宋体" w:hAnsi="宋体"/>
          <w:color w:val="auto"/>
          <w:sz w:val="24"/>
          <w:highlight w:val="none"/>
        </w:rPr>
        <w:t>合同金额：</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、有关开户银行的名称和地址：</w:t>
      </w:r>
    </w:p>
    <w:p>
      <w:pPr>
        <w:tabs>
          <w:tab w:val="left" w:pos="5580"/>
        </w:tabs>
        <w:spacing w:line="240" w:lineRule="atLeast"/>
        <w:ind w:left="1079" w:leftChars="257" w:hanging="54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、投标人认为需要声明的其他情况</w:t>
      </w:r>
    </w:p>
    <w:p>
      <w:pPr>
        <w:tabs>
          <w:tab w:val="left" w:pos="5580"/>
        </w:tabs>
        <w:spacing w:line="240" w:lineRule="atLeast"/>
        <w:ind w:left="540"/>
        <w:rPr>
          <w:rFonts w:ascii="宋体" w:hAnsi="宋体"/>
          <w:color w:val="auto"/>
          <w:sz w:val="24"/>
          <w:highlight w:val="none"/>
        </w:rPr>
      </w:pPr>
      <w:r>
        <w:rPr>
          <w:rFonts w:hint="eastAsia" w:ascii="宋体" w:hAnsi="宋体"/>
          <w:color w:val="auto"/>
          <w:sz w:val="24"/>
          <w:highlight w:val="none"/>
        </w:rPr>
        <w:t>兹证明上述声明是真实、正确的，并提供了全部能提供的资料和数据，我们同意遵照贵方要求出示有关证明文件。</w:t>
      </w:r>
    </w:p>
    <w:p>
      <w:pPr>
        <w:tabs>
          <w:tab w:val="left" w:pos="5580"/>
        </w:tabs>
        <w:spacing w:line="240" w:lineRule="atLeast"/>
        <w:ind w:left="1079" w:leftChars="257" w:hanging="540"/>
        <w:rPr>
          <w:rFonts w:ascii="宋体" w:hAnsi="宋体"/>
          <w:color w:val="auto"/>
          <w:sz w:val="24"/>
          <w:highlight w:val="none"/>
        </w:rPr>
      </w:pPr>
    </w:p>
    <w:p>
      <w:pPr>
        <w:tabs>
          <w:tab w:val="left" w:pos="5580"/>
        </w:tabs>
        <w:spacing w:line="240" w:lineRule="atLeast"/>
        <w:ind w:left="1079" w:leftChars="257" w:hanging="540"/>
        <w:rPr>
          <w:rFonts w:ascii="宋体" w:hAnsi="宋体"/>
          <w:color w:val="auto"/>
          <w:sz w:val="24"/>
          <w:highlight w:val="none"/>
          <w:u w:val="single"/>
        </w:rPr>
      </w:pPr>
      <w:r>
        <w:rPr>
          <w:rFonts w:hint="eastAsia" w:ascii="宋体" w:hAnsi="宋体"/>
          <w:color w:val="auto"/>
          <w:sz w:val="24"/>
          <w:highlight w:val="none"/>
        </w:rPr>
        <w:t>日  期：</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投标人授权代表</w:t>
      </w:r>
      <w:r>
        <w:rPr>
          <w:rFonts w:ascii="宋体" w:hAnsi="宋体"/>
          <w:color w:val="auto"/>
          <w:sz w:val="24"/>
          <w:highlight w:val="none"/>
        </w:rPr>
        <w:t>(</w:t>
      </w:r>
      <w:r>
        <w:rPr>
          <w:rFonts w:hint="eastAsia" w:ascii="宋体" w:hAnsi="宋体"/>
          <w:color w:val="auto"/>
          <w:sz w:val="24"/>
          <w:highlight w:val="none"/>
        </w:rPr>
        <w:t>签字</w:t>
      </w:r>
      <w:r>
        <w:rPr>
          <w:rFonts w:ascii="宋体" w:hAnsi="宋体"/>
          <w:color w:val="auto"/>
          <w:sz w:val="24"/>
          <w:highlight w:val="none"/>
        </w:rPr>
        <w:t>)</w:t>
      </w:r>
      <w:r>
        <w:rPr>
          <w:rFonts w:hint="eastAsia" w:ascii="宋体" w:hAnsi="宋体"/>
          <w:color w:val="auto"/>
          <w:sz w:val="24"/>
          <w:highlight w:val="none"/>
        </w:rPr>
        <w:t>：</w:t>
      </w:r>
    </w:p>
    <w:p>
      <w:pPr>
        <w:tabs>
          <w:tab w:val="left" w:pos="5580"/>
        </w:tabs>
        <w:spacing w:line="240" w:lineRule="atLeast"/>
        <w:ind w:left="1079" w:leftChars="257" w:hanging="540"/>
        <w:rPr>
          <w:rFonts w:ascii="宋体" w:hAnsi="宋体"/>
          <w:color w:val="auto"/>
          <w:sz w:val="24"/>
          <w:highlight w:val="none"/>
          <w:u w:val="single"/>
        </w:rPr>
      </w:pPr>
      <w:r>
        <w:rPr>
          <w:rFonts w:hint="eastAsia" w:ascii="宋体" w:hAnsi="宋体"/>
          <w:color w:val="auto"/>
          <w:sz w:val="24"/>
          <w:highlight w:val="none"/>
        </w:rPr>
        <w:t>投标人授权代表的职务：</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电话号：</w:t>
      </w:r>
    </w:p>
    <w:p>
      <w:pPr>
        <w:tabs>
          <w:tab w:val="left" w:pos="5580"/>
        </w:tabs>
        <w:spacing w:line="240" w:lineRule="atLeast"/>
        <w:ind w:left="1079" w:leftChars="257" w:hanging="540"/>
        <w:rPr>
          <w:rFonts w:ascii="宋体" w:hAnsi="宋体"/>
          <w:color w:val="auto"/>
          <w:sz w:val="24"/>
          <w:highlight w:val="none"/>
        </w:rPr>
      </w:pPr>
      <w:r>
        <w:rPr>
          <w:rFonts w:hint="eastAsia" w:ascii="宋体" w:hAnsi="宋体"/>
          <w:color w:val="auto"/>
          <w:sz w:val="24"/>
          <w:highlight w:val="none"/>
        </w:rPr>
        <w:t>传真号：</w:t>
      </w:r>
    </w:p>
    <w:p>
      <w:pPr>
        <w:pStyle w:val="22"/>
        <w:tabs>
          <w:tab w:val="left" w:pos="5580"/>
        </w:tabs>
        <w:spacing w:line="240" w:lineRule="atLeast"/>
        <w:ind w:left="1079" w:leftChars="257" w:hanging="540"/>
        <w:rPr>
          <w:rFonts w:hAnsi="宋体"/>
          <w:color w:val="auto"/>
          <w:sz w:val="24"/>
          <w:highlight w:val="none"/>
        </w:rPr>
      </w:pPr>
      <w:r>
        <w:rPr>
          <w:rFonts w:hint="eastAsia" w:hAnsi="宋体"/>
          <w:color w:val="auto"/>
          <w:sz w:val="24"/>
          <w:highlight w:val="none"/>
        </w:rPr>
        <w:t>公  章：</w:t>
      </w:r>
    </w:p>
    <w:p>
      <w:pPr>
        <w:pStyle w:val="4"/>
        <w:spacing w:before="0" w:line="240" w:lineRule="atLeast"/>
        <w:jc w:val="both"/>
        <w:rPr>
          <w:rFonts w:ascii="宋体" w:hAnsi="宋体" w:eastAsia="宋体"/>
          <w:color w:val="auto"/>
          <w:sz w:val="24"/>
          <w:highlight w:val="none"/>
        </w:rPr>
      </w:pPr>
    </w:p>
    <w:p>
      <w:pPr>
        <w:pStyle w:val="3"/>
        <w:rPr>
          <w:rFonts w:hAnsi="宋体"/>
          <w:color w:val="auto"/>
          <w:sz w:val="24"/>
          <w:highlight w:val="none"/>
        </w:rPr>
      </w:pPr>
      <w:r>
        <w:rPr>
          <w:rFonts w:hAnsi="宋体"/>
          <w:color w:val="auto"/>
          <w:sz w:val="24"/>
          <w:highlight w:val="none"/>
        </w:rPr>
        <w:br w:type="page"/>
      </w:r>
      <w:bookmarkStart w:id="393" w:name="_Toc24262_WPSOffice_Level1"/>
      <w:bookmarkStart w:id="394" w:name="_Toc510950655"/>
      <w:bookmarkStart w:id="395" w:name="_Toc495418095"/>
      <w:bookmarkStart w:id="396" w:name="_Toc533275373"/>
      <w:bookmarkStart w:id="397" w:name="_Toc494447309"/>
    </w:p>
    <w:p>
      <w:pPr>
        <w:pStyle w:val="3"/>
        <w:spacing w:line="240" w:lineRule="auto"/>
        <w:jc w:val="both"/>
        <w:rPr>
          <w:rFonts w:hAnsi="宋体"/>
          <w:color w:val="auto"/>
          <w:kern w:val="0"/>
          <w:sz w:val="24"/>
          <w:highlight w:val="none"/>
        </w:rPr>
      </w:pPr>
      <w:bookmarkStart w:id="398" w:name="_Toc25172"/>
      <w:r>
        <w:rPr>
          <w:rFonts w:hint="eastAsia" w:hAnsi="宋体"/>
          <w:color w:val="auto"/>
          <w:kern w:val="0"/>
          <w:sz w:val="24"/>
          <w:highlight w:val="none"/>
        </w:rPr>
        <w:t>11、自查表</w:t>
      </w:r>
      <w:bookmarkEnd w:id="398"/>
    </w:p>
    <w:p>
      <w:pPr>
        <w:pStyle w:val="3"/>
        <w:spacing w:line="240" w:lineRule="auto"/>
        <w:jc w:val="both"/>
        <w:rPr>
          <w:rFonts w:hAnsi="宋体"/>
          <w:color w:val="auto"/>
          <w:kern w:val="0"/>
          <w:sz w:val="24"/>
          <w:highlight w:val="none"/>
        </w:rPr>
      </w:pPr>
      <w:bookmarkStart w:id="399" w:name="_Toc728"/>
      <w:r>
        <w:rPr>
          <w:rFonts w:hint="eastAsia" w:hAnsi="宋体"/>
          <w:color w:val="auto"/>
          <w:kern w:val="0"/>
          <w:sz w:val="24"/>
          <w:highlight w:val="none"/>
        </w:rPr>
        <w:t>11-1 资格性自查表</w:t>
      </w:r>
      <w:bookmarkEnd w:id="399"/>
    </w:p>
    <w:bookmarkEnd w:id="393"/>
    <w:tbl>
      <w:tblPr>
        <w:tblStyle w:val="44"/>
        <w:tblW w:w="8612" w:type="dxa"/>
        <w:tblInd w:w="-136"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569"/>
        <w:gridCol w:w="5615"/>
        <w:gridCol w:w="1326"/>
        <w:gridCol w:w="110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hint="eastAsia" w:ascii="宋体" w:hAnsi="宋体"/>
                <w:color w:val="auto"/>
                <w:sz w:val="24"/>
                <w:szCs w:val="20"/>
                <w:highlight w:val="none"/>
              </w:rPr>
              <w:t>序号</w:t>
            </w:r>
          </w:p>
        </w:tc>
        <w:tc>
          <w:tcPr>
            <w:tcW w:w="561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hint="eastAsia" w:ascii="宋体" w:hAnsi="宋体"/>
                <w:color w:val="auto"/>
                <w:sz w:val="24"/>
                <w:szCs w:val="20"/>
                <w:highlight w:val="none"/>
              </w:rPr>
              <w:t>招标</w:t>
            </w:r>
            <w:r>
              <w:rPr>
                <w:rStyle w:val="47"/>
                <w:rFonts w:ascii="宋体" w:hAnsi="宋体"/>
                <w:color w:val="auto"/>
                <w:sz w:val="24"/>
                <w:szCs w:val="20"/>
                <w:highlight w:val="none"/>
              </w:rPr>
              <w:t>文件要求</w:t>
            </w:r>
            <w:r>
              <w:rPr>
                <w:rFonts w:ascii="宋体" w:hAnsi="宋体"/>
                <w:color w:val="auto"/>
                <w:szCs w:val="20"/>
                <w:highlight w:val="none"/>
              </w:rPr>
              <w:br w:type="textWrapping"/>
            </w:r>
            <w:r>
              <w:rPr>
                <w:rFonts w:ascii="宋体" w:hAnsi="宋体"/>
                <w:color w:val="auto"/>
                <w:szCs w:val="20"/>
                <w:highlight w:val="none"/>
              </w:rPr>
              <w:t>（详见《资格性审查表》各项）</w:t>
            </w:r>
          </w:p>
        </w:tc>
        <w:tc>
          <w:tcPr>
            <w:tcW w:w="1326"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ascii="宋体" w:hAnsi="宋体"/>
                <w:color w:val="auto"/>
                <w:sz w:val="24"/>
                <w:szCs w:val="20"/>
                <w:highlight w:val="none"/>
              </w:rPr>
              <w:t>自查结论</w:t>
            </w:r>
          </w:p>
        </w:tc>
        <w:tc>
          <w:tcPr>
            <w:tcW w:w="110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ascii="宋体" w:hAnsi="宋体"/>
                <w:color w:val="auto"/>
                <w:sz w:val="24"/>
                <w:szCs w:val="20"/>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highlight w:val="none"/>
              </w:rPr>
            </w:pPr>
            <w:r>
              <w:rPr>
                <w:rFonts w:hint="eastAsia"/>
                <w:color w:val="auto"/>
                <w:sz w:val="21"/>
                <w:szCs w:val="21"/>
                <w:highlight w:val="none"/>
              </w:rPr>
              <w:t>1</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供应商必须是具有独立承担民事责任能力的在中华人民共和国境内注册的法人或其他组织或自然人（提供有效的营业执照（或事业法人登记证或身份证等相关证明）副本复印件并加盖公章）。</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highlight w:val="none"/>
              </w:rPr>
            </w:pPr>
            <w:r>
              <w:rPr>
                <w:rFonts w:hint="eastAsia"/>
                <w:color w:val="auto"/>
                <w:sz w:val="21"/>
                <w:szCs w:val="21"/>
                <w:highlight w:val="none"/>
              </w:rPr>
              <w:t xml:space="preserve">2 </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必须具有良好的商业信誉和健全的财务会计制度（提供2018年的财务状况报告（成立时间不满1年的，提供投标截止时间前近3个月内，任意1个月的财务状况报告）或者基本户开户银行出具的资信证明复印件并加盖公章）。</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3</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有依法缴纳税收和社会保障资金的良好记录（提供投标截止时间前12个月内任意1个月依法缴纳税收和社会保障资金的相关证明材料复印件并加盖公章。如依法免税或不需要缴纳社会保障资金的，提供相应证明材料）。</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4</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供应商具备履行合同所必需的设备和专业技术能力（提供设备的清单以及技术人员的名单材料并加盖公章或做出承诺）。</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5</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供应商参加政府采购活动前三年内，在经营活动中没有重大违法记录的书面声明（原件）。</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12" w:hRule="atLeast"/>
        </w:trPr>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6</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供应商必须符合法律、行政法规规定的其他条件。</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7</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www.ccgp.gov.cn)查询结果为准，如相关失信记录已失效，供应商需提供相关证明材料复印件并加盖公章）。</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8</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单位负责人为同一人或者存在直接控股、管理关系的不同供应商，不得同时参加本采购项目投标。</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9</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为本项目提供整体设计、规范编制或者项目管理、监理、检测等服务的供应商，不得再参与本项目投标。</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10</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本项目不允许联合体投标。</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569"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11</w:t>
            </w:r>
          </w:p>
        </w:tc>
        <w:tc>
          <w:tcPr>
            <w:tcW w:w="5615" w:type="dxa"/>
            <w:tcBorders>
              <w:top w:val="outset" w:color="111111" w:sz="6" w:space="0"/>
              <w:left w:val="outset" w:color="111111" w:sz="6" w:space="0"/>
              <w:bottom w:val="outset" w:color="111111" w:sz="6" w:space="0"/>
              <w:right w:val="outset" w:color="111111" w:sz="6" w:space="0"/>
            </w:tcBorders>
            <w:vAlign w:val="center"/>
          </w:tcPr>
          <w:p>
            <w:pPr>
              <w:rPr>
                <w:color w:val="auto"/>
                <w:highlight w:val="none"/>
              </w:rPr>
            </w:pPr>
            <w:r>
              <w:rPr>
                <w:rFonts w:hint="eastAsia"/>
                <w:color w:val="auto"/>
                <w:highlight w:val="none"/>
              </w:rPr>
              <w:t>已获取本项目招标文件。</w:t>
            </w:r>
          </w:p>
        </w:tc>
        <w:tc>
          <w:tcPr>
            <w:tcW w:w="1326"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☑通过</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10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bl>
    <w:p>
      <w:pPr>
        <w:rPr>
          <w:rFonts w:ascii="宋体" w:hAnsi="宋体"/>
          <w:color w:val="auto"/>
          <w:sz w:val="24"/>
          <w:highlight w:val="none"/>
        </w:rPr>
      </w:pPr>
    </w:p>
    <w:p>
      <w:pPr>
        <w:rPr>
          <w:rFonts w:ascii="宋体" w:hAnsi="宋体"/>
          <w:bCs/>
          <w:color w:val="auto"/>
          <w:szCs w:val="21"/>
          <w:highlight w:val="none"/>
        </w:rPr>
      </w:pPr>
      <w:r>
        <w:rPr>
          <w:rFonts w:hint="eastAsia" w:ascii="宋体" w:hAnsi="宋体"/>
          <w:bCs/>
          <w:color w:val="auto"/>
          <w:szCs w:val="21"/>
          <w:highlight w:val="none"/>
        </w:rPr>
        <w:t>注：如本表未列明但招标文件有相关要求的条款，视为我司完全响应。</w:t>
      </w:r>
    </w:p>
    <w:p>
      <w:pPr>
        <w:rPr>
          <w:rFonts w:ascii="宋体" w:hAnsi="宋体"/>
          <w:color w:val="auto"/>
          <w:sz w:val="24"/>
          <w:highlight w:val="none"/>
        </w:rPr>
      </w:pPr>
      <w:r>
        <w:rPr>
          <w:rFonts w:ascii="宋体" w:hAnsi="宋体"/>
          <w:color w:val="auto"/>
          <w:sz w:val="24"/>
          <w:highlight w:val="none"/>
        </w:rPr>
        <w:br w:type="page"/>
      </w:r>
    </w:p>
    <w:p>
      <w:pPr>
        <w:pStyle w:val="3"/>
        <w:spacing w:line="240" w:lineRule="auto"/>
        <w:jc w:val="both"/>
        <w:rPr>
          <w:rFonts w:hAnsi="宋体"/>
          <w:color w:val="auto"/>
          <w:kern w:val="0"/>
          <w:sz w:val="24"/>
          <w:highlight w:val="none"/>
        </w:rPr>
      </w:pPr>
      <w:bookmarkStart w:id="400" w:name="_Toc9396"/>
      <w:r>
        <w:rPr>
          <w:rFonts w:hint="eastAsia" w:hAnsi="宋体"/>
          <w:color w:val="auto"/>
          <w:kern w:val="0"/>
          <w:sz w:val="24"/>
          <w:highlight w:val="none"/>
        </w:rPr>
        <w:t>11-2 符合性自查表</w:t>
      </w:r>
      <w:bookmarkEnd w:id="400"/>
    </w:p>
    <w:tbl>
      <w:tblPr>
        <w:tblStyle w:val="44"/>
        <w:tblW w:w="8612"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558"/>
        <w:gridCol w:w="4790"/>
        <w:gridCol w:w="1782"/>
        <w:gridCol w:w="148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15"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color w:val="auto"/>
                <w:szCs w:val="20"/>
                <w:highlight w:val="none"/>
              </w:rPr>
            </w:pPr>
            <w:r>
              <w:rPr>
                <w:rStyle w:val="47"/>
                <w:rFonts w:hint="eastAsia" w:ascii="宋体" w:hAnsi="宋体"/>
                <w:color w:val="auto"/>
                <w:sz w:val="24"/>
                <w:szCs w:val="20"/>
                <w:highlight w:val="none"/>
              </w:rPr>
              <w:t>序号</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hint="eastAsia" w:ascii="宋体" w:hAnsi="宋体"/>
                <w:color w:val="auto"/>
                <w:sz w:val="24"/>
                <w:szCs w:val="20"/>
                <w:highlight w:val="none"/>
              </w:rPr>
              <w:t>招标</w:t>
            </w:r>
            <w:r>
              <w:rPr>
                <w:rStyle w:val="47"/>
                <w:rFonts w:ascii="宋体" w:hAnsi="宋体"/>
                <w:color w:val="auto"/>
                <w:sz w:val="24"/>
                <w:szCs w:val="20"/>
                <w:highlight w:val="none"/>
              </w:rPr>
              <w:t>文件要求</w:t>
            </w:r>
            <w:r>
              <w:rPr>
                <w:rFonts w:ascii="宋体" w:hAnsi="宋体"/>
                <w:color w:val="auto"/>
                <w:szCs w:val="20"/>
                <w:highlight w:val="none"/>
              </w:rPr>
              <w:br w:type="textWrapping"/>
            </w:r>
            <w:r>
              <w:rPr>
                <w:rFonts w:ascii="宋体" w:hAnsi="宋体"/>
                <w:color w:val="auto"/>
                <w:szCs w:val="20"/>
                <w:highlight w:val="none"/>
              </w:rPr>
              <w:t>（详见《</w:t>
            </w:r>
            <w:r>
              <w:rPr>
                <w:rFonts w:hint="eastAsia" w:ascii="宋体" w:hAnsi="宋体"/>
                <w:color w:val="auto"/>
                <w:szCs w:val="20"/>
                <w:highlight w:val="none"/>
              </w:rPr>
              <w:t>符合性</w:t>
            </w:r>
            <w:r>
              <w:rPr>
                <w:rFonts w:ascii="宋体" w:hAnsi="宋体"/>
                <w:color w:val="auto"/>
                <w:szCs w:val="20"/>
                <w:highlight w:val="none"/>
              </w:rPr>
              <w:t>审查表》各项）</w:t>
            </w:r>
          </w:p>
        </w:tc>
        <w:tc>
          <w:tcPr>
            <w:tcW w:w="17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ascii="宋体" w:hAnsi="宋体"/>
                <w:color w:val="auto"/>
                <w:sz w:val="24"/>
                <w:szCs w:val="20"/>
                <w:highlight w:val="none"/>
              </w:rPr>
              <w:t>自查结论</w:t>
            </w:r>
          </w:p>
        </w:tc>
        <w:tc>
          <w:tcPr>
            <w:tcW w:w="148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color w:val="auto"/>
                <w:szCs w:val="20"/>
                <w:highlight w:val="none"/>
              </w:rPr>
            </w:pPr>
            <w:r>
              <w:rPr>
                <w:rStyle w:val="47"/>
                <w:rFonts w:ascii="宋体" w:hAnsi="宋体"/>
                <w:color w:val="auto"/>
                <w:sz w:val="24"/>
                <w:szCs w:val="20"/>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5"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highlight w:val="none"/>
              </w:rPr>
            </w:pPr>
            <w:r>
              <w:rPr>
                <w:rFonts w:hint="eastAsia"/>
                <w:color w:val="auto"/>
                <w:sz w:val="21"/>
                <w:szCs w:val="21"/>
                <w:highlight w:val="none"/>
              </w:rPr>
              <w:t>1</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对标的没有报价漏项。</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highlight w:val="none"/>
              </w:rPr>
            </w:pPr>
            <w:r>
              <w:rPr>
                <w:rFonts w:hint="eastAsia"/>
                <w:color w:val="auto"/>
                <w:sz w:val="21"/>
                <w:szCs w:val="21"/>
                <w:highlight w:val="none"/>
              </w:rPr>
              <w:t xml:space="preserve">2 </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asciiTheme="minorEastAsia" w:hAnsiTheme="minorEastAsia" w:eastAsiaTheme="minorEastAsia"/>
                <w:color w:val="auto"/>
                <w:sz w:val="24"/>
                <w:highlight w:val="none"/>
              </w:rPr>
              <w:t>按要求缴纳了</w:t>
            </w: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保证金。</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3</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招标文件不允许采购进口产品时未以进口产品报价。</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4</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投标文件完整且编排有序，并按要求签署、盖章。</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5</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法定代表人授权书按对应格式文件签署、盖章</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原件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95"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6</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如出现报价错误</w:t>
            </w:r>
            <w:r>
              <w:rPr>
                <w:rFonts w:asciiTheme="minorEastAsia" w:hAnsiTheme="minorEastAsia" w:eastAsiaTheme="minorEastAsia"/>
                <w:color w:val="auto"/>
                <w:sz w:val="24"/>
                <w:highlight w:val="none"/>
              </w:rPr>
              <w:t>修正</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投标人按招标</w:t>
            </w:r>
            <w:r>
              <w:rPr>
                <w:rFonts w:asciiTheme="minorEastAsia" w:hAnsiTheme="minorEastAsia" w:eastAsiaTheme="minorEastAsia"/>
                <w:color w:val="auto"/>
                <w:sz w:val="24"/>
                <w:highlight w:val="none"/>
              </w:rPr>
              <w:t>文件要求进行</w:t>
            </w:r>
            <w:r>
              <w:rPr>
                <w:rFonts w:hint="eastAsia" w:asciiTheme="minorEastAsia" w:hAnsiTheme="minorEastAsia" w:eastAsiaTheme="minorEastAsia"/>
                <w:color w:val="auto"/>
                <w:sz w:val="24"/>
                <w:highlight w:val="none"/>
              </w:rPr>
              <w:t>书面确认。</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7</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投标有效期为投标截止日起不少于</w:t>
            </w:r>
            <w:r>
              <w:rPr>
                <w:rFonts w:asciiTheme="minorEastAsia" w:hAnsiTheme="minorEastAsia" w:eastAsiaTheme="minorEastAsia"/>
                <w:color w:val="auto"/>
                <w:sz w:val="24"/>
                <w:highlight w:val="none"/>
              </w:rPr>
              <w:t>90</w:t>
            </w:r>
            <w:r>
              <w:rPr>
                <w:rFonts w:hint="eastAsia" w:asciiTheme="minorEastAsia" w:hAnsiTheme="minorEastAsia" w:eastAsiaTheme="minorEastAsia"/>
                <w:color w:val="auto"/>
                <w:sz w:val="24"/>
                <w:highlight w:val="none"/>
              </w:rPr>
              <w:t>天。</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1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8</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asciiTheme="minorEastAsia" w:hAnsiTheme="minorEastAsia" w:eastAsiaTheme="minorEastAsia"/>
                <w:color w:val="auto"/>
                <w:sz w:val="24"/>
                <w:highlight w:val="none"/>
              </w:rPr>
              <w:t>未出现视为投标人串标投标所列的情形。</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9</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文件未含有采购人不可接受的附加条件。</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10</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Theme="minorEastAsia" w:hAnsiTheme="minorEastAsia" w:eastAsiaTheme="minorEastAsia"/>
                <w:color w:val="auto"/>
                <w:sz w:val="24"/>
                <w:highlight w:val="none"/>
              </w:rPr>
              <w:t>没有其他未实质性响应文件要求的。</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5"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11</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color w:val="auto"/>
                <w:highlight w:val="none"/>
              </w:rPr>
            </w:pPr>
            <w:r>
              <w:rPr>
                <w:rFonts w:hint="eastAsia" w:ascii="宋体" w:hAnsi="宋体"/>
                <w:color w:val="auto"/>
                <w:sz w:val="24"/>
                <w:highlight w:val="none"/>
              </w:rPr>
              <w:t>投标总价</w:t>
            </w:r>
            <w:r>
              <w:rPr>
                <w:rFonts w:hint="eastAsia" w:asciiTheme="minorEastAsia" w:hAnsiTheme="minorEastAsia" w:eastAsiaTheme="minorEastAsia"/>
                <w:color w:val="auto"/>
                <w:sz w:val="24"/>
                <w:highlight w:val="none"/>
              </w:rPr>
              <w:t>是固定价且是唯一的，并未超过本项目</w:t>
            </w:r>
            <w:r>
              <w:rPr>
                <w:rFonts w:hint="eastAsia" w:ascii="宋体" w:hAnsi="宋体"/>
                <w:color w:val="auto"/>
                <w:sz w:val="24"/>
                <w:highlight w:val="none"/>
              </w:rPr>
              <w:t>最高限价</w:t>
            </w:r>
            <w:r>
              <w:rPr>
                <w:rFonts w:hint="eastAsia" w:asciiTheme="minorEastAsia" w:hAnsiTheme="minorEastAsia" w:eastAsiaTheme="minorEastAsia"/>
                <w:color w:val="auto"/>
                <w:sz w:val="24"/>
                <w:highlight w:val="none"/>
              </w:rPr>
              <w:t>。</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trPr>
        <w:tc>
          <w:tcPr>
            <w:tcW w:w="558" w:type="dxa"/>
            <w:tcBorders>
              <w:top w:val="outset" w:color="111111" w:sz="6" w:space="0"/>
              <w:left w:val="outset" w:color="111111" w:sz="6" w:space="0"/>
              <w:bottom w:val="outset" w:color="111111" w:sz="6" w:space="0"/>
              <w:right w:val="outset" w:color="111111" w:sz="6" w:space="0"/>
            </w:tcBorders>
            <w:vAlign w:val="center"/>
          </w:tcPr>
          <w:p>
            <w:pPr>
              <w:pStyle w:val="17"/>
              <w:spacing w:line="480" w:lineRule="exact"/>
              <w:ind w:left="17" w:hanging="16" w:hangingChars="8"/>
              <w:rPr>
                <w:color w:val="auto"/>
                <w:sz w:val="21"/>
                <w:szCs w:val="21"/>
                <w:highlight w:val="none"/>
              </w:rPr>
            </w:pPr>
            <w:r>
              <w:rPr>
                <w:rFonts w:hint="eastAsia"/>
                <w:color w:val="auto"/>
                <w:sz w:val="21"/>
                <w:szCs w:val="21"/>
                <w:highlight w:val="none"/>
              </w:rPr>
              <w:t>12</w:t>
            </w:r>
          </w:p>
        </w:tc>
        <w:tc>
          <w:tcPr>
            <w:tcW w:w="4790" w:type="dxa"/>
            <w:tcBorders>
              <w:top w:val="outset" w:color="111111" w:sz="6" w:space="0"/>
              <w:left w:val="outset" w:color="111111" w:sz="6" w:space="0"/>
              <w:bottom w:val="outset" w:color="111111" w:sz="6" w:space="0"/>
              <w:right w:val="outset" w:color="111111" w:sz="6" w:space="0"/>
            </w:tcBorders>
            <w:vAlign w:val="center"/>
          </w:tcPr>
          <w:p>
            <w:pPr>
              <w:jc w:val="left"/>
              <w:rPr>
                <w:rFonts w:ascii="宋体" w:hAnsi="宋体"/>
                <w:color w:val="auto"/>
                <w:sz w:val="24"/>
                <w:highlight w:val="none"/>
              </w:rPr>
            </w:pPr>
            <w:r>
              <w:rPr>
                <w:rFonts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号条款满足招标文件要求。</w:t>
            </w:r>
          </w:p>
        </w:tc>
        <w:tc>
          <w:tcPr>
            <w:tcW w:w="17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 xml:space="preserve">☑通过 </w:t>
            </w:r>
          </w:p>
          <w:p>
            <w:pPr>
              <w:rPr>
                <w:rFonts w:ascii="宋体" w:hAnsi="宋体" w:cstheme="minorBidi"/>
                <w:color w:val="auto"/>
                <w:szCs w:val="21"/>
                <w:highlight w:val="none"/>
              </w:rPr>
            </w:pPr>
            <w:r>
              <w:rPr>
                <w:rFonts w:hint="eastAsia" w:ascii="宋体" w:hAnsi="宋体" w:cstheme="minorBidi"/>
                <w:color w:val="auto"/>
                <w:szCs w:val="21"/>
                <w:highlight w:val="none"/>
              </w:rPr>
              <w:t>□不通过</w:t>
            </w:r>
          </w:p>
        </w:tc>
        <w:tc>
          <w:tcPr>
            <w:tcW w:w="1482"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theme="minorBidi"/>
                <w:color w:val="auto"/>
                <w:szCs w:val="21"/>
                <w:highlight w:val="none"/>
              </w:rPr>
            </w:pPr>
            <w:r>
              <w:rPr>
                <w:rFonts w:hint="eastAsia" w:ascii="宋体" w:hAnsi="宋体" w:cstheme="minorBidi"/>
                <w:color w:val="auto"/>
                <w:szCs w:val="21"/>
                <w:highlight w:val="none"/>
              </w:rPr>
              <w:t>见投标文件第（  ）页</w:t>
            </w:r>
          </w:p>
        </w:tc>
      </w:tr>
    </w:tbl>
    <w:p>
      <w:pPr>
        <w:rPr>
          <w:rFonts w:ascii="宋体" w:hAnsi="宋体"/>
          <w:color w:val="auto"/>
          <w:sz w:val="24"/>
          <w:highlight w:val="none"/>
        </w:rPr>
      </w:pPr>
    </w:p>
    <w:p>
      <w:pPr>
        <w:rPr>
          <w:rFonts w:ascii="宋体" w:hAnsi="宋体"/>
          <w:color w:val="auto"/>
          <w:sz w:val="24"/>
          <w:highlight w:val="none"/>
        </w:rPr>
      </w:pPr>
      <w:r>
        <w:rPr>
          <w:rFonts w:hint="eastAsia" w:ascii="宋体" w:hAnsi="宋体"/>
          <w:bCs/>
          <w:color w:val="auto"/>
          <w:szCs w:val="21"/>
          <w:highlight w:val="none"/>
        </w:rPr>
        <w:t>注：如本表未列明但招标文件有相关要求的条款，视为我司完全响应。</w:t>
      </w:r>
      <w:r>
        <w:rPr>
          <w:rFonts w:ascii="宋体" w:hAnsi="宋体"/>
          <w:color w:val="auto"/>
          <w:sz w:val="24"/>
          <w:highlight w:val="none"/>
        </w:rPr>
        <w:br w:type="page"/>
      </w:r>
    </w:p>
    <w:p>
      <w:pPr>
        <w:pStyle w:val="4"/>
        <w:spacing w:before="0" w:line="240" w:lineRule="atLeast"/>
        <w:ind w:left="1079" w:leftChars="257" w:hanging="540"/>
        <w:rPr>
          <w:rFonts w:ascii="宋体" w:hAnsi="宋体" w:eastAsia="宋体"/>
          <w:color w:val="auto"/>
          <w:sz w:val="24"/>
          <w:highlight w:val="none"/>
        </w:rPr>
      </w:pPr>
      <w:bookmarkStart w:id="401" w:name="_Toc12376"/>
      <w:r>
        <w:rPr>
          <w:rFonts w:ascii="宋体" w:hAnsi="宋体" w:eastAsia="宋体"/>
          <w:color w:val="auto"/>
          <w:sz w:val="24"/>
          <w:highlight w:val="none"/>
        </w:rPr>
        <w:t>第</w:t>
      </w:r>
      <w:r>
        <w:rPr>
          <w:rFonts w:hint="eastAsia" w:ascii="宋体" w:hAnsi="宋体" w:eastAsia="宋体"/>
          <w:color w:val="auto"/>
          <w:sz w:val="24"/>
          <w:highlight w:val="none"/>
        </w:rPr>
        <w:t>二</w:t>
      </w:r>
      <w:r>
        <w:rPr>
          <w:rFonts w:ascii="宋体" w:hAnsi="宋体" w:eastAsia="宋体"/>
          <w:color w:val="auto"/>
          <w:sz w:val="24"/>
          <w:highlight w:val="none"/>
        </w:rPr>
        <w:t>部分</w:t>
      </w:r>
      <w:r>
        <w:rPr>
          <w:rFonts w:hint="eastAsia" w:ascii="宋体" w:hAnsi="宋体" w:eastAsia="宋体"/>
          <w:color w:val="auto"/>
          <w:sz w:val="24"/>
          <w:highlight w:val="none"/>
        </w:rPr>
        <w:t xml:space="preserve">  商务及</w:t>
      </w:r>
      <w:r>
        <w:rPr>
          <w:rFonts w:ascii="宋体" w:hAnsi="宋体" w:eastAsia="宋体"/>
          <w:color w:val="auto"/>
          <w:sz w:val="24"/>
          <w:highlight w:val="none"/>
        </w:rPr>
        <w:t>技术</w:t>
      </w:r>
      <w:r>
        <w:rPr>
          <w:rFonts w:hint="eastAsia" w:ascii="宋体" w:hAnsi="宋体" w:eastAsia="宋体"/>
          <w:color w:val="auto"/>
          <w:sz w:val="24"/>
          <w:highlight w:val="none"/>
        </w:rPr>
        <w:t>文件</w:t>
      </w:r>
      <w:bookmarkEnd w:id="394"/>
      <w:bookmarkEnd w:id="395"/>
      <w:bookmarkEnd w:id="396"/>
      <w:bookmarkEnd w:id="397"/>
      <w:bookmarkEnd w:id="401"/>
    </w:p>
    <w:p>
      <w:pPr>
        <w:pStyle w:val="22"/>
        <w:ind w:left="1079" w:leftChars="257" w:hanging="540"/>
        <w:rPr>
          <w:rFonts w:hAnsi="宋体"/>
          <w:color w:val="auto"/>
          <w:sz w:val="24"/>
          <w:highlight w:val="none"/>
        </w:rPr>
      </w:pPr>
      <w:r>
        <w:rPr>
          <w:rFonts w:hint="eastAsia" w:hAnsi="宋体"/>
          <w:color w:val="auto"/>
          <w:sz w:val="24"/>
          <w:highlight w:val="none"/>
        </w:rPr>
        <w:t>1、投标书（</w:t>
      </w:r>
      <w:r>
        <w:rPr>
          <w:rFonts w:hAnsi="宋体"/>
          <w:color w:val="auto"/>
          <w:sz w:val="24"/>
          <w:highlight w:val="none"/>
        </w:rPr>
        <w:t>投标文件</w:t>
      </w:r>
      <w:r>
        <w:rPr>
          <w:rFonts w:hint="eastAsia" w:hAnsi="宋体"/>
          <w:color w:val="auto"/>
          <w:sz w:val="24"/>
          <w:highlight w:val="none"/>
        </w:rPr>
        <w:t>格式六）</w:t>
      </w:r>
    </w:p>
    <w:p>
      <w:pPr>
        <w:pStyle w:val="22"/>
        <w:ind w:left="1079" w:leftChars="257" w:hanging="540"/>
        <w:rPr>
          <w:rFonts w:hAnsi="宋体"/>
          <w:color w:val="auto"/>
          <w:sz w:val="24"/>
          <w:highlight w:val="none"/>
        </w:rPr>
      </w:pPr>
      <w:r>
        <w:rPr>
          <w:rFonts w:hAnsi="宋体"/>
          <w:color w:val="auto"/>
          <w:sz w:val="24"/>
          <w:highlight w:val="none"/>
        </w:rPr>
        <w:t>2</w:t>
      </w:r>
      <w:r>
        <w:rPr>
          <w:rFonts w:hint="eastAsia" w:hAnsi="宋体"/>
          <w:color w:val="auto"/>
          <w:sz w:val="24"/>
          <w:highlight w:val="none"/>
        </w:rPr>
        <w:t>、投标分项报价表（</w:t>
      </w:r>
      <w:r>
        <w:rPr>
          <w:rFonts w:hAnsi="宋体"/>
          <w:color w:val="auto"/>
          <w:sz w:val="24"/>
          <w:highlight w:val="none"/>
        </w:rPr>
        <w:t>投标文件</w:t>
      </w:r>
      <w:r>
        <w:rPr>
          <w:rFonts w:hint="eastAsia" w:hAnsi="宋体"/>
          <w:color w:val="auto"/>
          <w:sz w:val="24"/>
          <w:highlight w:val="none"/>
        </w:rPr>
        <w:t>格式七）</w:t>
      </w:r>
    </w:p>
    <w:p>
      <w:pPr>
        <w:pStyle w:val="22"/>
        <w:ind w:left="1079" w:leftChars="257" w:hanging="540"/>
        <w:rPr>
          <w:rFonts w:hAnsi="宋体"/>
          <w:color w:val="auto"/>
          <w:sz w:val="24"/>
          <w:highlight w:val="none"/>
        </w:rPr>
      </w:pPr>
      <w:r>
        <w:rPr>
          <w:rFonts w:hAnsi="宋体"/>
          <w:color w:val="auto"/>
          <w:sz w:val="24"/>
          <w:highlight w:val="none"/>
        </w:rPr>
        <w:t>3</w:t>
      </w:r>
      <w:r>
        <w:rPr>
          <w:rFonts w:hint="eastAsia" w:hAnsi="宋体"/>
          <w:color w:val="auto"/>
          <w:sz w:val="24"/>
          <w:highlight w:val="none"/>
        </w:rPr>
        <w:t>、货物说明一览表（</w:t>
      </w:r>
      <w:r>
        <w:rPr>
          <w:rFonts w:hAnsi="宋体"/>
          <w:color w:val="auto"/>
          <w:sz w:val="24"/>
          <w:highlight w:val="none"/>
        </w:rPr>
        <w:t>投标文件</w:t>
      </w:r>
      <w:r>
        <w:rPr>
          <w:rFonts w:hint="eastAsia" w:hAnsi="宋体"/>
          <w:color w:val="auto"/>
          <w:sz w:val="24"/>
          <w:highlight w:val="none"/>
        </w:rPr>
        <w:t>格式八）</w:t>
      </w:r>
    </w:p>
    <w:p>
      <w:pPr>
        <w:pStyle w:val="22"/>
        <w:ind w:left="1079" w:leftChars="257" w:hanging="540"/>
        <w:rPr>
          <w:rFonts w:hAnsi="宋体"/>
          <w:color w:val="auto"/>
          <w:sz w:val="24"/>
          <w:highlight w:val="none"/>
        </w:rPr>
      </w:pPr>
      <w:r>
        <w:rPr>
          <w:rFonts w:hAnsi="宋体"/>
          <w:color w:val="auto"/>
          <w:sz w:val="24"/>
          <w:highlight w:val="none"/>
        </w:rPr>
        <w:t>4</w:t>
      </w:r>
      <w:r>
        <w:rPr>
          <w:rFonts w:hint="eastAsia" w:hAnsi="宋体"/>
          <w:color w:val="auto"/>
          <w:sz w:val="24"/>
          <w:highlight w:val="none"/>
        </w:rPr>
        <w:t>、技术规格偏离表（</w:t>
      </w:r>
      <w:r>
        <w:rPr>
          <w:rFonts w:hAnsi="宋体"/>
          <w:color w:val="auto"/>
          <w:sz w:val="24"/>
          <w:highlight w:val="none"/>
        </w:rPr>
        <w:t>投标文件</w:t>
      </w:r>
      <w:r>
        <w:rPr>
          <w:rFonts w:hint="eastAsia" w:hAnsi="宋体"/>
          <w:color w:val="auto"/>
          <w:sz w:val="24"/>
          <w:highlight w:val="none"/>
        </w:rPr>
        <w:t>格式九）</w:t>
      </w:r>
    </w:p>
    <w:p>
      <w:pPr>
        <w:pStyle w:val="22"/>
        <w:ind w:left="1079" w:leftChars="257" w:hanging="540"/>
        <w:rPr>
          <w:rFonts w:hAnsi="宋体"/>
          <w:color w:val="auto"/>
          <w:sz w:val="24"/>
          <w:highlight w:val="none"/>
        </w:rPr>
      </w:pPr>
      <w:r>
        <w:rPr>
          <w:rFonts w:hAnsi="宋体"/>
          <w:color w:val="auto"/>
          <w:sz w:val="24"/>
          <w:highlight w:val="none"/>
        </w:rPr>
        <w:t>5</w:t>
      </w:r>
      <w:r>
        <w:rPr>
          <w:rFonts w:hint="eastAsia" w:hAnsi="宋体"/>
          <w:color w:val="auto"/>
          <w:sz w:val="24"/>
          <w:highlight w:val="none"/>
        </w:rPr>
        <w:t>、商务条款偏离表（</w:t>
      </w:r>
      <w:r>
        <w:rPr>
          <w:rFonts w:hAnsi="宋体"/>
          <w:color w:val="auto"/>
          <w:sz w:val="24"/>
          <w:highlight w:val="none"/>
        </w:rPr>
        <w:t>投标文件</w:t>
      </w:r>
      <w:r>
        <w:rPr>
          <w:rFonts w:hint="eastAsia" w:hAnsi="宋体"/>
          <w:color w:val="auto"/>
          <w:sz w:val="24"/>
          <w:highlight w:val="none"/>
        </w:rPr>
        <w:t>格式十）</w:t>
      </w:r>
    </w:p>
    <w:p>
      <w:pPr>
        <w:pStyle w:val="22"/>
        <w:ind w:left="1079" w:leftChars="257" w:hanging="540"/>
        <w:rPr>
          <w:rFonts w:hAnsi="宋体"/>
          <w:color w:val="auto"/>
          <w:sz w:val="24"/>
          <w:highlight w:val="none"/>
        </w:rPr>
      </w:pPr>
      <w:r>
        <w:rPr>
          <w:rFonts w:hAnsi="宋体"/>
          <w:color w:val="auto"/>
          <w:sz w:val="24"/>
          <w:highlight w:val="none"/>
        </w:rPr>
        <w:t>6</w:t>
      </w:r>
      <w:r>
        <w:rPr>
          <w:rFonts w:hint="eastAsia" w:hAnsi="宋体"/>
          <w:color w:val="auto"/>
          <w:sz w:val="24"/>
          <w:highlight w:val="none"/>
        </w:rPr>
        <w:t>、缴纳中标服务费承诺书（</w:t>
      </w:r>
      <w:r>
        <w:rPr>
          <w:rFonts w:hAnsi="宋体"/>
          <w:color w:val="auto"/>
          <w:sz w:val="24"/>
          <w:highlight w:val="none"/>
        </w:rPr>
        <w:t>投标文件</w:t>
      </w:r>
      <w:r>
        <w:rPr>
          <w:rFonts w:hint="eastAsia" w:hAnsi="宋体"/>
          <w:color w:val="auto"/>
          <w:sz w:val="24"/>
          <w:highlight w:val="none"/>
        </w:rPr>
        <w:t>格式十一）</w:t>
      </w:r>
    </w:p>
    <w:p>
      <w:pPr>
        <w:pStyle w:val="22"/>
        <w:ind w:left="310" w:leftChars="148" w:firstLine="228"/>
        <w:rPr>
          <w:rFonts w:hAnsi="宋体"/>
          <w:color w:val="auto"/>
          <w:sz w:val="24"/>
          <w:highlight w:val="none"/>
        </w:rPr>
      </w:pPr>
      <w:r>
        <w:rPr>
          <w:rFonts w:hAnsi="宋体"/>
          <w:color w:val="auto"/>
          <w:sz w:val="24"/>
          <w:highlight w:val="none"/>
        </w:rPr>
        <w:t>7</w:t>
      </w:r>
      <w:r>
        <w:rPr>
          <w:rFonts w:hint="eastAsia" w:hAnsi="宋体"/>
          <w:color w:val="auto"/>
          <w:sz w:val="24"/>
          <w:highlight w:val="none"/>
        </w:rPr>
        <w:t>、符合《</w:t>
      </w:r>
      <w:r>
        <w:rPr>
          <w:rFonts w:hAnsi="宋体"/>
          <w:color w:val="auto"/>
          <w:sz w:val="24"/>
          <w:highlight w:val="none"/>
        </w:rPr>
        <w:t>政府采购促进中小企业发展暂行办法</w:t>
      </w:r>
      <w:r>
        <w:rPr>
          <w:rFonts w:hint="eastAsia" w:hAnsi="宋体"/>
          <w:color w:val="auto"/>
          <w:sz w:val="24"/>
          <w:highlight w:val="none"/>
        </w:rPr>
        <w:t>》、《关于政府采购支持监狱企业发展有关问题的通知》和《三部门联合发布关于促进残疾人就业政府采购政策的通知》价格扣减条件的投标人须提交）</w:t>
      </w:r>
    </w:p>
    <w:p>
      <w:pPr>
        <w:pStyle w:val="22"/>
        <w:ind w:left="310" w:leftChars="148" w:firstLine="228"/>
        <w:rPr>
          <w:rFonts w:hAnsi="宋体"/>
          <w:color w:val="auto"/>
          <w:sz w:val="24"/>
          <w:highlight w:val="none"/>
        </w:rPr>
      </w:pPr>
      <w:r>
        <w:rPr>
          <w:rFonts w:hint="eastAsia" w:hAnsi="宋体"/>
          <w:color w:val="auto"/>
          <w:sz w:val="24"/>
          <w:highlight w:val="none"/>
        </w:rPr>
        <w:t>7</w:t>
      </w:r>
      <w:r>
        <w:rPr>
          <w:rFonts w:hAnsi="宋体"/>
          <w:color w:val="auto"/>
          <w:sz w:val="24"/>
          <w:highlight w:val="none"/>
        </w:rPr>
        <w:t>-1</w:t>
      </w:r>
      <w:r>
        <w:rPr>
          <w:rFonts w:hint="eastAsia" w:hAnsi="宋体"/>
          <w:color w:val="auto"/>
          <w:sz w:val="24"/>
          <w:highlight w:val="none"/>
        </w:rPr>
        <w:t>《</w:t>
      </w:r>
      <w:r>
        <w:rPr>
          <w:rFonts w:hAnsi="宋体"/>
          <w:color w:val="auto"/>
          <w:sz w:val="24"/>
          <w:highlight w:val="none"/>
        </w:rPr>
        <w:t>投标人企业类型声明函</w:t>
      </w:r>
      <w:r>
        <w:rPr>
          <w:rFonts w:hint="eastAsia" w:hAnsi="宋体"/>
          <w:color w:val="auto"/>
          <w:sz w:val="24"/>
          <w:highlight w:val="none"/>
        </w:rPr>
        <w:t>》（</w:t>
      </w:r>
      <w:r>
        <w:rPr>
          <w:rFonts w:hAnsi="宋体"/>
          <w:color w:val="auto"/>
          <w:sz w:val="24"/>
          <w:highlight w:val="none"/>
        </w:rPr>
        <w:t>投标文件</w:t>
      </w:r>
      <w:r>
        <w:rPr>
          <w:rFonts w:hint="eastAsia" w:hAnsi="宋体"/>
          <w:color w:val="auto"/>
          <w:sz w:val="24"/>
          <w:highlight w:val="none"/>
        </w:rPr>
        <w:t>格式十二），</w:t>
      </w:r>
    </w:p>
    <w:p>
      <w:pPr>
        <w:pStyle w:val="22"/>
        <w:ind w:left="310" w:leftChars="148" w:firstLine="228"/>
        <w:rPr>
          <w:rFonts w:hAnsi="宋体"/>
          <w:color w:val="auto"/>
          <w:sz w:val="24"/>
          <w:highlight w:val="none"/>
        </w:rPr>
      </w:pPr>
      <w:r>
        <w:rPr>
          <w:rFonts w:hAnsi="宋体"/>
          <w:color w:val="auto"/>
          <w:sz w:val="24"/>
          <w:highlight w:val="none"/>
        </w:rPr>
        <w:t>7-2</w:t>
      </w:r>
      <w:r>
        <w:rPr>
          <w:rFonts w:hint="eastAsia" w:hAnsi="宋体"/>
          <w:color w:val="auto"/>
          <w:sz w:val="24"/>
          <w:highlight w:val="none"/>
        </w:rPr>
        <w:t>《制造商</w:t>
      </w:r>
      <w:r>
        <w:rPr>
          <w:rFonts w:hAnsi="宋体"/>
          <w:color w:val="auto"/>
          <w:sz w:val="24"/>
          <w:highlight w:val="none"/>
        </w:rPr>
        <w:t>投标人企业类型声明函</w:t>
      </w:r>
      <w:r>
        <w:rPr>
          <w:rFonts w:hint="eastAsia" w:hAnsi="宋体"/>
          <w:color w:val="auto"/>
          <w:sz w:val="24"/>
          <w:highlight w:val="none"/>
        </w:rPr>
        <w:t>》（</w:t>
      </w:r>
      <w:r>
        <w:rPr>
          <w:rFonts w:hAnsi="宋体"/>
          <w:color w:val="auto"/>
          <w:sz w:val="24"/>
          <w:highlight w:val="none"/>
        </w:rPr>
        <w:t>投标文件</w:t>
      </w:r>
      <w:r>
        <w:rPr>
          <w:rFonts w:hint="eastAsia" w:hAnsi="宋体"/>
          <w:color w:val="auto"/>
          <w:sz w:val="24"/>
          <w:highlight w:val="none"/>
        </w:rPr>
        <w:t>格式十三）</w:t>
      </w:r>
    </w:p>
    <w:p>
      <w:pPr>
        <w:pStyle w:val="22"/>
        <w:ind w:left="310" w:leftChars="148" w:firstLine="228"/>
        <w:rPr>
          <w:rFonts w:hAnsi="宋体"/>
          <w:color w:val="auto"/>
          <w:sz w:val="24"/>
          <w:highlight w:val="none"/>
        </w:rPr>
      </w:pPr>
      <w:r>
        <w:rPr>
          <w:rFonts w:hAnsi="宋体"/>
          <w:color w:val="auto"/>
          <w:sz w:val="24"/>
          <w:highlight w:val="none"/>
        </w:rPr>
        <w:t>7-3</w:t>
      </w:r>
      <w:r>
        <w:rPr>
          <w:rFonts w:hint="eastAsia" w:hAnsi="宋体"/>
          <w:color w:val="auto"/>
          <w:sz w:val="24"/>
          <w:highlight w:val="none"/>
        </w:rPr>
        <w:t>《残疾人福利性单位声明函》（</w:t>
      </w:r>
      <w:r>
        <w:rPr>
          <w:rFonts w:hAnsi="宋体"/>
          <w:color w:val="auto"/>
          <w:sz w:val="24"/>
          <w:highlight w:val="none"/>
        </w:rPr>
        <w:t>投标文件</w:t>
      </w:r>
      <w:r>
        <w:rPr>
          <w:rFonts w:hint="eastAsia" w:hAnsi="宋体"/>
          <w:color w:val="auto"/>
          <w:sz w:val="24"/>
          <w:highlight w:val="none"/>
        </w:rPr>
        <w:t>格式十四），</w:t>
      </w:r>
    </w:p>
    <w:p>
      <w:pPr>
        <w:pStyle w:val="22"/>
        <w:ind w:left="310" w:leftChars="148" w:firstLine="228"/>
        <w:rPr>
          <w:rFonts w:hAnsi="宋体"/>
          <w:color w:val="auto"/>
          <w:sz w:val="24"/>
          <w:highlight w:val="none"/>
        </w:rPr>
      </w:pPr>
      <w:r>
        <w:rPr>
          <w:rFonts w:hint="eastAsia" w:hAnsi="宋体"/>
          <w:color w:val="auto"/>
          <w:sz w:val="24"/>
          <w:highlight w:val="none"/>
        </w:rPr>
        <w:t>8、投标人商务符合性</w:t>
      </w:r>
      <w:r>
        <w:rPr>
          <w:rFonts w:hAnsi="宋体"/>
          <w:color w:val="auto"/>
          <w:sz w:val="24"/>
          <w:highlight w:val="none"/>
        </w:rPr>
        <w:t>承诺函</w:t>
      </w:r>
      <w:r>
        <w:rPr>
          <w:rFonts w:hint="eastAsia" w:hAnsi="宋体"/>
          <w:color w:val="auto"/>
          <w:sz w:val="24"/>
          <w:highlight w:val="none"/>
        </w:rPr>
        <w:t>（</w:t>
      </w:r>
      <w:r>
        <w:rPr>
          <w:rFonts w:hAnsi="宋体"/>
          <w:color w:val="auto"/>
          <w:sz w:val="24"/>
          <w:highlight w:val="none"/>
        </w:rPr>
        <w:t>投标文件</w:t>
      </w:r>
      <w:r>
        <w:rPr>
          <w:rFonts w:hint="eastAsia" w:hAnsi="宋体"/>
          <w:color w:val="auto"/>
          <w:sz w:val="24"/>
          <w:highlight w:val="none"/>
        </w:rPr>
        <w:t>格式十五）</w:t>
      </w:r>
    </w:p>
    <w:p>
      <w:pPr>
        <w:pStyle w:val="22"/>
        <w:ind w:left="310" w:leftChars="148" w:firstLine="228"/>
        <w:rPr>
          <w:rFonts w:hAnsi="宋体"/>
          <w:color w:val="auto"/>
          <w:sz w:val="24"/>
          <w:highlight w:val="none"/>
        </w:rPr>
      </w:pPr>
      <w:r>
        <w:rPr>
          <w:rFonts w:hAnsi="宋体"/>
          <w:color w:val="auto"/>
          <w:sz w:val="24"/>
          <w:highlight w:val="none"/>
        </w:rPr>
        <w:t>9</w:t>
      </w:r>
      <w:r>
        <w:rPr>
          <w:rFonts w:hint="eastAsia" w:hAnsi="宋体"/>
          <w:color w:val="auto"/>
          <w:sz w:val="24"/>
          <w:highlight w:val="none"/>
        </w:rPr>
        <w:t>、</w:t>
      </w:r>
      <w:r>
        <w:rPr>
          <w:rFonts w:hAnsi="宋体"/>
          <w:color w:val="auto"/>
          <w:sz w:val="24"/>
          <w:highlight w:val="none"/>
        </w:rPr>
        <w:t>投标人关联单位的说明（格式</w:t>
      </w:r>
      <w:r>
        <w:rPr>
          <w:rFonts w:hint="eastAsia" w:hAnsi="宋体"/>
          <w:color w:val="auto"/>
          <w:sz w:val="24"/>
          <w:highlight w:val="none"/>
        </w:rPr>
        <w:t>自拟</w:t>
      </w:r>
      <w:r>
        <w:rPr>
          <w:rFonts w:hAnsi="宋体"/>
          <w:color w:val="auto"/>
          <w:sz w:val="24"/>
          <w:highlight w:val="none"/>
        </w:rPr>
        <w:t>）</w:t>
      </w:r>
    </w:p>
    <w:p>
      <w:pPr>
        <w:pStyle w:val="22"/>
        <w:ind w:left="310" w:leftChars="148" w:firstLine="228"/>
        <w:rPr>
          <w:rFonts w:hAnsi="宋体"/>
          <w:color w:val="auto"/>
          <w:sz w:val="24"/>
          <w:highlight w:val="none"/>
        </w:rPr>
      </w:pPr>
      <w:r>
        <w:rPr>
          <w:rFonts w:hAnsi="宋体"/>
          <w:color w:val="auto"/>
          <w:sz w:val="24"/>
          <w:highlight w:val="none"/>
        </w:rPr>
        <w:t>10</w:t>
      </w:r>
      <w:r>
        <w:rPr>
          <w:rFonts w:hint="eastAsia" w:hAnsi="宋体"/>
          <w:color w:val="auto"/>
          <w:sz w:val="24"/>
          <w:highlight w:val="none"/>
        </w:rPr>
        <w:t>、投标文件还应包括投标人须知第10条的所有技术文件</w:t>
      </w:r>
    </w:p>
    <w:p>
      <w:pPr>
        <w:pStyle w:val="22"/>
        <w:tabs>
          <w:tab w:val="left" w:pos="5580"/>
        </w:tabs>
        <w:spacing w:line="240" w:lineRule="atLeast"/>
        <w:ind w:left="1079" w:leftChars="257" w:hanging="540"/>
        <w:rPr>
          <w:rFonts w:hAnsi="宋体"/>
          <w:color w:val="auto"/>
          <w:sz w:val="24"/>
          <w:highlight w:val="none"/>
        </w:rPr>
      </w:pPr>
      <w:r>
        <w:rPr>
          <w:rFonts w:hAnsi="宋体"/>
          <w:color w:val="auto"/>
          <w:sz w:val="24"/>
          <w:highlight w:val="none"/>
        </w:rPr>
        <w:br w:type="page"/>
      </w:r>
    </w:p>
    <w:p>
      <w:pPr>
        <w:pStyle w:val="4"/>
        <w:spacing w:before="0" w:line="240" w:lineRule="atLeast"/>
        <w:rPr>
          <w:rFonts w:ascii="宋体" w:hAnsi="宋体" w:eastAsia="宋体"/>
          <w:color w:val="auto"/>
          <w:sz w:val="24"/>
          <w:highlight w:val="none"/>
        </w:rPr>
      </w:pPr>
      <w:bookmarkStart w:id="402" w:name="_Toc1908"/>
      <w:bookmarkStart w:id="403" w:name="_Toc533275374"/>
      <w:bookmarkStart w:id="404" w:name="_Toc494447310"/>
      <w:bookmarkStart w:id="405" w:name="_Toc495418096"/>
      <w:bookmarkStart w:id="406" w:name="_Toc510950656"/>
      <w:r>
        <w:rPr>
          <w:rFonts w:hint="eastAsia" w:ascii="宋体" w:hAnsi="宋体" w:eastAsia="宋体"/>
          <w:color w:val="auto"/>
          <w:sz w:val="24"/>
          <w:highlight w:val="none"/>
        </w:rPr>
        <w:t xml:space="preserve">1  </w:t>
      </w:r>
      <w:bookmarkStart w:id="407" w:name="_Hlt520355504"/>
      <w:bookmarkEnd w:id="407"/>
      <w:r>
        <w:rPr>
          <w:rFonts w:hint="eastAsia" w:ascii="宋体" w:hAnsi="宋体" w:eastAsia="宋体"/>
          <w:color w:val="auto"/>
          <w:sz w:val="24"/>
          <w:highlight w:val="none"/>
        </w:rPr>
        <w:t>投标</w:t>
      </w:r>
      <w:bookmarkEnd w:id="321"/>
      <w:bookmarkEnd w:id="322"/>
      <w:r>
        <w:rPr>
          <w:rFonts w:hint="eastAsia" w:ascii="宋体" w:hAnsi="宋体" w:eastAsia="宋体"/>
          <w:color w:val="auto"/>
          <w:sz w:val="24"/>
          <w:highlight w:val="none"/>
        </w:rPr>
        <w:t>书</w:t>
      </w:r>
      <w:bookmarkEnd w:id="323"/>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格式六）</w:t>
      </w:r>
      <w:bookmarkEnd w:id="324"/>
      <w:bookmarkEnd w:id="402"/>
      <w:bookmarkEnd w:id="403"/>
      <w:bookmarkEnd w:id="404"/>
      <w:bookmarkEnd w:id="405"/>
      <w:bookmarkEnd w:id="406"/>
    </w:p>
    <w:p>
      <w:pPr>
        <w:tabs>
          <w:tab w:val="left" w:pos="5580"/>
        </w:tabs>
        <w:spacing w:line="240" w:lineRule="atLeast"/>
        <w:ind w:left="1079" w:leftChars="257" w:hanging="540"/>
        <w:rPr>
          <w:rFonts w:ascii="宋体" w:hAnsi="宋体"/>
          <w:color w:val="auto"/>
          <w:sz w:val="24"/>
          <w:highlight w:val="none"/>
        </w:rPr>
      </w:pPr>
    </w:p>
    <w:p>
      <w:pPr>
        <w:tabs>
          <w:tab w:val="left" w:pos="5580"/>
        </w:tabs>
        <w:spacing w:line="240" w:lineRule="atLeast"/>
        <w:ind w:left="1080" w:hanging="1080"/>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广东华伦招标有限公司</w:t>
      </w:r>
    </w:p>
    <w:p>
      <w:pPr>
        <w:pStyle w:val="22"/>
        <w:tabs>
          <w:tab w:val="left" w:pos="5580"/>
        </w:tabs>
        <w:spacing w:line="240" w:lineRule="atLeast"/>
        <w:ind w:left="1079" w:leftChars="257" w:hanging="540"/>
        <w:rPr>
          <w:rFonts w:hAnsi="宋体"/>
          <w:color w:val="auto"/>
          <w:sz w:val="24"/>
          <w:highlight w:val="none"/>
        </w:rPr>
      </w:pPr>
    </w:p>
    <w:p>
      <w:pPr>
        <w:pStyle w:val="22"/>
        <w:tabs>
          <w:tab w:val="left" w:pos="5580"/>
        </w:tabs>
        <w:spacing w:line="360" w:lineRule="auto"/>
        <w:ind w:left="2" w:leftChars="1" w:firstLine="480" w:firstLineChars="200"/>
        <w:rPr>
          <w:rFonts w:hAnsi="宋体"/>
          <w:color w:val="auto"/>
          <w:sz w:val="24"/>
          <w:highlight w:val="none"/>
        </w:rPr>
      </w:pPr>
      <w:r>
        <w:rPr>
          <w:rFonts w:hint="eastAsia" w:hAnsi="宋体"/>
          <w:color w:val="auto"/>
          <w:sz w:val="24"/>
          <w:highlight w:val="none"/>
        </w:rPr>
        <w:t>根据贵方为(</w:t>
      </w:r>
      <w:r>
        <w:rPr>
          <w:rFonts w:hint="eastAsia" w:hAnsi="宋体"/>
          <w:i/>
          <w:color w:val="auto"/>
          <w:sz w:val="24"/>
          <w:highlight w:val="none"/>
          <w:u w:val="single"/>
        </w:rPr>
        <w:t>项目名称</w:t>
      </w:r>
      <w:r>
        <w:rPr>
          <w:rFonts w:hint="eastAsia" w:hAnsi="宋体"/>
          <w:color w:val="auto"/>
          <w:sz w:val="24"/>
          <w:highlight w:val="none"/>
        </w:rPr>
        <w:t>)项目的投标邀请(</w:t>
      </w:r>
      <w:r>
        <w:rPr>
          <w:rFonts w:hint="eastAsia" w:hAnsi="宋体"/>
          <w:i/>
          <w:color w:val="auto"/>
          <w:sz w:val="24"/>
          <w:highlight w:val="none"/>
          <w:u w:val="single"/>
        </w:rPr>
        <w:t>招标编号</w:t>
      </w:r>
      <w:r>
        <w:rPr>
          <w:rFonts w:hint="eastAsia" w:hAnsi="宋体"/>
          <w:color w:val="auto"/>
          <w:sz w:val="24"/>
          <w:highlight w:val="none"/>
        </w:rPr>
        <w:t>),签字代表(</w:t>
      </w:r>
      <w:r>
        <w:rPr>
          <w:rFonts w:hint="eastAsia" w:hAnsi="宋体"/>
          <w:i/>
          <w:color w:val="auto"/>
          <w:sz w:val="24"/>
          <w:highlight w:val="none"/>
          <w:u w:val="single"/>
        </w:rPr>
        <w:t>姓名、职务</w:t>
      </w:r>
      <w:r>
        <w:rPr>
          <w:rFonts w:hint="eastAsia" w:hAnsi="宋体"/>
          <w:color w:val="auto"/>
          <w:sz w:val="24"/>
          <w:highlight w:val="none"/>
        </w:rPr>
        <w:t>)经正式授权并代表投标人（</w:t>
      </w:r>
      <w:r>
        <w:rPr>
          <w:rFonts w:hint="eastAsia" w:hAnsi="宋体"/>
          <w:i/>
          <w:color w:val="auto"/>
          <w:sz w:val="24"/>
          <w:highlight w:val="none"/>
          <w:u w:val="single"/>
        </w:rPr>
        <w:t>投标人名称、地址</w:t>
      </w:r>
      <w:r>
        <w:rPr>
          <w:rFonts w:hint="eastAsia" w:hAnsi="宋体"/>
          <w:color w:val="auto"/>
          <w:sz w:val="24"/>
          <w:highlight w:val="none"/>
        </w:rPr>
        <w:t>）提交下述文件正本份、副本份及电子文档份：</w:t>
      </w:r>
    </w:p>
    <w:p>
      <w:pPr>
        <w:pStyle w:val="22"/>
        <w:tabs>
          <w:tab w:val="left" w:pos="1080"/>
        </w:tabs>
        <w:spacing w:line="360" w:lineRule="auto"/>
        <w:ind w:left="1079" w:leftChars="257" w:hanging="540"/>
        <w:rPr>
          <w:rFonts w:hAnsi="宋体"/>
          <w:color w:val="auto"/>
          <w:sz w:val="24"/>
          <w:highlight w:val="none"/>
        </w:rPr>
      </w:pPr>
      <w:r>
        <w:rPr>
          <w:rFonts w:hint="eastAsia" w:hAnsi="宋体"/>
          <w:color w:val="auto"/>
          <w:sz w:val="24"/>
          <w:highlight w:val="none"/>
        </w:rPr>
        <w:t>（1）投标分项报价表</w:t>
      </w:r>
    </w:p>
    <w:p>
      <w:pPr>
        <w:pStyle w:val="22"/>
        <w:tabs>
          <w:tab w:val="left" w:pos="1080"/>
        </w:tabs>
        <w:spacing w:line="360" w:lineRule="auto"/>
        <w:ind w:left="1079" w:leftChars="257" w:hanging="540"/>
        <w:rPr>
          <w:rFonts w:hAnsi="宋体"/>
          <w:color w:val="auto"/>
          <w:sz w:val="24"/>
          <w:highlight w:val="none"/>
        </w:rPr>
      </w:pPr>
      <w:r>
        <w:rPr>
          <w:rFonts w:hint="eastAsia" w:hAnsi="宋体"/>
          <w:color w:val="auto"/>
          <w:sz w:val="24"/>
          <w:highlight w:val="none"/>
        </w:rPr>
        <w:t>（2）货物说明一览表</w:t>
      </w:r>
    </w:p>
    <w:p>
      <w:pPr>
        <w:pStyle w:val="22"/>
        <w:tabs>
          <w:tab w:val="left" w:pos="1080"/>
        </w:tabs>
        <w:spacing w:line="360" w:lineRule="auto"/>
        <w:ind w:left="1079" w:leftChars="257" w:hanging="540"/>
        <w:rPr>
          <w:rFonts w:hAnsi="宋体"/>
          <w:color w:val="auto"/>
          <w:sz w:val="24"/>
          <w:highlight w:val="none"/>
        </w:rPr>
      </w:pPr>
      <w:r>
        <w:rPr>
          <w:rFonts w:hint="eastAsia" w:hAnsi="宋体"/>
          <w:color w:val="auto"/>
          <w:sz w:val="24"/>
          <w:highlight w:val="none"/>
        </w:rPr>
        <w:t>（3）技术规格偏离表</w:t>
      </w:r>
    </w:p>
    <w:p>
      <w:pPr>
        <w:pStyle w:val="22"/>
        <w:tabs>
          <w:tab w:val="left" w:pos="1080"/>
        </w:tabs>
        <w:spacing w:line="360" w:lineRule="auto"/>
        <w:ind w:left="1079" w:leftChars="257" w:hanging="540"/>
        <w:rPr>
          <w:rFonts w:hAnsi="宋体"/>
          <w:color w:val="auto"/>
          <w:sz w:val="24"/>
          <w:highlight w:val="none"/>
        </w:rPr>
      </w:pPr>
      <w:r>
        <w:rPr>
          <w:rFonts w:hint="eastAsia" w:hAnsi="宋体"/>
          <w:color w:val="auto"/>
          <w:sz w:val="24"/>
          <w:highlight w:val="none"/>
        </w:rPr>
        <w:t>（4）商务条款偏离表</w:t>
      </w:r>
    </w:p>
    <w:p>
      <w:pPr>
        <w:pStyle w:val="22"/>
        <w:tabs>
          <w:tab w:val="left" w:pos="1080"/>
        </w:tabs>
        <w:spacing w:line="360" w:lineRule="auto"/>
        <w:ind w:left="1079" w:leftChars="257" w:hanging="540"/>
        <w:rPr>
          <w:rFonts w:hAnsi="宋体"/>
          <w:color w:val="auto"/>
          <w:sz w:val="24"/>
          <w:highlight w:val="none"/>
        </w:rPr>
      </w:pPr>
      <w:r>
        <w:rPr>
          <w:rFonts w:hint="eastAsia" w:hAnsi="宋体"/>
          <w:color w:val="auto"/>
          <w:sz w:val="24"/>
          <w:highlight w:val="none"/>
        </w:rPr>
        <w:t>（5）资格证明文件</w:t>
      </w:r>
    </w:p>
    <w:p>
      <w:pPr>
        <w:pStyle w:val="22"/>
        <w:tabs>
          <w:tab w:val="left" w:pos="1080"/>
        </w:tabs>
        <w:spacing w:line="360" w:lineRule="auto"/>
        <w:ind w:left="1079" w:leftChars="257" w:hanging="540"/>
        <w:rPr>
          <w:rFonts w:hAnsi="宋体"/>
          <w:color w:val="auto"/>
          <w:sz w:val="24"/>
          <w:highlight w:val="none"/>
        </w:rPr>
      </w:pPr>
      <w:r>
        <w:rPr>
          <w:rFonts w:hint="eastAsia" w:hAnsi="宋体"/>
          <w:color w:val="auto"/>
          <w:sz w:val="24"/>
          <w:highlight w:val="none"/>
        </w:rPr>
        <w:t>（6）遵守国家有关法律、法规和规章，按招标文件中投标人须知和技术规格要求提供的有关文件</w:t>
      </w:r>
    </w:p>
    <w:p>
      <w:pPr>
        <w:pStyle w:val="22"/>
        <w:tabs>
          <w:tab w:val="left" w:pos="900"/>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（7）以形式出具的金额为人民币</w:t>
      </w:r>
      <w:r>
        <w:rPr>
          <w:rFonts w:hint="eastAsia" w:hAnsi="宋体"/>
          <w:color w:val="auto"/>
          <w:sz w:val="24"/>
          <w:highlight w:val="none"/>
          <w:u w:val="single"/>
        </w:rPr>
        <w:t>　　　　</w:t>
      </w:r>
      <w:r>
        <w:rPr>
          <w:rFonts w:hint="eastAsia" w:hAnsi="宋体"/>
          <w:color w:val="auto"/>
          <w:sz w:val="24"/>
          <w:highlight w:val="none"/>
        </w:rPr>
        <w:t>元的投标保证金。</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据此，签字代表宣布同意如下：</w:t>
      </w:r>
    </w:p>
    <w:p>
      <w:pPr>
        <w:pStyle w:val="22"/>
        <w:tabs>
          <w:tab w:val="left" w:pos="720"/>
          <w:tab w:val="left" w:pos="900"/>
        </w:tabs>
        <w:spacing w:line="360" w:lineRule="auto"/>
        <w:ind w:left="1079" w:leftChars="257" w:hanging="540"/>
        <w:rPr>
          <w:rFonts w:hAnsi="宋体"/>
          <w:color w:val="auto"/>
          <w:sz w:val="24"/>
          <w:highlight w:val="none"/>
          <w:u w:val="single"/>
        </w:rPr>
      </w:pPr>
      <w:r>
        <w:rPr>
          <w:rFonts w:hint="eastAsia" w:hAnsi="宋体"/>
          <w:color w:val="auto"/>
          <w:sz w:val="24"/>
          <w:highlight w:val="none"/>
        </w:rPr>
        <w:t>（1）附投标价格表中规定的应提交和交付的货物投标总价详见开标</w:t>
      </w:r>
      <w:r>
        <w:rPr>
          <w:rFonts w:hAnsi="宋体"/>
          <w:color w:val="auto"/>
          <w:sz w:val="24"/>
          <w:highlight w:val="none"/>
        </w:rPr>
        <w:t>一览表，</w:t>
      </w:r>
      <w:r>
        <w:rPr>
          <w:rFonts w:hint="eastAsia" w:hAnsi="宋体"/>
          <w:color w:val="auto"/>
          <w:sz w:val="24"/>
          <w:highlight w:val="none"/>
          <w:u w:val="single"/>
        </w:rPr>
        <w:t>其中由</w:t>
      </w:r>
      <w:r>
        <w:rPr>
          <w:rFonts w:hAnsi="宋体"/>
          <w:color w:val="auto"/>
          <w:sz w:val="24"/>
          <w:highlight w:val="none"/>
          <w:u w:val="single"/>
        </w:rPr>
        <w:t>小型和</w:t>
      </w:r>
      <w:r>
        <w:rPr>
          <w:rFonts w:hAnsi="宋体"/>
          <w:color w:val="auto"/>
          <w:sz w:val="24"/>
          <w:highlight w:val="none"/>
        </w:rPr>
        <w:t>微型企业</w:t>
      </w:r>
      <w:r>
        <w:rPr>
          <w:rFonts w:hint="eastAsia" w:hAnsi="宋体"/>
          <w:color w:val="auto"/>
          <w:sz w:val="24"/>
          <w:highlight w:val="none"/>
        </w:rPr>
        <w:t>制造</w:t>
      </w:r>
      <w:r>
        <w:rPr>
          <w:rFonts w:hAnsi="宋体"/>
          <w:color w:val="auto"/>
          <w:sz w:val="24"/>
          <w:highlight w:val="none"/>
        </w:rPr>
        <w:t>产品的价格</w:t>
      </w:r>
      <w:r>
        <w:rPr>
          <w:rFonts w:hint="eastAsia" w:hAnsi="宋体"/>
          <w:color w:val="auto"/>
          <w:sz w:val="24"/>
          <w:highlight w:val="none"/>
        </w:rPr>
        <w:t>为</w:t>
      </w:r>
      <w:r>
        <w:rPr>
          <w:rFonts w:hint="eastAsia" w:hAnsi="宋体"/>
          <w:color w:val="auto"/>
          <w:sz w:val="24"/>
          <w:highlight w:val="none"/>
          <w:u w:val="single"/>
        </w:rPr>
        <w:t>　　  （用文字和数字表示），占投标总价   %</w:t>
      </w:r>
      <w:r>
        <w:rPr>
          <w:rFonts w:hint="eastAsia" w:hAnsi="宋体"/>
          <w:color w:val="auto"/>
          <w:sz w:val="24"/>
          <w:highlight w:val="none"/>
        </w:rPr>
        <w:t>。</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（2）投标人将按招标文件的规定履行合同责任和义务。</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（3）投标人已详细审查全部招标文件，包括所有补充通知（如果有的话）。我们完全理解并同意放弃对这方面有不明、误解和质疑的权力。</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（4）本投标有效期为自投标截止之日起个90日历日。</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（5）在规定的开标时间后，投标人保证遵守招标文件中有关保证金的规定。</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（6）根据投标人须知第1条及资格审查的相关规定，我方承诺如下：</w:t>
      </w:r>
    </w:p>
    <w:p>
      <w:pPr>
        <w:pStyle w:val="22"/>
        <w:numPr>
          <w:ilvl w:val="0"/>
          <w:numId w:val="32"/>
        </w:numPr>
        <w:tabs>
          <w:tab w:val="left" w:pos="5580"/>
        </w:tabs>
        <w:spacing w:line="360" w:lineRule="auto"/>
        <w:ind w:left="1056" w:leftChars="503" w:firstLine="0"/>
        <w:rPr>
          <w:rFonts w:hAnsi="宋体"/>
          <w:color w:val="auto"/>
          <w:sz w:val="24"/>
          <w:highlight w:val="none"/>
        </w:rPr>
      </w:pPr>
      <w:r>
        <w:rPr>
          <w:rFonts w:hint="eastAsia" w:hAnsi="宋体"/>
          <w:color w:val="auto"/>
          <w:sz w:val="24"/>
          <w:highlight w:val="none"/>
        </w:rPr>
        <w:t>我方单位负责人为同一人或者存在直接控股、管理关系的不同供应商，没有同时参加本采购项目投标；</w:t>
      </w:r>
    </w:p>
    <w:p>
      <w:pPr>
        <w:pStyle w:val="22"/>
        <w:numPr>
          <w:ilvl w:val="0"/>
          <w:numId w:val="32"/>
        </w:numPr>
        <w:tabs>
          <w:tab w:val="left" w:pos="5580"/>
        </w:tabs>
        <w:spacing w:line="360" w:lineRule="auto"/>
        <w:ind w:left="1056" w:leftChars="503" w:firstLine="0"/>
        <w:rPr>
          <w:rFonts w:hAnsi="宋体"/>
          <w:color w:val="auto"/>
          <w:sz w:val="24"/>
          <w:highlight w:val="none"/>
        </w:rPr>
      </w:pPr>
      <w:r>
        <w:rPr>
          <w:rFonts w:hint="eastAsia" w:hAnsi="宋体"/>
          <w:color w:val="auto"/>
          <w:sz w:val="24"/>
          <w:highlight w:val="none"/>
        </w:rPr>
        <w:t>我方不是</w:t>
      </w:r>
      <w:r>
        <w:rPr>
          <w:rFonts w:hAnsi="宋体"/>
          <w:color w:val="auto"/>
          <w:sz w:val="24"/>
          <w:highlight w:val="none"/>
        </w:rPr>
        <w:t>为</w:t>
      </w:r>
      <w:r>
        <w:rPr>
          <w:rFonts w:hint="eastAsia" w:hAnsi="宋体"/>
          <w:color w:val="auto"/>
          <w:sz w:val="24"/>
          <w:highlight w:val="none"/>
        </w:rPr>
        <w:t>本</w:t>
      </w:r>
      <w:r>
        <w:rPr>
          <w:rFonts w:hAnsi="宋体"/>
          <w:color w:val="auto"/>
          <w:sz w:val="24"/>
          <w:highlight w:val="none"/>
        </w:rPr>
        <w:t>项目提供整体</w:t>
      </w:r>
      <w:r>
        <w:rPr>
          <w:rFonts w:hint="eastAsia" w:hAnsi="宋体"/>
          <w:color w:val="auto"/>
          <w:sz w:val="24"/>
          <w:highlight w:val="none"/>
        </w:rPr>
        <w:t>设计</w:t>
      </w:r>
      <w:r>
        <w:rPr>
          <w:rFonts w:hAnsi="宋体"/>
          <w:color w:val="auto"/>
          <w:sz w:val="24"/>
          <w:highlight w:val="none"/>
        </w:rPr>
        <w:t>、规范编制或者项目管理、监理、检测等服务的供应商</w:t>
      </w:r>
      <w:r>
        <w:rPr>
          <w:rFonts w:hint="eastAsia" w:hAnsi="宋体"/>
          <w:color w:val="auto"/>
          <w:sz w:val="24"/>
          <w:highlight w:val="none"/>
        </w:rPr>
        <w:t>；</w:t>
      </w:r>
    </w:p>
    <w:p>
      <w:pPr>
        <w:pStyle w:val="22"/>
        <w:numPr>
          <w:ilvl w:val="0"/>
          <w:numId w:val="32"/>
        </w:numPr>
        <w:tabs>
          <w:tab w:val="left" w:pos="5580"/>
        </w:tabs>
        <w:spacing w:line="360" w:lineRule="auto"/>
        <w:ind w:left="1056" w:leftChars="503" w:firstLine="0"/>
        <w:rPr>
          <w:rFonts w:hAnsi="宋体"/>
          <w:color w:val="auto"/>
          <w:sz w:val="24"/>
          <w:highlight w:val="none"/>
        </w:rPr>
      </w:pPr>
      <w:r>
        <w:rPr>
          <w:rFonts w:hint="eastAsia" w:hAnsi="宋体"/>
          <w:color w:val="auto"/>
          <w:sz w:val="24"/>
          <w:highlight w:val="none"/>
        </w:rPr>
        <w:t>我方不是采购代理</w:t>
      </w:r>
      <w:r>
        <w:rPr>
          <w:rFonts w:hAnsi="宋体"/>
          <w:color w:val="auto"/>
          <w:sz w:val="24"/>
          <w:highlight w:val="none"/>
        </w:rPr>
        <w:t>机构</w:t>
      </w:r>
      <w:r>
        <w:rPr>
          <w:rFonts w:hint="eastAsia" w:hAnsi="宋体"/>
          <w:color w:val="auto"/>
          <w:sz w:val="24"/>
          <w:highlight w:val="none"/>
        </w:rPr>
        <w:t>的附属机构；</w:t>
      </w:r>
    </w:p>
    <w:p>
      <w:pPr>
        <w:pStyle w:val="22"/>
        <w:numPr>
          <w:ilvl w:val="0"/>
          <w:numId w:val="32"/>
        </w:numPr>
        <w:tabs>
          <w:tab w:val="left" w:pos="5580"/>
        </w:tabs>
        <w:spacing w:line="360" w:lineRule="auto"/>
        <w:ind w:left="1056" w:leftChars="503" w:firstLine="0"/>
        <w:rPr>
          <w:rFonts w:hAnsi="宋体"/>
          <w:color w:val="auto"/>
          <w:sz w:val="24"/>
          <w:highlight w:val="none"/>
        </w:rPr>
      </w:pPr>
      <w:r>
        <w:rPr>
          <w:rFonts w:hint="eastAsia" w:hAnsi="宋体"/>
          <w:color w:val="auto"/>
          <w:sz w:val="24"/>
          <w:highlight w:val="none"/>
        </w:rPr>
        <w:t>我方不为联合体；</w:t>
      </w:r>
    </w:p>
    <w:p>
      <w:pPr>
        <w:pStyle w:val="22"/>
        <w:numPr>
          <w:ilvl w:val="0"/>
          <w:numId w:val="32"/>
        </w:numPr>
        <w:tabs>
          <w:tab w:val="left" w:pos="5580"/>
        </w:tabs>
        <w:spacing w:line="360" w:lineRule="auto"/>
        <w:ind w:left="1056" w:leftChars="503" w:firstLine="0"/>
        <w:rPr>
          <w:rFonts w:hAnsi="宋体"/>
          <w:color w:val="auto"/>
          <w:sz w:val="24"/>
          <w:highlight w:val="none"/>
        </w:rPr>
      </w:pPr>
      <w:r>
        <w:rPr>
          <w:rFonts w:hint="eastAsia" w:hAnsi="宋体"/>
          <w:color w:val="auto"/>
          <w:sz w:val="24"/>
          <w:highlight w:val="none"/>
        </w:rPr>
        <w:t>我方已</w:t>
      </w:r>
      <w:r>
        <w:rPr>
          <w:rFonts w:hint="eastAsia" w:hAnsi="宋体" w:cs="Tahoma"/>
          <w:color w:val="auto"/>
          <w:sz w:val="24"/>
          <w:szCs w:val="21"/>
          <w:highlight w:val="none"/>
        </w:rPr>
        <w:t>获取本项目招标文件。</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（7）投标人同意提供按照贵方可能要求的与其投标有关的一切数据或资料，完全理解贵方不一定接受最低价的投标或收到的任何投标。</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（8）</w:t>
      </w:r>
      <w:r>
        <w:rPr>
          <w:rFonts w:hAnsi="宋体"/>
          <w:color w:val="auto"/>
          <w:sz w:val="24"/>
          <w:highlight w:val="none"/>
        </w:rPr>
        <w:t>联合体</w:t>
      </w:r>
      <w:r>
        <w:rPr>
          <w:rFonts w:hint="eastAsia" w:hAnsi="宋体"/>
          <w:color w:val="auto"/>
          <w:sz w:val="24"/>
          <w:highlight w:val="none"/>
        </w:rPr>
        <w:t>中</w:t>
      </w:r>
      <w:r>
        <w:rPr>
          <w:rFonts w:hAnsi="宋体"/>
          <w:color w:val="auto"/>
          <w:sz w:val="24"/>
          <w:highlight w:val="none"/>
        </w:rPr>
        <w:t>的大中型企业和其他自然人、法人或者</w:t>
      </w:r>
      <w:r>
        <w:rPr>
          <w:rFonts w:hint="eastAsia" w:hAnsi="宋体"/>
          <w:color w:val="auto"/>
          <w:sz w:val="24"/>
          <w:highlight w:val="none"/>
        </w:rPr>
        <w:t>非法人组织</w:t>
      </w:r>
      <w:r>
        <w:rPr>
          <w:rFonts w:hAnsi="宋体"/>
          <w:color w:val="auto"/>
          <w:sz w:val="24"/>
          <w:highlight w:val="none"/>
        </w:rPr>
        <w:t>，与</w:t>
      </w:r>
      <w:r>
        <w:rPr>
          <w:rFonts w:hint="eastAsia" w:hAnsi="宋体"/>
          <w:color w:val="auto"/>
          <w:sz w:val="24"/>
          <w:highlight w:val="none"/>
        </w:rPr>
        <w:t>联合体中的</w:t>
      </w:r>
      <w:r>
        <w:rPr>
          <w:rFonts w:hAnsi="宋体"/>
          <w:color w:val="auto"/>
          <w:sz w:val="24"/>
          <w:highlight w:val="none"/>
        </w:rPr>
        <w:t>小型、微型企业之间</w:t>
      </w:r>
      <w:r>
        <w:rPr>
          <w:rFonts w:hint="eastAsia" w:hAnsi="宋体"/>
          <w:color w:val="auto"/>
          <w:sz w:val="24"/>
          <w:highlight w:val="none"/>
          <w:u w:val="single"/>
        </w:rPr>
        <w:t xml:space="preserve">     （</w:t>
      </w:r>
      <w:r>
        <w:rPr>
          <w:rFonts w:hAnsi="宋体"/>
          <w:color w:val="auto"/>
          <w:sz w:val="24"/>
          <w:highlight w:val="none"/>
        </w:rPr>
        <w:t>存在</w:t>
      </w:r>
      <w:r>
        <w:rPr>
          <w:rFonts w:hint="eastAsia" w:hAnsi="宋体"/>
          <w:color w:val="auto"/>
          <w:sz w:val="24"/>
          <w:highlight w:val="none"/>
        </w:rPr>
        <w:t>、不存在）</w:t>
      </w:r>
      <w:r>
        <w:rPr>
          <w:rFonts w:hAnsi="宋体"/>
          <w:color w:val="auto"/>
          <w:sz w:val="24"/>
          <w:highlight w:val="none"/>
        </w:rPr>
        <w:t>投资关系</w:t>
      </w:r>
      <w:r>
        <w:rPr>
          <w:rFonts w:hint="eastAsia" w:hAnsi="宋体"/>
          <w:color w:val="auto"/>
          <w:sz w:val="24"/>
          <w:highlight w:val="none"/>
        </w:rPr>
        <w:t>（如果联合体的话）。</w:t>
      </w:r>
    </w:p>
    <w:p>
      <w:pPr>
        <w:pStyle w:val="22"/>
        <w:tabs>
          <w:tab w:val="left" w:pos="5580"/>
        </w:tabs>
        <w:spacing w:line="360" w:lineRule="auto"/>
        <w:ind w:left="359" w:leftChars="171"/>
        <w:rPr>
          <w:rFonts w:hAnsi="宋体"/>
          <w:color w:val="auto"/>
          <w:sz w:val="24"/>
          <w:highlight w:val="none"/>
        </w:rPr>
      </w:pPr>
      <w:r>
        <w:rPr>
          <w:rFonts w:hint="eastAsia" w:hAnsi="宋体"/>
          <w:color w:val="auto"/>
          <w:sz w:val="24"/>
          <w:highlight w:val="none"/>
        </w:rPr>
        <w:t xml:space="preserve">  （9）与本投标有关的一切正式往来信函请寄：</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地址     传真</w:t>
      </w:r>
    </w:p>
    <w:p>
      <w:pPr>
        <w:pStyle w:val="22"/>
        <w:tabs>
          <w:tab w:val="left" w:pos="5580"/>
        </w:tabs>
        <w:spacing w:line="360" w:lineRule="auto"/>
        <w:ind w:left="1079" w:leftChars="257" w:hanging="540"/>
        <w:rPr>
          <w:rFonts w:hAnsi="宋体"/>
          <w:b/>
          <w:color w:val="auto"/>
          <w:sz w:val="24"/>
          <w:highlight w:val="none"/>
        </w:rPr>
      </w:pPr>
      <w:r>
        <w:rPr>
          <w:rFonts w:hint="eastAsia" w:hAnsi="宋体"/>
          <w:color w:val="auto"/>
          <w:sz w:val="24"/>
          <w:highlight w:val="none"/>
        </w:rPr>
        <w:t>电话     电子函件</w:t>
      </w:r>
    </w:p>
    <w:p>
      <w:pPr>
        <w:pStyle w:val="22"/>
        <w:tabs>
          <w:tab w:val="left" w:pos="5580"/>
        </w:tabs>
        <w:spacing w:line="360" w:lineRule="auto"/>
        <w:ind w:left="1079" w:leftChars="257" w:hanging="540"/>
        <w:rPr>
          <w:rFonts w:hAnsi="宋体"/>
          <w:color w:val="auto"/>
          <w:sz w:val="24"/>
          <w:highlight w:val="none"/>
        </w:rPr>
      </w:pP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投标人授权代表签字-----------------</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投标人名称（全称）-----------------</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投标人开户银行（全称）</w:t>
      </w:r>
      <w:r>
        <w:rPr>
          <w:rFonts w:hint="eastAsia" w:hAnsi="宋体"/>
          <w:color w:val="auto"/>
          <w:sz w:val="24"/>
          <w:highlight w:val="none"/>
          <w:u w:val="single"/>
        </w:rPr>
        <w:t xml:space="preserve">　　　　　　 </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投标人银行帐号</w:t>
      </w:r>
      <w:r>
        <w:rPr>
          <w:rFonts w:hint="eastAsia" w:hAnsi="宋体"/>
          <w:color w:val="auto"/>
          <w:sz w:val="24"/>
          <w:highlight w:val="none"/>
          <w:u w:val="single"/>
        </w:rPr>
        <w:t>　　　　　　　　 　　</w:t>
      </w:r>
    </w:p>
    <w:p>
      <w:pPr>
        <w:pStyle w:val="22"/>
        <w:tabs>
          <w:tab w:val="left" w:pos="5580"/>
        </w:tabs>
        <w:spacing w:line="360" w:lineRule="auto"/>
        <w:ind w:left="1079" w:leftChars="257" w:hanging="540"/>
        <w:rPr>
          <w:rFonts w:hAnsi="宋体"/>
          <w:color w:val="auto"/>
          <w:sz w:val="24"/>
          <w:highlight w:val="none"/>
        </w:rPr>
      </w:pPr>
      <w:r>
        <w:rPr>
          <w:rFonts w:hint="eastAsia" w:hAnsi="宋体"/>
          <w:color w:val="auto"/>
          <w:sz w:val="24"/>
          <w:highlight w:val="none"/>
        </w:rPr>
        <w:t>投标人公章-------------------------</w:t>
      </w:r>
    </w:p>
    <w:p>
      <w:pPr>
        <w:pStyle w:val="22"/>
        <w:tabs>
          <w:tab w:val="left" w:pos="5580"/>
        </w:tabs>
        <w:spacing w:line="360" w:lineRule="auto"/>
        <w:ind w:left="1079" w:leftChars="257" w:hanging="540"/>
        <w:rPr>
          <w:rFonts w:hAnsi="宋体"/>
          <w:color w:val="auto"/>
          <w:sz w:val="24"/>
          <w:highlight w:val="none"/>
        </w:rPr>
        <w:sectPr>
          <w:footerReference r:id="rId12" w:type="default"/>
          <w:pgSz w:w="11906" w:h="16838"/>
          <w:pgMar w:top="1440" w:right="1797" w:bottom="1440" w:left="1797" w:header="851" w:footer="992" w:gutter="0"/>
          <w:cols w:space="720" w:num="1"/>
          <w:docGrid w:type="linesAndChars" w:linePitch="312" w:charSpace="0"/>
        </w:sectPr>
      </w:pPr>
      <w:bookmarkStart w:id="408" w:name="_Toc494297001"/>
      <w:bookmarkStart w:id="409" w:name="_Toc494296668"/>
      <w:r>
        <w:rPr>
          <w:rFonts w:hint="eastAsia" w:hAnsi="宋体"/>
          <w:color w:val="auto"/>
          <w:sz w:val="24"/>
          <w:highlight w:val="none"/>
        </w:rPr>
        <w:t>日期-------------------------------</w:t>
      </w:r>
      <w:bookmarkEnd w:id="408"/>
      <w:bookmarkEnd w:id="409"/>
      <w:bookmarkStart w:id="410" w:name="_Hlt520355938"/>
      <w:bookmarkEnd w:id="410"/>
      <w:bookmarkStart w:id="411" w:name="_Hlt520356243"/>
      <w:bookmarkEnd w:id="411"/>
    </w:p>
    <w:p>
      <w:pPr>
        <w:pStyle w:val="4"/>
        <w:spacing w:before="0" w:line="240" w:lineRule="atLeast"/>
        <w:rPr>
          <w:rFonts w:ascii="宋体" w:hAnsi="宋体" w:eastAsia="宋体"/>
          <w:color w:val="auto"/>
          <w:sz w:val="24"/>
          <w:highlight w:val="none"/>
        </w:rPr>
      </w:pPr>
      <w:bookmarkStart w:id="412" w:name="_Toc216582815"/>
      <w:bookmarkStart w:id="413" w:name="_Toc533275375"/>
      <w:bookmarkStart w:id="414" w:name="_Toc510950657"/>
      <w:bookmarkStart w:id="415" w:name="_Toc27383"/>
      <w:bookmarkStart w:id="416" w:name="_Toc494447311"/>
      <w:r>
        <w:rPr>
          <w:rFonts w:hint="eastAsia" w:ascii="宋体" w:hAnsi="宋体" w:eastAsia="宋体"/>
          <w:color w:val="auto"/>
          <w:sz w:val="24"/>
          <w:highlight w:val="none"/>
        </w:rPr>
        <w:t>2  投标分项报价表</w:t>
      </w:r>
      <w:bookmarkEnd w:id="412"/>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格式七）</w:t>
      </w:r>
      <w:bookmarkEnd w:id="413"/>
      <w:bookmarkEnd w:id="414"/>
      <w:bookmarkEnd w:id="415"/>
      <w:bookmarkEnd w:id="416"/>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项目名称:                      招标编号:                         包号: 　 　报价单位：人民币万元</w:t>
      </w:r>
    </w:p>
    <w:tbl>
      <w:tblPr>
        <w:tblStyle w:val="44"/>
        <w:tblW w:w="13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879"/>
        <w:gridCol w:w="2160"/>
        <w:gridCol w:w="1260"/>
        <w:gridCol w:w="1980"/>
        <w:gridCol w:w="1633"/>
        <w:gridCol w:w="126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序号</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名称</w:t>
            </w:r>
          </w:p>
        </w:tc>
        <w:tc>
          <w:tcPr>
            <w:tcW w:w="216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型号和规格</w:t>
            </w:r>
          </w:p>
        </w:tc>
        <w:tc>
          <w:tcPr>
            <w:tcW w:w="126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数量</w:t>
            </w:r>
          </w:p>
        </w:tc>
        <w:tc>
          <w:tcPr>
            <w:tcW w:w="198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原产地和制造商名称</w:t>
            </w:r>
          </w:p>
        </w:tc>
        <w:tc>
          <w:tcPr>
            <w:tcW w:w="1633"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单价</w:t>
            </w:r>
          </w:p>
        </w:tc>
        <w:tc>
          <w:tcPr>
            <w:tcW w:w="1261"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总价</w:t>
            </w:r>
          </w:p>
        </w:tc>
        <w:tc>
          <w:tcPr>
            <w:tcW w:w="1262"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1.</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货物名称</w:t>
            </w:r>
          </w:p>
        </w:tc>
        <w:tc>
          <w:tcPr>
            <w:tcW w:w="2160" w:type="dxa"/>
            <w:vAlign w:val="center"/>
          </w:tcPr>
          <w:p>
            <w:pPr>
              <w:pStyle w:val="22"/>
              <w:spacing w:line="240" w:lineRule="atLeast"/>
              <w:ind w:left="1080" w:leftChars="257" w:hanging="540"/>
              <w:jc w:val="center"/>
              <w:rPr>
                <w:rFonts w:hAnsi="宋体"/>
                <w:color w:val="auto"/>
                <w:sz w:val="24"/>
                <w:highlight w:val="none"/>
              </w:rPr>
            </w:pPr>
          </w:p>
        </w:tc>
        <w:tc>
          <w:tcPr>
            <w:tcW w:w="1260" w:type="dxa"/>
            <w:vAlign w:val="center"/>
          </w:tcPr>
          <w:p>
            <w:pPr>
              <w:pStyle w:val="22"/>
              <w:spacing w:line="240" w:lineRule="atLeast"/>
              <w:ind w:left="1080" w:leftChars="257" w:hanging="540"/>
              <w:jc w:val="center"/>
              <w:rPr>
                <w:rFonts w:hAnsi="宋体"/>
                <w:color w:val="auto"/>
                <w:sz w:val="24"/>
                <w:highlight w:val="none"/>
              </w:rPr>
            </w:pPr>
          </w:p>
        </w:tc>
        <w:tc>
          <w:tcPr>
            <w:tcW w:w="1980" w:type="dxa"/>
            <w:vAlign w:val="center"/>
          </w:tcPr>
          <w:p>
            <w:pPr>
              <w:pStyle w:val="22"/>
              <w:spacing w:line="240" w:lineRule="atLeast"/>
              <w:ind w:left="1080" w:leftChars="257" w:hanging="540"/>
              <w:jc w:val="center"/>
              <w:rPr>
                <w:rFonts w:hAnsi="宋体"/>
                <w:color w:val="auto"/>
                <w:sz w:val="24"/>
                <w:highlight w:val="none"/>
              </w:rPr>
            </w:pPr>
          </w:p>
        </w:tc>
        <w:tc>
          <w:tcPr>
            <w:tcW w:w="1633" w:type="dxa"/>
            <w:vAlign w:val="center"/>
          </w:tcPr>
          <w:p>
            <w:pPr>
              <w:pStyle w:val="22"/>
              <w:spacing w:line="240" w:lineRule="atLeast"/>
              <w:ind w:left="1080" w:leftChars="257" w:hanging="540"/>
              <w:jc w:val="center"/>
              <w:rPr>
                <w:rFonts w:hAnsi="宋体"/>
                <w:color w:val="auto"/>
                <w:sz w:val="24"/>
                <w:highlight w:val="none"/>
              </w:rPr>
            </w:pPr>
          </w:p>
        </w:tc>
        <w:tc>
          <w:tcPr>
            <w:tcW w:w="1261" w:type="dxa"/>
            <w:vAlign w:val="center"/>
          </w:tcPr>
          <w:p>
            <w:pPr>
              <w:pStyle w:val="22"/>
              <w:spacing w:line="240" w:lineRule="atLeast"/>
              <w:ind w:left="1080" w:leftChars="257" w:hanging="540"/>
              <w:jc w:val="center"/>
              <w:rPr>
                <w:rFonts w:hAnsi="宋体"/>
                <w:color w:val="auto"/>
                <w:sz w:val="24"/>
                <w:highlight w:val="none"/>
              </w:rPr>
            </w:pPr>
          </w:p>
        </w:tc>
        <w:tc>
          <w:tcPr>
            <w:tcW w:w="1262" w:type="dxa"/>
            <w:vAlign w:val="center"/>
          </w:tcPr>
          <w:p>
            <w:pPr>
              <w:pStyle w:val="22"/>
              <w:spacing w:line="240" w:lineRule="atLeast"/>
              <w:ind w:left="1080" w:leftChars="257" w:hanging="540"/>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2.</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备品备件</w:t>
            </w:r>
          </w:p>
        </w:tc>
        <w:tc>
          <w:tcPr>
            <w:tcW w:w="2160" w:type="dxa"/>
            <w:vAlign w:val="center"/>
          </w:tcPr>
          <w:p>
            <w:pPr>
              <w:pStyle w:val="22"/>
              <w:spacing w:line="240" w:lineRule="atLeast"/>
              <w:ind w:left="1080" w:leftChars="257" w:hanging="540"/>
              <w:jc w:val="center"/>
              <w:rPr>
                <w:rFonts w:hAnsi="宋体"/>
                <w:color w:val="auto"/>
                <w:sz w:val="24"/>
                <w:highlight w:val="none"/>
              </w:rPr>
            </w:pPr>
          </w:p>
        </w:tc>
        <w:tc>
          <w:tcPr>
            <w:tcW w:w="1260" w:type="dxa"/>
            <w:vAlign w:val="center"/>
          </w:tcPr>
          <w:p>
            <w:pPr>
              <w:pStyle w:val="22"/>
              <w:spacing w:line="240" w:lineRule="atLeast"/>
              <w:ind w:left="1080" w:leftChars="257" w:hanging="540"/>
              <w:jc w:val="center"/>
              <w:rPr>
                <w:rFonts w:hAnsi="宋体"/>
                <w:color w:val="auto"/>
                <w:sz w:val="24"/>
                <w:highlight w:val="none"/>
              </w:rPr>
            </w:pPr>
          </w:p>
        </w:tc>
        <w:tc>
          <w:tcPr>
            <w:tcW w:w="1980" w:type="dxa"/>
            <w:vAlign w:val="center"/>
          </w:tcPr>
          <w:p>
            <w:pPr>
              <w:pStyle w:val="22"/>
              <w:spacing w:line="240" w:lineRule="atLeast"/>
              <w:ind w:left="1080" w:leftChars="257" w:hanging="540"/>
              <w:jc w:val="center"/>
              <w:rPr>
                <w:rFonts w:hAnsi="宋体"/>
                <w:color w:val="auto"/>
                <w:sz w:val="24"/>
                <w:highlight w:val="none"/>
              </w:rPr>
            </w:pPr>
          </w:p>
        </w:tc>
        <w:tc>
          <w:tcPr>
            <w:tcW w:w="1633" w:type="dxa"/>
            <w:vAlign w:val="center"/>
          </w:tcPr>
          <w:p>
            <w:pPr>
              <w:pStyle w:val="22"/>
              <w:spacing w:line="240" w:lineRule="atLeast"/>
              <w:ind w:left="1080" w:leftChars="257" w:hanging="540"/>
              <w:jc w:val="center"/>
              <w:rPr>
                <w:rFonts w:hAnsi="宋体"/>
                <w:color w:val="auto"/>
                <w:sz w:val="24"/>
                <w:highlight w:val="none"/>
              </w:rPr>
            </w:pPr>
          </w:p>
        </w:tc>
        <w:tc>
          <w:tcPr>
            <w:tcW w:w="1261" w:type="dxa"/>
            <w:vAlign w:val="center"/>
          </w:tcPr>
          <w:p>
            <w:pPr>
              <w:pStyle w:val="22"/>
              <w:spacing w:line="240" w:lineRule="atLeast"/>
              <w:ind w:left="1080" w:leftChars="257" w:hanging="540"/>
              <w:jc w:val="center"/>
              <w:rPr>
                <w:rFonts w:hAnsi="宋体"/>
                <w:color w:val="auto"/>
                <w:sz w:val="24"/>
                <w:highlight w:val="none"/>
              </w:rPr>
            </w:pPr>
          </w:p>
        </w:tc>
        <w:tc>
          <w:tcPr>
            <w:tcW w:w="1262" w:type="dxa"/>
            <w:vAlign w:val="center"/>
          </w:tcPr>
          <w:p>
            <w:pPr>
              <w:pStyle w:val="22"/>
              <w:spacing w:line="240" w:lineRule="atLeast"/>
              <w:ind w:left="1080" w:leftChars="257" w:hanging="540"/>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3.</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专用工具</w:t>
            </w:r>
          </w:p>
        </w:tc>
        <w:tc>
          <w:tcPr>
            <w:tcW w:w="2160" w:type="dxa"/>
            <w:vAlign w:val="center"/>
          </w:tcPr>
          <w:p>
            <w:pPr>
              <w:pStyle w:val="22"/>
              <w:spacing w:line="240" w:lineRule="atLeast"/>
              <w:ind w:left="1080" w:leftChars="257" w:hanging="540"/>
              <w:jc w:val="center"/>
              <w:rPr>
                <w:rFonts w:hAnsi="宋体"/>
                <w:color w:val="auto"/>
                <w:sz w:val="24"/>
                <w:highlight w:val="none"/>
              </w:rPr>
            </w:pPr>
          </w:p>
        </w:tc>
        <w:tc>
          <w:tcPr>
            <w:tcW w:w="1260" w:type="dxa"/>
            <w:vAlign w:val="center"/>
          </w:tcPr>
          <w:p>
            <w:pPr>
              <w:pStyle w:val="22"/>
              <w:spacing w:line="240" w:lineRule="atLeast"/>
              <w:ind w:left="1080" w:leftChars="257" w:hanging="540"/>
              <w:jc w:val="center"/>
              <w:rPr>
                <w:rFonts w:hAnsi="宋体"/>
                <w:color w:val="auto"/>
                <w:sz w:val="24"/>
                <w:highlight w:val="none"/>
              </w:rPr>
            </w:pPr>
          </w:p>
        </w:tc>
        <w:tc>
          <w:tcPr>
            <w:tcW w:w="1980" w:type="dxa"/>
            <w:vAlign w:val="center"/>
          </w:tcPr>
          <w:p>
            <w:pPr>
              <w:pStyle w:val="22"/>
              <w:spacing w:line="240" w:lineRule="atLeast"/>
              <w:ind w:left="1080" w:leftChars="257" w:hanging="540"/>
              <w:jc w:val="center"/>
              <w:rPr>
                <w:rFonts w:hAnsi="宋体"/>
                <w:color w:val="auto"/>
                <w:sz w:val="24"/>
                <w:highlight w:val="none"/>
              </w:rPr>
            </w:pPr>
          </w:p>
        </w:tc>
        <w:tc>
          <w:tcPr>
            <w:tcW w:w="1633" w:type="dxa"/>
            <w:vAlign w:val="center"/>
          </w:tcPr>
          <w:p>
            <w:pPr>
              <w:pStyle w:val="22"/>
              <w:spacing w:line="240" w:lineRule="atLeast"/>
              <w:ind w:left="1080" w:leftChars="257" w:hanging="540"/>
              <w:jc w:val="center"/>
              <w:rPr>
                <w:rFonts w:hAnsi="宋体"/>
                <w:color w:val="auto"/>
                <w:sz w:val="24"/>
                <w:highlight w:val="none"/>
              </w:rPr>
            </w:pPr>
          </w:p>
        </w:tc>
        <w:tc>
          <w:tcPr>
            <w:tcW w:w="1261" w:type="dxa"/>
            <w:vAlign w:val="center"/>
          </w:tcPr>
          <w:p>
            <w:pPr>
              <w:pStyle w:val="22"/>
              <w:spacing w:line="240" w:lineRule="atLeast"/>
              <w:ind w:left="1080" w:leftChars="257" w:hanging="540"/>
              <w:jc w:val="center"/>
              <w:rPr>
                <w:rFonts w:hAnsi="宋体"/>
                <w:color w:val="auto"/>
                <w:sz w:val="24"/>
                <w:highlight w:val="none"/>
              </w:rPr>
            </w:pPr>
          </w:p>
        </w:tc>
        <w:tc>
          <w:tcPr>
            <w:tcW w:w="1262" w:type="dxa"/>
            <w:vAlign w:val="center"/>
          </w:tcPr>
          <w:p>
            <w:pPr>
              <w:pStyle w:val="22"/>
              <w:spacing w:line="240" w:lineRule="atLeast"/>
              <w:ind w:left="1080" w:leftChars="257" w:hanging="540"/>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4.</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安装、调试、检验</w:t>
            </w:r>
          </w:p>
        </w:tc>
        <w:tc>
          <w:tcPr>
            <w:tcW w:w="2160" w:type="dxa"/>
            <w:vAlign w:val="center"/>
          </w:tcPr>
          <w:p>
            <w:pPr>
              <w:pStyle w:val="22"/>
              <w:spacing w:line="240" w:lineRule="atLeast"/>
              <w:ind w:left="1080" w:leftChars="257" w:hanging="540"/>
              <w:jc w:val="center"/>
              <w:rPr>
                <w:rFonts w:hAnsi="宋体"/>
                <w:color w:val="auto"/>
                <w:sz w:val="24"/>
                <w:highlight w:val="none"/>
              </w:rPr>
            </w:pPr>
          </w:p>
        </w:tc>
        <w:tc>
          <w:tcPr>
            <w:tcW w:w="1260" w:type="dxa"/>
            <w:vAlign w:val="center"/>
          </w:tcPr>
          <w:p>
            <w:pPr>
              <w:pStyle w:val="22"/>
              <w:spacing w:line="240" w:lineRule="atLeast"/>
              <w:ind w:left="1080" w:leftChars="257" w:hanging="540"/>
              <w:jc w:val="center"/>
              <w:rPr>
                <w:rFonts w:hAnsi="宋体"/>
                <w:color w:val="auto"/>
                <w:sz w:val="24"/>
                <w:highlight w:val="none"/>
              </w:rPr>
            </w:pPr>
          </w:p>
        </w:tc>
        <w:tc>
          <w:tcPr>
            <w:tcW w:w="1980" w:type="dxa"/>
            <w:vAlign w:val="center"/>
          </w:tcPr>
          <w:p>
            <w:pPr>
              <w:pStyle w:val="22"/>
              <w:spacing w:line="240" w:lineRule="atLeast"/>
              <w:ind w:left="1080" w:leftChars="257" w:hanging="540"/>
              <w:jc w:val="center"/>
              <w:rPr>
                <w:rFonts w:hAnsi="宋体"/>
                <w:color w:val="auto"/>
                <w:sz w:val="24"/>
                <w:highlight w:val="none"/>
              </w:rPr>
            </w:pPr>
          </w:p>
        </w:tc>
        <w:tc>
          <w:tcPr>
            <w:tcW w:w="1633" w:type="dxa"/>
            <w:vAlign w:val="center"/>
          </w:tcPr>
          <w:p>
            <w:pPr>
              <w:pStyle w:val="22"/>
              <w:spacing w:line="240" w:lineRule="atLeast"/>
              <w:ind w:left="1080" w:leftChars="257" w:hanging="540"/>
              <w:jc w:val="center"/>
              <w:rPr>
                <w:rFonts w:hAnsi="宋体"/>
                <w:color w:val="auto"/>
                <w:sz w:val="24"/>
                <w:highlight w:val="none"/>
              </w:rPr>
            </w:pPr>
          </w:p>
        </w:tc>
        <w:tc>
          <w:tcPr>
            <w:tcW w:w="1261" w:type="dxa"/>
            <w:vAlign w:val="center"/>
          </w:tcPr>
          <w:p>
            <w:pPr>
              <w:pStyle w:val="22"/>
              <w:spacing w:line="240" w:lineRule="atLeast"/>
              <w:ind w:left="1080" w:leftChars="257" w:hanging="540"/>
              <w:jc w:val="center"/>
              <w:rPr>
                <w:rFonts w:hAnsi="宋体"/>
                <w:color w:val="auto"/>
                <w:sz w:val="24"/>
                <w:highlight w:val="none"/>
              </w:rPr>
            </w:pPr>
          </w:p>
        </w:tc>
        <w:tc>
          <w:tcPr>
            <w:tcW w:w="1262" w:type="dxa"/>
            <w:vAlign w:val="center"/>
          </w:tcPr>
          <w:p>
            <w:pPr>
              <w:pStyle w:val="22"/>
              <w:spacing w:line="240" w:lineRule="atLeast"/>
              <w:ind w:left="1080" w:leftChars="257" w:hanging="540"/>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5.</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培训</w:t>
            </w:r>
          </w:p>
        </w:tc>
        <w:tc>
          <w:tcPr>
            <w:tcW w:w="2160" w:type="dxa"/>
            <w:vAlign w:val="center"/>
          </w:tcPr>
          <w:p>
            <w:pPr>
              <w:pStyle w:val="22"/>
              <w:spacing w:line="240" w:lineRule="atLeast"/>
              <w:ind w:left="1080" w:leftChars="257" w:hanging="540"/>
              <w:jc w:val="center"/>
              <w:rPr>
                <w:rFonts w:hAnsi="宋体"/>
                <w:color w:val="auto"/>
                <w:sz w:val="24"/>
                <w:highlight w:val="none"/>
              </w:rPr>
            </w:pPr>
          </w:p>
        </w:tc>
        <w:tc>
          <w:tcPr>
            <w:tcW w:w="1260" w:type="dxa"/>
            <w:vAlign w:val="center"/>
          </w:tcPr>
          <w:p>
            <w:pPr>
              <w:pStyle w:val="22"/>
              <w:spacing w:line="240" w:lineRule="atLeast"/>
              <w:ind w:left="1080" w:leftChars="257" w:hanging="540"/>
              <w:jc w:val="center"/>
              <w:rPr>
                <w:rFonts w:hAnsi="宋体"/>
                <w:color w:val="auto"/>
                <w:sz w:val="24"/>
                <w:highlight w:val="none"/>
              </w:rPr>
            </w:pPr>
          </w:p>
        </w:tc>
        <w:tc>
          <w:tcPr>
            <w:tcW w:w="1980" w:type="dxa"/>
            <w:vAlign w:val="center"/>
          </w:tcPr>
          <w:p>
            <w:pPr>
              <w:pStyle w:val="22"/>
              <w:spacing w:line="240" w:lineRule="atLeast"/>
              <w:ind w:left="1080" w:leftChars="257" w:hanging="540"/>
              <w:jc w:val="center"/>
              <w:rPr>
                <w:rFonts w:hAnsi="宋体"/>
                <w:color w:val="auto"/>
                <w:sz w:val="24"/>
                <w:highlight w:val="none"/>
              </w:rPr>
            </w:pPr>
          </w:p>
        </w:tc>
        <w:tc>
          <w:tcPr>
            <w:tcW w:w="1633" w:type="dxa"/>
            <w:vAlign w:val="center"/>
          </w:tcPr>
          <w:p>
            <w:pPr>
              <w:pStyle w:val="22"/>
              <w:spacing w:line="240" w:lineRule="atLeast"/>
              <w:ind w:left="1080" w:leftChars="257" w:hanging="540"/>
              <w:jc w:val="center"/>
              <w:rPr>
                <w:rFonts w:hAnsi="宋体"/>
                <w:color w:val="auto"/>
                <w:sz w:val="24"/>
                <w:highlight w:val="none"/>
              </w:rPr>
            </w:pPr>
          </w:p>
        </w:tc>
        <w:tc>
          <w:tcPr>
            <w:tcW w:w="1261" w:type="dxa"/>
            <w:vAlign w:val="center"/>
          </w:tcPr>
          <w:p>
            <w:pPr>
              <w:pStyle w:val="22"/>
              <w:spacing w:line="240" w:lineRule="atLeast"/>
              <w:ind w:left="1080" w:leftChars="257" w:hanging="540"/>
              <w:jc w:val="center"/>
              <w:rPr>
                <w:rFonts w:hAnsi="宋体"/>
                <w:color w:val="auto"/>
                <w:sz w:val="24"/>
                <w:highlight w:val="none"/>
              </w:rPr>
            </w:pPr>
          </w:p>
        </w:tc>
        <w:tc>
          <w:tcPr>
            <w:tcW w:w="1262" w:type="dxa"/>
            <w:vAlign w:val="center"/>
          </w:tcPr>
          <w:p>
            <w:pPr>
              <w:pStyle w:val="22"/>
              <w:spacing w:line="240" w:lineRule="atLeast"/>
              <w:ind w:left="1080" w:leftChars="257" w:hanging="540"/>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9"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6.</w:t>
            </w:r>
          </w:p>
        </w:tc>
        <w:tc>
          <w:tcPr>
            <w:tcW w:w="2879"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技术服务</w:t>
            </w:r>
          </w:p>
        </w:tc>
        <w:tc>
          <w:tcPr>
            <w:tcW w:w="2160" w:type="dxa"/>
            <w:vAlign w:val="center"/>
          </w:tcPr>
          <w:p>
            <w:pPr>
              <w:pStyle w:val="22"/>
              <w:spacing w:line="240" w:lineRule="atLeast"/>
              <w:ind w:left="1080" w:leftChars="257" w:hanging="540"/>
              <w:jc w:val="center"/>
              <w:rPr>
                <w:rFonts w:hAnsi="宋体"/>
                <w:color w:val="auto"/>
                <w:sz w:val="24"/>
                <w:highlight w:val="none"/>
              </w:rPr>
            </w:pPr>
          </w:p>
        </w:tc>
        <w:tc>
          <w:tcPr>
            <w:tcW w:w="1260" w:type="dxa"/>
            <w:vAlign w:val="center"/>
          </w:tcPr>
          <w:p>
            <w:pPr>
              <w:pStyle w:val="22"/>
              <w:spacing w:line="240" w:lineRule="atLeast"/>
              <w:ind w:left="1080" w:leftChars="257" w:hanging="540"/>
              <w:jc w:val="center"/>
              <w:rPr>
                <w:rFonts w:hAnsi="宋体"/>
                <w:color w:val="auto"/>
                <w:sz w:val="24"/>
                <w:highlight w:val="none"/>
              </w:rPr>
            </w:pPr>
          </w:p>
        </w:tc>
        <w:tc>
          <w:tcPr>
            <w:tcW w:w="1980" w:type="dxa"/>
            <w:vAlign w:val="center"/>
          </w:tcPr>
          <w:p>
            <w:pPr>
              <w:pStyle w:val="22"/>
              <w:spacing w:line="240" w:lineRule="atLeast"/>
              <w:ind w:left="1080" w:leftChars="257" w:hanging="540"/>
              <w:jc w:val="center"/>
              <w:rPr>
                <w:rFonts w:hAnsi="宋体"/>
                <w:color w:val="auto"/>
                <w:sz w:val="24"/>
                <w:highlight w:val="none"/>
              </w:rPr>
            </w:pPr>
          </w:p>
        </w:tc>
        <w:tc>
          <w:tcPr>
            <w:tcW w:w="1633" w:type="dxa"/>
            <w:vAlign w:val="center"/>
          </w:tcPr>
          <w:p>
            <w:pPr>
              <w:pStyle w:val="22"/>
              <w:spacing w:line="240" w:lineRule="atLeast"/>
              <w:ind w:left="1080" w:leftChars="257" w:hanging="540"/>
              <w:jc w:val="center"/>
              <w:rPr>
                <w:rFonts w:hAnsi="宋体"/>
                <w:color w:val="auto"/>
                <w:sz w:val="24"/>
                <w:highlight w:val="none"/>
              </w:rPr>
            </w:pPr>
          </w:p>
        </w:tc>
        <w:tc>
          <w:tcPr>
            <w:tcW w:w="1261" w:type="dxa"/>
            <w:vAlign w:val="center"/>
          </w:tcPr>
          <w:p>
            <w:pPr>
              <w:pStyle w:val="22"/>
              <w:spacing w:line="240" w:lineRule="atLeast"/>
              <w:ind w:left="1080" w:leftChars="257" w:hanging="540"/>
              <w:jc w:val="center"/>
              <w:rPr>
                <w:rFonts w:hAnsi="宋体"/>
                <w:color w:val="auto"/>
                <w:sz w:val="24"/>
                <w:highlight w:val="none"/>
              </w:rPr>
            </w:pPr>
          </w:p>
        </w:tc>
        <w:tc>
          <w:tcPr>
            <w:tcW w:w="1262" w:type="dxa"/>
            <w:vAlign w:val="center"/>
          </w:tcPr>
          <w:p>
            <w:pPr>
              <w:pStyle w:val="22"/>
              <w:spacing w:line="240" w:lineRule="atLeast"/>
              <w:ind w:left="1080" w:leftChars="257" w:hanging="540"/>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0741" w:type="dxa"/>
            <w:gridSpan w:val="6"/>
            <w:vAlign w:val="center"/>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总价：</w:t>
            </w:r>
          </w:p>
        </w:tc>
        <w:tc>
          <w:tcPr>
            <w:tcW w:w="2523" w:type="dxa"/>
            <w:gridSpan w:val="2"/>
            <w:vAlign w:val="center"/>
          </w:tcPr>
          <w:p>
            <w:pPr>
              <w:pStyle w:val="22"/>
              <w:spacing w:line="240" w:lineRule="atLeast"/>
              <w:ind w:left="1080" w:leftChars="257" w:hanging="540"/>
              <w:jc w:val="center"/>
              <w:rPr>
                <w:rFonts w:hAnsi="宋体"/>
                <w:color w:val="auto"/>
                <w:sz w:val="24"/>
                <w:highlight w:val="none"/>
              </w:rPr>
            </w:pPr>
          </w:p>
        </w:tc>
      </w:tr>
    </w:tbl>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投标人授权代表签字</w:t>
      </w:r>
      <w:r>
        <w:rPr>
          <w:rFonts w:hAnsi="宋体"/>
          <w:color w:val="auto"/>
          <w:sz w:val="24"/>
          <w:highlight w:val="none"/>
          <w:u w:val="single"/>
        </w:rPr>
        <w:tab/>
      </w:r>
    </w:p>
    <w:p>
      <w:pPr>
        <w:pStyle w:val="22"/>
        <w:spacing w:line="240" w:lineRule="atLeast"/>
        <w:ind w:left="1080" w:leftChars="257" w:hanging="540"/>
        <w:rPr>
          <w:rFonts w:hAnsi="宋体"/>
          <w:color w:val="auto"/>
          <w:sz w:val="24"/>
          <w:highlight w:val="none"/>
          <w:u w:val="single"/>
        </w:rPr>
      </w:pPr>
      <w:r>
        <w:rPr>
          <w:rFonts w:hint="eastAsia" w:hAnsi="宋体"/>
          <w:color w:val="auto"/>
          <w:sz w:val="24"/>
          <w:highlight w:val="none"/>
        </w:rPr>
        <w:t>投标人(盖章):</w:t>
      </w:r>
      <w:r>
        <w:rPr>
          <w:rFonts w:hAnsi="宋体"/>
          <w:color w:val="auto"/>
          <w:sz w:val="24"/>
          <w:highlight w:val="none"/>
          <w:u w:val="single"/>
        </w:rPr>
        <w:tab/>
      </w:r>
      <w:r>
        <w:rPr>
          <w:rFonts w:hAnsi="宋体"/>
          <w:color w:val="auto"/>
          <w:sz w:val="24"/>
          <w:highlight w:val="none"/>
          <w:u w:val="single"/>
        </w:rPr>
        <w:tab/>
      </w:r>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注:1.如果投标人认为需要，每种货物填写一份该表。</w:t>
      </w:r>
    </w:p>
    <w:p>
      <w:pPr>
        <w:pStyle w:val="22"/>
        <w:spacing w:line="240" w:lineRule="atLeast"/>
        <w:ind w:left="1079" w:leftChars="428" w:hanging="180" w:hangingChars="75"/>
        <w:rPr>
          <w:rFonts w:hAnsi="宋体"/>
          <w:color w:val="auto"/>
          <w:sz w:val="24"/>
          <w:highlight w:val="none"/>
        </w:rPr>
      </w:pPr>
      <w:r>
        <w:rPr>
          <w:rFonts w:hint="eastAsia" w:hAnsi="宋体"/>
          <w:color w:val="auto"/>
          <w:sz w:val="24"/>
          <w:highlight w:val="none"/>
        </w:rPr>
        <w:t>2.如果按单价计算的结果与总价不一致,以单价为准修正总价。</w:t>
      </w: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 xml:space="preserve">   3.如果不提供详细分项报价将视为没有实质性响应招标文件。</w:t>
      </w: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 xml:space="preserve">   4.上述各项的详细分项报价，应另页描述。</w:t>
      </w: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 xml:space="preserve">   5.如果开标一览表（报价表）内容与投标文件中明细表内容不一致的，以开标一览表（报价表）内容为准。</w:t>
      </w:r>
      <w:r>
        <w:rPr>
          <w:rFonts w:hAnsi="宋体"/>
          <w:color w:val="auto"/>
          <w:sz w:val="24"/>
          <w:highlight w:val="none"/>
        </w:rPr>
        <w:br w:type="page"/>
      </w:r>
    </w:p>
    <w:p>
      <w:pPr>
        <w:pStyle w:val="4"/>
        <w:spacing w:before="0" w:line="240" w:lineRule="atLeast"/>
        <w:rPr>
          <w:rFonts w:ascii="宋体" w:hAnsi="宋体" w:eastAsia="宋体"/>
          <w:color w:val="auto"/>
          <w:sz w:val="24"/>
          <w:highlight w:val="none"/>
        </w:rPr>
      </w:pPr>
      <w:bookmarkStart w:id="417" w:name="_Toc216582816"/>
      <w:bookmarkStart w:id="418" w:name="_Toc510950658"/>
      <w:bookmarkStart w:id="419" w:name="_Toc16670"/>
      <w:bookmarkStart w:id="420" w:name="_Toc494447312"/>
      <w:bookmarkStart w:id="421" w:name="_Toc533275376"/>
      <w:bookmarkStart w:id="422" w:name="_Toc495418098"/>
      <w:r>
        <w:rPr>
          <w:rFonts w:ascii="宋体" w:hAnsi="宋体" w:eastAsia="宋体"/>
          <w:color w:val="auto"/>
          <w:sz w:val="24"/>
          <w:highlight w:val="none"/>
        </w:rPr>
        <w:t xml:space="preserve">3  </w:t>
      </w:r>
      <w:r>
        <w:rPr>
          <w:rFonts w:hint="eastAsia" w:ascii="宋体" w:hAnsi="宋体" w:eastAsia="宋体"/>
          <w:color w:val="auto"/>
          <w:sz w:val="24"/>
          <w:highlight w:val="none"/>
        </w:rPr>
        <w:t>货物说明一览表</w:t>
      </w:r>
      <w:bookmarkEnd w:id="417"/>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格式八）</w:t>
      </w:r>
      <w:bookmarkEnd w:id="418"/>
      <w:bookmarkEnd w:id="419"/>
      <w:bookmarkEnd w:id="420"/>
      <w:bookmarkEnd w:id="421"/>
      <w:bookmarkEnd w:id="422"/>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 xml:space="preserve">投标人名称:                                    招标编号:                       包号:                      </w:t>
      </w:r>
    </w:p>
    <w:p>
      <w:pPr>
        <w:pStyle w:val="22"/>
        <w:spacing w:line="240" w:lineRule="atLeast"/>
        <w:ind w:left="1080" w:leftChars="257" w:hanging="540"/>
        <w:rPr>
          <w:rFonts w:hAnsi="宋体"/>
          <w:color w:val="auto"/>
          <w:sz w:val="24"/>
          <w:highlight w:val="none"/>
        </w:rPr>
      </w:pPr>
    </w:p>
    <w:tbl>
      <w:tblPr>
        <w:tblStyle w:val="44"/>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序号</w:t>
            </w:r>
          </w:p>
        </w:tc>
        <w:tc>
          <w:tcPr>
            <w:tcW w:w="198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货物名称</w:t>
            </w:r>
          </w:p>
        </w:tc>
        <w:tc>
          <w:tcPr>
            <w:tcW w:w="180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主要规格</w:t>
            </w:r>
          </w:p>
        </w:tc>
        <w:tc>
          <w:tcPr>
            <w:tcW w:w="162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数量</w:t>
            </w:r>
          </w:p>
        </w:tc>
        <w:tc>
          <w:tcPr>
            <w:tcW w:w="198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交货期</w:t>
            </w:r>
          </w:p>
        </w:tc>
        <w:tc>
          <w:tcPr>
            <w:tcW w:w="216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交货地点</w:t>
            </w:r>
          </w:p>
        </w:tc>
        <w:tc>
          <w:tcPr>
            <w:tcW w:w="1980" w:type="dxa"/>
          </w:tcPr>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1800" w:type="dxa"/>
          </w:tcPr>
          <w:p>
            <w:pPr>
              <w:pStyle w:val="22"/>
              <w:spacing w:line="240" w:lineRule="atLeast"/>
              <w:ind w:left="1080" w:leftChars="257" w:hanging="540"/>
              <w:rPr>
                <w:rFonts w:hAnsi="宋体"/>
                <w:color w:val="auto"/>
                <w:sz w:val="24"/>
                <w:highlight w:val="none"/>
              </w:rPr>
            </w:pPr>
          </w:p>
        </w:tc>
        <w:tc>
          <w:tcPr>
            <w:tcW w:w="162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c>
          <w:tcPr>
            <w:tcW w:w="2160" w:type="dxa"/>
          </w:tcPr>
          <w:p>
            <w:pPr>
              <w:pStyle w:val="22"/>
              <w:spacing w:line="240" w:lineRule="atLeast"/>
              <w:ind w:left="1080" w:leftChars="257" w:hanging="540"/>
              <w:rPr>
                <w:rFonts w:hAnsi="宋体"/>
                <w:color w:val="auto"/>
                <w:sz w:val="24"/>
                <w:highlight w:val="none"/>
              </w:rPr>
            </w:pPr>
          </w:p>
        </w:tc>
        <w:tc>
          <w:tcPr>
            <w:tcW w:w="1980" w:type="dxa"/>
          </w:tcPr>
          <w:p>
            <w:pPr>
              <w:pStyle w:val="22"/>
              <w:spacing w:line="240" w:lineRule="atLeast"/>
              <w:ind w:left="1080" w:leftChars="257" w:hanging="540"/>
              <w:rPr>
                <w:rFonts w:hAnsi="宋体"/>
                <w:color w:val="auto"/>
                <w:sz w:val="24"/>
                <w:highlight w:val="none"/>
              </w:rPr>
            </w:pPr>
          </w:p>
        </w:tc>
      </w:tr>
    </w:tbl>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投标人授权代表签字:</w:t>
      </w:r>
      <w:r>
        <w:rPr>
          <w:rFonts w:hAnsi="宋体"/>
          <w:color w:val="auto"/>
          <w:sz w:val="24"/>
          <w:highlight w:val="none"/>
          <w:u w:val="single"/>
        </w:rPr>
        <w:tab/>
      </w:r>
    </w:p>
    <w:p>
      <w:pPr>
        <w:pStyle w:val="22"/>
        <w:tabs>
          <w:tab w:val="left" w:pos="5370"/>
        </w:tabs>
        <w:spacing w:line="240" w:lineRule="atLeast"/>
        <w:ind w:left="1080" w:leftChars="257" w:hanging="540"/>
        <w:rPr>
          <w:rFonts w:hAnsi="宋体"/>
          <w:color w:val="auto"/>
          <w:sz w:val="24"/>
          <w:highlight w:val="none"/>
          <w:u w:val="single"/>
        </w:rPr>
      </w:pPr>
      <w:r>
        <w:rPr>
          <w:rFonts w:hint="eastAsia" w:hAnsi="宋体"/>
          <w:color w:val="auto"/>
          <w:sz w:val="24"/>
          <w:highlight w:val="none"/>
        </w:rPr>
        <w:t>投标人(盖章):</w:t>
      </w:r>
      <w:r>
        <w:rPr>
          <w:rFonts w:hAnsi="宋体"/>
          <w:color w:val="auto"/>
          <w:sz w:val="24"/>
          <w:highlight w:val="none"/>
          <w:u w:val="single"/>
        </w:rPr>
        <w:tab/>
      </w:r>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注: 各项货物详细技术性能应另页描述。</w:t>
      </w:r>
    </w:p>
    <w:p>
      <w:pPr>
        <w:pStyle w:val="22"/>
        <w:spacing w:line="240" w:lineRule="atLeast"/>
        <w:ind w:left="1080" w:leftChars="257" w:hanging="540"/>
        <w:jc w:val="center"/>
        <w:rPr>
          <w:rFonts w:hAnsi="宋体"/>
          <w:color w:val="auto"/>
          <w:sz w:val="24"/>
          <w:highlight w:val="none"/>
        </w:rPr>
      </w:pPr>
    </w:p>
    <w:p>
      <w:pPr>
        <w:pStyle w:val="22"/>
        <w:spacing w:line="240" w:lineRule="atLeast"/>
        <w:ind w:left="1080" w:leftChars="257" w:hanging="540"/>
        <w:jc w:val="center"/>
        <w:rPr>
          <w:rFonts w:hAnsi="宋体"/>
          <w:color w:val="auto"/>
          <w:sz w:val="24"/>
          <w:highlight w:val="none"/>
        </w:rPr>
        <w:sectPr>
          <w:pgSz w:w="16838" w:h="11906" w:orient="landscape"/>
          <w:pgMar w:top="1797" w:right="1440" w:bottom="1797" w:left="1440" w:header="851" w:footer="992" w:gutter="0"/>
          <w:cols w:space="720" w:num="1"/>
          <w:docGrid w:linePitch="312" w:charSpace="0"/>
        </w:sectPr>
      </w:pPr>
    </w:p>
    <w:p>
      <w:pPr>
        <w:pStyle w:val="4"/>
        <w:spacing w:before="0" w:line="240" w:lineRule="atLeast"/>
        <w:rPr>
          <w:rFonts w:ascii="宋体" w:hAnsi="宋体" w:eastAsia="宋体"/>
          <w:color w:val="auto"/>
          <w:sz w:val="24"/>
          <w:highlight w:val="none"/>
        </w:rPr>
      </w:pPr>
      <w:bookmarkStart w:id="423" w:name="_Toc216582817"/>
      <w:bookmarkStart w:id="424" w:name="_Toc494447313"/>
      <w:bookmarkStart w:id="425" w:name="_Toc510950659"/>
      <w:bookmarkStart w:id="426" w:name="_Toc19207"/>
      <w:bookmarkStart w:id="427" w:name="_Toc495418099"/>
      <w:bookmarkStart w:id="428" w:name="_Toc533275377"/>
      <w:r>
        <w:rPr>
          <w:rFonts w:hint="eastAsia" w:ascii="宋体" w:hAnsi="宋体" w:eastAsia="宋体"/>
          <w:color w:val="auto"/>
          <w:sz w:val="24"/>
          <w:highlight w:val="none"/>
        </w:rPr>
        <w:t>4  技术规格偏离表</w:t>
      </w:r>
      <w:bookmarkEnd w:id="423"/>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格式九）</w:t>
      </w:r>
      <w:bookmarkEnd w:id="424"/>
      <w:bookmarkEnd w:id="425"/>
      <w:bookmarkEnd w:id="426"/>
      <w:bookmarkEnd w:id="427"/>
      <w:bookmarkEnd w:id="428"/>
    </w:p>
    <w:p>
      <w:pPr>
        <w:pStyle w:val="22"/>
        <w:spacing w:line="240" w:lineRule="atLeast"/>
        <w:ind w:left="1080" w:leftChars="257" w:hanging="540"/>
        <w:rPr>
          <w:rFonts w:hAnsi="宋体"/>
          <w:color w:val="auto"/>
          <w:sz w:val="24"/>
          <w:highlight w:val="none"/>
        </w:rPr>
      </w:pPr>
    </w:p>
    <w:p>
      <w:pPr>
        <w:pStyle w:val="22"/>
        <w:spacing w:line="240" w:lineRule="atLeast"/>
        <w:rPr>
          <w:rFonts w:hAnsi="宋体"/>
          <w:color w:val="auto"/>
          <w:sz w:val="24"/>
          <w:highlight w:val="none"/>
        </w:rPr>
      </w:pPr>
      <w:r>
        <w:rPr>
          <w:rFonts w:hint="eastAsia" w:hAnsi="宋体"/>
          <w:color w:val="auto"/>
          <w:sz w:val="24"/>
          <w:highlight w:val="none"/>
        </w:rPr>
        <w:t>项目名称:                       招标编号:                 包号:</w:t>
      </w:r>
    </w:p>
    <w:p>
      <w:pPr>
        <w:pStyle w:val="22"/>
        <w:spacing w:line="240" w:lineRule="atLeast"/>
        <w:ind w:left="1080" w:leftChars="257" w:hanging="540"/>
        <w:rPr>
          <w:rFonts w:hAnsi="宋体"/>
          <w:color w:val="auto"/>
          <w:sz w:val="24"/>
          <w:highlight w:val="none"/>
        </w:rPr>
      </w:pPr>
    </w:p>
    <w:tbl>
      <w:tblPr>
        <w:tblStyle w:val="4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序号</w:t>
            </w:r>
          </w:p>
        </w:tc>
        <w:tc>
          <w:tcPr>
            <w:tcW w:w="126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货物名称</w:t>
            </w:r>
          </w:p>
        </w:tc>
        <w:tc>
          <w:tcPr>
            <w:tcW w:w="2340" w:type="dxa"/>
            <w:vAlign w:val="center"/>
          </w:tcPr>
          <w:p>
            <w:pPr>
              <w:pStyle w:val="22"/>
              <w:spacing w:line="240" w:lineRule="atLeast"/>
              <w:ind w:left="269" w:leftChars="128"/>
              <w:jc w:val="center"/>
              <w:rPr>
                <w:rFonts w:hAnsi="宋体"/>
                <w:color w:val="auto"/>
                <w:sz w:val="24"/>
                <w:highlight w:val="none"/>
              </w:rPr>
            </w:pPr>
            <w:r>
              <w:rPr>
                <w:rFonts w:hint="eastAsia" w:hAnsi="宋体"/>
                <w:color w:val="auto"/>
                <w:sz w:val="24"/>
                <w:highlight w:val="none"/>
              </w:rPr>
              <w:t>招标文件条款号</w:t>
            </w:r>
          </w:p>
        </w:tc>
        <w:tc>
          <w:tcPr>
            <w:tcW w:w="126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招标规格</w:t>
            </w:r>
          </w:p>
        </w:tc>
        <w:tc>
          <w:tcPr>
            <w:tcW w:w="126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投标规格</w:t>
            </w:r>
          </w:p>
        </w:tc>
        <w:tc>
          <w:tcPr>
            <w:tcW w:w="90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偏离</w:t>
            </w:r>
          </w:p>
        </w:tc>
        <w:tc>
          <w:tcPr>
            <w:tcW w:w="900" w:type="dxa"/>
            <w:vAlign w:val="center"/>
          </w:tcPr>
          <w:p>
            <w:pPr>
              <w:pStyle w:val="22"/>
              <w:spacing w:line="240" w:lineRule="atLeast"/>
              <w:jc w:val="center"/>
              <w:rPr>
                <w:rFonts w:hAnsi="宋体"/>
                <w:color w:val="auto"/>
                <w:sz w:val="24"/>
                <w:highlight w:val="none"/>
              </w:rPr>
            </w:pPr>
            <w:r>
              <w:rPr>
                <w:rFonts w:hint="eastAsia" w:hAnsi="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234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126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bl>
    <w:p>
      <w:pPr>
        <w:pStyle w:val="22"/>
        <w:spacing w:line="240" w:lineRule="atLeast"/>
        <w:ind w:left="147" w:leftChars="70"/>
        <w:rPr>
          <w:rFonts w:hAnsi="宋体"/>
          <w:color w:val="auto"/>
          <w:sz w:val="24"/>
          <w:szCs w:val="24"/>
          <w:highlight w:val="none"/>
        </w:rPr>
      </w:pPr>
      <w:r>
        <w:rPr>
          <w:rFonts w:hint="eastAsia" w:hAnsi="宋体"/>
          <w:color w:val="auto"/>
          <w:sz w:val="24"/>
          <w:szCs w:val="24"/>
          <w:highlight w:val="none"/>
        </w:rPr>
        <w:t>投标人保证：除技术偏差表列出的偏差外，投标人响应招标文件的全部要求。</w:t>
      </w:r>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投标人授权代表签字：</w:t>
      </w:r>
      <w:r>
        <w:rPr>
          <w:rFonts w:hAnsi="宋体"/>
          <w:color w:val="auto"/>
          <w:sz w:val="24"/>
          <w:highlight w:val="none"/>
          <w:u w:val="single"/>
        </w:rPr>
        <w:tab/>
      </w:r>
    </w:p>
    <w:p>
      <w:pPr>
        <w:pStyle w:val="22"/>
        <w:tabs>
          <w:tab w:val="left" w:pos="5580"/>
        </w:tabs>
        <w:spacing w:line="240" w:lineRule="atLeast"/>
        <w:ind w:left="1080" w:leftChars="257" w:hanging="540"/>
        <w:rPr>
          <w:rFonts w:hAnsi="宋体"/>
          <w:color w:val="auto"/>
          <w:sz w:val="24"/>
          <w:highlight w:val="none"/>
          <w:u w:val="single"/>
        </w:rPr>
      </w:pPr>
      <w:r>
        <w:rPr>
          <w:rFonts w:hint="eastAsia" w:hAnsi="宋体"/>
          <w:color w:val="auto"/>
          <w:sz w:val="24"/>
          <w:highlight w:val="none"/>
        </w:rPr>
        <w:t>投标人(盖章):</w:t>
      </w:r>
      <w:r>
        <w:rPr>
          <w:rFonts w:hAnsi="宋体"/>
          <w:color w:val="auto"/>
          <w:sz w:val="24"/>
          <w:highlight w:val="none"/>
          <w:u w:val="single"/>
        </w:rPr>
        <w:tab/>
      </w:r>
      <w:r>
        <w:rPr>
          <w:rFonts w:hAnsi="宋体"/>
          <w:color w:val="auto"/>
          <w:sz w:val="24"/>
          <w:highlight w:val="none"/>
          <w:u w:val="single"/>
        </w:rPr>
        <w:tab/>
      </w:r>
    </w:p>
    <w:p>
      <w:pPr>
        <w:pStyle w:val="22"/>
        <w:tabs>
          <w:tab w:val="left" w:pos="5580"/>
        </w:tabs>
        <w:spacing w:line="240" w:lineRule="atLeast"/>
        <w:ind w:left="1080" w:leftChars="257" w:hanging="540"/>
        <w:rPr>
          <w:rFonts w:hAnsi="宋体"/>
          <w:color w:val="auto"/>
          <w:sz w:val="24"/>
          <w:highlight w:val="none"/>
        </w:rPr>
      </w:pPr>
      <w:r>
        <w:rPr>
          <w:rFonts w:hAnsi="宋体"/>
          <w:color w:val="auto"/>
          <w:sz w:val="24"/>
          <w:highlight w:val="none"/>
          <w:u w:val="single"/>
        </w:rPr>
        <w:br w:type="page"/>
      </w:r>
    </w:p>
    <w:p>
      <w:pPr>
        <w:pStyle w:val="4"/>
        <w:spacing w:before="0" w:line="240" w:lineRule="atLeast"/>
        <w:rPr>
          <w:rFonts w:ascii="宋体" w:hAnsi="宋体" w:eastAsia="宋体"/>
          <w:color w:val="auto"/>
          <w:sz w:val="24"/>
          <w:highlight w:val="none"/>
        </w:rPr>
      </w:pPr>
      <w:bookmarkStart w:id="429" w:name="_Toc216582818"/>
      <w:bookmarkStart w:id="430" w:name="_Toc494447314"/>
      <w:bookmarkStart w:id="431" w:name="_Toc510950660"/>
      <w:bookmarkStart w:id="432" w:name="_Toc7395"/>
      <w:bookmarkStart w:id="433" w:name="_Toc533275378"/>
      <w:bookmarkStart w:id="434" w:name="_Toc495418100"/>
      <w:r>
        <w:rPr>
          <w:rFonts w:hint="eastAsia" w:ascii="宋体" w:hAnsi="宋体" w:eastAsia="宋体"/>
          <w:color w:val="auto"/>
          <w:sz w:val="24"/>
          <w:highlight w:val="none"/>
        </w:rPr>
        <w:t>5  商务条款偏离表</w:t>
      </w:r>
      <w:bookmarkEnd w:id="429"/>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格式十）</w:t>
      </w:r>
      <w:bookmarkEnd w:id="430"/>
      <w:bookmarkEnd w:id="431"/>
      <w:bookmarkEnd w:id="432"/>
      <w:bookmarkEnd w:id="433"/>
      <w:bookmarkEnd w:id="434"/>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项目名称:                      招标编号:             包号:</w:t>
      </w:r>
    </w:p>
    <w:p>
      <w:pPr>
        <w:pStyle w:val="22"/>
        <w:spacing w:line="240" w:lineRule="atLeast"/>
        <w:ind w:left="1080" w:leftChars="257" w:hanging="540"/>
        <w:rPr>
          <w:rFonts w:hAnsi="宋体"/>
          <w:color w:val="auto"/>
          <w:sz w:val="24"/>
          <w:highlight w:val="none"/>
        </w:rPr>
      </w:pPr>
    </w:p>
    <w:tbl>
      <w:tblPr>
        <w:tblStyle w:val="4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jc w:val="center"/>
              <w:rPr>
                <w:rFonts w:hAnsi="宋体"/>
                <w:color w:val="auto"/>
                <w:sz w:val="24"/>
                <w:highlight w:val="none"/>
              </w:rPr>
            </w:pPr>
            <w:r>
              <w:rPr>
                <w:rFonts w:hint="eastAsia" w:hAnsi="宋体"/>
                <w:color w:val="auto"/>
                <w:sz w:val="24"/>
                <w:highlight w:val="none"/>
              </w:rPr>
              <w:t>序号</w:t>
            </w:r>
          </w:p>
        </w:tc>
        <w:tc>
          <w:tcPr>
            <w:tcW w:w="2040" w:type="dxa"/>
          </w:tcPr>
          <w:p>
            <w:pPr>
              <w:pStyle w:val="22"/>
              <w:spacing w:line="240" w:lineRule="atLeast"/>
              <w:jc w:val="center"/>
              <w:rPr>
                <w:rFonts w:hAnsi="宋体"/>
                <w:color w:val="auto"/>
                <w:sz w:val="24"/>
                <w:highlight w:val="none"/>
              </w:rPr>
            </w:pPr>
            <w:r>
              <w:rPr>
                <w:rFonts w:hint="eastAsia" w:hAnsi="宋体"/>
                <w:color w:val="auto"/>
                <w:sz w:val="24"/>
                <w:highlight w:val="none"/>
              </w:rPr>
              <w:t>招标文件条款号</w:t>
            </w:r>
          </w:p>
        </w:tc>
        <w:tc>
          <w:tcPr>
            <w:tcW w:w="2520" w:type="dxa"/>
          </w:tcPr>
          <w:p>
            <w:pPr>
              <w:pStyle w:val="22"/>
              <w:spacing w:line="240" w:lineRule="atLeast"/>
              <w:jc w:val="center"/>
              <w:rPr>
                <w:rFonts w:hAnsi="宋体"/>
                <w:color w:val="auto"/>
                <w:sz w:val="24"/>
                <w:highlight w:val="none"/>
              </w:rPr>
            </w:pPr>
            <w:r>
              <w:rPr>
                <w:rFonts w:hint="eastAsia" w:hAnsi="宋体"/>
                <w:color w:val="auto"/>
                <w:sz w:val="24"/>
                <w:highlight w:val="none"/>
              </w:rPr>
              <w:t>招标文件的商务条款</w:t>
            </w:r>
          </w:p>
        </w:tc>
        <w:tc>
          <w:tcPr>
            <w:tcW w:w="2520" w:type="dxa"/>
          </w:tcPr>
          <w:p>
            <w:pPr>
              <w:pStyle w:val="22"/>
              <w:spacing w:line="240" w:lineRule="atLeast"/>
              <w:jc w:val="center"/>
              <w:rPr>
                <w:rFonts w:hAnsi="宋体"/>
                <w:color w:val="auto"/>
                <w:sz w:val="24"/>
                <w:highlight w:val="none"/>
              </w:rPr>
            </w:pPr>
            <w:r>
              <w:rPr>
                <w:rFonts w:hint="eastAsia" w:hAnsi="宋体"/>
                <w:color w:val="auto"/>
                <w:sz w:val="24"/>
                <w:highlight w:val="none"/>
              </w:rPr>
              <w:t>投标文件的商务条款</w:t>
            </w:r>
          </w:p>
        </w:tc>
        <w:tc>
          <w:tcPr>
            <w:tcW w:w="900" w:type="dxa"/>
          </w:tcPr>
          <w:p>
            <w:pPr>
              <w:pStyle w:val="22"/>
              <w:spacing w:line="240" w:lineRule="atLeast"/>
              <w:jc w:val="center"/>
              <w:rPr>
                <w:rFonts w:hAnsi="宋体"/>
                <w:color w:val="auto"/>
                <w:sz w:val="24"/>
                <w:highlight w:val="none"/>
              </w:rPr>
            </w:pPr>
            <w:r>
              <w:rPr>
                <w:rFonts w:hint="eastAsia" w:hAnsi="宋体"/>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jc w:val="center"/>
              <w:rPr>
                <w:rFonts w:hAnsi="宋体"/>
                <w:color w:val="auto"/>
                <w:sz w:val="24"/>
                <w:highlight w:val="none"/>
              </w:rPr>
            </w:pPr>
          </w:p>
        </w:tc>
        <w:tc>
          <w:tcPr>
            <w:tcW w:w="2520" w:type="dxa"/>
          </w:tcPr>
          <w:p>
            <w:pPr>
              <w:pStyle w:val="22"/>
              <w:spacing w:line="240" w:lineRule="atLeast"/>
              <w:ind w:left="1080" w:leftChars="257" w:hanging="540"/>
              <w:jc w:val="center"/>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22"/>
              <w:spacing w:line="240" w:lineRule="atLeast"/>
              <w:ind w:left="1080" w:leftChars="257" w:hanging="540"/>
              <w:rPr>
                <w:rFonts w:hAnsi="宋体"/>
                <w:color w:val="auto"/>
                <w:sz w:val="24"/>
                <w:highlight w:val="none"/>
              </w:rPr>
            </w:pPr>
          </w:p>
        </w:tc>
        <w:tc>
          <w:tcPr>
            <w:tcW w:w="204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2520" w:type="dxa"/>
          </w:tcPr>
          <w:p>
            <w:pPr>
              <w:pStyle w:val="22"/>
              <w:spacing w:line="240" w:lineRule="atLeast"/>
              <w:ind w:left="1080" w:leftChars="257" w:hanging="540"/>
              <w:rPr>
                <w:rFonts w:hAnsi="宋体"/>
                <w:color w:val="auto"/>
                <w:sz w:val="24"/>
                <w:highlight w:val="none"/>
              </w:rPr>
            </w:pPr>
          </w:p>
        </w:tc>
        <w:tc>
          <w:tcPr>
            <w:tcW w:w="900" w:type="dxa"/>
          </w:tcPr>
          <w:p>
            <w:pPr>
              <w:pStyle w:val="22"/>
              <w:spacing w:line="240" w:lineRule="atLeast"/>
              <w:ind w:left="1080" w:leftChars="257" w:hanging="540"/>
              <w:rPr>
                <w:rFonts w:hAnsi="宋体"/>
                <w:color w:val="auto"/>
                <w:sz w:val="24"/>
                <w:highlight w:val="none"/>
              </w:rPr>
            </w:pPr>
          </w:p>
        </w:tc>
      </w:tr>
    </w:tbl>
    <w:p>
      <w:pPr>
        <w:pStyle w:val="22"/>
        <w:spacing w:line="240" w:lineRule="atLeast"/>
        <w:ind w:left="269" w:leftChars="128"/>
        <w:rPr>
          <w:rFonts w:hAnsi="宋体"/>
          <w:color w:val="auto"/>
          <w:sz w:val="24"/>
          <w:highlight w:val="none"/>
        </w:rPr>
      </w:pPr>
      <w:r>
        <w:rPr>
          <w:rFonts w:hint="eastAsia" w:hAnsi="宋体"/>
          <w:color w:val="auto"/>
          <w:sz w:val="24"/>
          <w:szCs w:val="24"/>
          <w:highlight w:val="none"/>
        </w:rPr>
        <w:t>投标人保证：除商务偏差表列出的偏差外，投标人响应招标文件的全部要求。</w:t>
      </w:r>
    </w:p>
    <w:p>
      <w:pPr>
        <w:pStyle w:val="22"/>
        <w:spacing w:line="240" w:lineRule="atLeast"/>
        <w:ind w:left="1080" w:leftChars="257" w:hanging="540"/>
        <w:rPr>
          <w:rFonts w:hAnsi="宋体"/>
          <w:color w:val="auto"/>
          <w:sz w:val="24"/>
          <w:highlight w:val="none"/>
        </w:rPr>
      </w:pPr>
    </w:p>
    <w:p>
      <w:pPr>
        <w:pStyle w:val="22"/>
        <w:spacing w:line="240" w:lineRule="atLeast"/>
        <w:ind w:left="1080" w:leftChars="257" w:hanging="540"/>
        <w:rPr>
          <w:rFonts w:hAnsi="宋体"/>
          <w:color w:val="auto"/>
          <w:sz w:val="24"/>
          <w:highlight w:val="none"/>
        </w:rPr>
      </w:pPr>
      <w:r>
        <w:rPr>
          <w:rFonts w:hint="eastAsia" w:hAnsi="宋体"/>
          <w:color w:val="auto"/>
          <w:sz w:val="24"/>
          <w:highlight w:val="none"/>
        </w:rPr>
        <w:t>投标人授权代表签字：</w:t>
      </w:r>
      <w:r>
        <w:rPr>
          <w:rFonts w:hAnsi="宋体"/>
          <w:color w:val="auto"/>
          <w:sz w:val="24"/>
          <w:highlight w:val="none"/>
          <w:u w:val="single"/>
        </w:rPr>
        <w:tab/>
      </w:r>
      <w:r>
        <w:rPr>
          <w:rFonts w:hAnsi="宋体"/>
          <w:color w:val="auto"/>
          <w:sz w:val="24"/>
          <w:highlight w:val="none"/>
          <w:u w:val="single"/>
        </w:rPr>
        <w:tab/>
      </w:r>
    </w:p>
    <w:p>
      <w:pPr>
        <w:pStyle w:val="22"/>
        <w:spacing w:line="240" w:lineRule="atLeast"/>
        <w:ind w:left="1080" w:leftChars="257" w:hanging="540"/>
        <w:rPr>
          <w:rFonts w:hAnsi="宋体"/>
          <w:color w:val="auto"/>
          <w:sz w:val="24"/>
          <w:highlight w:val="none"/>
          <w:u w:val="single"/>
        </w:rPr>
      </w:pPr>
      <w:r>
        <w:rPr>
          <w:rFonts w:hint="eastAsia" w:hAnsi="宋体"/>
          <w:color w:val="auto"/>
          <w:sz w:val="24"/>
          <w:highlight w:val="none"/>
        </w:rPr>
        <w:t xml:space="preserve">投标人(盖章):   </w:t>
      </w:r>
      <w:r>
        <w:rPr>
          <w:rFonts w:hAnsi="宋体"/>
          <w:color w:val="auto"/>
          <w:sz w:val="24"/>
          <w:highlight w:val="none"/>
          <w:u w:val="single"/>
        </w:rPr>
        <w:tab/>
      </w:r>
      <w:r>
        <w:rPr>
          <w:rFonts w:hAnsi="宋体"/>
          <w:color w:val="auto"/>
          <w:sz w:val="24"/>
          <w:highlight w:val="none"/>
          <w:u w:val="single"/>
        </w:rPr>
        <w:tab/>
      </w:r>
    </w:p>
    <w:p>
      <w:pPr>
        <w:pStyle w:val="22"/>
        <w:spacing w:line="240" w:lineRule="atLeast"/>
        <w:ind w:left="1080" w:leftChars="257" w:hanging="540"/>
        <w:rPr>
          <w:rFonts w:hAnsi="宋体"/>
          <w:color w:val="auto"/>
          <w:sz w:val="24"/>
          <w:highlight w:val="none"/>
        </w:rPr>
      </w:pPr>
      <w:r>
        <w:rPr>
          <w:rFonts w:hAnsi="宋体"/>
          <w:color w:val="auto"/>
          <w:sz w:val="24"/>
          <w:highlight w:val="none"/>
          <w:u w:val="single"/>
        </w:rPr>
        <w:br w:type="page"/>
      </w:r>
    </w:p>
    <w:p>
      <w:pPr>
        <w:pStyle w:val="4"/>
        <w:spacing w:before="0" w:line="240" w:lineRule="atLeast"/>
        <w:rPr>
          <w:rFonts w:ascii="宋体" w:hAnsi="宋体" w:eastAsia="宋体"/>
          <w:b w:val="0"/>
          <w:color w:val="auto"/>
          <w:sz w:val="24"/>
          <w:highlight w:val="none"/>
        </w:rPr>
      </w:pPr>
      <w:bookmarkStart w:id="435" w:name="_Toc216582819"/>
      <w:bookmarkStart w:id="436" w:name="_Toc480942355"/>
      <w:bookmarkStart w:id="437" w:name="_Toc520356224"/>
      <w:bookmarkStart w:id="438" w:name="_Ref467988543"/>
      <w:bookmarkStart w:id="439" w:name="_Toc494447315"/>
      <w:bookmarkStart w:id="440" w:name="_Toc495418101"/>
      <w:bookmarkStart w:id="441" w:name="_Toc533275379"/>
      <w:bookmarkStart w:id="442" w:name="_Toc23159"/>
      <w:bookmarkStart w:id="443" w:name="_Toc510950661"/>
      <w:r>
        <w:rPr>
          <w:rFonts w:hint="eastAsia" w:ascii="宋体" w:hAnsi="宋体" w:eastAsia="宋体"/>
          <w:color w:val="auto"/>
          <w:sz w:val="24"/>
          <w:highlight w:val="none"/>
        </w:rPr>
        <w:t xml:space="preserve">6  </w:t>
      </w:r>
      <w:bookmarkEnd w:id="435"/>
      <w:bookmarkEnd w:id="436"/>
      <w:bookmarkEnd w:id="437"/>
      <w:bookmarkEnd w:id="438"/>
      <w:bookmarkStart w:id="444" w:name="_Hlt520343392"/>
      <w:bookmarkEnd w:id="444"/>
      <w:bookmarkStart w:id="445" w:name="_Hlt520271212"/>
      <w:bookmarkEnd w:id="445"/>
      <w:bookmarkStart w:id="446" w:name="_Hlt520350957"/>
      <w:bookmarkEnd w:id="446"/>
      <w:bookmarkStart w:id="447" w:name="_Hlt520350918"/>
      <w:bookmarkEnd w:id="447"/>
      <w:bookmarkStart w:id="448" w:name="_Hlt520274065"/>
      <w:bookmarkEnd w:id="448"/>
      <w:bookmarkStart w:id="449" w:name="_Hlt520273973"/>
      <w:bookmarkEnd w:id="449"/>
      <w:bookmarkStart w:id="450" w:name="_Hlt520274911"/>
      <w:bookmarkEnd w:id="450"/>
      <w:bookmarkStart w:id="451" w:name="_Hlt520273711"/>
      <w:bookmarkEnd w:id="451"/>
      <w:bookmarkStart w:id="452" w:name="_Hlt520274393"/>
      <w:bookmarkEnd w:id="452"/>
      <w:bookmarkStart w:id="453" w:name="_Hlt520343000"/>
      <w:bookmarkEnd w:id="453"/>
      <w:bookmarkStart w:id="454" w:name="_Hlt520274407"/>
      <w:bookmarkEnd w:id="454"/>
      <w:bookmarkStart w:id="455" w:name="_Toc216513801"/>
      <w:bookmarkStart w:id="456" w:name="_Toc216582821"/>
      <w:r>
        <w:rPr>
          <w:rFonts w:hint="eastAsia" w:ascii="宋体" w:hAnsi="宋体" w:eastAsia="宋体"/>
          <w:color w:val="auto"/>
          <w:sz w:val="24"/>
          <w:highlight w:val="none"/>
        </w:rPr>
        <w:t>中标服务费承诺书（</w:t>
      </w:r>
      <w:r>
        <w:rPr>
          <w:rFonts w:ascii="宋体" w:hAnsi="宋体" w:eastAsia="宋体"/>
          <w:color w:val="auto"/>
          <w:sz w:val="24"/>
          <w:highlight w:val="none"/>
        </w:rPr>
        <w:t>投标文件</w:t>
      </w:r>
      <w:r>
        <w:rPr>
          <w:rFonts w:hint="eastAsia" w:ascii="宋体" w:hAnsi="宋体" w:eastAsia="宋体"/>
          <w:color w:val="auto"/>
          <w:sz w:val="24"/>
          <w:highlight w:val="none"/>
        </w:rPr>
        <w:t>格式十一）</w:t>
      </w:r>
      <w:bookmarkEnd w:id="439"/>
      <w:bookmarkEnd w:id="440"/>
      <w:bookmarkEnd w:id="441"/>
      <w:bookmarkEnd w:id="442"/>
      <w:bookmarkEnd w:id="443"/>
    </w:p>
    <w:p>
      <w:pPr>
        <w:spacing w:line="240" w:lineRule="atLeast"/>
        <w:ind w:left="1080" w:leftChars="257" w:hanging="540"/>
        <w:rPr>
          <w:rFonts w:ascii="宋体" w:hAnsi="宋体"/>
          <w:b/>
          <w:color w:val="auto"/>
          <w:sz w:val="24"/>
          <w:highlight w:val="none"/>
        </w:rPr>
      </w:pPr>
    </w:p>
    <w:p>
      <w:pPr>
        <w:spacing w:line="240" w:lineRule="atLeast"/>
        <w:ind w:left="1080" w:leftChars="257" w:hanging="540"/>
        <w:jc w:val="right"/>
        <w:rPr>
          <w:rFonts w:ascii="宋体" w:hAnsi="宋体"/>
          <w:color w:val="auto"/>
          <w:sz w:val="24"/>
          <w:highlight w:val="none"/>
        </w:rPr>
      </w:pPr>
    </w:p>
    <w:p>
      <w:pPr>
        <w:pStyle w:val="33"/>
        <w:spacing w:line="240" w:lineRule="atLeast"/>
        <w:ind w:left="1080" w:leftChars="257" w:hanging="540"/>
        <w:rPr>
          <w:rFonts w:ascii="宋体" w:hAnsi="宋体"/>
          <w:color w:val="auto"/>
          <w:sz w:val="24"/>
          <w:szCs w:val="24"/>
          <w:highlight w:val="none"/>
        </w:rPr>
      </w:pPr>
    </w:p>
    <w:p>
      <w:pPr>
        <w:spacing w:line="240" w:lineRule="atLeast"/>
        <w:ind w:left="1080" w:leftChars="257" w:hanging="540"/>
        <w:rPr>
          <w:rFonts w:ascii="宋体" w:hAnsi="宋体"/>
          <w:color w:val="auto"/>
          <w:sz w:val="24"/>
          <w:highlight w:val="none"/>
        </w:rPr>
      </w:pPr>
    </w:p>
    <w:p>
      <w:pPr>
        <w:spacing w:line="240" w:lineRule="atLeast"/>
        <w:ind w:left="1080" w:hanging="1080"/>
        <w:rPr>
          <w:rFonts w:ascii="宋体" w:hAnsi="宋体"/>
          <w:color w:val="auto"/>
          <w:sz w:val="24"/>
          <w:highlight w:val="none"/>
          <w:u w:val="single"/>
        </w:rPr>
      </w:pPr>
      <w:r>
        <w:rPr>
          <w:rFonts w:hint="eastAsia" w:ascii="宋体" w:hAnsi="宋体"/>
          <w:color w:val="auto"/>
          <w:sz w:val="24"/>
          <w:highlight w:val="none"/>
        </w:rPr>
        <w:t>致：广东华伦招标有限公司</w:t>
      </w:r>
    </w:p>
    <w:p>
      <w:pPr>
        <w:spacing w:line="240" w:lineRule="atLeast"/>
        <w:ind w:left="1080" w:leftChars="257" w:hanging="540"/>
        <w:rPr>
          <w:rFonts w:ascii="宋体" w:hAnsi="宋体"/>
          <w:color w:val="auto"/>
          <w:sz w:val="24"/>
          <w:highlight w:val="none"/>
        </w:rPr>
      </w:pPr>
    </w:p>
    <w:p>
      <w:pPr>
        <w:spacing w:line="240" w:lineRule="atLeast"/>
        <w:rPr>
          <w:rFonts w:ascii="宋体" w:hAnsi="宋体"/>
          <w:color w:val="auto"/>
          <w:sz w:val="24"/>
          <w:highlight w:val="none"/>
        </w:rPr>
      </w:pPr>
      <w:r>
        <w:rPr>
          <w:rFonts w:hint="eastAsia" w:ascii="宋体" w:hAnsi="宋体"/>
          <w:color w:val="auto"/>
          <w:sz w:val="24"/>
          <w:highlight w:val="none"/>
        </w:rPr>
        <w:tab/>
      </w:r>
      <w:r>
        <w:rPr>
          <w:rFonts w:hint="eastAsia" w:ascii="宋体" w:hAnsi="宋体"/>
          <w:color w:val="auto"/>
          <w:sz w:val="24"/>
          <w:highlight w:val="none"/>
        </w:rPr>
        <w:t xml:space="preserve"> 我们在贵公司组织的</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rPr>
        <w:t>项目招标中若获得中标资格（招标文件编号：</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rPr>
        <w:t>），我们保证在领取中标通知书的</w:t>
      </w:r>
      <w:r>
        <w:rPr>
          <w:rFonts w:ascii="宋体" w:hAnsi="宋体"/>
          <w:color w:val="auto"/>
          <w:sz w:val="24"/>
          <w:highlight w:val="none"/>
        </w:rPr>
        <w:t>同</w:t>
      </w:r>
      <w:r>
        <w:rPr>
          <w:rFonts w:hint="eastAsia" w:ascii="宋体" w:hAnsi="宋体"/>
          <w:color w:val="auto"/>
          <w:sz w:val="24"/>
          <w:highlight w:val="none"/>
        </w:rPr>
        <w:t>时按招标文件的规定，以支票、汇票等</w:t>
      </w:r>
      <w:r>
        <w:rPr>
          <w:rFonts w:ascii="宋体" w:hAnsi="宋体"/>
          <w:color w:val="auto"/>
          <w:sz w:val="24"/>
          <w:highlight w:val="none"/>
        </w:rPr>
        <w:t>形式</w:t>
      </w:r>
      <w:r>
        <w:rPr>
          <w:rFonts w:hint="eastAsia" w:ascii="宋体" w:hAnsi="宋体"/>
          <w:color w:val="auto"/>
          <w:sz w:val="24"/>
          <w:highlight w:val="none"/>
        </w:rPr>
        <w:t>，向贵公司一次性支付应由</w:t>
      </w:r>
      <w:r>
        <w:rPr>
          <w:rFonts w:ascii="宋体" w:hAnsi="宋体"/>
          <w:color w:val="auto"/>
          <w:sz w:val="24"/>
          <w:highlight w:val="none"/>
        </w:rPr>
        <w:t>我们</w:t>
      </w:r>
      <w:r>
        <w:rPr>
          <w:rFonts w:hint="eastAsia" w:ascii="宋体" w:hAnsi="宋体"/>
          <w:color w:val="auto"/>
          <w:sz w:val="24"/>
          <w:highlight w:val="none"/>
        </w:rPr>
        <w:t>交纳的中标服务费用。</w:t>
      </w:r>
    </w:p>
    <w:p>
      <w:pPr>
        <w:spacing w:line="240" w:lineRule="atLeast"/>
        <w:ind w:left="1080" w:leftChars="257" w:hanging="540"/>
        <w:rPr>
          <w:rFonts w:ascii="宋体" w:hAnsi="宋体"/>
          <w:color w:val="auto"/>
          <w:sz w:val="24"/>
          <w:highlight w:val="none"/>
        </w:rPr>
      </w:pPr>
      <w:r>
        <w:rPr>
          <w:rFonts w:hint="eastAsia" w:ascii="宋体" w:hAnsi="宋体"/>
          <w:color w:val="auto"/>
          <w:sz w:val="24"/>
          <w:highlight w:val="none"/>
        </w:rPr>
        <w:t>特此承诺！</w:t>
      </w:r>
    </w:p>
    <w:p>
      <w:pPr>
        <w:spacing w:line="240" w:lineRule="atLeast"/>
        <w:ind w:left="1080" w:leftChars="257" w:hanging="540"/>
        <w:rPr>
          <w:rFonts w:ascii="宋体" w:hAnsi="宋体"/>
          <w:color w:val="auto"/>
          <w:sz w:val="24"/>
          <w:highlight w:val="none"/>
        </w:rPr>
      </w:pPr>
    </w:p>
    <w:p>
      <w:pPr>
        <w:spacing w:line="240" w:lineRule="atLeast"/>
        <w:ind w:left="1080" w:leftChars="257" w:hanging="540"/>
        <w:rPr>
          <w:rFonts w:ascii="宋体" w:hAnsi="宋体"/>
          <w:color w:val="auto"/>
          <w:sz w:val="24"/>
          <w:highlight w:val="none"/>
        </w:rPr>
      </w:pPr>
    </w:p>
    <w:p>
      <w:pPr>
        <w:spacing w:line="240" w:lineRule="atLeast"/>
        <w:ind w:left="1080" w:leftChars="257" w:hanging="540"/>
        <w:rPr>
          <w:rFonts w:ascii="宋体" w:hAnsi="宋体"/>
          <w:color w:val="auto"/>
          <w:sz w:val="24"/>
          <w:highlight w:val="none"/>
        </w:rPr>
      </w:pPr>
    </w:p>
    <w:p>
      <w:pPr>
        <w:spacing w:line="240" w:lineRule="atLeast"/>
        <w:ind w:left="1080" w:leftChars="257" w:hanging="540"/>
        <w:rPr>
          <w:rFonts w:ascii="宋体" w:hAnsi="宋体"/>
          <w:color w:val="auto"/>
          <w:sz w:val="24"/>
          <w:highlight w:val="none"/>
        </w:rPr>
      </w:pPr>
    </w:p>
    <w:p>
      <w:pPr>
        <w:spacing w:line="240" w:lineRule="atLeast"/>
        <w:ind w:left="1080" w:hanging="1080"/>
        <w:rPr>
          <w:rFonts w:ascii="宋体" w:hAnsi="宋体"/>
          <w:color w:val="auto"/>
          <w:sz w:val="24"/>
          <w:highlight w:val="none"/>
        </w:rPr>
      </w:pPr>
    </w:p>
    <w:p>
      <w:pPr>
        <w:spacing w:line="240" w:lineRule="atLeast"/>
        <w:ind w:left="1413" w:leftChars="273" w:hanging="840" w:hangingChars="350"/>
        <w:rPr>
          <w:rFonts w:ascii="宋体" w:hAnsi="宋体"/>
          <w:color w:val="auto"/>
          <w:sz w:val="24"/>
          <w:highlight w:val="none"/>
        </w:rPr>
      </w:pPr>
      <w:r>
        <w:rPr>
          <w:rFonts w:hint="eastAsia" w:ascii="宋体" w:hAnsi="宋体"/>
          <w:color w:val="auto"/>
          <w:sz w:val="24"/>
          <w:highlight w:val="none"/>
        </w:rPr>
        <w:t>承诺方法定名称：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240" w:lineRule="atLeast"/>
        <w:ind w:left="1620" w:leftChars="257" w:hanging="1080"/>
        <w:rPr>
          <w:rFonts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240" w:lineRule="atLeast"/>
        <w:ind w:left="1620" w:leftChars="257" w:hanging="1080"/>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传真：</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240" w:lineRule="atLeast"/>
        <w:ind w:left="1620" w:leftChars="257" w:hanging="1080"/>
        <w:rPr>
          <w:rFonts w:ascii="宋体" w:hAnsi="宋体"/>
          <w:color w:val="auto"/>
          <w:sz w:val="24"/>
          <w:highlight w:val="none"/>
        </w:rPr>
      </w:pPr>
      <w:r>
        <w:rPr>
          <w:rFonts w:hint="eastAsia" w:ascii="宋体" w:hAnsi="宋体"/>
          <w:color w:val="auto"/>
          <w:sz w:val="24"/>
          <w:highlight w:val="none"/>
        </w:rPr>
        <w:t>电传：</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邮编：</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240" w:lineRule="atLeast"/>
        <w:ind w:left="1620" w:leftChars="257" w:hanging="1080"/>
        <w:rPr>
          <w:rFonts w:ascii="宋体" w:hAnsi="宋体"/>
          <w:color w:val="auto"/>
          <w:sz w:val="24"/>
          <w:highlight w:val="none"/>
        </w:rPr>
      </w:pPr>
      <w:r>
        <w:rPr>
          <w:rFonts w:hint="eastAsia" w:ascii="宋体" w:hAnsi="宋体"/>
          <w:color w:val="auto"/>
          <w:sz w:val="24"/>
          <w:highlight w:val="none"/>
        </w:rPr>
        <w:t>承诺方授权代表签字：</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rPr>
        <w:t>（承诺方盖章）</w:t>
      </w:r>
    </w:p>
    <w:p>
      <w:pPr>
        <w:spacing w:line="240" w:lineRule="atLeast"/>
        <w:ind w:left="1620" w:leftChars="257" w:hanging="1080"/>
        <w:rPr>
          <w:rFonts w:ascii="宋体" w:hAnsi="宋体"/>
          <w:color w:val="auto"/>
          <w:sz w:val="24"/>
          <w:highlight w:val="none"/>
          <w:u w:val="single"/>
        </w:rPr>
      </w:pPr>
      <w:r>
        <w:rPr>
          <w:rFonts w:hint="eastAsia" w:ascii="宋体" w:hAnsi="宋体"/>
          <w:color w:val="auto"/>
          <w:sz w:val="24"/>
          <w:highlight w:val="none"/>
        </w:rPr>
        <w:t>承诺日期：</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bookmarkEnd w:id="455"/>
      <w:bookmarkEnd w:id="456"/>
    </w:p>
    <w:p>
      <w:pPr>
        <w:pStyle w:val="4"/>
        <w:spacing w:before="0" w:line="240" w:lineRule="atLeast"/>
        <w:ind w:left="1080" w:leftChars="257" w:hanging="540"/>
        <w:rPr>
          <w:rFonts w:ascii="宋体" w:hAnsi="宋体" w:eastAsia="宋体"/>
          <w:color w:val="auto"/>
          <w:highlight w:val="none"/>
        </w:rPr>
      </w:pPr>
      <w:r>
        <w:rPr>
          <w:rFonts w:ascii="宋体" w:hAnsi="宋体" w:eastAsia="宋体"/>
          <w:color w:val="auto"/>
          <w:sz w:val="24"/>
          <w:highlight w:val="none"/>
        </w:rPr>
        <w:br w:type="page"/>
      </w:r>
    </w:p>
    <w:p>
      <w:pPr>
        <w:ind w:firstLine="6600" w:firstLineChars="2750"/>
        <w:rPr>
          <w:rFonts w:ascii="宋体" w:hAnsi="宋体"/>
          <w:color w:val="auto"/>
          <w:sz w:val="24"/>
          <w:highlight w:val="none"/>
        </w:rPr>
      </w:pPr>
    </w:p>
    <w:p>
      <w:pPr>
        <w:pStyle w:val="4"/>
        <w:spacing w:before="0" w:line="240" w:lineRule="atLeast"/>
        <w:rPr>
          <w:rFonts w:ascii="宋体" w:hAnsi="宋体" w:eastAsia="宋体"/>
          <w:b w:val="0"/>
          <w:color w:val="auto"/>
          <w:sz w:val="24"/>
          <w:highlight w:val="none"/>
        </w:rPr>
      </w:pPr>
      <w:bookmarkStart w:id="457" w:name="_Toc495418102"/>
      <w:bookmarkStart w:id="458" w:name="_Toc510950662"/>
      <w:bookmarkStart w:id="459" w:name="_Toc17008"/>
      <w:bookmarkStart w:id="460" w:name="_Toc494447316"/>
      <w:bookmarkStart w:id="461" w:name="_Toc533275380"/>
      <w:r>
        <w:rPr>
          <w:rFonts w:hint="eastAsia" w:ascii="宋体" w:hAnsi="宋体" w:eastAsia="宋体"/>
          <w:color w:val="auto"/>
          <w:sz w:val="24"/>
          <w:highlight w:val="none"/>
        </w:rPr>
        <w:t>7</w:t>
      </w:r>
      <w:r>
        <w:rPr>
          <w:rFonts w:ascii="宋体" w:hAnsi="宋体" w:eastAsia="宋体"/>
          <w:color w:val="auto"/>
          <w:sz w:val="24"/>
          <w:highlight w:val="none"/>
        </w:rPr>
        <w:t>-1 投标人企业类型声明函</w:t>
      </w:r>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格式十二）</w:t>
      </w:r>
      <w:bookmarkEnd w:id="457"/>
      <w:bookmarkEnd w:id="458"/>
      <w:bookmarkEnd w:id="459"/>
      <w:bookmarkEnd w:id="460"/>
      <w:bookmarkEnd w:id="461"/>
    </w:p>
    <w:p>
      <w:pPr>
        <w:spacing w:line="240" w:lineRule="atLeast"/>
        <w:ind w:left="1080" w:leftChars="257" w:hanging="540"/>
        <w:jc w:val="center"/>
        <w:rPr>
          <w:rFonts w:ascii="宋体" w:hAnsi="宋体"/>
          <w:b/>
          <w:color w:val="auto"/>
          <w:kern w:val="0"/>
          <w:sz w:val="24"/>
          <w:szCs w:val="20"/>
          <w:highlight w:val="none"/>
        </w:rPr>
      </w:pPr>
    </w:p>
    <w:p>
      <w:pPr>
        <w:widowControl/>
        <w:spacing w:before="100" w:beforeAutospacing="1" w:after="100" w:afterAutospacing="1" w:line="330" w:lineRule="atLeas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本公司郑重声明，根据《政府采购促进中小企业发展暂行办法》（财库[2011]181号）的规定，本公司为______（请填写：</w:t>
      </w:r>
      <w:r>
        <w:rPr>
          <w:rFonts w:hint="eastAsia" w:ascii="宋体" w:hAnsi="宋体" w:cs="宋体"/>
          <w:color w:val="auto"/>
          <w:kern w:val="0"/>
          <w:sz w:val="24"/>
          <w:highlight w:val="none"/>
        </w:rPr>
        <w:t>大型、</w:t>
      </w:r>
      <w:r>
        <w:rPr>
          <w:rFonts w:ascii="宋体" w:hAnsi="宋体" w:cs="宋体"/>
          <w:color w:val="auto"/>
          <w:kern w:val="0"/>
          <w:sz w:val="24"/>
          <w:highlight w:val="none"/>
        </w:rPr>
        <w:t>中型、小型、微型）企业。即，本公司同时满足以下条件：</w:t>
      </w:r>
    </w:p>
    <w:p>
      <w:pPr>
        <w:widowControl/>
        <w:spacing w:before="100" w:beforeAutospacing="1" w:after="100" w:afterAutospacing="1" w:line="330" w:lineRule="atLeast"/>
        <w:jc w:val="left"/>
        <w:rPr>
          <w:rFonts w:ascii="宋体" w:hAnsi="宋体" w:cs="宋体"/>
          <w:color w:val="auto"/>
          <w:kern w:val="0"/>
          <w:sz w:val="24"/>
          <w:highlight w:val="none"/>
        </w:rPr>
      </w:pPr>
      <w:r>
        <w:rPr>
          <w:rFonts w:ascii="宋体" w:hAnsi="宋体" w:cs="宋体"/>
          <w:color w:val="auto"/>
          <w:kern w:val="0"/>
          <w:sz w:val="24"/>
          <w:highlight w:val="none"/>
        </w:rPr>
        <w:t>　　1.根据《工业和信息化部、国家统计局、国家发展和改革委员会、财政部关于印发中小企业划型标准规定的通知》（工信部联企业[2011]300号）规定的划分标准，本公司为______（请填写：</w:t>
      </w:r>
      <w:r>
        <w:rPr>
          <w:rFonts w:hint="eastAsia" w:ascii="宋体" w:hAnsi="宋体" w:cs="宋体"/>
          <w:color w:val="auto"/>
          <w:kern w:val="0"/>
          <w:sz w:val="24"/>
          <w:highlight w:val="none"/>
        </w:rPr>
        <w:t>大型、</w:t>
      </w:r>
      <w:r>
        <w:rPr>
          <w:rFonts w:ascii="宋体" w:hAnsi="宋体" w:cs="宋体"/>
          <w:color w:val="auto"/>
          <w:kern w:val="0"/>
          <w:sz w:val="24"/>
          <w:highlight w:val="none"/>
        </w:rPr>
        <w:t>中型、小型、微型）企业。</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 xml:space="preserve"> 本公司</w:t>
      </w:r>
      <w:r>
        <w:rPr>
          <w:rFonts w:ascii="宋体" w:hAnsi="宋体" w:cs="宋体"/>
          <w:color w:val="auto"/>
          <w:kern w:val="0"/>
          <w:sz w:val="24"/>
          <w:highlight w:val="none"/>
        </w:rPr>
        <w:t>（请填写：</w:t>
      </w:r>
      <w:r>
        <w:rPr>
          <w:rFonts w:hint="eastAsia" w:ascii="宋体" w:hAnsi="宋体" w:cs="宋体"/>
          <w:color w:val="auto"/>
          <w:kern w:val="0"/>
          <w:sz w:val="24"/>
          <w:highlight w:val="none"/>
        </w:rPr>
        <w:t>是、不是</w:t>
      </w:r>
      <w:r>
        <w:rPr>
          <w:rFonts w:ascii="宋体" w:hAnsi="宋体" w:cs="宋体"/>
          <w:color w:val="auto"/>
          <w:kern w:val="0"/>
          <w:sz w:val="24"/>
          <w:highlight w:val="none"/>
        </w:rPr>
        <w:t>）监狱企业。</w:t>
      </w:r>
      <w:r>
        <w:rPr>
          <w:rFonts w:hint="eastAsia" w:ascii="宋体" w:hAnsi="宋体" w:cs="宋体"/>
          <w:color w:val="auto"/>
          <w:kern w:val="0"/>
          <w:sz w:val="24"/>
          <w:highlight w:val="none"/>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本公司参加______单位的______项目采购活动</w:t>
      </w:r>
      <w:r>
        <w:rPr>
          <w:rFonts w:hint="eastAsia" w:ascii="宋体" w:hAnsi="宋体" w:cs="宋体"/>
          <w:color w:val="auto"/>
          <w:kern w:val="0"/>
          <w:sz w:val="24"/>
          <w:highlight w:val="none"/>
        </w:rPr>
        <w:t>（按投标形式选择填写）：</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（1）□本公司为直接投标人</w:t>
      </w:r>
      <w:r>
        <w:rPr>
          <w:rFonts w:ascii="宋体" w:hAnsi="宋体" w:cs="宋体"/>
          <w:color w:val="auto"/>
          <w:kern w:val="0"/>
          <w:sz w:val="24"/>
          <w:highlight w:val="none"/>
        </w:rPr>
        <w:t>提供本企业制造的货物，由本企业承担工程、提供服务</w:t>
      </w:r>
      <w:r>
        <w:rPr>
          <w:rFonts w:hint="eastAsia" w:ascii="宋体" w:hAnsi="宋体" w:cs="宋体"/>
          <w:color w:val="auto"/>
          <w:kern w:val="0"/>
          <w:sz w:val="24"/>
          <w:highlight w:val="none"/>
        </w:rPr>
        <w:t>。</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（2）□本公司为代理商，</w:t>
      </w:r>
      <w:r>
        <w:rPr>
          <w:rFonts w:ascii="宋体" w:hAnsi="宋体" w:cs="宋体"/>
          <w:color w:val="auto"/>
          <w:kern w:val="0"/>
          <w:sz w:val="24"/>
          <w:highlight w:val="none"/>
        </w:rPr>
        <w:t>提供其他______（请填写：中型、小型、微型）企业制造的货物。本条所称货物不包括使用大型企业注册商标的货物。</w:t>
      </w:r>
      <w:r>
        <w:rPr>
          <w:rFonts w:hint="eastAsia" w:ascii="宋体" w:hAnsi="宋体" w:cs="宋体"/>
          <w:color w:val="auto"/>
          <w:kern w:val="0"/>
          <w:sz w:val="24"/>
          <w:highlight w:val="none"/>
        </w:rPr>
        <w:t>（后附制造商</w:t>
      </w:r>
      <w:r>
        <w:rPr>
          <w:rFonts w:ascii="宋体" w:hAnsi="宋体" w:cs="宋体"/>
          <w:color w:val="auto"/>
          <w:kern w:val="0"/>
          <w:sz w:val="24"/>
          <w:highlight w:val="none"/>
        </w:rPr>
        <w:t>投标人企业类型声明函</w:t>
      </w:r>
      <w:r>
        <w:rPr>
          <w:rFonts w:hint="eastAsia" w:ascii="宋体" w:hAnsi="宋体" w:cs="宋体"/>
          <w:color w:val="auto"/>
          <w:kern w:val="0"/>
          <w:sz w:val="24"/>
          <w:highlight w:val="none"/>
        </w:rPr>
        <w:t>）</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（3）□本公司为联合体一方，</w:t>
      </w:r>
      <w:r>
        <w:rPr>
          <w:rFonts w:ascii="宋体" w:hAnsi="宋体" w:cs="宋体"/>
          <w:color w:val="auto"/>
          <w:kern w:val="0"/>
          <w:sz w:val="24"/>
          <w:highlight w:val="none"/>
        </w:rPr>
        <w:t>提供本企业制造的货物，由本企业承担工程、提供服务</w:t>
      </w:r>
      <w:r>
        <w:rPr>
          <w:rFonts w:hint="eastAsia" w:ascii="宋体" w:hAnsi="宋体" w:cs="宋体"/>
          <w:color w:val="auto"/>
          <w:kern w:val="0"/>
          <w:sz w:val="24"/>
          <w:highlight w:val="none"/>
        </w:rPr>
        <w:t>。我公司提供</w:t>
      </w:r>
      <w:r>
        <w:rPr>
          <w:rFonts w:ascii="宋体" w:hAnsi="宋体" w:cs="宋体"/>
          <w:color w:val="auto"/>
          <w:kern w:val="0"/>
          <w:sz w:val="24"/>
          <w:highlight w:val="none"/>
        </w:rPr>
        <w:t>协议合同金额占到</w:t>
      </w:r>
      <w:r>
        <w:rPr>
          <w:rFonts w:hint="eastAsia" w:ascii="宋体" w:hAnsi="宋体" w:cs="宋体"/>
          <w:color w:val="auto"/>
          <w:kern w:val="0"/>
          <w:sz w:val="24"/>
          <w:highlight w:val="none"/>
        </w:rPr>
        <w:t>共同投标</w:t>
      </w:r>
      <w:r>
        <w:rPr>
          <w:rFonts w:ascii="宋体" w:hAnsi="宋体" w:cs="宋体"/>
          <w:color w:val="auto"/>
          <w:kern w:val="0"/>
          <w:sz w:val="24"/>
          <w:highlight w:val="none"/>
        </w:rPr>
        <w:t>协议合同总金额</w:t>
      </w:r>
      <w:r>
        <w:rPr>
          <w:rFonts w:hint="eastAsia" w:ascii="宋体" w:hAnsi="宋体" w:cs="宋体"/>
          <w:color w:val="auto"/>
          <w:kern w:val="0"/>
          <w:sz w:val="24"/>
          <w:highlight w:val="none"/>
        </w:rPr>
        <w:t>的比例为。</w:t>
      </w:r>
    </w:p>
    <w:p>
      <w:pPr>
        <w:widowControl/>
        <w:spacing w:before="100" w:beforeAutospacing="1" w:after="100" w:afterAutospacing="1" w:line="330" w:lineRule="atLeast"/>
        <w:jc w:val="left"/>
        <w:rPr>
          <w:rFonts w:ascii="宋体" w:hAnsi="宋体" w:cs="宋体"/>
          <w:color w:val="auto"/>
          <w:kern w:val="0"/>
          <w:sz w:val="24"/>
          <w:highlight w:val="none"/>
        </w:rPr>
      </w:pPr>
      <w:r>
        <w:rPr>
          <w:rFonts w:ascii="宋体" w:hAnsi="宋体" w:cs="宋体"/>
          <w:color w:val="auto"/>
          <w:kern w:val="0"/>
          <w:sz w:val="24"/>
          <w:highlight w:val="none"/>
        </w:rPr>
        <w:t>　　本公司对上述声明的真实性负责。如有虚假，将依法承担相应责任。</w:t>
      </w:r>
    </w:p>
    <w:p>
      <w:pPr>
        <w:widowControl/>
        <w:spacing w:before="100" w:beforeAutospacing="1" w:after="100" w:afterAutospacing="1" w:line="330" w:lineRule="atLeast"/>
        <w:jc w:val="left"/>
        <w:rPr>
          <w:rFonts w:ascii="宋体" w:hAnsi="宋体" w:cs="宋体"/>
          <w:color w:val="auto"/>
          <w:kern w:val="0"/>
          <w:sz w:val="24"/>
          <w:highlight w:val="none"/>
        </w:rPr>
      </w:pPr>
      <w:r>
        <w:rPr>
          <w:rFonts w:ascii="宋体" w:hAnsi="宋体" w:cs="宋体"/>
          <w:color w:val="auto"/>
          <w:kern w:val="0"/>
          <w:sz w:val="24"/>
          <w:highlight w:val="none"/>
        </w:rPr>
        <w:t xml:space="preserve">　　企业名称（盖章）： </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ascii="宋体" w:hAnsi="宋体" w:cs="宋体"/>
          <w:color w:val="auto"/>
          <w:kern w:val="0"/>
          <w:sz w:val="24"/>
          <w:highlight w:val="none"/>
        </w:rPr>
        <w:t>日　期：</w:t>
      </w:r>
    </w:p>
    <w:p>
      <w:pPr>
        <w:spacing w:line="240" w:lineRule="atLeast"/>
        <w:ind w:left="1080" w:leftChars="257" w:hanging="540"/>
        <w:jc w:val="center"/>
        <w:rPr>
          <w:rFonts w:ascii="宋体" w:hAnsi="宋体"/>
          <w:b/>
          <w:color w:val="auto"/>
          <w:kern w:val="0"/>
          <w:sz w:val="24"/>
          <w:szCs w:val="20"/>
          <w:highlight w:val="none"/>
        </w:rPr>
      </w:pPr>
      <w:r>
        <w:rPr>
          <w:rFonts w:ascii="宋体" w:hAnsi="宋体"/>
          <w:b/>
          <w:color w:val="auto"/>
          <w:kern w:val="0"/>
          <w:sz w:val="24"/>
          <w:szCs w:val="20"/>
          <w:highlight w:val="none"/>
        </w:rPr>
        <w:t>　</w:t>
      </w:r>
    </w:p>
    <w:p>
      <w:pPr>
        <w:pStyle w:val="4"/>
        <w:spacing w:before="0" w:line="240" w:lineRule="atLeast"/>
        <w:rPr>
          <w:rFonts w:ascii="宋体" w:hAnsi="宋体" w:eastAsia="宋体"/>
          <w:b w:val="0"/>
          <w:color w:val="auto"/>
          <w:sz w:val="24"/>
          <w:highlight w:val="none"/>
        </w:rPr>
      </w:pPr>
      <w:r>
        <w:rPr>
          <w:rFonts w:ascii="宋体" w:hAnsi="宋体" w:eastAsia="宋体"/>
          <w:b w:val="0"/>
          <w:color w:val="auto"/>
          <w:sz w:val="24"/>
          <w:highlight w:val="none"/>
        </w:rPr>
        <w:br w:type="page"/>
      </w:r>
      <w:bookmarkStart w:id="462" w:name="_Toc510950663"/>
      <w:bookmarkStart w:id="463" w:name="_Toc533275381"/>
      <w:bookmarkStart w:id="464" w:name="_Toc495418103"/>
      <w:bookmarkStart w:id="465" w:name="_Toc14804"/>
      <w:bookmarkStart w:id="466" w:name="_Toc494447317"/>
      <w:r>
        <w:rPr>
          <w:rFonts w:ascii="宋体" w:hAnsi="宋体" w:eastAsia="宋体"/>
          <w:color w:val="auto"/>
          <w:sz w:val="24"/>
          <w:highlight w:val="none"/>
        </w:rPr>
        <w:t xml:space="preserve">7-2  </w:t>
      </w:r>
      <w:r>
        <w:rPr>
          <w:rFonts w:hint="eastAsia" w:ascii="宋体" w:hAnsi="宋体" w:eastAsia="宋体"/>
          <w:color w:val="auto"/>
          <w:sz w:val="24"/>
          <w:highlight w:val="none"/>
        </w:rPr>
        <w:t>制造商</w:t>
      </w:r>
      <w:r>
        <w:rPr>
          <w:rFonts w:ascii="宋体" w:hAnsi="宋体" w:eastAsia="宋体"/>
          <w:color w:val="auto"/>
          <w:sz w:val="24"/>
          <w:highlight w:val="none"/>
        </w:rPr>
        <w:t>投标人企业类型声明函</w:t>
      </w:r>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格式十三）</w:t>
      </w:r>
      <w:bookmarkEnd w:id="462"/>
      <w:bookmarkEnd w:id="463"/>
      <w:bookmarkEnd w:id="464"/>
      <w:bookmarkEnd w:id="465"/>
      <w:bookmarkEnd w:id="466"/>
    </w:p>
    <w:p>
      <w:pPr>
        <w:spacing w:line="240" w:lineRule="atLeast"/>
        <w:ind w:left="1080" w:leftChars="257" w:hanging="540"/>
        <w:jc w:val="center"/>
        <w:rPr>
          <w:rFonts w:ascii="宋体" w:hAnsi="宋体"/>
          <w:b/>
          <w:color w:val="auto"/>
          <w:kern w:val="0"/>
          <w:sz w:val="24"/>
          <w:szCs w:val="20"/>
          <w:highlight w:val="none"/>
        </w:rPr>
      </w:pP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ascii="宋体" w:hAnsi="宋体" w:cs="宋体"/>
          <w:color w:val="auto"/>
          <w:kern w:val="0"/>
          <w:sz w:val="24"/>
          <w:highlight w:val="none"/>
        </w:rPr>
        <w:t>本公司</w:t>
      </w:r>
      <w:r>
        <w:rPr>
          <w:rFonts w:hint="eastAsia" w:ascii="宋体" w:hAnsi="宋体" w:cs="宋体"/>
          <w:color w:val="auto"/>
          <w:kern w:val="0"/>
          <w:sz w:val="24"/>
          <w:highlight w:val="none"/>
        </w:rPr>
        <w:t>作</w:t>
      </w:r>
      <w:r>
        <w:rPr>
          <w:rFonts w:ascii="宋体" w:hAnsi="宋体" w:cs="宋体"/>
          <w:color w:val="auto"/>
          <w:kern w:val="0"/>
          <w:sz w:val="24"/>
          <w:highlight w:val="none"/>
        </w:rPr>
        <w:t>为______单位的______</w:t>
      </w:r>
      <w:r>
        <w:rPr>
          <w:rFonts w:hint="eastAsia" w:ascii="宋体" w:hAnsi="宋体" w:cs="宋体"/>
          <w:color w:val="auto"/>
          <w:kern w:val="0"/>
          <w:sz w:val="24"/>
          <w:highlight w:val="none"/>
        </w:rPr>
        <w:t xml:space="preserve"> 项目的设备制造商，</w:t>
      </w:r>
      <w:r>
        <w:rPr>
          <w:rFonts w:ascii="宋体" w:hAnsi="宋体" w:cs="宋体"/>
          <w:color w:val="auto"/>
          <w:kern w:val="0"/>
          <w:sz w:val="24"/>
          <w:highlight w:val="none"/>
        </w:rPr>
        <w:t>参加</w:t>
      </w:r>
      <w:r>
        <w:rPr>
          <w:rFonts w:hint="eastAsia" w:ascii="宋体" w:hAnsi="宋体" w:cs="宋体"/>
          <w:color w:val="auto"/>
          <w:kern w:val="0"/>
          <w:sz w:val="24"/>
          <w:highlight w:val="none"/>
        </w:rPr>
        <w:t>政府</w:t>
      </w:r>
      <w:r>
        <w:rPr>
          <w:rFonts w:ascii="宋体" w:hAnsi="宋体" w:cs="宋体"/>
          <w:color w:val="auto"/>
          <w:kern w:val="0"/>
          <w:sz w:val="24"/>
          <w:highlight w:val="none"/>
        </w:rPr>
        <w:t>采购活动</w:t>
      </w:r>
      <w:r>
        <w:rPr>
          <w:rFonts w:hint="eastAsia" w:ascii="宋体" w:hAnsi="宋体" w:cs="宋体"/>
          <w:color w:val="auto"/>
          <w:kern w:val="0"/>
          <w:sz w:val="24"/>
          <w:highlight w:val="none"/>
        </w:rPr>
        <w:t>。</w:t>
      </w:r>
      <w:r>
        <w:rPr>
          <w:rFonts w:ascii="宋体" w:hAnsi="宋体" w:cs="宋体"/>
          <w:color w:val="auto"/>
          <w:kern w:val="0"/>
          <w:sz w:val="24"/>
          <w:highlight w:val="none"/>
        </w:rPr>
        <w:t>根据《政府采购促进中小企业发展暂行办法》（财库[2011]181号）</w:t>
      </w:r>
      <w:r>
        <w:rPr>
          <w:rFonts w:hint="eastAsia" w:ascii="宋体" w:hAnsi="宋体" w:cs="宋体"/>
          <w:color w:val="auto"/>
          <w:kern w:val="0"/>
          <w:sz w:val="24"/>
          <w:highlight w:val="none"/>
        </w:rPr>
        <w:t>，</w:t>
      </w:r>
      <w:r>
        <w:rPr>
          <w:rFonts w:ascii="宋体" w:hAnsi="宋体" w:cs="宋体"/>
          <w:color w:val="auto"/>
          <w:kern w:val="0"/>
          <w:sz w:val="24"/>
          <w:highlight w:val="none"/>
        </w:rPr>
        <w:t>《工业和信息化部、国家统计局、国家发展和改革委员会、财政部关于印发中小企业划型标准规定的通知》（工信部联企业[2011]300号）</w:t>
      </w:r>
      <w:r>
        <w:rPr>
          <w:rFonts w:hint="eastAsia" w:ascii="宋体" w:hAnsi="宋体" w:cs="宋体"/>
          <w:color w:val="auto"/>
          <w:kern w:val="0"/>
          <w:sz w:val="24"/>
          <w:highlight w:val="none"/>
        </w:rPr>
        <w:t>，以及《财政部 司法部关于政府采购支持监狱企业发展有关问题的通知》（财库〔2014〕68号）的有关</w:t>
      </w:r>
      <w:r>
        <w:rPr>
          <w:rFonts w:ascii="宋体" w:hAnsi="宋体" w:cs="宋体"/>
          <w:color w:val="auto"/>
          <w:kern w:val="0"/>
          <w:sz w:val="24"/>
          <w:highlight w:val="none"/>
        </w:rPr>
        <w:t>规定，</w:t>
      </w:r>
      <w:r>
        <w:rPr>
          <w:rFonts w:hint="eastAsia" w:ascii="宋体" w:hAnsi="宋体" w:cs="宋体"/>
          <w:color w:val="auto"/>
          <w:kern w:val="0"/>
          <w:sz w:val="24"/>
          <w:highlight w:val="none"/>
        </w:rPr>
        <w:t>作出如下声明：</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ascii="宋体" w:hAnsi="宋体" w:cs="宋体"/>
          <w:color w:val="auto"/>
          <w:kern w:val="0"/>
          <w:sz w:val="24"/>
          <w:highlight w:val="none"/>
        </w:rPr>
        <w:t>本公司为______（请填写：中型、小型、微型）企业</w:t>
      </w:r>
      <w:r>
        <w:rPr>
          <w:rFonts w:hint="eastAsia" w:ascii="宋体" w:hAnsi="宋体" w:cs="宋体"/>
          <w:color w:val="auto"/>
          <w:kern w:val="0"/>
          <w:sz w:val="24"/>
          <w:highlight w:val="none"/>
        </w:rPr>
        <w:t>，</w:t>
      </w:r>
      <w:r>
        <w:rPr>
          <w:rFonts w:ascii="宋体" w:hAnsi="宋体" w:cs="宋体"/>
          <w:color w:val="auto"/>
          <w:kern w:val="0"/>
          <w:sz w:val="24"/>
          <w:highlight w:val="none"/>
        </w:rPr>
        <w:t>提供本企业制造的货物，由本企业承担工程、提供服务。</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本公司</w:t>
      </w:r>
      <w:r>
        <w:rPr>
          <w:rFonts w:ascii="宋体" w:hAnsi="宋体" w:cs="宋体"/>
          <w:color w:val="auto"/>
          <w:kern w:val="0"/>
          <w:sz w:val="24"/>
          <w:highlight w:val="none"/>
        </w:rPr>
        <w:t>（请填写：</w:t>
      </w:r>
      <w:r>
        <w:rPr>
          <w:rFonts w:hint="eastAsia" w:ascii="宋体" w:hAnsi="宋体" w:cs="宋体"/>
          <w:color w:val="auto"/>
          <w:kern w:val="0"/>
          <w:sz w:val="24"/>
          <w:highlight w:val="none"/>
        </w:rPr>
        <w:t>是、不是</w:t>
      </w:r>
      <w:r>
        <w:rPr>
          <w:rFonts w:ascii="宋体" w:hAnsi="宋体" w:cs="宋体"/>
          <w:color w:val="auto"/>
          <w:kern w:val="0"/>
          <w:sz w:val="24"/>
          <w:highlight w:val="none"/>
        </w:rPr>
        <w:t>）监狱企业。</w:t>
      </w:r>
      <w:r>
        <w:rPr>
          <w:rFonts w:hint="eastAsia" w:ascii="宋体" w:hAnsi="宋体" w:cs="宋体"/>
          <w:color w:val="auto"/>
          <w:kern w:val="0"/>
          <w:sz w:val="24"/>
          <w:highlight w:val="none"/>
        </w:rPr>
        <w:t>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宋体" w:hAnsi="宋体" w:cs="宋体"/>
          <w:color w:val="auto"/>
          <w:kern w:val="0"/>
          <w:sz w:val="24"/>
          <w:highlight w:val="none"/>
        </w:rPr>
      </w:pPr>
      <w:r>
        <w:rPr>
          <w:rFonts w:ascii="宋体" w:hAnsi="宋体" w:cs="宋体"/>
          <w:color w:val="auto"/>
          <w:kern w:val="0"/>
          <w:sz w:val="24"/>
          <w:highlight w:val="none"/>
        </w:rPr>
        <w:t>本公司对上述声明的真实性负责。如有虚假，将依法承担相应责任。</w:t>
      </w:r>
    </w:p>
    <w:p>
      <w:pPr>
        <w:widowControl/>
        <w:spacing w:before="100" w:beforeAutospacing="1" w:after="100" w:afterAutospacing="1" w:line="330" w:lineRule="atLeast"/>
        <w:ind w:firstLine="5160" w:firstLineChars="2150"/>
        <w:jc w:val="left"/>
        <w:rPr>
          <w:rFonts w:ascii="宋体" w:hAnsi="宋体" w:cs="宋体"/>
          <w:color w:val="auto"/>
          <w:kern w:val="0"/>
          <w:sz w:val="24"/>
          <w:highlight w:val="none"/>
        </w:rPr>
      </w:pPr>
    </w:p>
    <w:p>
      <w:pPr>
        <w:widowControl/>
        <w:spacing w:before="100" w:beforeAutospacing="1" w:after="100" w:afterAutospacing="1" w:line="330" w:lineRule="atLeast"/>
        <w:ind w:firstLine="5160" w:firstLineChars="2150"/>
        <w:jc w:val="left"/>
        <w:rPr>
          <w:rFonts w:ascii="宋体" w:hAnsi="宋体" w:cs="宋体"/>
          <w:color w:val="auto"/>
          <w:kern w:val="0"/>
          <w:sz w:val="24"/>
          <w:highlight w:val="none"/>
        </w:rPr>
      </w:pPr>
    </w:p>
    <w:p>
      <w:pPr>
        <w:widowControl/>
        <w:spacing w:before="100" w:beforeAutospacing="1" w:after="100" w:afterAutospacing="1" w:line="330" w:lineRule="atLeast"/>
        <w:ind w:firstLine="5160" w:firstLineChars="2150"/>
        <w:jc w:val="left"/>
        <w:rPr>
          <w:rFonts w:ascii="宋体" w:hAnsi="宋体" w:cs="宋体"/>
          <w:color w:val="auto"/>
          <w:kern w:val="0"/>
          <w:sz w:val="24"/>
          <w:highlight w:val="none"/>
        </w:rPr>
      </w:pPr>
    </w:p>
    <w:p>
      <w:pPr>
        <w:widowControl/>
        <w:spacing w:before="100" w:beforeAutospacing="1" w:after="100" w:afterAutospacing="1" w:line="330" w:lineRule="atLeast"/>
        <w:ind w:firstLine="5160" w:firstLineChars="2150"/>
        <w:jc w:val="left"/>
        <w:rPr>
          <w:rFonts w:ascii="宋体" w:hAnsi="宋体" w:cs="宋体"/>
          <w:color w:val="auto"/>
          <w:kern w:val="0"/>
          <w:sz w:val="24"/>
          <w:highlight w:val="none"/>
        </w:rPr>
      </w:pPr>
    </w:p>
    <w:p>
      <w:pPr>
        <w:widowControl/>
        <w:spacing w:before="100" w:beforeAutospacing="1" w:after="100" w:afterAutospacing="1" w:line="330" w:lineRule="atLeast"/>
        <w:ind w:firstLine="5160" w:firstLineChars="2150"/>
        <w:jc w:val="left"/>
        <w:rPr>
          <w:rFonts w:ascii="宋体" w:hAnsi="宋体" w:cs="宋体"/>
          <w:color w:val="auto"/>
          <w:kern w:val="0"/>
          <w:sz w:val="24"/>
          <w:highlight w:val="none"/>
        </w:rPr>
      </w:pPr>
    </w:p>
    <w:p>
      <w:pPr>
        <w:widowControl/>
        <w:spacing w:before="100" w:beforeAutospacing="1" w:after="100" w:afterAutospacing="1" w:line="330" w:lineRule="atLeast"/>
        <w:ind w:firstLine="5160" w:firstLineChars="2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ascii="宋体" w:hAnsi="宋体" w:cs="宋体"/>
          <w:color w:val="auto"/>
          <w:kern w:val="0"/>
          <w:sz w:val="24"/>
          <w:highlight w:val="none"/>
        </w:rPr>
        <w:t xml:space="preserve">名称（盖章）： </w:t>
      </w:r>
    </w:p>
    <w:p>
      <w:pPr>
        <w:widowControl/>
        <w:spacing w:before="100" w:beforeAutospacing="1" w:after="100" w:afterAutospacing="1" w:line="330" w:lineRule="atLeast"/>
        <w:ind w:firstLine="5040" w:firstLineChars="2100"/>
        <w:jc w:val="left"/>
        <w:rPr>
          <w:rFonts w:ascii="宋体" w:hAnsi="宋体" w:cs="宋体"/>
          <w:color w:val="auto"/>
          <w:kern w:val="0"/>
          <w:sz w:val="24"/>
          <w:highlight w:val="none"/>
        </w:rPr>
      </w:pPr>
      <w:r>
        <w:rPr>
          <w:rFonts w:ascii="宋体" w:hAnsi="宋体" w:cs="宋体"/>
          <w:color w:val="auto"/>
          <w:kern w:val="0"/>
          <w:sz w:val="24"/>
          <w:highlight w:val="none"/>
        </w:rPr>
        <w:t>　　日　期：</w:t>
      </w:r>
    </w:p>
    <w:p>
      <w:pPr>
        <w:widowControl/>
        <w:spacing w:before="100" w:beforeAutospacing="1" w:after="100" w:afterAutospacing="1" w:line="330" w:lineRule="atLeast"/>
        <w:ind w:firstLine="420"/>
        <w:jc w:val="left"/>
        <w:rPr>
          <w:rFonts w:ascii="宋体" w:hAnsi="宋体" w:cs="宋体"/>
          <w:color w:val="auto"/>
          <w:kern w:val="0"/>
          <w:szCs w:val="21"/>
          <w:highlight w:val="none"/>
        </w:rPr>
      </w:pPr>
    </w:p>
    <w:p>
      <w:pPr>
        <w:rPr>
          <w:rFonts w:ascii="宋体" w:hAnsi="宋体"/>
          <w:color w:val="auto"/>
          <w:highlight w:val="none"/>
        </w:rPr>
      </w:pPr>
    </w:p>
    <w:p>
      <w:pPr>
        <w:widowControl/>
        <w:spacing w:before="100" w:beforeAutospacing="1" w:after="100" w:afterAutospacing="1" w:line="330" w:lineRule="atLeast"/>
        <w:ind w:firstLine="630" w:firstLineChars="300"/>
        <w:jc w:val="left"/>
        <w:rPr>
          <w:rFonts w:ascii="宋体" w:hAnsi="宋体"/>
          <w:color w:val="auto"/>
          <w:highlight w:val="none"/>
        </w:rPr>
      </w:pPr>
    </w:p>
    <w:p>
      <w:pPr>
        <w:widowControl/>
        <w:spacing w:before="100" w:beforeAutospacing="1" w:after="100" w:afterAutospacing="1" w:line="330" w:lineRule="atLeast"/>
        <w:ind w:firstLine="630" w:firstLineChars="300"/>
        <w:jc w:val="left"/>
        <w:rPr>
          <w:rFonts w:ascii="宋体" w:hAnsi="宋体"/>
          <w:color w:val="auto"/>
          <w:highlight w:val="none"/>
        </w:rPr>
      </w:pPr>
    </w:p>
    <w:p>
      <w:pPr>
        <w:widowControl/>
        <w:spacing w:before="100" w:beforeAutospacing="1" w:after="100" w:afterAutospacing="1" w:line="330" w:lineRule="atLeast"/>
        <w:ind w:firstLine="630" w:firstLineChars="300"/>
        <w:jc w:val="left"/>
        <w:rPr>
          <w:rFonts w:ascii="宋体" w:hAnsi="宋体"/>
          <w:color w:val="auto"/>
          <w:highlight w:val="none"/>
        </w:rPr>
      </w:pPr>
    </w:p>
    <w:p>
      <w:pPr>
        <w:widowControl/>
        <w:spacing w:before="100" w:beforeAutospacing="1" w:after="100" w:afterAutospacing="1" w:line="330" w:lineRule="atLeast"/>
        <w:ind w:firstLine="630" w:firstLineChars="300"/>
        <w:jc w:val="left"/>
        <w:rPr>
          <w:rFonts w:ascii="宋体" w:hAnsi="宋体"/>
          <w:color w:val="auto"/>
          <w:highlight w:val="none"/>
        </w:rPr>
      </w:pPr>
    </w:p>
    <w:p>
      <w:pPr>
        <w:widowControl/>
        <w:spacing w:before="100" w:beforeAutospacing="1" w:after="100" w:afterAutospacing="1" w:line="330" w:lineRule="atLeast"/>
        <w:ind w:firstLine="630" w:firstLineChars="300"/>
        <w:jc w:val="left"/>
        <w:rPr>
          <w:rFonts w:ascii="宋体" w:hAnsi="宋体"/>
          <w:color w:val="auto"/>
          <w:highlight w:val="none"/>
        </w:rPr>
      </w:pPr>
    </w:p>
    <w:p>
      <w:pPr>
        <w:pStyle w:val="4"/>
        <w:spacing w:before="0" w:line="240" w:lineRule="atLeast"/>
        <w:rPr>
          <w:rFonts w:ascii="宋体" w:hAnsi="宋体" w:eastAsia="宋体"/>
          <w:color w:val="auto"/>
          <w:sz w:val="24"/>
          <w:highlight w:val="none"/>
        </w:rPr>
      </w:pPr>
      <w:bookmarkStart w:id="467" w:name="_Toc20845"/>
      <w:bookmarkStart w:id="468" w:name="_Toc510950664"/>
      <w:bookmarkStart w:id="469" w:name="_Toc495418104"/>
      <w:bookmarkStart w:id="470" w:name="_Toc494447318"/>
      <w:bookmarkStart w:id="471" w:name="_Toc533275382"/>
      <w:bookmarkStart w:id="472" w:name="OLE_LINK13"/>
      <w:bookmarkStart w:id="473" w:name="OLE_LINK14"/>
      <w:r>
        <w:rPr>
          <w:rFonts w:hint="eastAsia" w:ascii="宋体" w:hAnsi="宋体" w:eastAsia="宋体"/>
          <w:color w:val="auto"/>
          <w:sz w:val="24"/>
          <w:highlight w:val="none"/>
        </w:rPr>
        <w:t>7</w:t>
      </w:r>
      <w:r>
        <w:rPr>
          <w:rFonts w:ascii="宋体" w:hAnsi="宋体" w:eastAsia="宋体"/>
          <w:color w:val="auto"/>
          <w:sz w:val="24"/>
          <w:highlight w:val="none"/>
        </w:rPr>
        <w:t xml:space="preserve">-3  </w:t>
      </w:r>
      <w:r>
        <w:rPr>
          <w:rFonts w:hint="eastAsia" w:ascii="宋体" w:hAnsi="宋体" w:eastAsia="宋体"/>
          <w:color w:val="auto"/>
          <w:sz w:val="24"/>
          <w:highlight w:val="none"/>
        </w:rPr>
        <w:t>残疾人福利性单位声明函（</w:t>
      </w:r>
      <w:r>
        <w:rPr>
          <w:rFonts w:ascii="宋体" w:hAnsi="宋体" w:eastAsia="宋体"/>
          <w:color w:val="auto"/>
          <w:sz w:val="24"/>
          <w:highlight w:val="none"/>
        </w:rPr>
        <w:t>投标文件</w:t>
      </w:r>
      <w:r>
        <w:rPr>
          <w:rFonts w:hint="eastAsia" w:ascii="宋体" w:hAnsi="宋体" w:eastAsia="宋体"/>
          <w:color w:val="auto"/>
          <w:sz w:val="24"/>
          <w:highlight w:val="none"/>
        </w:rPr>
        <w:t>格式十四）</w:t>
      </w:r>
      <w:bookmarkEnd w:id="467"/>
      <w:bookmarkEnd w:id="468"/>
      <w:bookmarkEnd w:id="469"/>
      <w:bookmarkEnd w:id="470"/>
      <w:bookmarkEnd w:id="471"/>
    </w:p>
    <w:bookmarkEnd w:id="472"/>
    <w:bookmarkEnd w:id="473"/>
    <w:p>
      <w:pPr>
        <w:spacing w:line="240" w:lineRule="atLeast"/>
        <w:ind w:left="1080" w:leftChars="257" w:hanging="540"/>
        <w:jc w:val="center"/>
        <w:rPr>
          <w:rFonts w:ascii="宋体" w:hAnsi="宋体"/>
          <w:color w:val="auto"/>
          <w:kern w:val="0"/>
          <w:sz w:val="24"/>
          <w:szCs w:val="20"/>
          <w:highlight w:val="none"/>
        </w:rPr>
      </w:pPr>
    </w:p>
    <w:p>
      <w:pPr>
        <w:spacing w:line="240" w:lineRule="atLeast"/>
        <w:ind w:firstLine="567"/>
        <w:rPr>
          <w:rFonts w:ascii="宋体" w:hAnsi="宋体"/>
          <w:color w:val="auto"/>
          <w:kern w:val="0"/>
          <w:sz w:val="24"/>
          <w:szCs w:val="20"/>
          <w:highlight w:val="none"/>
        </w:rPr>
      </w:pPr>
      <w:r>
        <w:rPr>
          <w:rFonts w:hint="eastAsia" w:ascii="宋体" w:hAnsi="宋体"/>
          <w:color w:val="auto"/>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240" w:lineRule="atLeast"/>
        <w:ind w:left="1080" w:leftChars="257" w:hanging="540"/>
        <w:rPr>
          <w:rFonts w:ascii="宋体" w:hAnsi="宋体"/>
          <w:color w:val="auto"/>
          <w:kern w:val="0"/>
          <w:sz w:val="24"/>
          <w:szCs w:val="20"/>
          <w:highlight w:val="none"/>
        </w:rPr>
      </w:pPr>
      <w:r>
        <w:rPr>
          <w:rFonts w:hint="eastAsia" w:ascii="宋体" w:hAnsi="宋体"/>
          <w:color w:val="auto"/>
          <w:kern w:val="0"/>
          <w:sz w:val="24"/>
          <w:szCs w:val="20"/>
          <w:highlight w:val="none"/>
        </w:rPr>
        <w:t>本单位对上述声明的真实性负责。如有虚假，将依法承担相应责任。</w:t>
      </w:r>
    </w:p>
    <w:p>
      <w:pPr>
        <w:spacing w:line="240" w:lineRule="atLeast"/>
        <w:ind w:left="1080" w:leftChars="257" w:hanging="540"/>
        <w:jc w:val="center"/>
        <w:rPr>
          <w:rFonts w:ascii="宋体" w:hAnsi="宋体"/>
          <w:color w:val="auto"/>
          <w:kern w:val="0"/>
          <w:sz w:val="24"/>
          <w:szCs w:val="20"/>
          <w:highlight w:val="none"/>
        </w:rPr>
      </w:pPr>
    </w:p>
    <w:p>
      <w:pPr>
        <w:spacing w:line="240" w:lineRule="atLeast"/>
        <w:ind w:left="1080" w:leftChars="257" w:hanging="540"/>
        <w:jc w:val="center"/>
        <w:rPr>
          <w:rFonts w:ascii="宋体" w:hAnsi="宋体"/>
          <w:color w:val="auto"/>
          <w:kern w:val="0"/>
          <w:sz w:val="24"/>
          <w:szCs w:val="20"/>
          <w:highlight w:val="none"/>
        </w:rPr>
      </w:pPr>
    </w:p>
    <w:p>
      <w:pPr>
        <w:spacing w:line="240" w:lineRule="atLeast"/>
        <w:ind w:left="1080" w:leftChars="257" w:hanging="540"/>
        <w:jc w:val="center"/>
        <w:rPr>
          <w:rFonts w:ascii="宋体" w:hAnsi="宋体"/>
          <w:color w:val="auto"/>
          <w:kern w:val="0"/>
          <w:sz w:val="24"/>
          <w:szCs w:val="20"/>
          <w:highlight w:val="none"/>
        </w:rPr>
      </w:pPr>
      <w:r>
        <w:rPr>
          <w:rFonts w:hint="eastAsia" w:ascii="宋体" w:hAnsi="宋体"/>
          <w:color w:val="auto"/>
          <w:kern w:val="0"/>
          <w:sz w:val="24"/>
          <w:szCs w:val="20"/>
          <w:highlight w:val="none"/>
        </w:rPr>
        <w:t xml:space="preserve">              投标人名称（盖章）：</w:t>
      </w:r>
    </w:p>
    <w:p>
      <w:pPr>
        <w:spacing w:line="240" w:lineRule="atLeast"/>
        <w:ind w:left="1080" w:leftChars="257" w:hanging="540"/>
        <w:jc w:val="center"/>
        <w:rPr>
          <w:rFonts w:ascii="宋体" w:hAnsi="宋体"/>
          <w:color w:val="auto"/>
          <w:kern w:val="0"/>
          <w:sz w:val="24"/>
          <w:szCs w:val="20"/>
          <w:highlight w:val="none"/>
        </w:rPr>
      </w:pPr>
      <w:r>
        <w:rPr>
          <w:rFonts w:hint="eastAsia" w:ascii="宋体" w:hAnsi="宋体"/>
          <w:color w:val="auto"/>
          <w:kern w:val="0"/>
          <w:sz w:val="24"/>
          <w:szCs w:val="20"/>
          <w:highlight w:val="none"/>
        </w:rPr>
        <w:t xml:space="preserve">       日  期：</w:t>
      </w: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spacing w:line="240" w:lineRule="atLeast"/>
        <w:ind w:left="1080" w:leftChars="257" w:hanging="540"/>
        <w:jc w:val="center"/>
        <w:rPr>
          <w:rFonts w:ascii="宋体" w:hAnsi="宋体"/>
          <w:b/>
          <w:color w:val="auto"/>
          <w:kern w:val="0"/>
          <w:sz w:val="24"/>
          <w:szCs w:val="20"/>
          <w:highlight w:val="none"/>
        </w:rPr>
      </w:pPr>
    </w:p>
    <w:p>
      <w:pPr>
        <w:pStyle w:val="4"/>
        <w:spacing w:before="0" w:line="240" w:lineRule="atLeast"/>
        <w:rPr>
          <w:rFonts w:ascii="宋体" w:hAnsi="宋体" w:eastAsia="宋体"/>
          <w:color w:val="auto"/>
          <w:sz w:val="24"/>
          <w:highlight w:val="none"/>
        </w:rPr>
      </w:pPr>
      <w:bookmarkStart w:id="474" w:name="_Toc533275383"/>
      <w:bookmarkStart w:id="475" w:name="_Toc494447319"/>
      <w:bookmarkStart w:id="476" w:name="_Toc11851"/>
      <w:bookmarkStart w:id="477" w:name="_Toc495418105"/>
      <w:bookmarkStart w:id="478" w:name="_Toc510950665"/>
      <w:r>
        <w:rPr>
          <w:rFonts w:hint="eastAsia" w:ascii="宋体" w:hAnsi="宋体" w:eastAsia="宋体"/>
          <w:color w:val="auto"/>
          <w:sz w:val="24"/>
          <w:highlight w:val="none"/>
        </w:rPr>
        <w:t>8  投标人商务符合性</w:t>
      </w:r>
      <w:r>
        <w:rPr>
          <w:rFonts w:ascii="宋体" w:hAnsi="宋体" w:eastAsia="宋体"/>
          <w:color w:val="auto"/>
          <w:sz w:val="24"/>
          <w:highlight w:val="none"/>
        </w:rPr>
        <w:t>承诺函</w:t>
      </w:r>
      <w:r>
        <w:rPr>
          <w:rFonts w:hint="eastAsia" w:ascii="宋体" w:hAnsi="宋体" w:eastAsia="宋体"/>
          <w:color w:val="auto"/>
          <w:sz w:val="24"/>
          <w:highlight w:val="none"/>
        </w:rPr>
        <w:t>（</w:t>
      </w:r>
      <w:r>
        <w:rPr>
          <w:rFonts w:ascii="宋体" w:hAnsi="宋体" w:eastAsia="宋体"/>
          <w:color w:val="auto"/>
          <w:sz w:val="24"/>
          <w:highlight w:val="none"/>
        </w:rPr>
        <w:t>投标文件</w:t>
      </w:r>
      <w:r>
        <w:rPr>
          <w:rFonts w:hint="eastAsia" w:ascii="宋体" w:hAnsi="宋体" w:eastAsia="宋体"/>
          <w:color w:val="auto"/>
          <w:sz w:val="24"/>
          <w:highlight w:val="none"/>
        </w:rPr>
        <w:t>格式十五）</w:t>
      </w:r>
      <w:bookmarkEnd w:id="474"/>
      <w:bookmarkEnd w:id="475"/>
      <w:bookmarkEnd w:id="476"/>
      <w:bookmarkEnd w:id="477"/>
      <w:bookmarkEnd w:id="478"/>
    </w:p>
    <w:p>
      <w:pPr>
        <w:pStyle w:val="5"/>
        <w:rPr>
          <w:rFonts w:hAnsi="宋体"/>
          <w:color w:val="auto"/>
          <w:highlight w:val="none"/>
        </w:rPr>
      </w:pPr>
    </w:p>
    <w:p>
      <w:pPr>
        <w:pStyle w:val="5"/>
        <w:rPr>
          <w:rFonts w:hAnsi="宋体"/>
          <w:color w:val="auto"/>
          <w:highlight w:val="none"/>
        </w:rPr>
      </w:pPr>
      <w:r>
        <w:rPr>
          <w:rFonts w:hint="eastAsia" w:hAnsi="宋体"/>
          <w:color w:val="auto"/>
          <w:highlight w:val="none"/>
        </w:rPr>
        <w:t>我</w:t>
      </w:r>
      <w:r>
        <w:rPr>
          <w:rFonts w:hAnsi="宋体"/>
          <w:color w:val="auto"/>
          <w:highlight w:val="none"/>
        </w:rPr>
        <w:t>公司</w:t>
      </w:r>
      <w:r>
        <w:rPr>
          <w:rFonts w:hint="eastAsia" w:hAnsi="宋体"/>
          <w:color w:val="auto"/>
          <w:highlight w:val="none"/>
        </w:rPr>
        <w:t>在此郑重</w:t>
      </w:r>
      <w:r>
        <w:rPr>
          <w:rFonts w:hAnsi="宋体"/>
          <w:color w:val="auto"/>
          <w:highlight w:val="none"/>
        </w:rPr>
        <w:t>承诺</w:t>
      </w:r>
      <w:r>
        <w:rPr>
          <w:rFonts w:hint="eastAsia" w:hAnsi="宋体"/>
          <w:color w:val="auto"/>
          <w:highlight w:val="none"/>
        </w:rPr>
        <w:t>：未</w:t>
      </w:r>
      <w:r>
        <w:rPr>
          <w:rFonts w:hAnsi="宋体"/>
          <w:color w:val="auto"/>
          <w:highlight w:val="none"/>
        </w:rPr>
        <w:t>为</w:t>
      </w:r>
      <w:r>
        <w:rPr>
          <w:rFonts w:hint="eastAsia" w:hAnsi="宋体"/>
          <w:color w:val="auto"/>
          <w:highlight w:val="none"/>
        </w:rPr>
        <w:t>本</w:t>
      </w:r>
      <w:r>
        <w:rPr>
          <w:rFonts w:hAnsi="宋体"/>
          <w:color w:val="auto"/>
          <w:highlight w:val="none"/>
        </w:rPr>
        <w:t>项目提供整体</w:t>
      </w:r>
      <w:r>
        <w:rPr>
          <w:rFonts w:hint="eastAsia" w:hAnsi="宋体"/>
          <w:color w:val="auto"/>
          <w:highlight w:val="none"/>
        </w:rPr>
        <w:t>设计</w:t>
      </w:r>
      <w:r>
        <w:rPr>
          <w:rFonts w:hAnsi="宋体"/>
          <w:color w:val="auto"/>
          <w:highlight w:val="none"/>
        </w:rPr>
        <w:t>、规范编制或者项目管理、监理、检测等服务</w:t>
      </w:r>
      <w:r>
        <w:rPr>
          <w:rFonts w:hint="eastAsia" w:hAnsi="宋体"/>
          <w:color w:val="auto"/>
          <w:highlight w:val="none"/>
        </w:rPr>
        <w:t>；投标过程中不存在向采购人提供、给予任何有价值的物品，试图影响其正常决策行为。</w:t>
      </w:r>
    </w:p>
    <w:p>
      <w:pPr>
        <w:pStyle w:val="5"/>
        <w:rPr>
          <w:rFonts w:hAnsi="宋体"/>
          <w:color w:val="auto"/>
          <w:highlight w:val="none"/>
        </w:rPr>
      </w:pPr>
    </w:p>
    <w:p>
      <w:pPr>
        <w:spacing w:line="240" w:lineRule="atLeast"/>
        <w:ind w:left="1080" w:leftChars="257" w:hanging="540"/>
        <w:jc w:val="center"/>
        <w:rPr>
          <w:rFonts w:ascii="宋体" w:hAnsi="宋体"/>
          <w:color w:val="auto"/>
          <w:kern w:val="0"/>
          <w:sz w:val="24"/>
          <w:szCs w:val="20"/>
          <w:highlight w:val="none"/>
        </w:rPr>
      </w:pPr>
    </w:p>
    <w:p>
      <w:pPr>
        <w:spacing w:line="240" w:lineRule="atLeast"/>
        <w:ind w:left="1080" w:leftChars="257" w:hanging="540"/>
        <w:jc w:val="center"/>
        <w:rPr>
          <w:rFonts w:ascii="宋体" w:hAnsi="宋体"/>
          <w:color w:val="auto"/>
          <w:kern w:val="0"/>
          <w:sz w:val="24"/>
          <w:szCs w:val="20"/>
          <w:highlight w:val="none"/>
        </w:rPr>
      </w:pPr>
      <w:r>
        <w:rPr>
          <w:rFonts w:hint="eastAsia" w:ascii="宋体" w:hAnsi="宋体"/>
          <w:color w:val="auto"/>
          <w:kern w:val="0"/>
          <w:sz w:val="24"/>
          <w:szCs w:val="20"/>
          <w:highlight w:val="none"/>
        </w:rPr>
        <w:t xml:space="preserve">              投标人名称（盖章）：</w:t>
      </w:r>
    </w:p>
    <w:p>
      <w:pPr>
        <w:spacing w:line="240" w:lineRule="atLeast"/>
        <w:ind w:left="1080" w:leftChars="257" w:hanging="540"/>
        <w:jc w:val="center"/>
        <w:rPr>
          <w:rFonts w:ascii="宋体" w:hAnsi="宋体"/>
          <w:color w:val="auto"/>
          <w:kern w:val="0"/>
          <w:sz w:val="24"/>
          <w:szCs w:val="20"/>
          <w:highlight w:val="none"/>
        </w:rPr>
      </w:pPr>
      <w:r>
        <w:rPr>
          <w:rFonts w:hint="eastAsia" w:ascii="宋体" w:hAnsi="宋体"/>
          <w:color w:val="auto"/>
          <w:kern w:val="0"/>
          <w:sz w:val="24"/>
          <w:szCs w:val="20"/>
          <w:highlight w:val="none"/>
        </w:rPr>
        <w:t xml:space="preserve">       日  期：</w:t>
      </w:r>
    </w:p>
    <w:p>
      <w:pPr>
        <w:pStyle w:val="5"/>
        <w:rPr>
          <w:rFonts w:hAnsi="宋体"/>
          <w:color w:val="auto"/>
          <w:highlight w:val="none"/>
        </w:rPr>
      </w:pPr>
    </w:p>
    <w:p>
      <w:pPr>
        <w:pStyle w:val="5"/>
        <w:rPr>
          <w:rFonts w:hAnsi="宋体"/>
          <w:color w:val="auto"/>
          <w:highlight w:val="none"/>
        </w:rPr>
      </w:pPr>
      <w:r>
        <w:rPr>
          <w:rFonts w:hAnsi="宋体"/>
          <w:color w:val="auto"/>
          <w:highlight w:val="none"/>
        </w:rPr>
        <w:br w:type="page"/>
      </w:r>
    </w:p>
    <w:p>
      <w:pPr>
        <w:spacing w:line="240" w:lineRule="atLeast"/>
        <w:ind w:left="1080" w:leftChars="257" w:hanging="540"/>
        <w:jc w:val="center"/>
        <w:rPr>
          <w:rFonts w:ascii="宋体" w:hAnsi="宋体"/>
          <w:b/>
          <w:color w:val="auto"/>
          <w:kern w:val="0"/>
          <w:sz w:val="24"/>
          <w:szCs w:val="20"/>
          <w:highlight w:val="none"/>
        </w:rPr>
      </w:pPr>
    </w:p>
    <w:p>
      <w:pPr>
        <w:pStyle w:val="5"/>
        <w:rPr>
          <w:rFonts w:asciiTheme="minorEastAsia" w:hAnsiTheme="minorEastAsia" w:eastAsiaTheme="minorEastAsia"/>
          <w:color w:val="auto"/>
          <w:highlight w:val="none"/>
        </w:rPr>
      </w:pPr>
    </w:p>
    <w:p>
      <w:pPr>
        <w:pStyle w:val="4"/>
        <w:spacing w:before="0" w:line="240" w:lineRule="atLeast"/>
        <w:rPr>
          <w:rFonts w:asciiTheme="minorEastAsia" w:hAnsiTheme="minorEastAsia" w:eastAsiaTheme="minorEastAsia"/>
          <w:color w:val="auto"/>
          <w:sz w:val="24"/>
          <w:highlight w:val="none"/>
        </w:rPr>
      </w:pPr>
      <w:bookmarkStart w:id="479" w:name="_Toc533275384"/>
      <w:bookmarkStart w:id="480" w:name="_Toc5607"/>
      <w:bookmarkStart w:id="481" w:name="_Toc510950666"/>
      <w:bookmarkStart w:id="482" w:name="_Toc507399540"/>
      <w:r>
        <w:rPr>
          <w:rFonts w:asciiTheme="minorEastAsia" w:hAnsiTheme="minorEastAsia" w:eastAsiaTheme="minorEastAsia"/>
          <w:color w:val="auto"/>
          <w:sz w:val="24"/>
          <w:highlight w:val="none"/>
        </w:rPr>
        <w:t>9投标人关联单位的说明</w:t>
      </w:r>
      <w:bookmarkEnd w:id="479"/>
      <w:bookmarkEnd w:id="480"/>
      <w:bookmarkEnd w:id="481"/>
      <w:bookmarkEnd w:id="482"/>
    </w:p>
    <w:p>
      <w:pPr>
        <w:pStyle w:val="5"/>
        <w:jc w:val="center"/>
        <w:rPr>
          <w:rFonts w:asciiTheme="minorEastAsia" w:hAnsiTheme="minorEastAsia" w:eastAsiaTheme="minorEastAsia"/>
          <w:color w:val="auto"/>
          <w:highlight w:val="none"/>
        </w:rPr>
      </w:pPr>
    </w:p>
    <w:p>
      <w:pPr>
        <w:pStyle w:val="5"/>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spacing w:line="240" w:lineRule="atLeast"/>
        <w:ind w:left="1080" w:leftChars="257" w:hanging="540"/>
        <w:jc w:val="center"/>
        <w:rPr>
          <w:rFonts w:asciiTheme="minorEastAsia" w:hAnsiTheme="minorEastAsia" w:eastAsiaTheme="minorEastAsia"/>
          <w:b/>
          <w:color w:val="auto"/>
          <w:kern w:val="0"/>
          <w:sz w:val="24"/>
          <w:szCs w:val="20"/>
          <w:highlight w:val="none"/>
        </w:rPr>
      </w:pPr>
    </w:p>
    <w:p>
      <w:pPr>
        <w:pStyle w:val="4"/>
        <w:spacing w:before="0" w:line="240" w:lineRule="atLeast"/>
        <w:rPr>
          <w:rFonts w:asciiTheme="minorEastAsia" w:hAnsiTheme="minorEastAsia" w:eastAsiaTheme="minorEastAsia"/>
          <w:color w:val="auto"/>
          <w:sz w:val="24"/>
          <w:highlight w:val="none"/>
        </w:rPr>
      </w:pPr>
      <w:bookmarkStart w:id="483" w:name="_Toc507399541"/>
      <w:bookmarkStart w:id="484" w:name="_Toc510950667"/>
      <w:bookmarkStart w:id="485" w:name="_Toc26847"/>
      <w:bookmarkStart w:id="486" w:name="_Toc533275385"/>
      <w:r>
        <w:rPr>
          <w:rFonts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 xml:space="preserve">  投标文件还应包括投标人须知第10条的所有技术文件</w:t>
      </w:r>
      <w:bookmarkEnd w:id="483"/>
      <w:bookmarkEnd w:id="484"/>
      <w:bookmarkEnd w:id="485"/>
      <w:bookmarkEnd w:id="486"/>
    </w:p>
    <w:p>
      <w:pPr>
        <w:pStyle w:val="4"/>
        <w:spacing w:before="0" w:line="240" w:lineRule="atLeast"/>
        <w:ind w:left="1080" w:leftChars="257" w:hanging="540"/>
        <w:rPr>
          <w:rFonts w:ascii="宋体" w:hAnsi="宋体" w:eastAsia="宋体"/>
          <w:color w:val="auto"/>
          <w:sz w:val="24"/>
          <w:highlight w:val="none"/>
        </w:rPr>
      </w:pPr>
      <w:r>
        <w:rPr>
          <w:rFonts w:asciiTheme="minorEastAsia" w:hAnsiTheme="minorEastAsia" w:eastAsiaTheme="minorEastAsia"/>
          <w:color w:val="auto"/>
          <w:sz w:val="24"/>
          <w:highlight w:val="none"/>
        </w:rPr>
        <w:br w:type="page"/>
      </w:r>
      <w:bookmarkStart w:id="487" w:name="_Toc1344"/>
      <w:bookmarkStart w:id="488" w:name="_Toc533275386"/>
      <w:r>
        <w:rPr>
          <w:rFonts w:ascii="宋体" w:hAnsi="宋体" w:eastAsia="宋体"/>
          <w:color w:val="auto"/>
          <w:sz w:val="24"/>
          <w:highlight w:val="none"/>
        </w:rPr>
        <w:t>第</w:t>
      </w:r>
      <w:r>
        <w:rPr>
          <w:rFonts w:hint="eastAsia" w:ascii="宋体" w:hAnsi="宋体" w:eastAsia="宋体"/>
          <w:color w:val="auto"/>
          <w:sz w:val="24"/>
          <w:highlight w:val="none"/>
        </w:rPr>
        <w:t>三</w:t>
      </w:r>
      <w:r>
        <w:rPr>
          <w:rFonts w:ascii="宋体" w:hAnsi="宋体" w:eastAsia="宋体"/>
          <w:color w:val="auto"/>
          <w:sz w:val="24"/>
          <w:highlight w:val="none"/>
        </w:rPr>
        <w:t>部分</w:t>
      </w:r>
      <w:r>
        <w:rPr>
          <w:rFonts w:hint="eastAsia" w:ascii="宋体" w:hAnsi="宋体" w:eastAsia="宋体"/>
          <w:color w:val="auto"/>
          <w:sz w:val="24"/>
          <w:highlight w:val="none"/>
        </w:rPr>
        <w:t xml:space="preserve">  唱标信封（单独递交）</w:t>
      </w:r>
      <w:bookmarkEnd w:id="487"/>
      <w:bookmarkEnd w:id="488"/>
    </w:p>
    <w:p>
      <w:pPr>
        <w:pStyle w:val="22"/>
        <w:ind w:left="1080" w:leftChars="257" w:hanging="540"/>
        <w:rPr>
          <w:rFonts w:hAnsi="宋体"/>
          <w:color w:val="auto"/>
          <w:sz w:val="24"/>
          <w:highlight w:val="none"/>
        </w:rPr>
      </w:pPr>
      <w:r>
        <w:rPr>
          <w:rFonts w:hint="eastAsia" w:hAnsi="宋体"/>
          <w:color w:val="auto"/>
          <w:sz w:val="24"/>
          <w:highlight w:val="none"/>
        </w:rPr>
        <w:t>1、投标书（</w:t>
      </w:r>
      <w:r>
        <w:rPr>
          <w:rFonts w:hAnsi="宋体"/>
          <w:color w:val="auto"/>
          <w:sz w:val="24"/>
          <w:highlight w:val="none"/>
        </w:rPr>
        <w:t>投标文件</w:t>
      </w:r>
      <w:r>
        <w:rPr>
          <w:rFonts w:hint="eastAsia" w:hAnsi="宋体"/>
          <w:color w:val="auto"/>
          <w:sz w:val="24"/>
          <w:highlight w:val="none"/>
        </w:rPr>
        <w:t>格式六）</w:t>
      </w:r>
    </w:p>
    <w:p>
      <w:pPr>
        <w:pStyle w:val="22"/>
        <w:ind w:left="1080" w:leftChars="257" w:hanging="540"/>
        <w:rPr>
          <w:rFonts w:hAnsi="宋体"/>
          <w:color w:val="auto"/>
          <w:sz w:val="24"/>
          <w:highlight w:val="none"/>
        </w:rPr>
      </w:pPr>
      <w:r>
        <w:rPr>
          <w:rFonts w:hAnsi="宋体"/>
          <w:color w:val="auto"/>
          <w:sz w:val="24"/>
          <w:highlight w:val="none"/>
        </w:rPr>
        <w:t>2</w:t>
      </w:r>
      <w:r>
        <w:rPr>
          <w:rFonts w:hint="eastAsia" w:hAnsi="宋体"/>
          <w:color w:val="auto"/>
          <w:sz w:val="24"/>
          <w:highlight w:val="none"/>
        </w:rPr>
        <w:t>、开标一览表（</w:t>
      </w:r>
      <w:r>
        <w:rPr>
          <w:rFonts w:hAnsi="宋体"/>
          <w:color w:val="auto"/>
          <w:sz w:val="24"/>
          <w:highlight w:val="none"/>
        </w:rPr>
        <w:t>投标文件</w:t>
      </w:r>
      <w:r>
        <w:rPr>
          <w:rFonts w:hint="eastAsia" w:hAnsi="宋体"/>
          <w:color w:val="auto"/>
          <w:sz w:val="24"/>
          <w:highlight w:val="none"/>
        </w:rPr>
        <w:t>格式一）</w:t>
      </w:r>
    </w:p>
    <w:p>
      <w:pPr>
        <w:pStyle w:val="22"/>
        <w:ind w:left="1080" w:leftChars="257" w:hanging="540"/>
        <w:rPr>
          <w:rFonts w:hAnsi="宋体"/>
          <w:color w:val="auto"/>
          <w:sz w:val="24"/>
          <w:highlight w:val="none"/>
        </w:rPr>
      </w:pPr>
      <w:r>
        <w:rPr>
          <w:rFonts w:hAnsi="宋体"/>
          <w:color w:val="auto"/>
          <w:sz w:val="24"/>
          <w:highlight w:val="none"/>
        </w:rPr>
        <w:t>3</w:t>
      </w:r>
      <w:r>
        <w:rPr>
          <w:rFonts w:hint="eastAsia" w:hAnsi="宋体"/>
          <w:color w:val="auto"/>
          <w:sz w:val="24"/>
          <w:highlight w:val="none"/>
        </w:rPr>
        <w:t>、法人或者非法人组织的营业执照等证明文件或自然人的身份证明</w:t>
      </w:r>
    </w:p>
    <w:p>
      <w:pPr>
        <w:pStyle w:val="22"/>
        <w:ind w:left="1080" w:leftChars="257" w:hanging="540"/>
        <w:rPr>
          <w:rFonts w:hAnsi="宋体"/>
          <w:color w:val="auto"/>
          <w:sz w:val="24"/>
          <w:highlight w:val="none"/>
        </w:rPr>
      </w:pPr>
      <w:r>
        <w:rPr>
          <w:rFonts w:hAnsi="宋体"/>
          <w:color w:val="auto"/>
          <w:sz w:val="24"/>
          <w:highlight w:val="none"/>
        </w:rPr>
        <w:t>4</w:t>
      </w:r>
      <w:r>
        <w:rPr>
          <w:rFonts w:hint="eastAsia" w:hAnsi="宋体"/>
          <w:color w:val="auto"/>
          <w:sz w:val="24"/>
          <w:highlight w:val="none"/>
        </w:rPr>
        <w:t>、法定代表人授权书</w:t>
      </w:r>
      <w:r>
        <w:rPr>
          <w:rFonts w:hAnsi="宋体"/>
          <w:color w:val="auto"/>
          <w:sz w:val="24"/>
          <w:highlight w:val="none"/>
        </w:rPr>
        <w:t>(投标文件</w:t>
      </w:r>
      <w:r>
        <w:rPr>
          <w:rFonts w:hint="eastAsia" w:hAnsi="宋体"/>
          <w:color w:val="auto"/>
          <w:sz w:val="24"/>
          <w:highlight w:val="none"/>
        </w:rPr>
        <w:t>格式二，法人或自然人投标的无需提供</w:t>
      </w:r>
      <w:r>
        <w:rPr>
          <w:rFonts w:hAnsi="宋体"/>
          <w:color w:val="auto"/>
          <w:sz w:val="24"/>
          <w:highlight w:val="none"/>
        </w:rPr>
        <w:t>)</w:t>
      </w:r>
    </w:p>
    <w:p>
      <w:pPr>
        <w:pStyle w:val="22"/>
        <w:ind w:left="1080" w:leftChars="257" w:hanging="540"/>
        <w:rPr>
          <w:rFonts w:hAnsi="宋体"/>
          <w:color w:val="auto"/>
          <w:sz w:val="24"/>
          <w:highlight w:val="none"/>
        </w:rPr>
      </w:pPr>
      <w:r>
        <w:rPr>
          <w:rFonts w:hAnsi="宋体"/>
          <w:color w:val="auto"/>
          <w:sz w:val="24"/>
          <w:highlight w:val="none"/>
        </w:rPr>
        <w:t>5</w:t>
      </w:r>
      <w:r>
        <w:rPr>
          <w:rFonts w:hint="eastAsia" w:hAnsi="宋体"/>
          <w:color w:val="auto"/>
          <w:sz w:val="24"/>
          <w:highlight w:val="none"/>
        </w:rPr>
        <w:t>、投标保证金交纳凭证（采用电汇或银行转账方式）</w:t>
      </w:r>
    </w:p>
    <w:p>
      <w:pPr>
        <w:pStyle w:val="22"/>
        <w:ind w:left="1080" w:leftChars="257" w:hanging="540"/>
        <w:rPr>
          <w:rFonts w:hAnsi="宋体"/>
          <w:color w:val="auto"/>
          <w:sz w:val="24"/>
          <w:highlight w:val="none"/>
        </w:rPr>
      </w:pPr>
      <w:r>
        <w:rPr>
          <w:rFonts w:hAnsi="宋体"/>
          <w:color w:val="auto"/>
          <w:sz w:val="24"/>
          <w:highlight w:val="none"/>
        </w:rPr>
        <w:t>6</w:t>
      </w:r>
      <w:r>
        <w:rPr>
          <w:rFonts w:hint="eastAsia" w:hAnsi="宋体"/>
          <w:color w:val="auto"/>
          <w:sz w:val="24"/>
          <w:highlight w:val="none"/>
        </w:rPr>
        <w:t>、退还保证金声明</w:t>
      </w:r>
    </w:p>
    <w:p>
      <w:pPr>
        <w:pStyle w:val="22"/>
        <w:ind w:left="1080" w:leftChars="257" w:hanging="540"/>
        <w:rPr>
          <w:rFonts w:hAnsi="宋体"/>
          <w:color w:val="auto"/>
          <w:sz w:val="24"/>
          <w:highlight w:val="none"/>
        </w:rPr>
      </w:pPr>
    </w:p>
    <w:p>
      <w:pPr>
        <w:pStyle w:val="22"/>
        <w:tabs>
          <w:tab w:val="left" w:pos="1050"/>
        </w:tabs>
        <w:ind w:left="1080" w:leftChars="200" w:hanging="660" w:hangingChars="275"/>
        <w:rPr>
          <w:rFonts w:hAnsi="宋体"/>
          <w:color w:val="auto"/>
          <w:sz w:val="24"/>
          <w:highlight w:val="none"/>
        </w:rPr>
      </w:pPr>
      <w:r>
        <w:rPr>
          <w:rFonts w:hint="eastAsia" w:hAnsi="宋体"/>
          <w:color w:val="auto"/>
          <w:sz w:val="24"/>
          <w:highlight w:val="none"/>
        </w:rPr>
        <w:t>注：1、以上资料可提供加盖公章的复印件，且无需装订成册。资料原件应按招标文件的相关要求，与投标文件一起装订成册；</w:t>
      </w:r>
    </w:p>
    <w:p>
      <w:pPr>
        <w:pStyle w:val="22"/>
        <w:tabs>
          <w:tab w:val="left" w:pos="1050"/>
        </w:tabs>
        <w:ind w:left="1080" w:leftChars="400" w:hanging="240" w:hangingChars="100"/>
        <w:rPr>
          <w:rFonts w:hAnsi="宋体"/>
          <w:color w:val="auto"/>
          <w:sz w:val="24"/>
          <w:highlight w:val="none"/>
        </w:rPr>
      </w:pPr>
      <w:r>
        <w:rPr>
          <w:rFonts w:hint="eastAsia" w:hAnsi="宋体"/>
          <w:color w:val="auto"/>
          <w:sz w:val="24"/>
          <w:highlight w:val="none"/>
        </w:rPr>
        <w:t xml:space="preserve"> 2、唱标信封须按照招标文件的相关规定单独密封，并在投标截止时间前与投标文件一起递交；</w:t>
      </w: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pStyle w:val="3"/>
        <w:spacing w:before="0" w:after="0" w:line="360" w:lineRule="auto"/>
        <w:rPr>
          <w:rFonts w:hAnsi="宋体"/>
          <w:color w:val="auto"/>
          <w:kern w:val="2"/>
          <w:highlight w:val="none"/>
        </w:rPr>
      </w:pPr>
      <w:bookmarkStart w:id="489" w:name="_Toc6192"/>
      <w:bookmarkStart w:id="490" w:name="_Toc463948217"/>
      <w:r>
        <w:rPr>
          <w:rFonts w:hint="eastAsia" w:hAnsi="宋体"/>
          <w:color w:val="auto"/>
          <w:kern w:val="2"/>
          <w:highlight w:val="none"/>
        </w:rPr>
        <w:t xml:space="preserve">第六章  </w:t>
      </w:r>
      <w:r>
        <w:rPr>
          <w:rFonts w:hAnsi="宋体"/>
          <w:color w:val="auto"/>
          <w:kern w:val="2"/>
          <w:highlight w:val="none"/>
        </w:rPr>
        <w:t>货物需求一览表及技术规格</w:t>
      </w:r>
      <w:bookmarkEnd w:id="489"/>
    </w:p>
    <w:bookmarkEnd w:id="490"/>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注：</w:t>
      </w:r>
      <w:r>
        <w:rPr>
          <w:rFonts w:hint="eastAsia" w:asciiTheme="minorEastAsia" w:hAnsiTheme="minorEastAsia" w:eastAsiaTheme="minorEastAsia"/>
          <w:b/>
          <w:bCs/>
          <w:color w:val="auto"/>
          <w:sz w:val="24"/>
          <w:highlight w:val="none"/>
        </w:rPr>
        <w:t>1.</w:t>
      </w:r>
      <w:r>
        <w:rPr>
          <w:rFonts w:asciiTheme="minorEastAsia" w:hAnsiTheme="minorEastAsia" w:eastAsiaTheme="minorEastAsia"/>
          <w:b/>
          <w:bCs/>
          <w:color w:val="auto"/>
          <w:sz w:val="24"/>
          <w:highlight w:val="none"/>
        </w:rPr>
        <w:t>本招标文件内，凡标注“</w:t>
      </w:r>
      <w:r>
        <w:rPr>
          <w:rFonts w:hint="eastAsia" w:asciiTheme="minorEastAsia" w:hAnsiTheme="minorEastAsia" w:eastAsiaTheme="minorEastAsia"/>
          <w:color w:val="auto"/>
          <w:sz w:val="24"/>
          <w:highlight w:val="none"/>
        </w:rPr>
        <w:t>▲</w:t>
      </w:r>
      <w:r>
        <w:rPr>
          <w:rFonts w:asciiTheme="minorEastAsia" w:hAnsiTheme="minorEastAsia" w:eastAsiaTheme="minorEastAsia"/>
          <w:b/>
          <w:bCs/>
          <w:color w:val="auto"/>
          <w:sz w:val="24"/>
          <w:highlight w:val="none"/>
        </w:rPr>
        <w:t>”号的条款/指标为重要条款/指标，投标人必须给予高度重视，并给出明确和详尽的响应</w:t>
      </w:r>
      <w:r>
        <w:rPr>
          <w:rFonts w:hint="eastAsia" w:asciiTheme="minorEastAsia" w:hAnsiTheme="minorEastAsia" w:eastAsiaTheme="minorEastAsia"/>
          <w:b/>
          <w:bCs/>
          <w:color w:val="auto"/>
          <w:sz w:val="24"/>
          <w:highlight w:val="none"/>
        </w:rPr>
        <w:t>。</w:t>
      </w:r>
    </w:p>
    <w:p>
      <w:pPr>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本招标文件内，凡标注“</w:t>
      </w:r>
      <w:r>
        <w:rPr>
          <w:rFonts w:hint="eastAsia" w:asciiTheme="minorEastAsia" w:hAnsiTheme="minorEastAsia" w:eastAsiaTheme="minorEastAsia"/>
          <w:color w:val="auto"/>
          <w:sz w:val="24"/>
          <w:highlight w:val="none"/>
        </w:rPr>
        <w:t>★</w:t>
      </w:r>
      <w:r>
        <w:rPr>
          <w:rFonts w:asciiTheme="minorEastAsia" w:hAnsiTheme="minorEastAsia" w:eastAsiaTheme="minorEastAsia"/>
          <w:b/>
          <w:bCs/>
          <w:color w:val="auto"/>
          <w:sz w:val="24"/>
          <w:highlight w:val="none"/>
        </w:rPr>
        <w:t>”号的条款/指标为</w:t>
      </w:r>
      <w:r>
        <w:rPr>
          <w:rFonts w:hint="eastAsia" w:asciiTheme="minorEastAsia" w:hAnsiTheme="minorEastAsia" w:eastAsiaTheme="minorEastAsia"/>
          <w:b/>
          <w:bCs/>
          <w:color w:val="auto"/>
          <w:sz w:val="24"/>
          <w:highlight w:val="none"/>
        </w:rPr>
        <w:t>必须满足的</w:t>
      </w:r>
      <w:r>
        <w:rPr>
          <w:rFonts w:asciiTheme="minorEastAsia" w:hAnsiTheme="minorEastAsia" w:eastAsiaTheme="minorEastAsia"/>
          <w:b/>
          <w:bCs/>
          <w:color w:val="auto"/>
          <w:sz w:val="24"/>
          <w:highlight w:val="none"/>
        </w:rPr>
        <w:t>条款/指标，投标人必须给予</w:t>
      </w:r>
      <w:r>
        <w:rPr>
          <w:rFonts w:hint="eastAsia" w:asciiTheme="minorEastAsia" w:hAnsiTheme="minorEastAsia" w:eastAsiaTheme="minorEastAsia"/>
          <w:b/>
          <w:bCs/>
          <w:color w:val="auto"/>
          <w:sz w:val="24"/>
          <w:highlight w:val="none"/>
        </w:rPr>
        <w:t>响应，否则将导致废标。</w:t>
      </w:r>
    </w:p>
    <w:p>
      <w:pPr>
        <w:tabs>
          <w:tab w:val="left" w:pos="540"/>
        </w:tabs>
        <w:spacing w:before="50" w:after="50" w:line="360" w:lineRule="auto"/>
        <w:outlineLvl w:val="3"/>
        <w:rPr>
          <w:rFonts w:ascii="宋体" w:hAnsi="宋体" w:cs="宋体"/>
          <w:b/>
          <w:color w:val="auto"/>
          <w:kern w:val="0"/>
          <w:sz w:val="24"/>
          <w:highlight w:val="none"/>
        </w:rPr>
      </w:pPr>
      <w:r>
        <w:rPr>
          <w:rFonts w:hint="eastAsia" w:ascii="宋体" w:hAnsi="宋体" w:cs="宋体"/>
          <w:b/>
          <w:color w:val="auto"/>
          <w:kern w:val="0"/>
          <w:sz w:val="24"/>
          <w:highlight w:val="none"/>
        </w:rPr>
        <w:t>一  供货范围</w:t>
      </w:r>
    </w:p>
    <w:p>
      <w:pPr>
        <w:spacing w:line="360" w:lineRule="auto"/>
        <w:outlineLvl w:val="4"/>
        <w:rPr>
          <w:rFonts w:ascii="宋体" w:hAnsi="宋体" w:cs="宋体"/>
          <w:b/>
          <w:bCs/>
          <w:color w:val="auto"/>
          <w:sz w:val="24"/>
          <w:highlight w:val="none"/>
        </w:rPr>
      </w:pPr>
      <w:r>
        <w:rPr>
          <w:rFonts w:hint="eastAsia" w:ascii="宋体" w:hAnsi="宋体" w:cs="宋体"/>
          <w:b/>
          <w:bCs/>
          <w:color w:val="auto"/>
          <w:sz w:val="24"/>
          <w:highlight w:val="none"/>
        </w:rPr>
        <w:t>1.1概述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本项目为安全检测综合试验设备，详见需求清单，对汽车零部件外观安全和寿命展开实验，评价试验结果，以及在其他模拟自然应力环境的试验状态下的安全实现规范实施，详细技术要求见招标文件描述。</w:t>
      </w:r>
    </w:p>
    <w:p>
      <w:pPr>
        <w:spacing w:line="360" w:lineRule="auto"/>
        <w:outlineLvl w:val="4"/>
        <w:rPr>
          <w:rFonts w:ascii="宋体" w:hAnsi="宋体" w:cs="宋体"/>
          <w:b/>
          <w:bCs/>
          <w:color w:val="auto"/>
          <w:sz w:val="24"/>
          <w:highlight w:val="none"/>
        </w:rPr>
      </w:pPr>
      <w:r>
        <w:rPr>
          <w:rFonts w:hint="eastAsia" w:ascii="宋体" w:hAnsi="宋体" w:cs="宋体"/>
          <w:b/>
          <w:bCs/>
          <w:color w:val="auto"/>
          <w:sz w:val="24"/>
          <w:highlight w:val="none"/>
        </w:rPr>
        <w:t>1.2 招标货物一览表</w:t>
      </w:r>
    </w:p>
    <w:tbl>
      <w:tblPr>
        <w:tblStyle w:val="44"/>
        <w:tblW w:w="7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519"/>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设备名称</w:t>
            </w:r>
          </w:p>
        </w:tc>
        <w:tc>
          <w:tcPr>
            <w:tcW w:w="18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auto"/>
                <w:sz w:val="24"/>
                <w:highlight w:val="none"/>
              </w:rPr>
            </w:pPr>
            <w:r>
              <w:rPr>
                <w:rFonts w:hint="eastAsia" w:ascii="宋体" w:hAnsi="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冷凝水试验箱</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冰水冲击试验机</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复合盐雾试验机</w:t>
            </w:r>
            <w:r>
              <w:rPr>
                <w:rFonts w:hint="eastAsia" w:ascii="宋体" w:hAnsi="宋体" w:cs="宋体"/>
                <w:b/>
                <w:color w:val="auto"/>
                <w:sz w:val="24"/>
                <w:highlight w:val="none"/>
              </w:rPr>
              <w:t xml:space="preserve"> </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
                <w:bCs/>
                <w:color w:val="auto"/>
                <w:sz w:val="24"/>
                <w:highlight w:val="none"/>
              </w:rPr>
              <w:t>盐雾试验机</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漏电流测试仪</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压敏电阻参数测试仪</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电线电缆削片机</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插拔耐久试验机</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高温压力实验装置</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耦合器加热试验装置</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4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高低温湿热试验箱</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3台</w:t>
            </w:r>
          </w:p>
        </w:tc>
      </w:tr>
    </w:tbl>
    <w:p>
      <w:pPr>
        <w:tabs>
          <w:tab w:val="left" w:pos="540"/>
        </w:tabs>
        <w:spacing w:before="240" w:after="50" w:line="360" w:lineRule="auto"/>
        <w:outlineLvl w:val="3"/>
        <w:rPr>
          <w:rFonts w:ascii="宋体" w:hAnsi="宋体" w:cs="宋体"/>
          <w:b/>
          <w:color w:val="auto"/>
          <w:kern w:val="0"/>
          <w:sz w:val="24"/>
          <w:highlight w:val="none"/>
        </w:rPr>
      </w:pPr>
      <w:r>
        <w:rPr>
          <w:rFonts w:hint="eastAsia" w:ascii="宋体" w:hAnsi="宋体" w:cs="宋体"/>
          <w:b/>
          <w:color w:val="auto"/>
          <w:kern w:val="0"/>
          <w:sz w:val="24"/>
          <w:highlight w:val="none"/>
        </w:rPr>
        <w:t>二  供货需求</w:t>
      </w:r>
    </w:p>
    <w:p>
      <w:pPr>
        <w:pStyle w:val="17"/>
        <w:spacing w:before="36" w:line="360" w:lineRule="auto"/>
        <w:ind w:left="39" w:right="-86" w:rightChars="-41" w:firstLine="241" w:firstLineChars="100"/>
        <w:rPr>
          <w:rFonts w:cs="宋体"/>
          <w:b/>
          <w:bCs/>
          <w:color w:val="auto"/>
          <w:highlight w:val="none"/>
        </w:rPr>
      </w:pPr>
      <w:r>
        <w:rPr>
          <w:rFonts w:hint="eastAsia" w:cs="宋体"/>
          <w:b/>
          <w:bCs/>
          <w:color w:val="auto"/>
          <w:highlight w:val="none"/>
        </w:rPr>
        <w:t>1冷凝水试验箱</w:t>
      </w:r>
    </w:p>
    <w:p>
      <w:pPr>
        <w:spacing w:line="360" w:lineRule="auto"/>
        <w:ind w:right="-86" w:rightChars="-41"/>
        <w:rPr>
          <w:rFonts w:ascii="宋体" w:hAnsi="宋体" w:cs="宋体"/>
          <w:color w:val="auto"/>
          <w:sz w:val="24"/>
          <w:highlight w:val="none"/>
        </w:rPr>
      </w:pPr>
      <w:r>
        <w:rPr>
          <w:rFonts w:hint="eastAsia" w:ascii="宋体" w:hAnsi="宋体" w:cs="宋体"/>
          <w:color w:val="auto"/>
          <w:sz w:val="24"/>
          <w:highlight w:val="none"/>
        </w:rPr>
        <w:t>★1.1容积、尺寸和重量 内部尺寸:W1000×H1000×D1000mm，内 容 积: ≥1000L</w:t>
      </w:r>
    </w:p>
    <w:p>
      <w:pPr>
        <w:spacing w:line="360" w:lineRule="auto"/>
        <w:ind w:left="720" w:right="-86" w:rightChars="-41" w:hanging="720" w:hangingChars="300"/>
        <w:rPr>
          <w:rFonts w:ascii="宋体" w:hAnsi="宋体" w:cs="宋体"/>
          <w:color w:val="auto"/>
          <w:sz w:val="24"/>
          <w:highlight w:val="none"/>
        </w:rPr>
      </w:pPr>
      <w:r>
        <w:rPr>
          <w:rFonts w:hint="eastAsia" w:ascii="宋体" w:hAnsi="宋体" w:cs="宋体"/>
          <w:color w:val="auto"/>
          <w:sz w:val="24"/>
          <w:highlight w:val="none"/>
        </w:rPr>
        <w:t>★1.2满足检定方法:GB/T 5170.2-2008 温度试验设备，GB/T 5170.5-2008 湿热试验设备</w:t>
      </w:r>
    </w:p>
    <w:p>
      <w:pPr>
        <w:spacing w:line="360" w:lineRule="auto"/>
        <w:ind w:right="-86" w:rightChars="-41"/>
        <w:rPr>
          <w:rFonts w:ascii="宋体" w:hAnsi="宋体" w:cs="宋体"/>
          <w:color w:val="auto"/>
          <w:sz w:val="24"/>
          <w:highlight w:val="none"/>
        </w:rPr>
      </w:pPr>
      <w:r>
        <w:rPr>
          <w:rFonts w:hint="eastAsia" w:ascii="宋体" w:hAnsi="宋体" w:cs="宋体"/>
          <w:color w:val="auto"/>
          <w:sz w:val="24"/>
          <w:highlight w:val="none"/>
        </w:rPr>
        <w:t>★1.3温度范围:常温～+100℃</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1.4温度波动度:≤±1℃</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1.5温度偏差:≤±2℃</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1.6升温时间:常温～+100℃ ≤30min</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1.7降温时间:100℃～常温</w:t>
      </w:r>
      <w:r>
        <w:rPr>
          <w:rFonts w:hint="eastAsia" w:ascii="宋体" w:hAnsi="宋体" w:cs="宋体"/>
          <w:color w:val="auto"/>
          <w:sz w:val="24"/>
          <w:highlight w:val="none"/>
        </w:rPr>
        <w:tab/>
      </w:r>
      <w:r>
        <w:rPr>
          <w:rFonts w:hint="eastAsia" w:ascii="宋体" w:hAnsi="宋体" w:cs="宋体"/>
          <w:color w:val="auto"/>
          <w:sz w:val="24"/>
          <w:highlight w:val="none"/>
        </w:rPr>
        <w:t>≤60min</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1.8湿度范围：20%～100%RH</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1.9湿度偏差：≤±3%RH</w:t>
      </w:r>
    </w:p>
    <w:p>
      <w:pPr>
        <w:spacing w:line="360" w:lineRule="auto"/>
        <w:ind w:left="450" w:leftChars="100" w:right="-86" w:rightChars="-41" w:hanging="240" w:hangingChars="100"/>
        <w:rPr>
          <w:rFonts w:ascii="宋体" w:hAnsi="宋体" w:cs="宋体"/>
          <w:color w:val="auto"/>
          <w:sz w:val="24"/>
          <w:highlight w:val="none"/>
        </w:rPr>
      </w:pPr>
      <w:r>
        <w:rPr>
          <w:rFonts w:hint="eastAsia" w:ascii="宋体" w:hAnsi="宋体" w:cs="宋体"/>
          <w:color w:val="auto"/>
          <w:sz w:val="24"/>
          <w:highlight w:val="none"/>
        </w:rPr>
        <w:t>1.10控制系统 控制器:  ≥5 英寸TFT LCD 触摸式中文显示控制器.程序设置时只需设置温度、时间</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1.11控制器规格:</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1.11.1设定方式: 可程序及定值设定</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1.11.2内存容量: 1000 个程序记忆，每组100 步</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1.11.3  999 次循环，10 组程序链接</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1.11.4功</w:t>
      </w:r>
      <w:r>
        <w:rPr>
          <w:rFonts w:hint="eastAsia" w:ascii="宋体" w:hAnsi="宋体" w:cs="宋体"/>
          <w:color w:val="auto"/>
          <w:sz w:val="24"/>
          <w:highlight w:val="none"/>
        </w:rPr>
        <w:tab/>
      </w:r>
      <w:r>
        <w:rPr>
          <w:rFonts w:hint="eastAsia" w:ascii="宋体" w:hAnsi="宋体" w:cs="宋体"/>
          <w:color w:val="auto"/>
          <w:sz w:val="24"/>
          <w:highlight w:val="none"/>
        </w:rPr>
        <w:t>能: 设定范围: 温度条件：PT100:–100～200℃</w:t>
      </w:r>
    </w:p>
    <w:p>
      <w:pPr>
        <w:spacing w:line="360" w:lineRule="auto"/>
        <w:ind w:right="-86" w:rightChars="-41" w:firstLine="240" w:firstLineChars="100"/>
        <w:rPr>
          <w:rFonts w:ascii="宋体" w:hAnsi="宋体" w:cs="宋体"/>
          <w:color w:val="auto"/>
          <w:sz w:val="24"/>
          <w:highlight w:val="none"/>
        </w:rPr>
      </w:pPr>
      <w:r>
        <w:rPr>
          <w:rFonts w:hint="eastAsia" w:ascii="宋体" w:hAnsi="宋体" w:cs="宋体"/>
          <w:color w:val="auto"/>
          <w:sz w:val="24"/>
          <w:highlight w:val="none"/>
        </w:rPr>
        <w:t>1.12水槽:</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1.12.1水槽尺寸：≥W900×H100×D900mm</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1.12.2水槽温度范围：5℃～80℃ ±1℃</w:t>
      </w:r>
    </w:p>
    <w:p>
      <w:pPr>
        <w:spacing w:line="360" w:lineRule="auto"/>
        <w:ind w:right="-86" w:rightChars="-41" w:firstLine="480" w:firstLineChars="200"/>
        <w:rPr>
          <w:rFonts w:ascii="宋体" w:hAnsi="宋体" w:cs="宋体"/>
          <w:color w:val="auto"/>
          <w:sz w:val="24"/>
          <w:highlight w:val="none"/>
        </w:rPr>
      </w:pPr>
      <w:r>
        <w:rPr>
          <w:rFonts w:hint="eastAsia" w:ascii="宋体" w:hAnsi="宋体" w:cs="宋体"/>
          <w:color w:val="auto"/>
          <w:sz w:val="24"/>
          <w:highlight w:val="none"/>
        </w:rPr>
        <w:t>1.12.3水槽湿度范围：80%～100%RH ±3%RH</w:t>
      </w:r>
    </w:p>
    <w:p>
      <w:pPr>
        <w:spacing w:line="360" w:lineRule="auto"/>
        <w:ind w:left="1380" w:leftChars="200" w:right="-86" w:rightChars="-41" w:hanging="960" w:hangingChars="400"/>
        <w:rPr>
          <w:rFonts w:ascii="宋体" w:hAnsi="宋体" w:cs="宋体"/>
          <w:color w:val="auto"/>
          <w:sz w:val="24"/>
          <w:highlight w:val="none"/>
        </w:rPr>
      </w:pPr>
      <w:r>
        <w:rPr>
          <w:rFonts w:hint="eastAsia" w:ascii="宋体" w:hAnsi="宋体" w:cs="宋体"/>
          <w:color w:val="auto"/>
          <w:sz w:val="24"/>
          <w:highlight w:val="none"/>
        </w:rPr>
        <w:t>1.12.4水槽结构组成：加热器+冷却系统+加湿系统+温湿度传感器+塑料罩+补水、排水装置</w:t>
      </w:r>
    </w:p>
    <w:p>
      <w:pPr>
        <w:pStyle w:val="2"/>
        <w:spacing w:line="360" w:lineRule="auto"/>
        <w:ind w:right="-86" w:rightChars="-41"/>
        <w:rPr>
          <w:rFonts w:ascii="宋体" w:hAnsi="宋体" w:cs="宋体"/>
          <w:color w:val="auto"/>
          <w:sz w:val="24"/>
          <w:szCs w:val="24"/>
          <w:highlight w:val="none"/>
        </w:rPr>
      </w:pPr>
    </w:p>
    <w:p>
      <w:pPr>
        <w:pStyle w:val="2"/>
        <w:spacing w:line="360" w:lineRule="auto"/>
        <w:ind w:right="-86" w:rightChars="-41"/>
        <w:rPr>
          <w:rFonts w:ascii="宋体" w:hAnsi="宋体" w:cs="宋体"/>
          <w:b/>
          <w:bCs/>
          <w:color w:val="auto"/>
          <w:w w:val="95"/>
          <w:sz w:val="24"/>
          <w:szCs w:val="24"/>
          <w:highlight w:val="none"/>
        </w:rPr>
      </w:pPr>
      <w:r>
        <w:rPr>
          <w:rFonts w:hint="eastAsia" w:ascii="宋体" w:hAnsi="宋体" w:cs="宋体"/>
          <w:color w:val="auto"/>
          <w:sz w:val="24"/>
          <w:szCs w:val="24"/>
          <w:highlight w:val="none"/>
        </w:rPr>
        <w:t>2</w:t>
      </w:r>
      <w:r>
        <w:rPr>
          <w:rFonts w:hint="eastAsia" w:ascii="宋体" w:hAnsi="宋体" w:cs="宋体"/>
          <w:b/>
          <w:bCs/>
          <w:color w:val="auto"/>
          <w:w w:val="95"/>
          <w:sz w:val="24"/>
          <w:szCs w:val="24"/>
          <w:highlight w:val="none"/>
        </w:rPr>
        <w:t>冰水冲击试验机</w:t>
      </w:r>
    </w:p>
    <w:p>
      <w:pPr>
        <w:spacing w:line="360" w:lineRule="auto"/>
        <w:ind w:left="631" w:leftChars="103" w:right="-86" w:rightChars="-41" w:hanging="415" w:hangingChars="173"/>
        <w:rPr>
          <w:rFonts w:ascii="宋体" w:hAnsi="宋体" w:cs="宋体"/>
          <w:color w:val="auto"/>
          <w:sz w:val="24"/>
          <w:highlight w:val="none"/>
        </w:rPr>
      </w:pPr>
      <w:r>
        <w:rPr>
          <w:rFonts w:hint="eastAsia" w:ascii="宋体" w:hAnsi="宋体" w:cs="宋体"/>
          <w:color w:val="auto"/>
          <w:sz w:val="24"/>
          <w:highlight w:val="none"/>
        </w:rPr>
        <w:t>★2.1满足检定方法:GB/T 5170.2-2008 温度试验设备；ISO16750 道路车辆 电气及电子设备的环境条件和试验标准</w:t>
      </w:r>
    </w:p>
    <w:p>
      <w:pPr>
        <w:spacing w:line="360" w:lineRule="auto"/>
        <w:ind w:left="414" w:leftChars="104" w:right="-86" w:rightChars="-41" w:hanging="196" w:hangingChars="82"/>
        <w:rPr>
          <w:rFonts w:ascii="宋体" w:hAnsi="宋体" w:cs="宋体"/>
          <w:color w:val="auto"/>
          <w:sz w:val="24"/>
          <w:highlight w:val="none"/>
        </w:rPr>
      </w:pPr>
      <w:r>
        <w:rPr>
          <w:rFonts w:hint="eastAsia" w:ascii="宋体" w:hAnsi="宋体" w:cs="宋体"/>
          <w:color w:val="auto"/>
          <w:sz w:val="24"/>
          <w:highlight w:val="none"/>
        </w:rPr>
        <w:t>★2.2温度范围:RT+10℃～+150℃</w:t>
      </w:r>
    </w:p>
    <w:p>
      <w:pPr>
        <w:spacing w:line="360" w:lineRule="auto"/>
        <w:ind w:left="414" w:leftChars="104" w:right="-86" w:rightChars="-41" w:hanging="196" w:hangingChars="82"/>
        <w:rPr>
          <w:rFonts w:ascii="宋体" w:hAnsi="宋体" w:cs="宋体"/>
          <w:color w:val="auto"/>
          <w:sz w:val="24"/>
          <w:highlight w:val="none"/>
        </w:rPr>
      </w:pPr>
      <w:r>
        <w:rPr>
          <w:rFonts w:hint="eastAsia" w:ascii="宋体" w:hAnsi="宋体" w:cs="宋体"/>
          <w:color w:val="auto"/>
          <w:sz w:val="24"/>
          <w:highlight w:val="none"/>
        </w:rPr>
        <w:t>★2.3温度波动度: ≤±1℃ 温度偏差:≤±2℃</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2.4试验用液体:去离子水+3%精细尘土+5%NaCl(按ISO 12103-1)</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2.5水温范围:0℃～4℃</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2.6温度波动度:≤±1℃ 温度偏差:≤±2℃</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2.7内箱升温时间:RT+10℃～+150℃ ≤40min</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2.8试验液体降温时间:+20℃～0℃</w:t>
      </w:r>
      <w:r>
        <w:rPr>
          <w:rFonts w:hint="eastAsia" w:ascii="宋体" w:hAnsi="宋体" w:cs="宋体"/>
          <w:color w:val="auto"/>
          <w:sz w:val="24"/>
          <w:highlight w:val="none"/>
        </w:rPr>
        <w:tab/>
      </w:r>
      <w:r>
        <w:rPr>
          <w:rFonts w:hint="eastAsia" w:ascii="宋体" w:hAnsi="宋体" w:cs="宋体"/>
          <w:color w:val="auto"/>
          <w:sz w:val="24"/>
          <w:highlight w:val="none"/>
        </w:rPr>
        <w:t>≤50min</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2.9设定样品距离喷嘴 325mm（样品架可调）</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2.10测试循环次数 1-9999 次可调节</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2.11设备带有手动清洗功能，用于测试后箱体内清洁</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 xml:space="preserve">2.12喷塑镀锌彩色钢板--耐温度应力保温材料-- SUS304 </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2.13耐温度应力保温材料，层厚：≥100mm</w:t>
      </w:r>
      <w:r>
        <w:rPr>
          <w:rFonts w:hint="eastAsia" w:ascii="宋体" w:hAnsi="宋体" w:cs="宋体"/>
          <w:color w:val="auto"/>
          <w:sz w:val="24"/>
          <w:highlight w:val="none"/>
        </w:rPr>
        <w:tab/>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2.14空气调节通道:风机、加热器、排水装置、换新风口</w:t>
      </w:r>
    </w:p>
    <w:p>
      <w:pPr>
        <w:spacing w:line="360" w:lineRule="auto"/>
        <w:ind w:left="638" w:leftChars="200" w:right="-86" w:rightChars="-41" w:hanging="218"/>
        <w:rPr>
          <w:rFonts w:ascii="宋体" w:hAnsi="宋体" w:cs="宋体"/>
          <w:color w:val="auto"/>
          <w:sz w:val="24"/>
          <w:highlight w:val="none"/>
        </w:rPr>
      </w:pPr>
      <w:r>
        <w:rPr>
          <w:rFonts w:hint="eastAsia" w:ascii="宋体" w:hAnsi="宋体" w:cs="宋体"/>
          <w:color w:val="auto"/>
          <w:sz w:val="24"/>
          <w:highlight w:val="none"/>
        </w:rPr>
        <w:t>2.15试验箱体标准配置 观察窗：透明多层中空钢化玻璃（位于门上）；可视范围：≥W500mm×H500mm；包含照明灯遮挡范围引线孔：直径φ100mm 1 个；照明灯：≥10W/AC220V 1 个</w:t>
      </w:r>
    </w:p>
    <w:p>
      <w:pPr>
        <w:pStyle w:val="2"/>
        <w:spacing w:line="360" w:lineRule="auto"/>
        <w:ind w:right="-86" w:rightChars="-41"/>
        <w:rPr>
          <w:rFonts w:ascii="宋体" w:hAnsi="宋体" w:cs="宋体"/>
          <w:color w:val="auto"/>
          <w:sz w:val="24"/>
          <w:szCs w:val="24"/>
          <w:highlight w:val="none"/>
        </w:rPr>
      </w:pPr>
    </w:p>
    <w:p>
      <w:pPr>
        <w:pStyle w:val="2"/>
        <w:spacing w:line="360" w:lineRule="auto"/>
        <w:ind w:right="-86" w:rightChars="-41"/>
        <w:rPr>
          <w:rFonts w:ascii="宋体" w:hAnsi="宋体" w:cs="宋体"/>
          <w:b/>
          <w:bCs/>
          <w:color w:val="auto"/>
          <w:w w:val="95"/>
          <w:sz w:val="24"/>
          <w:szCs w:val="24"/>
          <w:highlight w:val="none"/>
        </w:rPr>
      </w:pPr>
      <w:r>
        <w:rPr>
          <w:rFonts w:hint="eastAsia" w:ascii="宋体" w:hAnsi="宋体" w:cs="宋体"/>
          <w:color w:val="auto"/>
          <w:sz w:val="24"/>
          <w:szCs w:val="24"/>
          <w:highlight w:val="none"/>
        </w:rPr>
        <w:t>3</w:t>
      </w:r>
      <w:r>
        <w:rPr>
          <w:rFonts w:hint="eastAsia" w:ascii="宋体" w:hAnsi="宋体" w:cs="宋体"/>
          <w:b/>
          <w:bCs/>
          <w:color w:val="auto"/>
          <w:w w:val="95"/>
          <w:sz w:val="24"/>
          <w:szCs w:val="24"/>
          <w:highlight w:val="none"/>
        </w:rPr>
        <w:t>复合盐雾试验机</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★3.1</w:t>
      </w:r>
      <w:r>
        <w:rPr>
          <w:rFonts w:hint="eastAsia" w:ascii="宋体" w:hAnsi="宋体" w:cs="宋体"/>
          <w:color w:val="auto"/>
          <w:sz w:val="24"/>
          <w:highlight w:val="none"/>
        </w:rPr>
        <w:tab/>
      </w:r>
      <w:r>
        <w:rPr>
          <w:rFonts w:hint="eastAsia" w:ascii="宋体" w:hAnsi="宋体" w:cs="宋体"/>
          <w:color w:val="auto"/>
          <w:sz w:val="24"/>
          <w:highlight w:val="none"/>
        </w:rPr>
        <w:t>标称内容积 ≥</w:t>
      </w:r>
      <w:r>
        <w:rPr>
          <w:rFonts w:hint="eastAsia" w:ascii="宋体" w:hAnsi="宋体" w:cs="宋体"/>
          <w:color w:val="auto"/>
          <w:sz w:val="24"/>
          <w:highlight w:val="none"/>
        </w:rPr>
        <w:tab/>
      </w:r>
      <w:r>
        <w:rPr>
          <w:rFonts w:hint="eastAsia" w:ascii="宋体" w:hAnsi="宋体" w:cs="宋体"/>
          <w:color w:val="auto"/>
          <w:sz w:val="24"/>
          <w:highlight w:val="none"/>
        </w:rPr>
        <w:t>900L  注：不含顶部斜顶容积</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w:t>
      </w:r>
      <w:r>
        <w:rPr>
          <w:rFonts w:hint="eastAsia" w:ascii="宋体" w:hAnsi="宋体" w:cs="宋体"/>
          <w:color w:val="auto"/>
          <w:sz w:val="24"/>
          <w:highlight w:val="none"/>
        </w:rPr>
        <w:tab/>
      </w:r>
      <w:r>
        <w:rPr>
          <w:rFonts w:hint="eastAsia" w:ascii="宋体" w:hAnsi="宋体" w:cs="宋体"/>
          <w:color w:val="auto"/>
          <w:sz w:val="24"/>
          <w:highlight w:val="none"/>
        </w:rPr>
        <w:t>内箱有效尺寸(mm)</w:t>
      </w:r>
      <w:r>
        <w:rPr>
          <w:rFonts w:hint="eastAsia" w:ascii="宋体" w:hAnsi="宋体" w:cs="宋体"/>
          <w:color w:val="auto"/>
          <w:sz w:val="24"/>
          <w:highlight w:val="none"/>
        </w:rPr>
        <w:tab/>
      </w:r>
      <w:r>
        <w:rPr>
          <w:rFonts w:hint="eastAsia" w:ascii="宋体" w:hAnsi="宋体" w:cs="宋体"/>
          <w:color w:val="auto"/>
          <w:sz w:val="24"/>
          <w:highlight w:val="none"/>
        </w:rPr>
        <w:t>：≥</w:t>
      </w:r>
      <w:r>
        <w:rPr>
          <w:rFonts w:hint="eastAsia" w:ascii="宋体" w:hAnsi="宋体" w:cs="宋体"/>
          <w:color w:val="auto"/>
          <w:sz w:val="24"/>
          <w:highlight w:val="none"/>
        </w:rPr>
        <w:tab/>
      </w:r>
      <w:r>
        <w:rPr>
          <w:rFonts w:hint="eastAsia" w:ascii="宋体" w:hAnsi="宋体" w:cs="宋体"/>
          <w:color w:val="auto"/>
          <w:sz w:val="24"/>
          <w:highlight w:val="none"/>
        </w:rPr>
        <w:t>1200×800×1000</w:t>
      </w:r>
      <w:r>
        <w:rPr>
          <w:rFonts w:hint="eastAsia" w:ascii="宋体" w:hAnsi="宋体" w:cs="宋体"/>
          <w:color w:val="auto"/>
          <w:sz w:val="24"/>
          <w:highlight w:val="none"/>
        </w:rPr>
        <w:tab/>
      </w:r>
      <w:r>
        <w:rPr>
          <w:rFonts w:hint="eastAsia" w:ascii="宋体" w:hAnsi="宋体" w:cs="宋体"/>
          <w:color w:val="auto"/>
          <w:sz w:val="24"/>
          <w:highlight w:val="none"/>
        </w:rPr>
        <w:t>W×H×D</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★3.3试验箱温度范围</w:t>
      </w:r>
      <w:r>
        <w:rPr>
          <w:rFonts w:hint="eastAsia" w:ascii="宋体" w:hAnsi="宋体" w:cs="宋体"/>
          <w:color w:val="auto"/>
          <w:sz w:val="24"/>
          <w:highlight w:val="none"/>
        </w:rPr>
        <w:tab/>
      </w:r>
      <w:r>
        <w:rPr>
          <w:rFonts w:hint="eastAsia" w:ascii="宋体" w:hAnsi="宋体" w:cs="宋体"/>
          <w:color w:val="auto"/>
          <w:sz w:val="24"/>
          <w:highlight w:val="none"/>
        </w:rPr>
        <w:t>20～70℃ 连续可调</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★3.4 饱和桶温度范围</w:t>
      </w:r>
      <w:r>
        <w:rPr>
          <w:rFonts w:hint="eastAsia" w:ascii="宋体" w:hAnsi="宋体" w:cs="宋体"/>
          <w:color w:val="auto"/>
          <w:sz w:val="24"/>
          <w:highlight w:val="none"/>
        </w:rPr>
        <w:tab/>
      </w:r>
      <w:r>
        <w:rPr>
          <w:rFonts w:hint="eastAsia" w:ascii="宋体" w:hAnsi="宋体" w:cs="宋体"/>
          <w:color w:val="auto"/>
          <w:sz w:val="24"/>
          <w:highlight w:val="none"/>
        </w:rPr>
        <w:t>RT+5℃～70℃</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★3.5湿度范围：20%R.H～98%R.H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3.6盐雾沉降量</w:t>
      </w:r>
      <w:r>
        <w:rPr>
          <w:rFonts w:hint="eastAsia" w:ascii="宋体" w:hAnsi="宋体" w:cs="宋体"/>
          <w:color w:val="auto"/>
          <w:sz w:val="24"/>
          <w:highlight w:val="none"/>
        </w:rPr>
        <w:tab/>
      </w:r>
      <w:r>
        <w:rPr>
          <w:rFonts w:hint="eastAsia" w:ascii="宋体" w:hAnsi="宋体" w:cs="宋体"/>
          <w:color w:val="auto"/>
          <w:sz w:val="24"/>
          <w:highlight w:val="none"/>
        </w:rPr>
        <w:t>1～2ml/h/80cm2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3.7 喷雾压力</w:t>
      </w:r>
      <w:r>
        <w:rPr>
          <w:rFonts w:hint="eastAsia" w:ascii="宋体" w:hAnsi="宋体" w:cs="宋体"/>
          <w:color w:val="auto"/>
          <w:sz w:val="24"/>
          <w:highlight w:val="none"/>
        </w:rPr>
        <w:tab/>
      </w:r>
      <w:r>
        <w:rPr>
          <w:rFonts w:hint="eastAsia" w:ascii="宋体" w:hAnsi="宋体" w:cs="宋体"/>
          <w:color w:val="auto"/>
          <w:sz w:val="24"/>
          <w:highlight w:val="none"/>
        </w:rPr>
        <w:t>70～170Kpa</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3.8 喷雾方式</w:t>
      </w:r>
      <w:r>
        <w:rPr>
          <w:rFonts w:hint="eastAsia" w:ascii="宋体" w:hAnsi="宋体" w:cs="宋体"/>
          <w:color w:val="auto"/>
          <w:sz w:val="24"/>
          <w:highlight w:val="none"/>
        </w:rPr>
        <w:tab/>
      </w:r>
      <w:r>
        <w:rPr>
          <w:rFonts w:hint="eastAsia" w:ascii="宋体" w:hAnsi="宋体" w:cs="宋体"/>
          <w:color w:val="auto"/>
          <w:sz w:val="24"/>
          <w:highlight w:val="none"/>
        </w:rPr>
        <w:t>连续喷雾、周期喷雾、程序喷雾三种模式可自行调节</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3.9药水酸碱值 PH</w:t>
      </w:r>
      <w:r>
        <w:rPr>
          <w:rFonts w:hint="eastAsia" w:ascii="宋体" w:hAnsi="宋体" w:cs="宋体"/>
          <w:color w:val="auto"/>
          <w:sz w:val="24"/>
          <w:highlight w:val="none"/>
        </w:rPr>
        <w:tab/>
      </w:r>
      <w:r>
        <w:rPr>
          <w:rFonts w:hint="eastAsia" w:ascii="宋体" w:hAnsi="宋体" w:cs="宋体"/>
          <w:color w:val="auto"/>
          <w:sz w:val="24"/>
          <w:highlight w:val="none"/>
        </w:rPr>
        <w:t>中性试验 6.5～7.2</w:t>
      </w:r>
      <w:r>
        <w:rPr>
          <w:rFonts w:hint="eastAsia" w:ascii="宋体" w:hAnsi="宋体" w:cs="宋体"/>
          <w:color w:val="auto"/>
          <w:sz w:val="24"/>
          <w:highlight w:val="none"/>
        </w:rPr>
        <w:tab/>
      </w:r>
      <w:r>
        <w:rPr>
          <w:rFonts w:hint="eastAsia" w:ascii="宋体" w:hAnsi="宋体" w:cs="宋体"/>
          <w:color w:val="auto"/>
          <w:sz w:val="24"/>
          <w:highlight w:val="none"/>
        </w:rPr>
        <w:t>酸性试验 3.0～3.3</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3.10控制精度</w:t>
      </w:r>
      <w:r>
        <w:rPr>
          <w:rFonts w:hint="eastAsia" w:ascii="宋体" w:hAnsi="宋体" w:cs="宋体"/>
          <w:color w:val="auto"/>
          <w:sz w:val="24"/>
          <w:highlight w:val="none"/>
        </w:rPr>
        <w:tab/>
      </w:r>
      <w:r>
        <w:rPr>
          <w:rFonts w:hint="eastAsia" w:ascii="宋体" w:hAnsi="宋体" w:cs="宋体"/>
          <w:color w:val="auto"/>
          <w:sz w:val="24"/>
          <w:highlight w:val="none"/>
        </w:rPr>
        <w:t>温度分辨率：≤0.5℃ 湿度分辨率：0.1%R.H 温度偏差：±2.0℃</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3.11湿度偏差：≥75%RH 时 ≤+2-3%R.H；湿度偏差：＜75%RH 时 ≤± 5%R.H；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3.12温度波动度：≤ ±0.8℃ 湿度波动度：≤±3%R.H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注：温度均匀度及偏差在环境温度为+25℃，相对湿度≤85％R.H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3.13无试样条件下测得的数值。</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3.14</w:t>
      </w:r>
      <w:r>
        <w:rPr>
          <w:rFonts w:hint="eastAsia" w:ascii="宋体" w:hAnsi="宋体" w:cs="宋体"/>
          <w:color w:val="auto"/>
          <w:sz w:val="24"/>
          <w:highlight w:val="none"/>
        </w:rPr>
        <w:tab/>
      </w:r>
      <w:r>
        <w:rPr>
          <w:rFonts w:hint="eastAsia" w:ascii="宋体" w:hAnsi="宋体" w:cs="宋体"/>
          <w:color w:val="auto"/>
          <w:sz w:val="24"/>
          <w:highlight w:val="none"/>
        </w:rPr>
        <w:t>试验室升温速率</w:t>
      </w:r>
      <w:r>
        <w:rPr>
          <w:rFonts w:hint="eastAsia" w:ascii="宋体" w:hAnsi="宋体" w:cs="宋体"/>
          <w:color w:val="auto"/>
          <w:sz w:val="24"/>
          <w:highlight w:val="none"/>
        </w:rPr>
        <w:tab/>
      </w:r>
      <w:r>
        <w:rPr>
          <w:rFonts w:hint="eastAsia" w:ascii="宋体" w:hAnsi="宋体" w:cs="宋体"/>
          <w:color w:val="auto"/>
          <w:sz w:val="24"/>
          <w:highlight w:val="none"/>
        </w:rPr>
        <w:t>RT→+70℃≤45 min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3.15饱和桶升温速率</w:t>
      </w:r>
      <w:r>
        <w:rPr>
          <w:rFonts w:hint="eastAsia" w:ascii="宋体" w:hAnsi="宋体" w:cs="宋体"/>
          <w:color w:val="auto"/>
          <w:sz w:val="24"/>
          <w:highlight w:val="none"/>
        </w:rPr>
        <w:tab/>
      </w:r>
      <w:r>
        <w:rPr>
          <w:rFonts w:hint="eastAsia" w:ascii="宋体" w:hAnsi="宋体" w:cs="宋体"/>
          <w:color w:val="auto"/>
          <w:sz w:val="24"/>
          <w:highlight w:val="none"/>
        </w:rPr>
        <w:t>RT→+65℃≤45 min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3.16控制器</w:t>
      </w:r>
      <w:r>
        <w:rPr>
          <w:rFonts w:hint="eastAsia" w:ascii="宋体" w:hAnsi="宋体" w:cs="宋体"/>
          <w:color w:val="auto"/>
          <w:sz w:val="24"/>
          <w:highlight w:val="none"/>
        </w:rPr>
        <w:tab/>
      </w:r>
      <w:r>
        <w:rPr>
          <w:rFonts w:hint="eastAsia" w:ascii="宋体" w:hAnsi="宋体" w:cs="宋体"/>
          <w:color w:val="auto"/>
          <w:sz w:val="24"/>
          <w:highlight w:val="none"/>
        </w:rPr>
        <w:t>进口触摸屏，可编程序控制器</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3.17 运行方式</w:t>
      </w:r>
      <w:r>
        <w:rPr>
          <w:rFonts w:hint="eastAsia" w:ascii="宋体" w:hAnsi="宋体" w:cs="宋体"/>
          <w:color w:val="auto"/>
          <w:sz w:val="24"/>
          <w:highlight w:val="none"/>
        </w:rPr>
        <w:tab/>
      </w:r>
      <w:r>
        <w:rPr>
          <w:rFonts w:hint="eastAsia" w:ascii="宋体" w:hAnsi="宋体" w:cs="宋体"/>
          <w:color w:val="auto"/>
          <w:sz w:val="24"/>
          <w:highlight w:val="none"/>
        </w:rPr>
        <w:t>程序方式、定值方式、定时启动和停机</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3.18 显示器</w:t>
      </w:r>
      <w:r>
        <w:rPr>
          <w:rFonts w:hint="eastAsia" w:ascii="宋体" w:hAnsi="宋体" w:cs="宋体"/>
          <w:color w:val="auto"/>
          <w:sz w:val="24"/>
          <w:highlight w:val="none"/>
        </w:rPr>
        <w:tab/>
      </w:r>
      <w:r>
        <w:rPr>
          <w:rFonts w:hint="eastAsia" w:ascii="宋体" w:hAnsi="宋体" w:cs="宋体"/>
          <w:color w:val="auto"/>
          <w:sz w:val="24"/>
          <w:highlight w:val="none"/>
        </w:rPr>
        <w:t>≥5 英寸 800×480 点阵，TFT 彩色 LCD 显示器，温度设定(SV)，</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3.19控制 PLC</w:t>
      </w:r>
      <w:r>
        <w:rPr>
          <w:rFonts w:hint="eastAsia" w:ascii="宋体" w:hAnsi="宋体" w:cs="宋体"/>
          <w:color w:val="auto"/>
          <w:sz w:val="24"/>
          <w:highlight w:val="none"/>
        </w:rPr>
        <w:tab/>
      </w:r>
      <w:r>
        <w:rPr>
          <w:rFonts w:hint="eastAsia" w:ascii="宋体" w:hAnsi="宋体" w:cs="宋体"/>
          <w:color w:val="auto"/>
          <w:sz w:val="24"/>
          <w:highlight w:val="none"/>
        </w:rPr>
        <w:t>原装进口西门子 PLC 控制器</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3.20 设定方式</w:t>
      </w:r>
      <w:r>
        <w:rPr>
          <w:rFonts w:hint="eastAsia" w:ascii="宋体" w:hAnsi="宋体" w:cs="宋体"/>
          <w:color w:val="auto"/>
          <w:sz w:val="24"/>
          <w:highlight w:val="none"/>
        </w:rPr>
        <w:tab/>
      </w:r>
      <w:r>
        <w:rPr>
          <w:rFonts w:hint="eastAsia" w:ascii="宋体" w:hAnsi="宋体" w:cs="宋体"/>
          <w:color w:val="auto"/>
          <w:sz w:val="24"/>
          <w:highlight w:val="none"/>
        </w:rPr>
        <w:t>中文/英文菜单、触摸屏方式输入(可自行切换中温或英文显示画面)</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3.21 显示分辨率</w:t>
      </w:r>
      <w:r>
        <w:rPr>
          <w:rFonts w:hint="eastAsia" w:ascii="宋体" w:hAnsi="宋体" w:cs="宋体"/>
          <w:color w:val="auto"/>
          <w:sz w:val="24"/>
          <w:highlight w:val="none"/>
        </w:rPr>
        <w:tab/>
      </w:r>
      <w:r>
        <w:rPr>
          <w:rFonts w:hint="eastAsia" w:ascii="宋体" w:hAnsi="宋体" w:cs="宋体"/>
          <w:color w:val="auto"/>
          <w:sz w:val="24"/>
          <w:highlight w:val="none"/>
        </w:rPr>
        <w:t>温度：0.1℃，湿度 0.1%RH,时间：1min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3.22程序功能</w:t>
      </w:r>
      <w:r>
        <w:rPr>
          <w:rFonts w:hint="eastAsia" w:ascii="宋体" w:hAnsi="宋体" w:cs="宋体"/>
          <w:color w:val="auto"/>
          <w:sz w:val="24"/>
          <w:highlight w:val="none"/>
        </w:rPr>
        <w:tab/>
      </w:r>
      <w:r>
        <w:rPr>
          <w:rFonts w:hint="eastAsia" w:ascii="宋体" w:hAnsi="宋体" w:cs="宋体"/>
          <w:color w:val="auto"/>
          <w:sz w:val="24"/>
          <w:highlight w:val="none"/>
        </w:rPr>
        <w:t>喷雾周期：连续喷雾最大试验时间为 32000 小时，间隙喷雾最大喷雾时间为 99 小时 59 分钟，最大停喷时间为 99 小时 59 分钟</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3.22可使用的程序量:  ≥100 组，程序时间可设 1 分钟～999 小时每段</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3.23设定范围</w:t>
      </w:r>
      <w:r>
        <w:rPr>
          <w:rFonts w:hint="eastAsia" w:ascii="宋体" w:hAnsi="宋体" w:cs="宋体"/>
          <w:color w:val="auto"/>
          <w:sz w:val="24"/>
          <w:highlight w:val="none"/>
        </w:rPr>
        <w:tab/>
      </w:r>
      <w:r>
        <w:rPr>
          <w:rFonts w:hint="eastAsia" w:ascii="宋体" w:hAnsi="宋体" w:cs="宋体"/>
          <w:color w:val="auto"/>
          <w:sz w:val="24"/>
          <w:highlight w:val="none"/>
        </w:rPr>
        <w:t>温度：根据设备的温度工作范围调整(上限+5℃，下限-5℃)</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3.24 输入、控制方式</w:t>
      </w:r>
      <w:r>
        <w:rPr>
          <w:rFonts w:hint="eastAsia" w:ascii="宋体" w:hAnsi="宋体" w:cs="宋体"/>
          <w:color w:val="auto"/>
          <w:sz w:val="24"/>
          <w:highlight w:val="none"/>
        </w:rPr>
        <w:tab/>
      </w:r>
      <w:r>
        <w:rPr>
          <w:rFonts w:hint="eastAsia" w:ascii="宋体" w:hAnsi="宋体" w:cs="宋体"/>
          <w:color w:val="auto"/>
          <w:sz w:val="24"/>
          <w:highlight w:val="none"/>
        </w:rPr>
        <w:t>PT100 铂电阻、PID 控制</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3.25 通讯功能</w:t>
      </w:r>
      <w:r>
        <w:rPr>
          <w:rFonts w:hint="eastAsia" w:ascii="宋体" w:hAnsi="宋体" w:cs="宋体"/>
          <w:color w:val="auto"/>
          <w:sz w:val="24"/>
          <w:highlight w:val="none"/>
        </w:rPr>
        <w:tab/>
      </w:r>
      <w:r>
        <w:rPr>
          <w:rFonts w:hint="eastAsia" w:ascii="宋体" w:hAnsi="宋体" w:cs="宋体"/>
          <w:color w:val="auto"/>
          <w:sz w:val="24"/>
          <w:highlight w:val="none"/>
        </w:rPr>
        <w:t>可连接计算机显示曲线,数据采集；可作为监控及遥控系统；</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3.26通讯接口：RS-485、 RS-232(选配)、Ethernet(标配)；USB2.0 接口。</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3.27</w:t>
      </w:r>
      <w:r>
        <w:rPr>
          <w:rFonts w:hint="eastAsia" w:ascii="宋体" w:hAnsi="宋体" w:cs="宋体"/>
          <w:color w:val="auto"/>
          <w:sz w:val="24"/>
          <w:highlight w:val="none"/>
        </w:rPr>
        <w:tab/>
      </w:r>
      <w:r>
        <w:rPr>
          <w:rFonts w:hint="eastAsia" w:ascii="宋体" w:hAnsi="宋体" w:cs="宋体"/>
          <w:color w:val="auto"/>
          <w:sz w:val="24"/>
          <w:highlight w:val="none"/>
        </w:rPr>
        <w:t>Ｕ盘储存</w:t>
      </w:r>
      <w:r>
        <w:rPr>
          <w:rFonts w:hint="eastAsia" w:ascii="宋体" w:hAnsi="宋体" w:cs="宋体"/>
          <w:color w:val="auto"/>
          <w:sz w:val="24"/>
          <w:highlight w:val="none"/>
        </w:rPr>
        <w:tab/>
      </w:r>
      <w:r>
        <w:rPr>
          <w:rFonts w:hint="eastAsia" w:ascii="宋体" w:hAnsi="宋体" w:cs="宋体"/>
          <w:color w:val="auto"/>
          <w:sz w:val="24"/>
          <w:highlight w:val="none"/>
        </w:rPr>
        <w:t>可插 1G-256G U 盘下载历史曲线,历史数据,控制系统参数，可热插拔功能</w:t>
      </w:r>
    </w:p>
    <w:p>
      <w:pPr>
        <w:pStyle w:val="2"/>
        <w:spacing w:line="360" w:lineRule="auto"/>
        <w:ind w:right="-86" w:rightChars="-41"/>
        <w:rPr>
          <w:rFonts w:ascii="宋体" w:hAnsi="宋体" w:cs="宋体"/>
          <w:color w:val="auto"/>
          <w:sz w:val="24"/>
          <w:szCs w:val="24"/>
          <w:highlight w:val="none"/>
        </w:rPr>
      </w:pPr>
    </w:p>
    <w:p>
      <w:pPr>
        <w:pStyle w:val="2"/>
        <w:spacing w:line="360" w:lineRule="auto"/>
        <w:ind w:right="-86" w:rightChars="-41" w:firstLine="229" w:firstLineChars="100"/>
        <w:rPr>
          <w:rFonts w:ascii="宋体" w:hAnsi="宋体" w:cs="宋体"/>
          <w:b/>
          <w:bCs/>
          <w:color w:val="auto"/>
          <w:w w:val="95"/>
          <w:sz w:val="24"/>
          <w:szCs w:val="24"/>
          <w:highlight w:val="none"/>
        </w:rPr>
      </w:pPr>
      <w:r>
        <w:rPr>
          <w:rFonts w:hint="eastAsia" w:ascii="宋体" w:hAnsi="宋体" w:cs="宋体"/>
          <w:b/>
          <w:bCs/>
          <w:color w:val="auto"/>
          <w:w w:val="95"/>
          <w:sz w:val="24"/>
          <w:szCs w:val="24"/>
          <w:highlight w:val="none"/>
        </w:rPr>
        <w:t>4盐雾试验机</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★4.1. 标称内容积</w:t>
      </w:r>
      <w:r>
        <w:rPr>
          <w:rFonts w:hint="eastAsia" w:ascii="宋体" w:hAnsi="宋体" w:cs="宋体"/>
          <w:color w:val="auto"/>
          <w:sz w:val="24"/>
          <w:highlight w:val="none"/>
        </w:rPr>
        <w:tab/>
      </w:r>
      <w:r>
        <w:rPr>
          <w:rFonts w:hint="eastAsia" w:ascii="宋体" w:hAnsi="宋体" w:cs="宋体"/>
          <w:color w:val="auto"/>
          <w:sz w:val="24"/>
          <w:highlight w:val="none"/>
        </w:rPr>
        <w:t>≥  800 L ，不含顶部斜顶容积</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★4.2试验室温度范围</w:t>
      </w:r>
      <w:r>
        <w:rPr>
          <w:rFonts w:hint="eastAsia" w:ascii="宋体" w:hAnsi="宋体" w:cs="宋体"/>
          <w:color w:val="auto"/>
          <w:sz w:val="24"/>
          <w:highlight w:val="none"/>
        </w:rPr>
        <w:tab/>
      </w:r>
      <w:r>
        <w:rPr>
          <w:rFonts w:hint="eastAsia" w:ascii="宋体" w:hAnsi="宋体" w:cs="宋体"/>
          <w:color w:val="auto"/>
          <w:sz w:val="24"/>
          <w:highlight w:val="none"/>
        </w:rPr>
        <w:t>RT～50℃</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★4.3 饱和桶温度范围</w:t>
      </w:r>
      <w:r>
        <w:rPr>
          <w:rFonts w:hint="eastAsia" w:ascii="宋体" w:hAnsi="宋体" w:cs="宋体"/>
          <w:color w:val="auto"/>
          <w:sz w:val="24"/>
          <w:highlight w:val="none"/>
        </w:rPr>
        <w:tab/>
      </w:r>
      <w:r>
        <w:rPr>
          <w:rFonts w:hint="eastAsia" w:ascii="宋体" w:hAnsi="宋体" w:cs="宋体"/>
          <w:color w:val="auto"/>
          <w:sz w:val="24"/>
          <w:highlight w:val="none"/>
        </w:rPr>
        <w:t>RT～63℃</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★4.4温度控制性能</w:t>
      </w:r>
      <w:r>
        <w:rPr>
          <w:rFonts w:hint="eastAsia" w:ascii="宋体" w:hAnsi="宋体" w:cs="宋体"/>
          <w:color w:val="auto"/>
          <w:sz w:val="24"/>
          <w:highlight w:val="none"/>
        </w:rPr>
        <w:tab/>
      </w:r>
      <w:r>
        <w:rPr>
          <w:rFonts w:hint="eastAsia" w:ascii="宋体" w:hAnsi="宋体" w:cs="宋体"/>
          <w:color w:val="auto"/>
          <w:sz w:val="24"/>
          <w:highlight w:val="none"/>
        </w:rPr>
        <w:t>温度偏差：≤ ±1.5℃</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4.5温度均匀度：≦2℃ 温度波动度：≤±0.8℃</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4.6试验室升温速率</w:t>
      </w:r>
      <w:r>
        <w:rPr>
          <w:rFonts w:hint="eastAsia" w:ascii="宋体" w:hAnsi="宋体" w:cs="宋体"/>
          <w:color w:val="auto"/>
          <w:sz w:val="24"/>
          <w:highlight w:val="none"/>
        </w:rPr>
        <w:tab/>
      </w:r>
      <w:r>
        <w:rPr>
          <w:rFonts w:hint="eastAsia" w:ascii="宋体" w:hAnsi="宋体" w:cs="宋体"/>
          <w:color w:val="auto"/>
          <w:sz w:val="24"/>
          <w:highlight w:val="none"/>
        </w:rPr>
        <w:t>RT→+50℃≤60 min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4.7饱和桶升温速率</w:t>
      </w:r>
      <w:r>
        <w:rPr>
          <w:rFonts w:hint="eastAsia" w:ascii="宋体" w:hAnsi="宋体" w:cs="宋体"/>
          <w:color w:val="auto"/>
          <w:sz w:val="24"/>
          <w:highlight w:val="none"/>
        </w:rPr>
        <w:tab/>
      </w:r>
      <w:r>
        <w:rPr>
          <w:rFonts w:hint="eastAsia" w:ascii="宋体" w:hAnsi="宋体" w:cs="宋体"/>
          <w:color w:val="auto"/>
          <w:sz w:val="24"/>
          <w:highlight w:val="none"/>
        </w:rPr>
        <w:t>RT→+63℃≤60 min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4.8盐雾沉降量1～2ml/h/80cm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4.9满足试验方法：GB/T2423.17-2008/IEC 60068-2-11-1981盐雾试验方法及设备执行标准，ASTM.B117-2009盐雾试验，JIS H8502盐水喷雾试验方法，GB/T10125-2012/ISO 9227-2006盐水喷雾试验方法，GB-T5170.8-2008电工电子产品环境试验设备检验方法-盐雾试验设备，GB-T5170.11-2008腐蚀性气体试验设备检验方法，GB-T10587-2006盐雾试验箱技术条件。</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4.10噪音</w:t>
      </w:r>
      <w:r>
        <w:rPr>
          <w:rFonts w:hint="eastAsia" w:ascii="宋体" w:hAnsi="宋体" w:cs="宋体"/>
          <w:color w:val="auto"/>
          <w:sz w:val="24"/>
          <w:highlight w:val="none"/>
        </w:rPr>
        <w:tab/>
      </w:r>
      <w:r>
        <w:rPr>
          <w:rFonts w:hint="eastAsia" w:ascii="宋体" w:hAnsi="宋体" w:cs="宋体"/>
          <w:color w:val="auto"/>
          <w:sz w:val="24"/>
          <w:highlight w:val="none"/>
        </w:rPr>
        <w:t>小于 75db(A)</w:t>
      </w:r>
    </w:p>
    <w:p>
      <w:pPr>
        <w:pStyle w:val="2"/>
        <w:spacing w:line="360" w:lineRule="auto"/>
        <w:ind w:right="-86" w:rightChars="-41"/>
        <w:rPr>
          <w:rFonts w:ascii="宋体" w:hAnsi="宋体" w:cs="宋体"/>
          <w:color w:val="auto"/>
          <w:sz w:val="24"/>
          <w:szCs w:val="24"/>
          <w:highlight w:val="none"/>
        </w:rPr>
      </w:pPr>
    </w:p>
    <w:p>
      <w:pPr>
        <w:pStyle w:val="2"/>
        <w:spacing w:line="360" w:lineRule="auto"/>
        <w:ind w:right="-86" w:rightChars="-41" w:firstLine="229" w:firstLineChars="100"/>
        <w:rPr>
          <w:rFonts w:ascii="宋体" w:hAnsi="宋体" w:cs="宋体"/>
          <w:b/>
          <w:bCs/>
          <w:color w:val="auto"/>
          <w:w w:val="95"/>
          <w:sz w:val="24"/>
          <w:szCs w:val="24"/>
          <w:highlight w:val="none"/>
        </w:rPr>
      </w:pPr>
      <w:r>
        <w:rPr>
          <w:rFonts w:hint="eastAsia" w:ascii="宋体" w:hAnsi="宋体" w:cs="宋体"/>
          <w:b/>
          <w:bCs/>
          <w:color w:val="auto"/>
          <w:w w:val="95"/>
          <w:sz w:val="24"/>
          <w:szCs w:val="24"/>
          <w:highlight w:val="none"/>
        </w:rPr>
        <w:t>5漏电流测试仪</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5.1电容漏电流测试功能</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5.2绝缘电阻测试功能</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★5.3基本准确度: ≤0.5%</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5.5定电流DC电源含放电功能</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5.6电解电容浪涌电压测试功能</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5.7精密的微小定电流充电能力(0.5mA±0.05mA,符合EIAJ RC-2364A测试需求)</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★5.8测试电压：  ≥ 1.0V~600V</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5.9 漏电流量测范围  ≥ 0.01uA~20.00mA</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5.10 数显示分辨率：≥4位</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5.11  内建数位式计时器</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5.12  比较器与良品/不良品警示声响功能</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5.13 标准的RS-232接口</w:t>
      </w:r>
    </w:p>
    <w:p>
      <w:pPr>
        <w:pStyle w:val="2"/>
        <w:spacing w:line="360" w:lineRule="auto"/>
        <w:ind w:right="-86" w:rightChars="-41" w:firstLine="240" w:firstLineChars="100"/>
        <w:rPr>
          <w:rFonts w:ascii="宋体" w:hAnsi="宋体" w:cs="宋体"/>
          <w:color w:val="auto"/>
          <w:sz w:val="24"/>
          <w:szCs w:val="24"/>
          <w:highlight w:val="none"/>
        </w:rPr>
      </w:pPr>
    </w:p>
    <w:p>
      <w:pPr>
        <w:pStyle w:val="2"/>
        <w:spacing w:line="360" w:lineRule="auto"/>
        <w:ind w:right="-86" w:rightChars="-41"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6</w:t>
      </w:r>
      <w:r>
        <w:rPr>
          <w:rFonts w:hint="eastAsia" w:ascii="宋体" w:hAnsi="宋体" w:cs="宋体"/>
          <w:b/>
          <w:bCs/>
          <w:color w:val="auto"/>
          <w:sz w:val="24"/>
          <w:szCs w:val="24"/>
          <w:highlight w:val="none"/>
        </w:rPr>
        <w:t>压敏电阻参数测试仪</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6.1 一次测试自动给出Un、IL和α三个参数；</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6.2设三档电压量程、三档漏电流量程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6.3 可预置压敏电压Un、漏电流IL的上下限报警值（超限采用声光报警）</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6.4输出电压范围: 1000V、 2000V、 3000V  三个量程工作误差≤ ±2%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6.5漏电流（75%Un）显示范围: 20uA 200uA 2mA三个量程工作误差≤ ±2%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6.6 测试恒定电流：0.1mA 1mA  2mA  误差 ≤±2%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6.7测量漏电流时的比例电压自动调整精度：0.75V±0.1</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6.8电压源输出范围：100—3000V 输出电流最大2mA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6.9计算机接口: RS232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6.10可扩展低电压测试量程100V。</w:t>
      </w:r>
    </w:p>
    <w:p>
      <w:pPr>
        <w:pStyle w:val="2"/>
        <w:spacing w:line="360" w:lineRule="auto"/>
        <w:ind w:right="-86" w:rightChars="-41" w:firstLine="240" w:firstLineChars="100"/>
        <w:rPr>
          <w:rFonts w:ascii="宋体" w:hAnsi="宋体" w:cs="宋体"/>
          <w:color w:val="auto"/>
          <w:sz w:val="24"/>
          <w:szCs w:val="24"/>
          <w:highlight w:val="none"/>
        </w:rPr>
      </w:pPr>
    </w:p>
    <w:p>
      <w:pPr>
        <w:pStyle w:val="2"/>
        <w:spacing w:line="360" w:lineRule="auto"/>
        <w:ind w:right="-86" w:rightChars="-41"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b/>
          <w:bCs/>
          <w:color w:val="auto"/>
          <w:w w:val="95"/>
          <w:sz w:val="24"/>
          <w:szCs w:val="24"/>
          <w:highlight w:val="none"/>
        </w:rPr>
        <w:t>电线电缆削片机</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7.1最大工作宽度：≥180mm</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7.2削片速度：≥15m/min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7.3上压辊调节范围：0-15mm</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7.4切片厚度：0.5-2mm</w:t>
      </w:r>
    </w:p>
    <w:p>
      <w:pPr>
        <w:spacing w:line="360" w:lineRule="auto"/>
        <w:ind w:left="624" w:leftChars="200" w:hanging="204" w:hangingChars="85"/>
        <w:rPr>
          <w:rFonts w:ascii="宋体" w:hAnsi="宋体" w:cs="宋体"/>
          <w:color w:val="auto"/>
          <w:sz w:val="24"/>
          <w:highlight w:val="none"/>
        </w:rPr>
      </w:pPr>
      <w:r>
        <w:rPr>
          <w:rFonts w:hint="eastAsia" w:ascii="宋体" w:hAnsi="宋体" w:cs="宋体"/>
          <w:color w:val="auto"/>
          <w:sz w:val="24"/>
          <w:highlight w:val="none"/>
        </w:rPr>
        <w:t>7.5备件：备用钢制刀片1只</w:t>
      </w:r>
    </w:p>
    <w:p>
      <w:pPr>
        <w:pStyle w:val="2"/>
        <w:spacing w:line="360" w:lineRule="auto"/>
        <w:ind w:right="-86" w:rightChars="-41" w:firstLine="240" w:firstLineChars="100"/>
        <w:rPr>
          <w:rFonts w:ascii="宋体" w:hAnsi="宋体" w:cs="宋体"/>
          <w:color w:val="auto"/>
          <w:sz w:val="24"/>
          <w:szCs w:val="24"/>
          <w:highlight w:val="none"/>
        </w:rPr>
      </w:pPr>
    </w:p>
    <w:p>
      <w:pPr>
        <w:spacing w:line="360" w:lineRule="auto"/>
        <w:ind w:right="-86" w:rightChars="-41"/>
        <w:rPr>
          <w:rFonts w:ascii="宋体" w:hAnsi="宋体" w:cs="宋体"/>
          <w:b/>
          <w:bCs/>
          <w:color w:val="auto"/>
          <w:w w:val="95"/>
          <w:sz w:val="24"/>
          <w:highlight w:val="none"/>
        </w:rPr>
      </w:pPr>
      <w:r>
        <w:rPr>
          <w:rFonts w:hint="eastAsia" w:ascii="宋体" w:hAnsi="宋体" w:cs="宋体"/>
          <w:color w:val="auto"/>
          <w:sz w:val="24"/>
          <w:highlight w:val="none"/>
        </w:rPr>
        <w:t>8</w:t>
      </w:r>
      <w:r>
        <w:rPr>
          <w:rFonts w:hint="eastAsia" w:ascii="宋体" w:hAnsi="宋体" w:cs="宋体"/>
          <w:b/>
          <w:bCs/>
          <w:color w:val="auto"/>
          <w:w w:val="95"/>
          <w:sz w:val="24"/>
          <w:highlight w:val="none"/>
        </w:rPr>
        <w:t>插拔耐久试验机</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8.1符合标准：GB20234.1-2015 标准第 7.11 分断能力和 7.12 使用寿命（正常操作）机械动作测试要求；GB/T 11918.1-2014 和 IEC60309-1:2012,MOD 工业用插头插座和耦合器 第 1 部分：通用要求 标准中的第20 章、21 章及 22 章要求；GB∕T 34989-2017 连接器 安全要求和试验</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8.2 装置结构：试验装置为水平放置</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8.3控 制 器：系统采用 5 寸以上触摸屏和可编程序控制器（PLC）逻辑智能控制装置的工作。存储数量约 100 组。</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8.4能力范围：能满足所有 2P+E、3P+E、3P+E+N 等规格、交流额定电流≤250A 或直流≤400A 的插座（插头）产品进行三相或者单相测试。</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★8.5动作速度：插头或连接器插入拔出的速度为（0.1～1）m/S 任意设定</w:t>
      </w:r>
    </w:p>
    <w:p>
      <w:pPr>
        <w:spacing w:line="360" w:lineRule="auto"/>
        <w:ind w:left="624" w:leftChars="200" w:hanging="204" w:hangingChars="85"/>
        <w:rPr>
          <w:rFonts w:ascii="宋体" w:hAnsi="宋体" w:cs="宋体"/>
          <w:color w:val="auto"/>
          <w:sz w:val="24"/>
          <w:highlight w:val="none"/>
        </w:rPr>
      </w:pP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8.6测试速率：插头或连接器插入并从插座或器具输入插座拔出的速率为每分钟 7.5 个行程；</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8.7手动调节：系统带有手动条件按钮；</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8.8电气接触时间： 2s＜t≤ 4s，可微调。</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★8.9驱动系统：采用伺服电机驱动，滚珠丝杆转动和以静音滑轨为导向从而使夹具做左右往复运动，可以提供最大 1000N 的插拔力。</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8.10插拔行程：0～300mm 任意设定（即伺服电机驱动左侧夹具运动的行程），分辨率 0.1mm；</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8.11夹具间距：Max450mm（不含样品），</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8.12夹具基座：上下两侧内外各采用一台直线滑轨，可以确保夹具在运行过程中的直线度和导向结构的强度。</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8.13试验夹具：满足 GB 11918.1-2014 标准图 5 的要求。其中三相插头插座和连接器夹具夹持范围为方形 150mm×150mm，圆形 Φ150mm；单相插头插座和连接器夹具夹持范围为方形 110mm×110mm，圆形 Φ110mm；塑料外壳试样夹具采用金属夹具，金属外壳试样夹具采用非金属夹具，两套夹具根据试样要求可随意更换。</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8.14试验次数：1～999999 次任意设定，计数到达设定值时能自动停机；</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8.15力量检测：</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8.15.1力量范围：500N（产品最大插拔力为 140N）；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8.15.2   准 确 度：1%；</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8.15.3  分 辨 率：0.1N；</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8.15.4传 感 器：美国 Transcell 品牌 S 型传感器；</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8.15.5采样速率：200 次/s；</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8.15.6显示方式：数显；</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8.15.7测量能力：检测每一次动作的插入力和拔出力的峰值，显示屏中记录最近 30 次插拔力的数值，历史数据存在外置的 U 盘中；</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8.15.8报警设定：插入力和拔出力的上下限独立设定，低于和高于设定值时设备有报警提示；</w:t>
      </w:r>
    </w:p>
    <w:p>
      <w:pPr>
        <w:spacing w:line="360" w:lineRule="auto"/>
        <w:ind w:right="-86" w:rightChars="-41"/>
        <w:rPr>
          <w:rFonts w:ascii="宋体" w:hAnsi="宋体" w:cs="宋体"/>
          <w:b/>
          <w:bCs/>
          <w:color w:val="auto"/>
          <w:w w:val="95"/>
          <w:sz w:val="24"/>
          <w:highlight w:val="none"/>
        </w:rPr>
      </w:pPr>
    </w:p>
    <w:p>
      <w:pPr>
        <w:spacing w:line="360" w:lineRule="auto"/>
        <w:ind w:right="-86" w:rightChars="-41"/>
        <w:rPr>
          <w:rFonts w:ascii="宋体" w:hAnsi="宋体" w:cs="宋体"/>
          <w:b/>
          <w:bCs/>
          <w:color w:val="auto"/>
          <w:w w:val="95"/>
          <w:sz w:val="24"/>
          <w:highlight w:val="none"/>
        </w:rPr>
      </w:pPr>
      <w:r>
        <w:rPr>
          <w:rFonts w:hint="eastAsia" w:ascii="宋体" w:hAnsi="宋体" w:cs="宋体"/>
          <w:color w:val="auto"/>
          <w:sz w:val="24"/>
          <w:highlight w:val="none"/>
        </w:rPr>
        <w:t>9</w:t>
      </w:r>
      <w:r>
        <w:rPr>
          <w:rFonts w:hint="eastAsia" w:ascii="宋体" w:hAnsi="宋体" w:cs="宋体"/>
          <w:b/>
          <w:bCs/>
          <w:color w:val="auto"/>
          <w:w w:val="95"/>
          <w:sz w:val="24"/>
          <w:highlight w:val="none"/>
        </w:rPr>
        <w:t>高温压力实验装置</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9.1本装置满足GB2099图41、IEC60884图41（30.1条款）、BS1363图10、GB2951.6标准</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9.2刀片厚度：0.7±0.01㎜；</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9.3负荷：2.5N砝码（如要符合GB2951或IEC811-3-1标准的，则应根据被试电缆的线径大小选择负荷）；</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9.4工位：2位。</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9.5按标准要求截取试样，长度为50～100㎜。</w:t>
      </w:r>
    </w:p>
    <w:p>
      <w:pPr>
        <w:pStyle w:val="2"/>
        <w:spacing w:line="360" w:lineRule="auto"/>
        <w:ind w:right="-86" w:rightChars="-41" w:firstLine="240" w:firstLineChars="100"/>
        <w:rPr>
          <w:rFonts w:ascii="宋体" w:hAnsi="宋体" w:cs="宋体"/>
          <w:color w:val="auto"/>
          <w:sz w:val="24"/>
          <w:szCs w:val="24"/>
          <w:highlight w:val="none"/>
        </w:rPr>
      </w:pPr>
    </w:p>
    <w:p>
      <w:pPr>
        <w:pStyle w:val="2"/>
        <w:spacing w:line="360" w:lineRule="auto"/>
        <w:ind w:right="-86" w:rightChars="-41"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10</w:t>
      </w:r>
      <w:r>
        <w:rPr>
          <w:rFonts w:hint="eastAsia" w:ascii="宋体" w:hAnsi="宋体" w:cs="宋体"/>
          <w:b/>
          <w:bCs/>
          <w:color w:val="auto"/>
          <w:w w:val="95"/>
          <w:sz w:val="24"/>
          <w:szCs w:val="24"/>
          <w:highlight w:val="none"/>
        </w:rPr>
        <w:t>耦合器加热试验装置</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10.1满足 IEC60320-1:2007 / GB17465.1-2009 标准第18.2章节、图13要求设计制造，用于测试连接器插入试验装置的器具输入插座上，历时4d（96h），在试验期间，软线线芯的分离点的温升不应超过 50K。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10.2试验温度：常温～190℃ 可预置；</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10.3试验时间：0.01S～99h99m 可预置；</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10.4试验工位：6 工位</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10.5器具输入插座（6个）： 对于10A连接器（4个）：器具输入插座是暗装式，并有一个绝缘材料的外壳；对于16A连接器（2个）：器具输入插座是明装式，并有一个金属外壳。</w:t>
      </w:r>
    </w:p>
    <w:p>
      <w:pPr>
        <w:spacing w:line="360" w:lineRule="auto"/>
        <w:ind w:left="624" w:leftChars="200" w:hanging="204" w:hangingChars="85"/>
        <w:rPr>
          <w:rFonts w:ascii="宋体" w:hAnsi="宋体" w:cs="宋体"/>
          <w:color w:val="auto"/>
          <w:sz w:val="24"/>
          <w:highlight w:val="none"/>
        </w:rPr>
      </w:pPr>
      <w:r>
        <w:rPr>
          <w:rFonts w:hint="eastAsia" w:ascii="宋体" w:hAnsi="宋体" w:cs="宋体"/>
          <w:color w:val="auto"/>
          <w:sz w:val="24"/>
          <w:highlight w:val="none"/>
        </w:rPr>
        <w:t>10.6控温方式：PID 智能温控仪控温。</w:t>
      </w:r>
    </w:p>
    <w:p>
      <w:pPr>
        <w:pStyle w:val="2"/>
        <w:spacing w:line="360" w:lineRule="auto"/>
        <w:ind w:right="-86" w:rightChars="-41" w:firstLine="240" w:firstLineChars="100"/>
        <w:rPr>
          <w:rFonts w:ascii="宋体" w:hAnsi="宋体" w:cs="宋体"/>
          <w:color w:val="auto"/>
          <w:sz w:val="24"/>
          <w:szCs w:val="24"/>
          <w:highlight w:val="none"/>
        </w:rPr>
      </w:pPr>
    </w:p>
    <w:p>
      <w:pPr>
        <w:pStyle w:val="2"/>
        <w:spacing w:line="360" w:lineRule="auto"/>
        <w:ind w:right="-86" w:rightChars="-41" w:firstLine="229" w:firstLineChars="100"/>
        <w:rPr>
          <w:rFonts w:ascii="宋体" w:hAnsi="宋体" w:cs="宋体"/>
          <w:color w:val="auto"/>
          <w:sz w:val="24"/>
          <w:szCs w:val="24"/>
          <w:highlight w:val="none"/>
        </w:rPr>
      </w:pPr>
      <w:r>
        <w:rPr>
          <w:rFonts w:hint="eastAsia" w:ascii="宋体" w:hAnsi="宋体" w:cs="宋体"/>
          <w:b/>
          <w:bCs/>
          <w:color w:val="auto"/>
          <w:w w:val="95"/>
          <w:sz w:val="24"/>
          <w:szCs w:val="24"/>
          <w:highlight w:val="none"/>
        </w:rPr>
        <w:t>11高低温湿热试验箱</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★11.1容积、尺寸和重量：标称内容积</w:t>
      </w:r>
      <w:r>
        <w:rPr>
          <w:rFonts w:hint="eastAsia" w:ascii="宋体" w:hAnsi="宋体" w:cs="宋体"/>
          <w:color w:val="auto"/>
          <w:sz w:val="24"/>
          <w:highlight w:val="none"/>
        </w:rPr>
        <w:tab/>
      </w:r>
      <w:r>
        <w:rPr>
          <w:rFonts w:hint="eastAsia" w:ascii="宋体" w:hAnsi="宋体" w:cs="宋体"/>
          <w:color w:val="auto"/>
          <w:sz w:val="24"/>
          <w:highlight w:val="none"/>
        </w:rPr>
        <w:t>≥950，内箱尺寸：≥W1000mm×H950mm×D1000mm</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11.2性能指标</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11.2.1满足测试方法</w:t>
      </w:r>
      <w:r>
        <w:rPr>
          <w:rFonts w:hint="eastAsia" w:ascii="宋体" w:hAnsi="宋体" w:cs="宋体"/>
          <w:color w:val="auto"/>
          <w:sz w:val="24"/>
          <w:highlight w:val="none"/>
        </w:rPr>
        <w:tab/>
      </w:r>
      <w:r>
        <w:rPr>
          <w:rFonts w:hint="eastAsia" w:ascii="宋体" w:hAnsi="宋体" w:cs="宋体"/>
          <w:color w:val="auto"/>
          <w:sz w:val="24"/>
          <w:highlight w:val="none"/>
        </w:rPr>
        <w:t>GB/T 5170.2-2017 温度试验设备,GB/T 5170.5-2016 湿热试验设备</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★11.2.2温度范围</w:t>
      </w:r>
      <w:r>
        <w:rPr>
          <w:rFonts w:hint="eastAsia" w:ascii="宋体" w:hAnsi="宋体" w:cs="宋体"/>
          <w:color w:val="auto"/>
          <w:sz w:val="24"/>
          <w:highlight w:val="none"/>
        </w:rPr>
        <w:tab/>
      </w:r>
      <w:r>
        <w:rPr>
          <w:rFonts w:hint="eastAsia" w:ascii="宋体" w:hAnsi="宋体" w:cs="宋体"/>
          <w:color w:val="auto"/>
          <w:sz w:val="24"/>
          <w:highlight w:val="none"/>
        </w:rPr>
        <w:t>-80℃～+150℃</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11.2.3温度波动度</w:t>
      </w:r>
      <w:r>
        <w:rPr>
          <w:rFonts w:hint="eastAsia" w:ascii="宋体" w:hAnsi="宋体" w:cs="宋体"/>
          <w:color w:val="auto"/>
          <w:sz w:val="24"/>
          <w:highlight w:val="none"/>
        </w:rPr>
        <w:tab/>
      </w:r>
      <w:r>
        <w:rPr>
          <w:rFonts w:hint="eastAsia" w:ascii="宋体" w:hAnsi="宋体" w:cs="宋体"/>
          <w:color w:val="auto"/>
          <w:sz w:val="24"/>
          <w:highlight w:val="none"/>
        </w:rPr>
        <w:t>0.5℃（如按GB/T 5170.2-1996表示，则为±0.25℃）</w:t>
      </w:r>
    </w:p>
    <w:p>
      <w:pPr>
        <w:spacing w:line="360" w:lineRule="auto"/>
        <w:ind w:left="621" w:leftChars="104" w:right="-86" w:rightChars="-41" w:hanging="403" w:hangingChars="168"/>
        <w:rPr>
          <w:rFonts w:ascii="宋体" w:hAnsi="宋体" w:cs="宋体"/>
          <w:color w:val="auto"/>
          <w:sz w:val="24"/>
          <w:highlight w:val="none"/>
        </w:rPr>
      </w:pPr>
      <w:r>
        <w:rPr>
          <w:rFonts w:hint="eastAsia" w:ascii="宋体" w:hAnsi="宋体" w:cs="宋体"/>
          <w:color w:val="auto"/>
          <w:sz w:val="24"/>
          <w:highlight w:val="none"/>
        </w:rPr>
        <w:t>★11.2.4温度偏差</w:t>
      </w:r>
      <w:r>
        <w:rPr>
          <w:rFonts w:hint="eastAsia" w:ascii="宋体" w:hAnsi="宋体" w:cs="宋体"/>
          <w:color w:val="auto"/>
          <w:sz w:val="24"/>
          <w:highlight w:val="none"/>
        </w:rPr>
        <w:tab/>
      </w:r>
      <w:r>
        <w:rPr>
          <w:rFonts w:hint="eastAsia" w:ascii="宋体" w:hAnsi="宋体" w:cs="宋体"/>
          <w:color w:val="auto"/>
          <w:sz w:val="24"/>
          <w:highlight w:val="none"/>
        </w:rPr>
        <w:t>≤±2℃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11.2.5温度均匀度</w:t>
      </w:r>
      <w:r>
        <w:rPr>
          <w:rFonts w:hint="eastAsia" w:ascii="宋体" w:hAnsi="宋体" w:cs="宋体"/>
          <w:color w:val="auto"/>
          <w:sz w:val="24"/>
          <w:highlight w:val="none"/>
        </w:rPr>
        <w:tab/>
      </w:r>
      <w:r>
        <w:rPr>
          <w:rFonts w:hint="eastAsia" w:ascii="宋体" w:hAnsi="宋体" w:cs="宋体"/>
          <w:color w:val="auto"/>
          <w:sz w:val="24"/>
          <w:highlight w:val="none"/>
        </w:rPr>
        <w:t>1.0℃（湿热试验，湿度&gt;90%RH时）1.5℃（温度&lt;100℃时）2.0℃ (其他条件且无附加玻璃门时)</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11.2.6升温时间</w:t>
      </w:r>
      <w:r>
        <w:rPr>
          <w:rFonts w:hint="eastAsia" w:ascii="宋体" w:hAnsi="宋体" w:cs="宋体"/>
          <w:color w:val="auto"/>
          <w:sz w:val="24"/>
          <w:highlight w:val="none"/>
        </w:rPr>
        <w:tab/>
      </w:r>
      <w:r>
        <w:rPr>
          <w:rFonts w:hint="eastAsia" w:ascii="宋体" w:hAnsi="宋体" w:cs="宋体"/>
          <w:color w:val="auto"/>
          <w:sz w:val="24"/>
          <w:highlight w:val="none"/>
        </w:rPr>
        <w:t>：-70℃ →+150℃: 50min 以内</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11.2.7降温时间</w:t>
      </w:r>
      <w:r>
        <w:rPr>
          <w:rFonts w:hint="eastAsia" w:ascii="宋体" w:hAnsi="宋体" w:cs="宋体"/>
          <w:color w:val="auto"/>
          <w:sz w:val="24"/>
          <w:highlight w:val="none"/>
        </w:rPr>
        <w:tab/>
      </w:r>
      <w:r>
        <w:rPr>
          <w:rFonts w:hint="eastAsia" w:ascii="宋体" w:hAnsi="宋体" w:cs="宋体"/>
          <w:color w:val="auto"/>
          <w:sz w:val="24"/>
          <w:highlight w:val="none"/>
        </w:rPr>
        <w:t>：+20℃ →-70℃: 70min 以内</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11.2.7湿度范围</w:t>
      </w:r>
      <w:r>
        <w:rPr>
          <w:rFonts w:hint="eastAsia" w:ascii="宋体" w:hAnsi="宋体" w:cs="宋体"/>
          <w:color w:val="auto"/>
          <w:sz w:val="24"/>
          <w:highlight w:val="none"/>
        </w:rPr>
        <w:tab/>
      </w:r>
      <w:r>
        <w:rPr>
          <w:rFonts w:hint="eastAsia" w:ascii="宋体" w:hAnsi="宋体" w:cs="宋体"/>
          <w:color w:val="auto"/>
          <w:sz w:val="24"/>
          <w:highlight w:val="none"/>
        </w:rPr>
        <w:t>（20～98）%RH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11.2.8相对湿度偏差</w:t>
      </w:r>
      <w:r>
        <w:rPr>
          <w:rFonts w:hint="eastAsia" w:ascii="宋体" w:hAnsi="宋体" w:cs="宋体"/>
          <w:color w:val="auto"/>
          <w:sz w:val="24"/>
          <w:highlight w:val="none"/>
        </w:rPr>
        <w:tab/>
      </w:r>
      <w:r>
        <w:rPr>
          <w:rFonts w:hint="eastAsia" w:ascii="宋体" w:hAnsi="宋体" w:cs="宋体"/>
          <w:color w:val="auto"/>
          <w:sz w:val="24"/>
          <w:highlight w:val="none"/>
        </w:rPr>
        <w:t>±2.0%RH（湿度＞75%RH时）</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11.2.9满足试验方法</w:t>
      </w:r>
      <w:r>
        <w:rPr>
          <w:rFonts w:hint="eastAsia" w:ascii="宋体" w:hAnsi="宋体" w:cs="宋体"/>
          <w:color w:val="auto"/>
          <w:sz w:val="24"/>
          <w:highlight w:val="none"/>
        </w:rPr>
        <w:tab/>
      </w:r>
      <w:r>
        <w:rPr>
          <w:rFonts w:hint="eastAsia" w:ascii="宋体" w:hAnsi="宋体" w:cs="宋体"/>
          <w:color w:val="auto"/>
          <w:sz w:val="24"/>
          <w:highlight w:val="none"/>
        </w:rPr>
        <w:t>GB/T 2423.1-2008(IEC60068-2-1:2007) 试验Ab：低温GB/T 2423.2-2008(IEC60068-2-2:2007) 试验Bb：高温GJB 150.3A-2009 高温试验GJB 150.4A-2009 低温试验GB/T 2423.3-2016(IEC60068-2-78:2012)试验Cab：恒定湿热GB/T 2423.4-2008(IEC60068-2-30:2005)试验Db：交变湿热GJB 150.9A-2009 湿热试验</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11.3结构特征 保外壁材料：双面镀锌钢板，表面喷塑处理；内壁材料：不锈钢板SUS304 ；箱体保温材料：硬质聚氨酯泡沫+玻璃纤维；门保温材料：玻璃纤维</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11.4试验箱标准配置 观察窗：透明电热膜防凝露中空钢化玻璃1窗；照明灯(LED光源)： 1个（位于门上）；引线孔：φ100mm 2个（箱体左、右侧各1个）；样品架：不锈钢样品架2层，承重（均布）40kg/层（总承载不超过：150kg）；脚轮：4个(带调整脚)</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11.5接口硬件RS-485，物理接口RJ-45，以太网物理接口，试样电源控制端子。</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11.6加热器</w:t>
      </w:r>
      <w:r>
        <w:rPr>
          <w:rFonts w:hint="eastAsia" w:ascii="宋体" w:hAnsi="宋体" w:cs="宋体"/>
          <w:color w:val="auto"/>
          <w:sz w:val="24"/>
          <w:highlight w:val="none"/>
        </w:rPr>
        <w:tab/>
      </w:r>
      <w:r>
        <w:rPr>
          <w:rFonts w:hint="eastAsia" w:ascii="宋体" w:hAnsi="宋体" w:cs="宋体"/>
          <w:color w:val="auto"/>
          <w:sz w:val="24"/>
          <w:highlight w:val="none"/>
        </w:rPr>
        <w:t>加热器控制方式：无触点等周期脉冲调宽，SSR（固态继电器）加热器的功率：3kW×2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11.7加湿器</w:t>
      </w:r>
      <w:r>
        <w:rPr>
          <w:rFonts w:hint="eastAsia" w:ascii="宋体" w:hAnsi="宋体" w:cs="宋体"/>
          <w:color w:val="auto"/>
          <w:sz w:val="24"/>
          <w:highlight w:val="none"/>
        </w:rPr>
        <w:tab/>
      </w:r>
      <w:r>
        <w:rPr>
          <w:rFonts w:hint="eastAsia" w:ascii="宋体" w:hAnsi="宋体" w:cs="宋体"/>
          <w:color w:val="auto"/>
          <w:sz w:val="24"/>
          <w:highlight w:val="none"/>
        </w:rPr>
        <w:t xml:space="preserve"> 加热器形式：不锈钢铠装加热器加热；器控制方式：无触点等周期脉冲调宽，SSR（固态继电器）；水位控制装置，加热器防干烧装置；加湿器的功率：2kW×2</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11.8控制器要求</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11.8.1运行方式：程序方式、定值方式</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11.8.2设定方式：触摸屏方式,中英文菜单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11.8.3程序容量：可编辑程序</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11.8.4设定范围：温度：根据设备的温度工作范围调整(上限+5℃，下限-5℃)，湿度：（0～100）％RH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11.8.5设定及显示分辨率：温度：0.1℃，时间：0.1min，湿度：0.1％RH</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11.8.6输入：热电偶/铂电阻/电压/电流等），具有本地和远程通讯功能，最多可同时连接多台设备</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11.8.7曲线记录功能，具有带电池保护的RAM，可保存设备的设定值、采样值及采样时刻的时间；</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 xml:space="preserve">11.8.8兼容系统：英文，简体或繁体中文Windows XP、Windows 7、Windows 8（32位/64位）  </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11.8.9保护功能 断电保护功能，上下限温度保护功能，日历定时功能(自动启动及自动停止运行)，自诊断功能。</w:t>
      </w:r>
    </w:p>
    <w:p>
      <w:pPr>
        <w:spacing w:line="360" w:lineRule="auto"/>
        <w:ind w:left="624" w:leftChars="200" w:right="-86" w:rightChars="-41" w:hanging="204" w:hangingChars="85"/>
        <w:rPr>
          <w:rFonts w:ascii="宋体" w:hAnsi="宋体" w:cs="宋体"/>
          <w:color w:val="auto"/>
          <w:sz w:val="24"/>
          <w:highlight w:val="none"/>
        </w:rPr>
      </w:pPr>
      <w:r>
        <w:rPr>
          <w:rFonts w:hint="eastAsia" w:ascii="宋体" w:hAnsi="宋体" w:cs="宋体"/>
          <w:color w:val="auto"/>
          <w:sz w:val="24"/>
          <w:highlight w:val="none"/>
        </w:rPr>
        <w:t>11.9空气调节通道</w:t>
      </w:r>
      <w:r>
        <w:rPr>
          <w:rFonts w:hint="eastAsia" w:ascii="宋体" w:hAnsi="宋体" w:cs="宋体"/>
          <w:color w:val="auto"/>
          <w:sz w:val="24"/>
          <w:highlight w:val="none"/>
        </w:rPr>
        <w:tab/>
      </w:r>
      <w:r>
        <w:rPr>
          <w:rFonts w:hint="eastAsia" w:ascii="宋体" w:hAnsi="宋体" w:cs="宋体"/>
          <w:color w:val="auto"/>
          <w:sz w:val="24"/>
          <w:highlight w:val="none"/>
        </w:rPr>
        <w:t>离心风机：4个，加热器、蒸发器、给排水口、干球温度传感器，加湿器、干烧防止器、湿球温度传感器、湿球水槽。</w:t>
      </w:r>
    </w:p>
    <w:p>
      <w:pPr>
        <w:pStyle w:val="2"/>
        <w:rPr>
          <w:color w:val="auto"/>
          <w:highlight w:val="none"/>
        </w:rPr>
      </w:pPr>
    </w:p>
    <w:p>
      <w:pPr>
        <w:tabs>
          <w:tab w:val="left" w:pos="540"/>
        </w:tabs>
        <w:spacing w:before="50" w:after="50" w:line="360" w:lineRule="auto"/>
        <w:outlineLvl w:val="3"/>
        <w:rPr>
          <w:rFonts w:ascii="宋体" w:hAnsi="宋体" w:cs="宋体"/>
          <w:b/>
          <w:color w:val="auto"/>
          <w:kern w:val="0"/>
          <w:sz w:val="24"/>
          <w:highlight w:val="none"/>
        </w:rPr>
      </w:pPr>
      <w:bookmarkStart w:id="491" w:name="_Toc492911424"/>
      <w:bookmarkStart w:id="492" w:name="_Toc492911428"/>
      <w:r>
        <w:rPr>
          <w:rFonts w:hint="eastAsia" w:ascii="宋体" w:hAnsi="宋体" w:cs="宋体"/>
          <w:b/>
          <w:color w:val="auto"/>
          <w:kern w:val="0"/>
          <w:sz w:val="24"/>
          <w:highlight w:val="none"/>
        </w:rPr>
        <w:t>三、设备供货要求</w:t>
      </w:r>
      <w:bookmarkEnd w:id="491"/>
    </w:p>
    <w:p>
      <w:pPr>
        <w:spacing w:line="360" w:lineRule="auto"/>
        <w:rPr>
          <w:rFonts w:ascii="宋体" w:hAnsi="宋体" w:cs="宋体"/>
          <w:color w:val="auto"/>
          <w:sz w:val="24"/>
          <w:highlight w:val="none"/>
        </w:rPr>
      </w:pPr>
      <w:r>
        <w:rPr>
          <w:rFonts w:hint="eastAsia" w:ascii="宋体" w:hAnsi="宋体" w:cs="宋体"/>
          <w:color w:val="auto"/>
          <w:sz w:val="24"/>
          <w:highlight w:val="none"/>
        </w:rPr>
        <w:t>3.1 投标人应在明细表中详细列出设备及其组件的明细（名称、规格型号、标准、材质、数量、重量、单价、制造商等），以及提供的技术服务范围。</w:t>
      </w:r>
    </w:p>
    <w:p>
      <w:pPr>
        <w:spacing w:line="360" w:lineRule="auto"/>
        <w:rPr>
          <w:rFonts w:ascii="宋体" w:hAnsi="宋体" w:cs="宋体"/>
          <w:color w:val="auto"/>
          <w:sz w:val="24"/>
          <w:highlight w:val="none"/>
        </w:rPr>
      </w:pPr>
      <w:r>
        <w:rPr>
          <w:rFonts w:hint="eastAsia" w:ascii="宋体" w:hAnsi="宋体" w:cs="宋体"/>
          <w:color w:val="auto"/>
          <w:sz w:val="24"/>
          <w:highlight w:val="none"/>
        </w:rPr>
        <w:t>3.2投标人应详细提供供货设备、配套件、特殊材料、随主机附件、特殊工器具的内容。</w:t>
      </w:r>
    </w:p>
    <w:p>
      <w:pPr>
        <w:spacing w:line="360" w:lineRule="auto"/>
        <w:rPr>
          <w:rFonts w:ascii="宋体" w:hAnsi="宋体" w:cs="宋体"/>
          <w:color w:val="auto"/>
          <w:sz w:val="24"/>
          <w:highlight w:val="none"/>
        </w:rPr>
      </w:pPr>
      <w:r>
        <w:rPr>
          <w:rFonts w:hint="eastAsia" w:ascii="宋体" w:hAnsi="宋体" w:cs="宋体"/>
          <w:color w:val="auto"/>
          <w:sz w:val="24"/>
          <w:highlight w:val="none"/>
        </w:rPr>
        <w:t>3.3 按照由投标人对所供设备进行技术总负责的原则，投标人应对设备设计、制造、供货、安装，调试、指导负责。并注明各项设备图纸的最终交付时间，设备、配套件、特殊材料、特殊工器具的交付时间和批次。</w:t>
      </w:r>
    </w:p>
    <w:p>
      <w:pPr>
        <w:pStyle w:val="2"/>
        <w:rPr>
          <w:color w:val="auto"/>
          <w:highlight w:val="none"/>
        </w:rPr>
      </w:pPr>
    </w:p>
    <w:p>
      <w:pPr>
        <w:tabs>
          <w:tab w:val="left" w:pos="540"/>
        </w:tabs>
        <w:spacing w:before="50" w:after="50" w:line="360" w:lineRule="auto"/>
        <w:outlineLvl w:val="3"/>
        <w:rPr>
          <w:rFonts w:ascii="宋体" w:hAnsi="宋体" w:cs="宋体"/>
          <w:b/>
          <w:color w:val="auto"/>
          <w:kern w:val="0"/>
          <w:sz w:val="24"/>
          <w:highlight w:val="none"/>
        </w:rPr>
      </w:pPr>
      <w:r>
        <w:rPr>
          <w:rFonts w:hint="eastAsia" w:ascii="宋体" w:hAnsi="宋体" w:cs="宋体"/>
          <w:b/>
          <w:color w:val="auto"/>
          <w:kern w:val="0"/>
          <w:sz w:val="24"/>
          <w:highlight w:val="none"/>
        </w:rPr>
        <w:t>四、投标人的设备供货责任</w:t>
      </w:r>
    </w:p>
    <w:p>
      <w:pPr>
        <w:pStyle w:val="146"/>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4.1 保证设计供货设备的正确性、完整性、可靠性和技术先进性。</w:t>
      </w:r>
    </w:p>
    <w:p>
      <w:pPr>
        <w:pStyle w:val="146"/>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4.2 保证在约定的时间内完成设计、制造及供货。</w:t>
      </w:r>
    </w:p>
    <w:p>
      <w:pPr>
        <w:pStyle w:val="146"/>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4.3 按照要求提供有关的设计资料和图纸。</w:t>
      </w:r>
    </w:p>
    <w:p>
      <w:pPr>
        <w:pStyle w:val="146"/>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4.4 提供供货设备在制造、安装、调试、试生产过程中必要的技术服务。</w:t>
      </w:r>
    </w:p>
    <w:p>
      <w:pPr>
        <w:pStyle w:val="146"/>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4.5 在调试期间和质保期内，投标人所供设备元件如发生质量问题由投标人负责维修或更换。</w:t>
      </w:r>
      <w:bookmarkStart w:id="493" w:name="_Toc492911426"/>
    </w:p>
    <w:p>
      <w:pPr>
        <w:pStyle w:val="146"/>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4.6 投标人需向招标方提供一套有关投标人供货范围的技术文件。</w:t>
      </w:r>
      <w:bookmarkEnd w:id="493"/>
      <w:bookmarkStart w:id="494" w:name="_Toc492911427"/>
      <w:r>
        <w:rPr>
          <w:rFonts w:hint="eastAsia" w:ascii="宋体" w:hAnsi="宋体" w:cs="宋体"/>
          <w:color w:val="auto"/>
          <w:sz w:val="24"/>
          <w:highlight w:val="none"/>
        </w:rPr>
        <w:t>技术文件的交付内容必须涵盖有关设计、供货、设计联络、制造标准、设备检验、设备安装、调试、检验、竣工验收以及操作使用维护说明等资料。技术文件的交付时间必须满足于商定的工程进度表的总体及各分项工期要求。</w:t>
      </w:r>
      <w:bookmarkEnd w:id="494"/>
    </w:p>
    <w:p>
      <w:pPr>
        <w:pStyle w:val="146"/>
        <w:spacing w:line="360" w:lineRule="auto"/>
        <w:ind w:firstLine="0" w:firstLineChars="0"/>
        <w:rPr>
          <w:rFonts w:ascii="宋体" w:hAnsi="宋体" w:cs="宋体"/>
          <w:color w:val="auto"/>
          <w:sz w:val="24"/>
          <w:highlight w:val="none"/>
        </w:rPr>
      </w:pPr>
    </w:p>
    <w:bookmarkEnd w:id="492"/>
    <w:p>
      <w:pPr>
        <w:pStyle w:val="144"/>
        <w:ind w:firstLine="0" w:firstLineChars="0"/>
        <w:jc w:val="both"/>
        <w:rPr>
          <w:rFonts w:ascii="宋体" w:hAnsi="宋体"/>
          <w:color w:val="auto"/>
          <w:sz w:val="24"/>
          <w:szCs w:val="24"/>
          <w:highlight w:val="none"/>
        </w:rPr>
      </w:pPr>
      <w:bookmarkStart w:id="495" w:name="_Toc485388927"/>
      <w:bookmarkStart w:id="496" w:name="_Toc510950669"/>
      <w:r>
        <w:rPr>
          <w:rFonts w:hint="eastAsia" w:ascii="宋体" w:hAnsi="宋体"/>
          <w:color w:val="auto"/>
          <w:sz w:val="24"/>
          <w:szCs w:val="24"/>
          <w:highlight w:val="none"/>
        </w:rPr>
        <w:t>五、测试与验收要求</w:t>
      </w:r>
      <w:bookmarkEnd w:id="495"/>
      <w:bookmarkEnd w:id="496"/>
    </w:p>
    <w:p>
      <w:pPr>
        <w:pStyle w:val="146"/>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各项目的验收按照“技术要求”中所提的指标及功能进行计量，计量合格后方可以通过验收，考核结果不合格的产品须无条件更换。</w:t>
      </w:r>
    </w:p>
    <w:p>
      <w:pPr>
        <w:pStyle w:val="146"/>
        <w:spacing w:line="360" w:lineRule="auto"/>
        <w:ind w:firstLine="480"/>
        <w:rPr>
          <w:rFonts w:ascii="宋体" w:hAnsi="宋体" w:cs="宋体"/>
          <w:color w:val="auto"/>
          <w:sz w:val="24"/>
          <w:highlight w:val="none"/>
        </w:rPr>
      </w:pPr>
    </w:p>
    <w:p>
      <w:pPr>
        <w:pStyle w:val="144"/>
        <w:ind w:firstLine="118" w:firstLineChars="49"/>
        <w:jc w:val="both"/>
        <w:rPr>
          <w:rFonts w:ascii="宋体" w:hAnsi="宋体"/>
          <w:color w:val="auto"/>
          <w:sz w:val="24"/>
          <w:szCs w:val="24"/>
          <w:highlight w:val="none"/>
        </w:rPr>
      </w:pPr>
      <w:bookmarkStart w:id="497" w:name="_Toc455593390"/>
      <w:bookmarkEnd w:id="497"/>
      <w:bookmarkStart w:id="498" w:name="_Toc510950670"/>
      <w:bookmarkStart w:id="499" w:name="_Toc485388928"/>
      <w:r>
        <w:rPr>
          <w:rFonts w:hint="eastAsia" w:ascii="宋体" w:hAnsi="宋体"/>
          <w:color w:val="auto"/>
          <w:sz w:val="24"/>
          <w:szCs w:val="24"/>
          <w:highlight w:val="none"/>
        </w:rPr>
        <w:t>六、安装调试要求</w:t>
      </w:r>
      <w:bookmarkEnd w:id="498"/>
      <w:bookmarkEnd w:id="499"/>
    </w:p>
    <w:p>
      <w:pPr>
        <w:spacing w:line="360" w:lineRule="auto"/>
        <w:ind w:left="493"/>
        <w:rPr>
          <w:rFonts w:ascii="宋体" w:hAnsi="宋体" w:cs="宋体"/>
          <w:b/>
          <w:bCs/>
          <w:color w:val="auto"/>
          <w:sz w:val="24"/>
          <w:highlight w:val="none"/>
        </w:rPr>
      </w:pPr>
      <w:r>
        <w:rPr>
          <w:rFonts w:hint="eastAsia" w:ascii="宋体" w:hAnsi="宋体" w:cs="宋体"/>
          <w:b/>
          <w:bCs/>
          <w:color w:val="auto"/>
          <w:sz w:val="24"/>
          <w:highlight w:val="none"/>
        </w:rPr>
        <w:t>6.1 交货期</w:t>
      </w:r>
    </w:p>
    <w:p>
      <w:pPr>
        <w:pStyle w:val="146"/>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合同签订后120天内。</w:t>
      </w:r>
    </w:p>
    <w:p>
      <w:pPr>
        <w:spacing w:line="360" w:lineRule="auto"/>
        <w:ind w:left="493"/>
        <w:rPr>
          <w:rFonts w:ascii="宋体" w:hAnsi="宋体" w:cs="宋体"/>
          <w:b/>
          <w:bCs/>
          <w:color w:val="auto"/>
          <w:sz w:val="24"/>
          <w:highlight w:val="none"/>
        </w:rPr>
      </w:pPr>
      <w:r>
        <w:rPr>
          <w:rFonts w:hint="eastAsia" w:ascii="宋体" w:hAnsi="宋体" w:cs="宋体"/>
          <w:b/>
          <w:bCs/>
          <w:color w:val="auto"/>
          <w:sz w:val="24"/>
          <w:highlight w:val="none"/>
        </w:rPr>
        <w:t>6.2 设备安装调试</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6.2.1 设备到达用户所在地，供货方接到用户通知后，应在1周内安排安装工程师到用户指定的地点进行安装调试，直至达到验收指标。</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6.2.2 仪器的安装调试应在7个工作日内完成。</w:t>
      </w:r>
    </w:p>
    <w:p>
      <w:pPr>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6.3 技术培训</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6.3.1 为保证供货方所提供的仪器设备安全、可靠运行，便于招标方的运行维护，必须对使用方培训合格的维护和管理人员。</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6.3.2 当设备安装调试完成之后，供货方需安排工程师在用户现场对用户进行第一次至少1天的培训；培训内容包括仪器的工作原理、操作技能、数据处理、维护常识等费用应包含在投标总价中。</w:t>
      </w:r>
    </w:p>
    <w:p>
      <w:pPr>
        <w:spacing w:line="360" w:lineRule="auto"/>
        <w:ind w:firstLine="480"/>
        <w:rPr>
          <w:rFonts w:ascii="宋体" w:hAnsi="宋体" w:cs="宋体"/>
          <w:color w:val="auto"/>
          <w:sz w:val="24"/>
          <w:highlight w:val="none"/>
        </w:rPr>
      </w:pPr>
    </w:p>
    <w:p>
      <w:pPr>
        <w:pStyle w:val="144"/>
        <w:ind w:firstLine="118" w:firstLineChars="49"/>
        <w:jc w:val="both"/>
        <w:rPr>
          <w:rFonts w:ascii="宋体" w:hAnsi="宋体"/>
          <w:color w:val="auto"/>
          <w:sz w:val="24"/>
          <w:szCs w:val="24"/>
          <w:highlight w:val="none"/>
        </w:rPr>
      </w:pPr>
      <w:bookmarkStart w:id="500" w:name="_Toc455593391"/>
      <w:bookmarkEnd w:id="500"/>
      <w:bookmarkStart w:id="501" w:name="_Toc485388929"/>
      <w:bookmarkStart w:id="502" w:name="_Toc510950671"/>
      <w:r>
        <w:rPr>
          <w:rFonts w:hint="eastAsia" w:ascii="宋体" w:hAnsi="宋体"/>
          <w:color w:val="auto"/>
          <w:sz w:val="24"/>
          <w:szCs w:val="24"/>
          <w:highlight w:val="none"/>
        </w:rPr>
        <w:t>七、售后服务要求</w:t>
      </w:r>
      <w:bookmarkEnd w:id="501"/>
      <w:bookmarkEnd w:id="502"/>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7.1 保修期：保修期自验收完成签字之日起计算，提供1年以上的保修，常年供应消耗品及仪器零配件，供货方应在接到通知后24小时内派工程师到达现场，提供服务。此期间内若保修机件损坏，投标人应更换损坏的零部件，在保修期内，零配件、旅差和人工费等费用应包含在投标总价中。</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7.2 供货方需为本投标项目配备足够的售后服务力量，请说明技术支持的网点和资质，技术支持人员数量及素质。</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7.3 供货方提供邮箱、热线电话技术支持，并且在2小时内回复，费用应包含在投标总价中。</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7.4 软件提供终身升级（费用应包含在投标总价中）。</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7.5 供货方售后服务响应时间：在接到用户维修请求后，应在2小时内做出快速响应，并能在24小时内到达现场。重大问题或其它一时无法迅速解决的问题应在7个工作日内提出明确解决方案。</w:t>
      </w:r>
    </w:p>
    <w:p>
      <w:pPr>
        <w:spacing w:line="360" w:lineRule="auto"/>
        <w:ind w:firstLine="420" w:firstLineChars="175"/>
        <w:rPr>
          <w:rFonts w:hAnsi="宋体"/>
          <w:color w:val="auto"/>
          <w:sz w:val="24"/>
          <w:highlight w:val="none"/>
        </w:rPr>
      </w:pPr>
      <w:r>
        <w:rPr>
          <w:rFonts w:hint="eastAsia" w:ascii="宋体" w:hAnsi="宋体" w:cs="宋体"/>
          <w:color w:val="auto"/>
          <w:sz w:val="24"/>
          <w:highlight w:val="none"/>
        </w:rPr>
        <w:t>7.6 供货方提供该设备的技术使用说明书及外购配件仪器说明书，并指导在使用该设备时的操作注意事项等。提供用户现场安装调试。安装、调试将由供货方服务工程师完成，并进行操作试验，直至运行正常，满足技术要求的各项指标，为验收合格。用户技术人员全程参与（费用应包含在投标总价中）。</w:t>
      </w:r>
      <w:r>
        <w:rPr>
          <w:rFonts w:hAnsi="宋体"/>
          <w:color w:val="auto"/>
          <w:sz w:val="24"/>
          <w:highlight w:val="none"/>
        </w:rPr>
        <w:br w:type="page"/>
      </w:r>
    </w:p>
    <w:p>
      <w:pPr>
        <w:pStyle w:val="3"/>
        <w:spacing w:before="0" w:after="0" w:line="240" w:lineRule="atLeast"/>
        <w:rPr>
          <w:rFonts w:hAnsi="宋体"/>
          <w:color w:val="auto"/>
          <w:kern w:val="2"/>
          <w:highlight w:val="none"/>
        </w:rPr>
      </w:pPr>
      <w:bookmarkStart w:id="503" w:name="_Toc11447"/>
      <w:r>
        <w:rPr>
          <w:rFonts w:hint="eastAsia" w:hAnsi="宋体"/>
          <w:color w:val="auto"/>
          <w:kern w:val="2"/>
          <w:highlight w:val="none"/>
        </w:rPr>
        <w:t>第七章  评标办法</w:t>
      </w:r>
      <w:bookmarkEnd w:id="503"/>
    </w:p>
    <w:p>
      <w:pPr>
        <w:pStyle w:val="17"/>
        <w:tabs>
          <w:tab w:val="clear" w:pos="567"/>
        </w:tabs>
        <w:spacing w:before="0" w:line="240" w:lineRule="atLeast"/>
        <w:ind w:firstLine="540" w:firstLineChars="225"/>
        <w:rPr>
          <w:color w:val="auto"/>
          <w:highlight w:val="none"/>
        </w:rPr>
      </w:pPr>
    </w:p>
    <w:p>
      <w:pPr>
        <w:pStyle w:val="17"/>
        <w:tabs>
          <w:tab w:val="clear" w:pos="567"/>
        </w:tabs>
        <w:spacing w:before="0" w:line="360" w:lineRule="auto"/>
        <w:ind w:firstLine="540" w:firstLineChars="225"/>
        <w:rPr>
          <w:color w:val="auto"/>
          <w:highlight w:val="none"/>
        </w:rPr>
      </w:pPr>
      <w:r>
        <w:rPr>
          <w:rFonts w:hint="eastAsia"/>
          <w:color w:val="auto"/>
          <w:highlight w:val="none"/>
        </w:rPr>
        <w:t>本项目将按照招标文件第一章投标人须知中“五 开标及评标”、“六 确定中标”及本章的规定评标。</w:t>
      </w:r>
    </w:p>
    <w:p>
      <w:pPr>
        <w:widowControl/>
        <w:numPr>
          <w:ilvl w:val="0"/>
          <w:numId w:val="33"/>
        </w:numPr>
        <w:spacing w:line="360" w:lineRule="auto"/>
        <w:jc w:val="left"/>
        <w:rPr>
          <w:rFonts w:ascii="宋体" w:hAnsi="宋体"/>
          <w:color w:val="auto"/>
          <w:sz w:val="24"/>
          <w:highlight w:val="none"/>
        </w:rPr>
      </w:pPr>
      <w:r>
        <w:rPr>
          <w:rFonts w:hint="eastAsia" w:ascii="宋体" w:hAnsi="宋体"/>
          <w:color w:val="auto"/>
          <w:sz w:val="24"/>
          <w:highlight w:val="none"/>
        </w:rPr>
        <w:t>评审规则</w:t>
      </w:r>
    </w:p>
    <w:p>
      <w:pPr>
        <w:numPr>
          <w:ilvl w:val="1"/>
          <w:numId w:val="33"/>
        </w:numPr>
        <w:spacing w:line="360" w:lineRule="auto"/>
        <w:rPr>
          <w:rFonts w:ascii="宋体" w:hAnsi="宋体"/>
          <w:color w:val="auto"/>
          <w:sz w:val="24"/>
          <w:highlight w:val="none"/>
        </w:rPr>
      </w:pPr>
      <w:r>
        <w:rPr>
          <w:rFonts w:hint="eastAsia" w:ascii="宋体" w:hAnsi="宋体"/>
          <w:color w:val="auto"/>
          <w:sz w:val="24"/>
          <w:highlight w:val="none"/>
        </w:rPr>
        <w:t>本评标办法采用综合评分法。</w:t>
      </w:r>
    </w:p>
    <w:p>
      <w:pPr>
        <w:numPr>
          <w:ilvl w:val="1"/>
          <w:numId w:val="33"/>
        </w:numPr>
        <w:spacing w:line="360" w:lineRule="auto"/>
        <w:rPr>
          <w:rFonts w:ascii="宋体" w:hAnsi="宋体"/>
          <w:color w:val="auto"/>
          <w:sz w:val="24"/>
          <w:highlight w:val="none"/>
        </w:rPr>
      </w:pPr>
      <w:r>
        <w:rPr>
          <w:rFonts w:hint="eastAsia" w:ascii="宋体" w:hAnsi="宋体"/>
          <w:color w:val="auto"/>
          <w:sz w:val="24"/>
          <w:highlight w:val="none"/>
        </w:rPr>
        <w:t>评标步骤：先进行符合性审查，再进行商务、技术、价格的详细评审。只有通过符合性审查的投标才能进入详细的评审。</w:t>
      </w:r>
    </w:p>
    <w:p>
      <w:pPr>
        <w:numPr>
          <w:ilvl w:val="1"/>
          <w:numId w:val="33"/>
        </w:numPr>
        <w:spacing w:line="360" w:lineRule="auto"/>
        <w:rPr>
          <w:rFonts w:ascii="宋体" w:hAnsi="宋体"/>
          <w:color w:val="auto"/>
          <w:sz w:val="24"/>
          <w:highlight w:val="none"/>
        </w:rPr>
      </w:pPr>
      <w:r>
        <w:rPr>
          <w:rFonts w:hint="eastAsia" w:ascii="宋体" w:hAnsi="宋体"/>
          <w:color w:val="auto"/>
          <w:sz w:val="24"/>
          <w:highlight w:val="none"/>
        </w:rPr>
        <w:t>评分及其统计：按照评标程序、评分标准以及权重分配的规定，评标委员会各成员分别首先就各个投标人的商务、技术及其对招标文件要求的响应情况进行评议和比较，评出其商务、技术评分。各评委评分的算术平均值即为该投标人的商务、技术评分。然后，评出投标人的价格评分。将各投标人的商务评分、技术评分、价格评分相加得出其综合得分。将各综合得分由高到低顺序排列，综合得分最高的投标人为第一中标候选人，综合得分次高的投标人为第二中标候选人，综合得分第三的投标人为第三中标候选人。</w:t>
      </w:r>
    </w:p>
    <w:p>
      <w:pPr>
        <w:widowControl/>
        <w:numPr>
          <w:ilvl w:val="0"/>
          <w:numId w:val="33"/>
        </w:numPr>
        <w:spacing w:line="360" w:lineRule="auto"/>
        <w:jc w:val="left"/>
        <w:rPr>
          <w:rFonts w:ascii="宋体" w:hAnsi="宋体"/>
          <w:color w:val="auto"/>
          <w:sz w:val="24"/>
          <w:highlight w:val="none"/>
        </w:rPr>
      </w:pPr>
      <w:r>
        <w:rPr>
          <w:rFonts w:hint="eastAsia" w:ascii="宋体" w:hAnsi="宋体"/>
          <w:color w:val="auto"/>
          <w:sz w:val="24"/>
          <w:highlight w:val="none"/>
        </w:rPr>
        <w:t>符合性审查</w:t>
      </w:r>
    </w:p>
    <w:p>
      <w:pPr>
        <w:widowControl/>
        <w:numPr>
          <w:ilvl w:val="1"/>
          <w:numId w:val="33"/>
        </w:numPr>
        <w:spacing w:line="360" w:lineRule="auto"/>
        <w:rPr>
          <w:rFonts w:ascii="宋体" w:hAnsi="宋体"/>
          <w:color w:val="auto"/>
          <w:sz w:val="24"/>
          <w:highlight w:val="none"/>
        </w:rPr>
      </w:pPr>
      <w:r>
        <w:rPr>
          <w:rFonts w:hint="eastAsia" w:ascii="宋体" w:hAnsi="宋体"/>
          <w:color w:val="auto"/>
          <w:sz w:val="24"/>
          <w:highlight w:val="none"/>
        </w:rPr>
        <w:t>评标委员会按照《符合性审查表》的内容对投标文件进行符合性审查，只有对《符合性审查表》所列各项作出实质性响应的投标文件才能通过符合性审查。对是否实质性响应招标文件的要求有争议的投标，评标委员会将以记名方式表决，被认为响应的得票超过半数的投标人有资格进入下一阶段的评审，否则将被淘汰。</w:t>
      </w:r>
    </w:p>
    <w:p>
      <w:pPr>
        <w:pStyle w:val="35"/>
        <w:widowControl/>
        <w:numPr>
          <w:ilvl w:val="1"/>
          <w:numId w:val="33"/>
        </w:numPr>
        <w:autoSpaceDE/>
        <w:autoSpaceDN/>
        <w:adjustRightInd/>
        <w:spacing w:before="0" w:line="360" w:lineRule="auto"/>
        <w:jc w:val="both"/>
        <w:rPr>
          <w:rFonts w:hAnsi="宋体"/>
          <w:color w:val="auto"/>
          <w:szCs w:val="24"/>
          <w:highlight w:val="none"/>
        </w:rPr>
      </w:pPr>
      <w:r>
        <w:rPr>
          <w:rFonts w:hint="eastAsia" w:hAnsi="宋体"/>
          <w:color w:val="auto"/>
          <w:szCs w:val="24"/>
          <w:highlight w:val="none"/>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35"/>
        <w:widowControl/>
        <w:numPr>
          <w:ilvl w:val="1"/>
          <w:numId w:val="33"/>
        </w:numPr>
        <w:autoSpaceDE/>
        <w:autoSpaceDN/>
        <w:adjustRightInd/>
        <w:spacing w:before="0" w:line="360" w:lineRule="auto"/>
        <w:jc w:val="both"/>
        <w:rPr>
          <w:rFonts w:hAnsi="宋体"/>
          <w:color w:val="auto"/>
          <w:szCs w:val="24"/>
          <w:highlight w:val="none"/>
        </w:rPr>
      </w:pPr>
      <w:r>
        <w:rPr>
          <w:rFonts w:hint="eastAsia" w:hAnsi="宋体"/>
          <w:color w:val="auto"/>
          <w:szCs w:val="24"/>
          <w:highlight w:val="none"/>
        </w:rPr>
        <w:t>评标委员会将审查实质参加投标人数是否够3家，以决定是否招标失败 。</w:t>
      </w:r>
    </w:p>
    <w:p>
      <w:pPr>
        <w:widowControl/>
        <w:numPr>
          <w:ilvl w:val="1"/>
          <w:numId w:val="33"/>
        </w:numPr>
        <w:spacing w:line="360" w:lineRule="auto"/>
        <w:rPr>
          <w:rFonts w:ascii="宋体" w:hAnsi="宋体"/>
          <w:color w:val="auto"/>
          <w:sz w:val="24"/>
          <w:highlight w:val="none"/>
        </w:rPr>
      </w:pPr>
      <w:r>
        <w:rPr>
          <w:rFonts w:hint="eastAsia" w:ascii="宋体" w:hAnsi="宋体"/>
          <w:color w:val="auto"/>
          <w:sz w:val="24"/>
          <w:highlight w:val="none"/>
        </w:rPr>
        <w:t>无效投标的认定</w:t>
      </w:r>
    </w:p>
    <w:p>
      <w:pPr>
        <w:tabs>
          <w:tab w:val="left" w:pos="1030"/>
        </w:tabs>
        <w:spacing w:line="360" w:lineRule="auto"/>
        <w:ind w:left="721"/>
        <w:rPr>
          <w:rFonts w:ascii="宋体" w:hAnsi="宋体"/>
          <w:color w:val="auto"/>
          <w:sz w:val="24"/>
          <w:highlight w:val="none"/>
        </w:rPr>
      </w:pPr>
      <w:r>
        <w:rPr>
          <w:rFonts w:hint="eastAsia" w:ascii="宋体" w:hAnsi="宋体"/>
          <w:color w:val="auto"/>
          <w:sz w:val="24"/>
          <w:highlight w:val="none"/>
        </w:rPr>
        <w:t>按《符合性审查表》（附表1）所列各项，评标委员会认为投标文件不满足招标文件要求的，将被认定为无效投标。</w:t>
      </w:r>
    </w:p>
    <w:p>
      <w:pPr>
        <w:widowControl/>
        <w:numPr>
          <w:ilvl w:val="0"/>
          <w:numId w:val="33"/>
        </w:numPr>
        <w:spacing w:line="360" w:lineRule="auto"/>
        <w:jc w:val="left"/>
        <w:rPr>
          <w:rFonts w:ascii="宋体" w:hAnsi="宋体"/>
          <w:color w:val="auto"/>
          <w:sz w:val="24"/>
          <w:highlight w:val="none"/>
        </w:rPr>
      </w:pPr>
      <w:r>
        <w:rPr>
          <w:rFonts w:hint="eastAsia" w:ascii="宋体" w:hAnsi="宋体"/>
          <w:color w:val="auto"/>
          <w:sz w:val="24"/>
          <w:highlight w:val="none"/>
        </w:rPr>
        <w:t>详细评审</w:t>
      </w:r>
    </w:p>
    <w:p>
      <w:pPr>
        <w:pStyle w:val="35"/>
        <w:widowControl/>
        <w:numPr>
          <w:ilvl w:val="1"/>
          <w:numId w:val="34"/>
        </w:numPr>
        <w:autoSpaceDE/>
        <w:autoSpaceDN/>
        <w:adjustRightInd/>
        <w:spacing w:before="0" w:line="360" w:lineRule="auto"/>
        <w:jc w:val="both"/>
        <w:rPr>
          <w:rFonts w:hAnsi="宋体"/>
          <w:color w:val="auto"/>
          <w:szCs w:val="24"/>
          <w:highlight w:val="none"/>
        </w:rPr>
      </w:pPr>
      <w:r>
        <w:rPr>
          <w:rFonts w:hint="eastAsia" w:hAnsi="宋体"/>
          <w:color w:val="auto"/>
          <w:szCs w:val="24"/>
          <w:highlight w:val="none"/>
        </w:rPr>
        <w:t>详细评审是对通过符合性审查的投标进行</w:t>
      </w:r>
      <w:r>
        <w:rPr>
          <w:rFonts w:hint="eastAsia" w:hAnsi="宋体"/>
          <w:color w:val="auto"/>
          <w:highlight w:val="none"/>
        </w:rPr>
        <w:t>商务、技术、价格</w:t>
      </w:r>
      <w:r>
        <w:rPr>
          <w:rFonts w:hint="eastAsia" w:hAnsi="宋体"/>
          <w:color w:val="auto"/>
          <w:szCs w:val="24"/>
          <w:highlight w:val="none"/>
        </w:rPr>
        <w:t>的评审。</w:t>
      </w:r>
    </w:p>
    <w:p>
      <w:pPr>
        <w:pStyle w:val="35"/>
        <w:widowControl/>
        <w:numPr>
          <w:ilvl w:val="1"/>
          <w:numId w:val="34"/>
        </w:numPr>
        <w:autoSpaceDE/>
        <w:autoSpaceDN/>
        <w:adjustRightInd/>
        <w:spacing w:before="0" w:line="360" w:lineRule="auto"/>
        <w:jc w:val="both"/>
        <w:rPr>
          <w:rFonts w:hAnsi="宋体"/>
          <w:color w:val="auto"/>
          <w:szCs w:val="24"/>
          <w:highlight w:val="none"/>
        </w:rPr>
      </w:pPr>
      <w:r>
        <w:rPr>
          <w:rFonts w:hint="eastAsia" w:hAnsi="宋体"/>
          <w:color w:val="auto"/>
          <w:szCs w:val="24"/>
          <w:highlight w:val="none"/>
        </w:rPr>
        <w:t>商务、技术评分详见</w:t>
      </w:r>
      <w:r>
        <w:rPr>
          <w:rFonts w:hint="eastAsia" w:hAnsi="宋体"/>
          <w:color w:val="auto"/>
          <w:highlight w:val="none"/>
        </w:rPr>
        <w:t>《</w:t>
      </w:r>
      <w:r>
        <w:rPr>
          <w:rFonts w:hint="eastAsia" w:hAnsi="宋体"/>
          <w:color w:val="auto"/>
          <w:kern w:val="2"/>
          <w:szCs w:val="24"/>
          <w:highlight w:val="none"/>
        </w:rPr>
        <w:t>商务评分表</w:t>
      </w:r>
      <w:r>
        <w:rPr>
          <w:rFonts w:hint="eastAsia" w:hAnsi="宋体"/>
          <w:color w:val="auto"/>
          <w:highlight w:val="none"/>
        </w:rPr>
        <w:t>》（附表2）、《技术</w:t>
      </w:r>
      <w:r>
        <w:rPr>
          <w:rFonts w:hint="eastAsia" w:hAnsi="宋体"/>
          <w:color w:val="auto"/>
          <w:kern w:val="2"/>
          <w:szCs w:val="24"/>
          <w:highlight w:val="none"/>
        </w:rPr>
        <w:t>评分表</w:t>
      </w:r>
      <w:r>
        <w:rPr>
          <w:rFonts w:hint="eastAsia" w:hAnsi="宋体"/>
          <w:color w:val="auto"/>
          <w:highlight w:val="none"/>
        </w:rPr>
        <w:t>》（附表3）</w:t>
      </w:r>
      <w:r>
        <w:rPr>
          <w:rFonts w:hint="eastAsia" w:hAnsi="宋体"/>
          <w:color w:val="auto"/>
          <w:szCs w:val="24"/>
          <w:highlight w:val="none"/>
        </w:rPr>
        <w:t>。</w:t>
      </w:r>
    </w:p>
    <w:p>
      <w:pPr>
        <w:pStyle w:val="35"/>
        <w:widowControl/>
        <w:numPr>
          <w:ilvl w:val="1"/>
          <w:numId w:val="34"/>
        </w:numPr>
        <w:autoSpaceDE/>
        <w:autoSpaceDN/>
        <w:adjustRightInd/>
        <w:spacing w:before="0" w:line="360" w:lineRule="auto"/>
        <w:jc w:val="both"/>
        <w:rPr>
          <w:rFonts w:hAnsi="宋体"/>
          <w:color w:val="auto"/>
          <w:szCs w:val="24"/>
          <w:highlight w:val="none"/>
        </w:rPr>
      </w:pPr>
      <w:r>
        <w:rPr>
          <w:rFonts w:hint="eastAsia" w:hAnsi="宋体"/>
          <w:color w:val="auto"/>
          <w:szCs w:val="24"/>
          <w:highlight w:val="none"/>
        </w:rPr>
        <w:t>价格评分：将通过评标委员会符合性审查修正后的投标人的投标价格定义为评标价格，满足招标文件要求且评标价格最低的为评标基准价，其价格评分为满分30分。其他投标人的价格评分统一按照下列公式计算：</w:t>
      </w:r>
    </w:p>
    <w:p>
      <w:pPr>
        <w:pStyle w:val="35"/>
        <w:widowControl/>
        <w:tabs>
          <w:tab w:val="left" w:pos="630"/>
        </w:tabs>
        <w:autoSpaceDE/>
        <w:autoSpaceDN/>
        <w:adjustRightInd/>
        <w:spacing w:before="0" w:line="360" w:lineRule="auto"/>
        <w:ind w:left="630" w:firstLine="0"/>
        <w:jc w:val="both"/>
        <w:rPr>
          <w:rFonts w:hAnsi="宋体"/>
          <w:color w:val="auto"/>
          <w:szCs w:val="24"/>
          <w:highlight w:val="none"/>
        </w:rPr>
      </w:pPr>
      <w:r>
        <w:rPr>
          <w:rFonts w:hint="eastAsia" w:hAnsi="宋体"/>
          <w:color w:val="auto"/>
          <w:szCs w:val="24"/>
          <w:highlight w:val="none"/>
        </w:rPr>
        <w:t>价格评分＝（评标基准价格/评标价格）×30</w:t>
      </w:r>
    </w:p>
    <w:p>
      <w:pPr>
        <w:pStyle w:val="35"/>
        <w:widowControl/>
        <w:numPr>
          <w:ilvl w:val="2"/>
          <w:numId w:val="34"/>
        </w:numPr>
        <w:autoSpaceDE/>
        <w:autoSpaceDN/>
        <w:adjustRightInd/>
        <w:spacing w:before="0" w:line="360" w:lineRule="auto"/>
        <w:ind w:firstLine="480" w:firstLineChars="200"/>
        <w:jc w:val="both"/>
        <w:rPr>
          <w:rFonts w:hAnsi="宋体"/>
          <w:color w:val="auto"/>
          <w:highlight w:val="none"/>
        </w:rPr>
      </w:pPr>
      <w:r>
        <w:rPr>
          <w:rFonts w:hint="eastAsia" w:hAnsi="宋体"/>
          <w:color w:val="auto"/>
          <w:szCs w:val="24"/>
          <w:highlight w:val="none"/>
        </w:rPr>
        <w:t>根据《政府采购促进中小企业发展暂行办法》（财库[2011]181号）、《</w:t>
      </w:r>
      <w:r>
        <w:rPr>
          <w:rFonts w:hAnsi="宋体"/>
          <w:color w:val="auto"/>
          <w:szCs w:val="24"/>
          <w:highlight w:val="none"/>
        </w:rPr>
        <w:t>财政部 司法部关于政府采购支持监狱企业发展有关问题的通知</w:t>
      </w:r>
      <w:r>
        <w:rPr>
          <w:rFonts w:hint="eastAsia" w:hAnsi="宋体"/>
          <w:color w:val="auto"/>
          <w:szCs w:val="24"/>
          <w:highlight w:val="none"/>
        </w:rPr>
        <w:t>》（财库〔2014〕</w:t>
      </w:r>
      <w:r>
        <w:rPr>
          <w:rFonts w:hAnsi="宋体"/>
          <w:color w:val="auto"/>
          <w:szCs w:val="24"/>
          <w:highlight w:val="none"/>
        </w:rPr>
        <w:t>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w:t>
      </w:r>
      <w:r>
        <w:rPr>
          <w:rFonts w:hint="eastAsia" w:hAnsi="宋体"/>
          <w:color w:val="auto"/>
          <w:szCs w:val="24"/>
          <w:highlight w:val="none"/>
        </w:rPr>
        <w:t>后参与评审。对于同时</w:t>
      </w:r>
      <w:r>
        <w:rPr>
          <w:rFonts w:hAnsi="宋体"/>
          <w:color w:val="auto"/>
          <w:szCs w:val="24"/>
          <w:highlight w:val="none"/>
        </w:rPr>
        <w:t>属于小微企业</w:t>
      </w:r>
      <w:r>
        <w:rPr>
          <w:rFonts w:hint="eastAsia" w:hAnsi="宋体"/>
          <w:color w:val="auto"/>
          <w:szCs w:val="24"/>
          <w:highlight w:val="none"/>
        </w:rPr>
        <w:t>、</w:t>
      </w:r>
      <w:r>
        <w:rPr>
          <w:rFonts w:hAnsi="宋体"/>
          <w:color w:val="auto"/>
          <w:szCs w:val="24"/>
          <w:highlight w:val="none"/>
        </w:rPr>
        <w:t>监狱企业</w:t>
      </w:r>
      <w:r>
        <w:rPr>
          <w:rFonts w:hint="eastAsia" w:hAnsi="宋体"/>
          <w:color w:val="auto"/>
          <w:szCs w:val="24"/>
          <w:highlight w:val="none"/>
        </w:rPr>
        <w:t>或</w:t>
      </w:r>
      <w:r>
        <w:rPr>
          <w:rFonts w:hAnsi="宋体"/>
          <w:color w:val="auto"/>
          <w:szCs w:val="24"/>
          <w:highlight w:val="none"/>
        </w:rPr>
        <w:t>残疾人福利性单位的，不重复进行投标报价扣除。</w:t>
      </w:r>
    </w:p>
    <w:p>
      <w:pPr>
        <w:pStyle w:val="35"/>
        <w:widowControl/>
        <w:numPr>
          <w:ilvl w:val="2"/>
          <w:numId w:val="34"/>
        </w:numPr>
        <w:autoSpaceDE/>
        <w:autoSpaceDN/>
        <w:adjustRightInd/>
        <w:spacing w:before="0" w:line="360" w:lineRule="auto"/>
        <w:ind w:firstLine="480" w:firstLineChars="200"/>
        <w:jc w:val="both"/>
        <w:rPr>
          <w:rFonts w:hAnsi="宋体"/>
          <w:color w:val="auto"/>
          <w:highlight w:val="none"/>
        </w:rPr>
      </w:pPr>
      <w:r>
        <w:rPr>
          <w:rFonts w:hAnsi="宋体"/>
          <w:color w:val="auto"/>
          <w:szCs w:val="24"/>
          <w:highlight w:val="none"/>
        </w:rPr>
        <w:t>联合协议中约定，小型、微型企业</w:t>
      </w:r>
      <w:r>
        <w:rPr>
          <w:rFonts w:hint="eastAsia" w:hAnsi="宋体"/>
          <w:color w:val="auto"/>
          <w:szCs w:val="24"/>
          <w:highlight w:val="none"/>
        </w:rPr>
        <w:t>和监狱企业</w:t>
      </w:r>
      <w:r>
        <w:rPr>
          <w:rFonts w:hAnsi="宋体"/>
          <w:color w:val="auto"/>
          <w:szCs w:val="24"/>
          <w:highlight w:val="none"/>
        </w:rPr>
        <w:t>的协议合同金额占到联合体协议合同总金额30%以上的，可给予联合体</w:t>
      </w:r>
      <w:r>
        <w:rPr>
          <w:rFonts w:hAnsi="宋体"/>
          <w:color w:val="auto"/>
          <w:szCs w:val="24"/>
          <w:highlight w:val="none"/>
          <w:u w:val="single"/>
        </w:rPr>
        <w:t>2%</w:t>
      </w:r>
      <w:r>
        <w:rPr>
          <w:rFonts w:hAnsi="宋体"/>
          <w:color w:val="auto"/>
          <w:szCs w:val="24"/>
          <w:highlight w:val="none"/>
        </w:rPr>
        <w:t>的价格扣除。</w:t>
      </w:r>
    </w:p>
    <w:p>
      <w:pPr>
        <w:pStyle w:val="35"/>
        <w:widowControl/>
        <w:numPr>
          <w:ilvl w:val="2"/>
          <w:numId w:val="34"/>
        </w:numPr>
        <w:autoSpaceDE/>
        <w:autoSpaceDN/>
        <w:adjustRightInd/>
        <w:spacing w:before="0" w:line="360" w:lineRule="auto"/>
        <w:ind w:hanging="63"/>
        <w:jc w:val="both"/>
        <w:rPr>
          <w:rFonts w:hAnsi="宋体"/>
          <w:color w:val="auto"/>
          <w:highlight w:val="none"/>
        </w:rPr>
      </w:pPr>
      <w:r>
        <w:rPr>
          <w:rFonts w:hAnsi="宋体"/>
          <w:color w:val="auto"/>
          <w:szCs w:val="24"/>
          <w:highlight w:val="none"/>
        </w:rPr>
        <w:t>联合体各方均为小型、微型企业</w:t>
      </w:r>
      <w:r>
        <w:rPr>
          <w:rFonts w:hint="eastAsia" w:hAnsi="宋体"/>
          <w:color w:val="auto"/>
          <w:szCs w:val="24"/>
          <w:highlight w:val="none"/>
        </w:rPr>
        <w:t>和监狱企业</w:t>
      </w:r>
      <w:r>
        <w:rPr>
          <w:rFonts w:hAnsi="宋体"/>
          <w:color w:val="auto"/>
          <w:szCs w:val="24"/>
          <w:highlight w:val="none"/>
        </w:rPr>
        <w:t>的，联合体视同为小型、微型企业</w:t>
      </w:r>
      <w:r>
        <w:rPr>
          <w:rFonts w:hint="eastAsia" w:hAnsi="宋体"/>
          <w:color w:val="auto"/>
          <w:szCs w:val="24"/>
          <w:highlight w:val="none"/>
        </w:rPr>
        <w:t>和监狱企业。</w:t>
      </w:r>
    </w:p>
    <w:p>
      <w:pPr>
        <w:pStyle w:val="35"/>
        <w:widowControl/>
        <w:numPr>
          <w:ilvl w:val="2"/>
          <w:numId w:val="34"/>
        </w:numPr>
        <w:autoSpaceDE/>
        <w:autoSpaceDN/>
        <w:adjustRightInd/>
        <w:spacing w:before="0" w:line="360" w:lineRule="auto"/>
        <w:ind w:hanging="63"/>
        <w:jc w:val="both"/>
        <w:rPr>
          <w:rFonts w:hAnsi="宋体"/>
          <w:color w:val="auto"/>
          <w:szCs w:val="24"/>
          <w:highlight w:val="none"/>
        </w:rPr>
      </w:pPr>
      <w:r>
        <w:rPr>
          <w:rFonts w:hint="eastAsia" w:hAnsi="宋体"/>
          <w:color w:val="auto"/>
          <w:szCs w:val="24"/>
          <w:highlight w:val="none"/>
        </w:rPr>
        <w:t>投标人所投产品如被列入财政部与国家主管部门颁发的节能产品目录或环境标志产品目录或无线局域网产品目录，应提供相关证明，在评标时予以优先采购。</w:t>
      </w:r>
    </w:p>
    <w:p>
      <w:pPr>
        <w:pStyle w:val="35"/>
        <w:widowControl/>
        <w:numPr>
          <w:ilvl w:val="2"/>
          <w:numId w:val="34"/>
        </w:numPr>
        <w:autoSpaceDE/>
        <w:autoSpaceDN/>
        <w:adjustRightInd/>
        <w:spacing w:before="0" w:line="360" w:lineRule="auto"/>
        <w:ind w:hanging="63"/>
        <w:jc w:val="both"/>
        <w:rPr>
          <w:rFonts w:hAnsi="宋体"/>
          <w:color w:val="auto"/>
          <w:szCs w:val="24"/>
          <w:highlight w:val="none"/>
        </w:rPr>
      </w:pPr>
      <w:r>
        <w:rPr>
          <w:rFonts w:hint="eastAsia" w:hAnsi="宋体"/>
          <w:color w:val="auto"/>
          <w:szCs w:val="24"/>
          <w:highlight w:val="none"/>
        </w:rPr>
        <w:br w:type="page"/>
      </w:r>
    </w:p>
    <w:p>
      <w:pPr>
        <w:pStyle w:val="35"/>
        <w:widowControl/>
        <w:numPr>
          <w:ilvl w:val="1"/>
          <w:numId w:val="0"/>
        </w:numPr>
        <w:autoSpaceDE/>
        <w:autoSpaceDN/>
        <w:adjustRightInd/>
        <w:spacing w:before="0" w:line="360" w:lineRule="auto"/>
        <w:ind w:left="630" w:hanging="630"/>
        <w:jc w:val="both"/>
        <w:rPr>
          <w:rFonts w:hAnsi="宋体"/>
          <w:color w:val="auto"/>
          <w:szCs w:val="24"/>
          <w:highlight w:val="none"/>
        </w:rPr>
      </w:pPr>
    </w:p>
    <w:p>
      <w:pPr>
        <w:pStyle w:val="35"/>
        <w:widowControl/>
        <w:numPr>
          <w:ilvl w:val="1"/>
          <w:numId w:val="34"/>
        </w:numPr>
        <w:autoSpaceDE/>
        <w:autoSpaceDN/>
        <w:adjustRightInd/>
        <w:spacing w:before="0" w:line="360" w:lineRule="auto"/>
        <w:jc w:val="both"/>
        <w:rPr>
          <w:rFonts w:hAnsi="宋体"/>
          <w:color w:val="auto"/>
          <w:szCs w:val="24"/>
          <w:highlight w:val="none"/>
        </w:rPr>
      </w:pPr>
      <w:r>
        <w:rPr>
          <w:rFonts w:hint="eastAsia" w:hAnsi="宋体"/>
          <w:color w:val="auto"/>
          <w:szCs w:val="24"/>
          <w:highlight w:val="none"/>
        </w:rPr>
        <w:t>技术商务和价格权重分配：</w:t>
      </w:r>
    </w:p>
    <w:tbl>
      <w:tblPr>
        <w:tblStyle w:val="44"/>
        <w:tblW w:w="82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42"/>
        <w:gridCol w:w="1833"/>
        <w:gridCol w:w="1833"/>
        <w:gridCol w:w="1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2742"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评分项目</w:t>
            </w:r>
          </w:p>
        </w:tc>
        <w:tc>
          <w:tcPr>
            <w:tcW w:w="183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技术评分</w:t>
            </w:r>
          </w:p>
        </w:tc>
        <w:tc>
          <w:tcPr>
            <w:tcW w:w="183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商务评分</w:t>
            </w:r>
          </w:p>
        </w:tc>
        <w:tc>
          <w:tcPr>
            <w:tcW w:w="183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2742"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权重</w:t>
            </w:r>
          </w:p>
        </w:tc>
        <w:tc>
          <w:tcPr>
            <w:tcW w:w="183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40分</w:t>
            </w:r>
          </w:p>
        </w:tc>
        <w:tc>
          <w:tcPr>
            <w:tcW w:w="183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30分</w:t>
            </w:r>
          </w:p>
        </w:tc>
        <w:tc>
          <w:tcPr>
            <w:tcW w:w="1833"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30分</w:t>
            </w:r>
          </w:p>
        </w:tc>
      </w:tr>
    </w:tbl>
    <w:p>
      <w:pPr>
        <w:widowControl/>
        <w:tabs>
          <w:tab w:val="left" w:pos="630"/>
        </w:tabs>
        <w:spacing w:line="360" w:lineRule="auto"/>
        <w:jc w:val="left"/>
        <w:rPr>
          <w:rFonts w:ascii="宋体" w:hAnsi="宋体"/>
          <w:color w:val="auto"/>
          <w:sz w:val="24"/>
          <w:highlight w:val="none"/>
        </w:rPr>
      </w:pPr>
    </w:p>
    <w:p>
      <w:pPr>
        <w:widowControl/>
        <w:numPr>
          <w:ilvl w:val="0"/>
          <w:numId w:val="33"/>
        </w:numPr>
        <w:spacing w:line="360" w:lineRule="auto"/>
        <w:jc w:val="left"/>
        <w:rPr>
          <w:rFonts w:ascii="宋体" w:hAnsi="宋体"/>
          <w:color w:val="auto"/>
          <w:sz w:val="24"/>
          <w:highlight w:val="none"/>
        </w:rPr>
      </w:pPr>
      <w:r>
        <w:rPr>
          <w:rFonts w:hint="eastAsia" w:ascii="宋体" w:hAnsi="宋体"/>
          <w:color w:val="auto"/>
          <w:sz w:val="24"/>
          <w:highlight w:val="none"/>
        </w:rPr>
        <w:t>中标候选人</w:t>
      </w:r>
    </w:p>
    <w:p>
      <w:pPr>
        <w:pStyle w:val="35"/>
        <w:widowControl/>
        <w:numPr>
          <w:ilvl w:val="1"/>
          <w:numId w:val="35"/>
        </w:numPr>
        <w:autoSpaceDE/>
        <w:autoSpaceDN/>
        <w:adjustRightInd/>
        <w:spacing w:before="0" w:line="360" w:lineRule="auto"/>
        <w:jc w:val="both"/>
        <w:rPr>
          <w:rFonts w:hAnsi="宋体"/>
          <w:color w:val="auto"/>
          <w:szCs w:val="24"/>
          <w:highlight w:val="none"/>
        </w:rPr>
      </w:pPr>
      <w:r>
        <w:rPr>
          <w:rFonts w:hAnsi="宋体"/>
          <w:color w:val="auto"/>
          <w:szCs w:val="24"/>
          <w:highlight w:val="none"/>
        </w:rPr>
        <w:t>评标委员会将出具评标报告，并按本</w:t>
      </w:r>
      <w:r>
        <w:rPr>
          <w:rFonts w:hint="eastAsia" w:hAnsi="宋体"/>
          <w:color w:val="auto"/>
          <w:szCs w:val="24"/>
          <w:highlight w:val="none"/>
        </w:rPr>
        <w:t>招标文件</w:t>
      </w:r>
      <w:r>
        <w:rPr>
          <w:rFonts w:hAnsi="宋体"/>
          <w:color w:val="auto"/>
          <w:szCs w:val="24"/>
          <w:highlight w:val="none"/>
        </w:rPr>
        <w:t>的规定推荐</w:t>
      </w:r>
      <w:r>
        <w:rPr>
          <w:rFonts w:hint="eastAsia" w:hAnsi="宋体"/>
          <w:color w:val="auto"/>
          <w:szCs w:val="24"/>
          <w:highlight w:val="none"/>
        </w:rPr>
        <w:t>综合得分第一名的投标人为第一</w:t>
      </w:r>
      <w:r>
        <w:rPr>
          <w:rFonts w:hAnsi="宋体"/>
          <w:color w:val="auto"/>
          <w:szCs w:val="24"/>
          <w:highlight w:val="none"/>
        </w:rPr>
        <w:t>中标候选人</w:t>
      </w:r>
      <w:r>
        <w:rPr>
          <w:rFonts w:hint="eastAsia" w:hAnsi="宋体"/>
          <w:color w:val="auto"/>
          <w:szCs w:val="24"/>
          <w:highlight w:val="none"/>
        </w:rPr>
        <w:t>，综合得分第二名的投标人为第二中标候选人，综合得分第三名的投标人为第三中标候选人</w:t>
      </w:r>
      <w:r>
        <w:rPr>
          <w:rFonts w:hAnsi="宋体"/>
          <w:color w:val="auto"/>
          <w:szCs w:val="24"/>
          <w:highlight w:val="none"/>
        </w:rPr>
        <w:t>。</w:t>
      </w:r>
    </w:p>
    <w:p>
      <w:pPr>
        <w:pStyle w:val="35"/>
        <w:widowControl/>
        <w:numPr>
          <w:ilvl w:val="1"/>
          <w:numId w:val="35"/>
        </w:numPr>
        <w:autoSpaceDE/>
        <w:autoSpaceDN/>
        <w:adjustRightInd/>
        <w:spacing w:before="0" w:line="360" w:lineRule="auto"/>
        <w:jc w:val="both"/>
        <w:rPr>
          <w:rFonts w:hAnsi="宋体"/>
          <w:color w:val="auto"/>
          <w:szCs w:val="24"/>
          <w:highlight w:val="none"/>
        </w:rPr>
      </w:pPr>
      <w:r>
        <w:rPr>
          <w:rFonts w:hint="eastAsia" w:hAnsi="宋体"/>
          <w:color w:val="auto"/>
          <w:highlight w:val="none"/>
        </w:rPr>
        <w:t>综合得分相同时价格低者列前；综合得分及价格均相同时，技术评审优者列前。</w:t>
      </w:r>
    </w:p>
    <w:p>
      <w:pPr>
        <w:widowControl/>
        <w:spacing w:line="360" w:lineRule="auto"/>
        <w:jc w:val="left"/>
        <w:rPr>
          <w:rFonts w:ascii="宋体" w:hAnsi="宋体"/>
          <w:color w:val="auto"/>
          <w:sz w:val="24"/>
          <w:highlight w:val="none"/>
        </w:rPr>
      </w:pPr>
    </w:p>
    <w:p>
      <w:pPr>
        <w:pStyle w:val="17"/>
        <w:tabs>
          <w:tab w:val="clear" w:pos="567"/>
        </w:tabs>
        <w:spacing w:before="0" w:line="360" w:lineRule="auto"/>
        <w:rPr>
          <w:color w:val="auto"/>
          <w:highlight w:val="none"/>
        </w:rPr>
      </w:pPr>
      <w:r>
        <w:rPr>
          <w:i/>
          <w:color w:val="auto"/>
          <w:highlight w:val="none"/>
        </w:rPr>
        <w:br w:type="page"/>
      </w:r>
      <w:r>
        <w:rPr>
          <w:rFonts w:hint="eastAsia"/>
          <w:color w:val="auto"/>
          <w:highlight w:val="none"/>
        </w:rPr>
        <w:t>附表1：</w:t>
      </w:r>
    </w:p>
    <w:p>
      <w:pPr>
        <w:pStyle w:val="17"/>
        <w:tabs>
          <w:tab w:val="clear" w:pos="567"/>
        </w:tabs>
        <w:spacing w:before="0" w:line="360" w:lineRule="auto"/>
        <w:jc w:val="center"/>
        <w:rPr>
          <w:color w:val="auto"/>
          <w:highlight w:val="none"/>
        </w:rPr>
      </w:pPr>
      <w:r>
        <w:rPr>
          <w:rFonts w:hint="eastAsia" w:cs="宋体"/>
          <w:b/>
          <w:bCs/>
          <w:color w:val="auto"/>
          <w:kern w:val="0"/>
          <w:sz w:val="32"/>
          <w:szCs w:val="32"/>
          <w:highlight w:val="none"/>
        </w:rPr>
        <w:t>符合性审查表</w:t>
      </w:r>
    </w:p>
    <w:tbl>
      <w:tblPr>
        <w:tblStyle w:val="44"/>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7606" w:type="dxa"/>
            <w:vAlign w:val="center"/>
          </w:tcPr>
          <w:p>
            <w:pPr>
              <w:jc w:val="center"/>
              <w:rPr>
                <w:rFonts w:ascii="宋体" w:hAnsi="宋体"/>
                <w:color w:val="auto"/>
                <w:sz w:val="24"/>
                <w:highlight w:val="none"/>
              </w:rPr>
            </w:pPr>
            <w:r>
              <w:rPr>
                <w:rFonts w:hint="eastAsia" w:ascii="宋体" w:hAnsi="宋体"/>
                <w:color w:val="auto"/>
                <w:sz w:val="24"/>
                <w:highlight w:val="none"/>
              </w:rPr>
              <w:t>审查内容</w:t>
            </w:r>
          </w:p>
        </w:tc>
        <w:tc>
          <w:tcPr>
            <w:tcW w:w="927"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olor w:val="auto"/>
                <w:sz w:val="24"/>
                <w:highlight w:val="none"/>
              </w:rPr>
            </w:pPr>
            <w:r>
              <w:rPr>
                <w:rFonts w:hint="eastAsia" w:asciiTheme="minorEastAsia" w:hAnsiTheme="minorEastAsia" w:eastAsiaTheme="minorEastAsia"/>
                <w:color w:val="auto"/>
                <w:sz w:val="24"/>
                <w:highlight w:val="none"/>
              </w:rPr>
              <w:t>对标的没有报价漏项。</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olor w:val="auto"/>
                <w:sz w:val="24"/>
                <w:highlight w:val="none"/>
              </w:rPr>
            </w:pPr>
            <w:r>
              <w:rPr>
                <w:rFonts w:asciiTheme="minorEastAsia" w:hAnsiTheme="minorEastAsia" w:eastAsiaTheme="minorEastAsia"/>
                <w:color w:val="auto"/>
                <w:sz w:val="24"/>
                <w:highlight w:val="none"/>
              </w:rPr>
              <w:t>按要求缴纳了</w:t>
            </w: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保证金。</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olor w:val="auto"/>
                <w:sz w:val="24"/>
                <w:highlight w:val="none"/>
              </w:rPr>
            </w:pPr>
            <w:r>
              <w:rPr>
                <w:rFonts w:hint="eastAsia" w:asciiTheme="minorEastAsia" w:hAnsiTheme="minorEastAsia" w:eastAsiaTheme="minorEastAsia"/>
                <w:color w:val="auto"/>
                <w:sz w:val="24"/>
                <w:highlight w:val="none"/>
              </w:rPr>
              <w:t>招标文件不允许采购进口产品时未以进口产品报价。</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hint="eastAsia" w:asciiTheme="minorEastAsia" w:hAnsiTheme="minorEastAsia" w:eastAsiaTheme="minorEastAsia"/>
                <w:color w:val="auto"/>
                <w:sz w:val="24"/>
                <w:highlight w:val="none"/>
              </w:rPr>
              <w:t>投标文件完整且编排有序，并按要求签署、盖章。</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hint="eastAsia" w:asciiTheme="minorEastAsia" w:hAnsiTheme="minorEastAsia" w:eastAsiaTheme="minorEastAsia"/>
                <w:color w:val="auto"/>
                <w:sz w:val="24"/>
                <w:highlight w:val="none"/>
              </w:rPr>
              <w:t>法定代表人授权书按对应格式文件签署、盖章</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原件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hint="eastAsia" w:asciiTheme="minorEastAsia" w:hAnsiTheme="minorEastAsia" w:eastAsiaTheme="minorEastAsia"/>
                <w:color w:val="auto"/>
                <w:sz w:val="24"/>
                <w:highlight w:val="none"/>
              </w:rPr>
              <w:t>如出现报价错误</w:t>
            </w:r>
            <w:r>
              <w:rPr>
                <w:rFonts w:asciiTheme="minorEastAsia" w:hAnsiTheme="minorEastAsia" w:eastAsiaTheme="minorEastAsia"/>
                <w:color w:val="auto"/>
                <w:sz w:val="24"/>
                <w:highlight w:val="none"/>
              </w:rPr>
              <w:t>修正</w:t>
            </w:r>
            <w:r>
              <w:rPr>
                <w:rFonts w:hint="eastAsia" w:asciiTheme="minorEastAsia" w:hAnsiTheme="minorEastAsia" w:eastAsiaTheme="minorEastAsia"/>
                <w:color w:val="auto"/>
                <w:sz w:val="24"/>
                <w:highlight w:val="none"/>
              </w:rPr>
              <w:t>的</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投标人按招标</w:t>
            </w:r>
            <w:r>
              <w:rPr>
                <w:rFonts w:asciiTheme="minorEastAsia" w:hAnsiTheme="minorEastAsia" w:eastAsiaTheme="minorEastAsia"/>
                <w:color w:val="auto"/>
                <w:sz w:val="24"/>
                <w:highlight w:val="none"/>
              </w:rPr>
              <w:t>文件要求进行</w:t>
            </w:r>
            <w:r>
              <w:rPr>
                <w:rFonts w:hint="eastAsia" w:asciiTheme="minorEastAsia" w:hAnsiTheme="minorEastAsia" w:eastAsiaTheme="minorEastAsia"/>
                <w:color w:val="auto"/>
                <w:sz w:val="24"/>
                <w:highlight w:val="none"/>
              </w:rPr>
              <w:t>书面确认。</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hint="eastAsia" w:asciiTheme="minorEastAsia" w:hAnsiTheme="minorEastAsia" w:eastAsiaTheme="minorEastAsia"/>
                <w:color w:val="auto"/>
                <w:sz w:val="24"/>
                <w:highlight w:val="none"/>
              </w:rPr>
              <w:t>投标有效期为投标截止日起不少于</w:t>
            </w:r>
            <w:r>
              <w:rPr>
                <w:rFonts w:asciiTheme="minorEastAsia" w:hAnsiTheme="minorEastAsia" w:eastAsiaTheme="minorEastAsia"/>
                <w:color w:val="auto"/>
                <w:sz w:val="24"/>
                <w:highlight w:val="none"/>
              </w:rPr>
              <w:t>90</w:t>
            </w:r>
            <w:r>
              <w:rPr>
                <w:rFonts w:hint="eastAsia" w:asciiTheme="minorEastAsia" w:hAnsiTheme="minorEastAsia" w:eastAsiaTheme="minorEastAsia"/>
                <w:color w:val="auto"/>
                <w:sz w:val="24"/>
                <w:highlight w:val="none"/>
              </w:rPr>
              <w:t>天。</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asciiTheme="minorEastAsia" w:hAnsiTheme="minorEastAsia" w:eastAsiaTheme="minorEastAsia"/>
                <w:color w:val="auto"/>
                <w:sz w:val="24"/>
                <w:highlight w:val="none"/>
              </w:rPr>
              <w:t>未出现视为投标人串标投标所列的情形。</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文件未含有采购人不可接受的附加条件。</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s="Tahoma"/>
                <w:color w:val="auto"/>
                <w:sz w:val="24"/>
                <w:highlight w:val="none"/>
              </w:rPr>
            </w:pPr>
            <w:r>
              <w:rPr>
                <w:rFonts w:hint="eastAsia" w:asciiTheme="minorEastAsia" w:hAnsiTheme="minorEastAsia" w:eastAsiaTheme="minorEastAsia"/>
                <w:color w:val="auto"/>
                <w:sz w:val="24"/>
                <w:highlight w:val="none"/>
              </w:rPr>
              <w:t>没有其他未实质性响应文件要求的。</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olor w:val="auto"/>
                <w:sz w:val="24"/>
                <w:highlight w:val="none"/>
              </w:rPr>
            </w:pPr>
            <w:r>
              <w:rPr>
                <w:rFonts w:hint="eastAsia" w:ascii="宋体" w:hAnsi="宋体"/>
                <w:color w:val="auto"/>
                <w:sz w:val="24"/>
                <w:highlight w:val="none"/>
              </w:rPr>
              <w:t>投标总价</w:t>
            </w:r>
            <w:r>
              <w:rPr>
                <w:rFonts w:hint="eastAsia" w:asciiTheme="minorEastAsia" w:hAnsiTheme="minorEastAsia" w:eastAsiaTheme="minorEastAsia"/>
                <w:color w:val="auto"/>
                <w:sz w:val="24"/>
                <w:highlight w:val="none"/>
              </w:rPr>
              <w:t>是固定价且是唯一的，并未超过本项目</w:t>
            </w:r>
            <w:r>
              <w:rPr>
                <w:rFonts w:hint="eastAsia" w:ascii="宋体" w:hAnsi="宋体"/>
                <w:color w:val="auto"/>
                <w:sz w:val="24"/>
                <w:highlight w:val="none"/>
              </w:rPr>
              <w:t>最高限价</w:t>
            </w:r>
            <w:r>
              <w:rPr>
                <w:rFonts w:hint="eastAsia" w:asciiTheme="minorEastAsia" w:hAnsiTheme="minorEastAsia" w:eastAsiaTheme="minorEastAsia"/>
                <w:color w:val="auto"/>
                <w:sz w:val="24"/>
                <w:highlight w:val="none"/>
              </w:rPr>
              <w:t>。</w:t>
            </w:r>
          </w:p>
        </w:tc>
        <w:tc>
          <w:tcPr>
            <w:tcW w:w="927" w:type="dxa"/>
            <w:vAlign w:val="center"/>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jc w:val="left"/>
              <w:rPr>
                <w:rFonts w:ascii="宋体" w:hAnsi="宋体"/>
                <w:color w:val="auto"/>
                <w:sz w:val="24"/>
                <w:highlight w:val="none"/>
              </w:rPr>
            </w:pPr>
            <w:r>
              <w:rPr>
                <w:rFonts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号条款满足招标文件要求。</w:t>
            </w:r>
          </w:p>
        </w:tc>
        <w:tc>
          <w:tcPr>
            <w:tcW w:w="927" w:type="dxa"/>
            <w:vAlign w:val="center"/>
          </w:tcPr>
          <w:p>
            <w:pPr>
              <w:jc w:val="left"/>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606" w:type="dxa"/>
            <w:vAlign w:val="center"/>
          </w:tcPr>
          <w:p>
            <w:pPr>
              <w:pStyle w:val="129"/>
              <w:keepNext w:val="0"/>
              <w:adjustRightInd/>
              <w:spacing w:before="0" w:after="0" w:line="240" w:lineRule="auto"/>
              <w:textAlignment w:val="auto"/>
              <w:rPr>
                <w:rFonts w:ascii="宋体" w:hAnsi="宋体"/>
                <w:color w:val="auto"/>
                <w:spacing w:val="0"/>
                <w:kern w:val="2"/>
                <w:szCs w:val="24"/>
                <w:highlight w:val="none"/>
              </w:rPr>
            </w:pPr>
            <w:r>
              <w:rPr>
                <w:rFonts w:hint="eastAsia" w:ascii="宋体" w:hAnsi="宋体"/>
                <w:color w:val="auto"/>
                <w:spacing w:val="0"/>
                <w:kern w:val="2"/>
                <w:szCs w:val="24"/>
                <w:highlight w:val="none"/>
              </w:rPr>
              <w:t>结论</w:t>
            </w:r>
          </w:p>
        </w:tc>
        <w:tc>
          <w:tcPr>
            <w:tcW w:w="927" w:type="dxa"/>
            <w:vAlign w:val="center"/>
          </w:tcPr>
          <w:p>
            <w:pPr>
              <w:pStyle w:val="129"/>
              <w:keepNext w:val="0"/>
              <w:adjustRightInd/>
              <w:spacing w:before="0" w:after="0" w:line="240" w:lineRule="auto"/>
              <w:textAlignment w:val="auto"/>
              <w:rPr>
                <w:rFonts w:ascii="宋体" w:hAnsi="宋体"/>
                <w:color w:val="auto"/>
                <w:spacing w:val="0"/>
                <w:kern w:val="2"/>
                <w:szCs w:val="24"/>
                <w:highlight w:val="none"/>
              </w:rPr>
            </w:pPr>
          </w:p>
        </w:tc>
      </w:tr>
    </w:tbl>
    <w:p>
      <w:pPr>
        <w:spacing w:line="360" w:lineRule="auto"/>
        <w:ind w:firstLine="720"/>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备注：1.每一项符合的打“○”，不符合的打“×”。</w:t>
      </w:r>
    </w:p>
    <w:p>
      <w:pPr>
        <w:spacing w:line="360" w:lineRule="auto"/>
        <w:ind w:left="975" w:leftChars="350" w:hanging="240" w:hangingChars="100"/>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2.“结论”一栏填写“通过”或“不通过”；任何一项出现“×”的，结论为不通过；不通过的为无效投标。</w:t>
      </w:r>
    </w:p>
    <w:p>
      <w:pPr>
        <w:spacing w:line="360" w:lineRule="auto"/>
        <w:rPr>
          <w:rFonts w:ascii="宋体" w:hAnsi="宋体"/>
          <w:color w:val="auto"/>
          <w:sz w:val="24"/>
          <w:highlight w:val="none"/>
        </w:rPr>
        <w:sectPr>
          <w:footerReference r:id="rId13" w:type="default"/>
          <w:pgSz w:w="11906" w:h="16838"/>
          <w:pgMar w:top="1440" w:right="1797" w:bottom="1440" w:left="1797" w:header="851" w:footer="992" w:gutter="0"/>
          <w:cols w:space="720" w:num="1"/>
          <w:docGrid w:linePitch="312" w:charSpace="0"/>
        </w:sectPr>
      </w:pPr>
      <w:r>
        <w:rPr>
          <w:rFonts w:hint="eastAsia" w:ascii="宋体" w:hAnsi="宋体"/>
          <w:color w:val="auto"/>
          <w:sz w:val="24"/>
          <w:highlight w:val="none"/>
        </w:rPr>
        <w:br w:type="page"/>
      </w:r>
    </w:p>
    <w:p>
      <w:pPr>
        <w:spacing w:line="360" w:lineRule="auto"/>
        <w:rPr>
          <w:rFonts w:ascii="宋体" w:hAnsi="宋体"/>
          <w:color w:val="auto"/>
          <w:sz w:val="24"/>
          <w:highlight w:val="none"/>
        </w:rPr>
      </w:pPr>
      <w:r>
        <w:rPr>
          <w:rFonts w:hint="eastAsia" w:ascii="宋体" w:hAnsi="宋体"/>
          <w:color w:val="auto"/>
          <w:sz w:val="24"/>
          <w:highlight w:val="none"/>
        </w:rPr>
        <w:t>附表2：</w:t>
      </w:r>
    </w:p>
    <w:p>
      <w:pPr>
        <w:spacing w:line="360" w:lineRule="auto"/>
        <w:jc w:val="center"/>
        <w:rPr>
          <w:rFonts w:ascii="宋体" w:hAnsi="宋体"/>
          <w:b/>
          <w:color w:val="auto"/>
          <w:sz w:val="24"/>
          <w:highlight w:val="none"/>
        </w:rPr>
      </w:pPr>
      <w:r>
        <w:rPr>
          <w:rFonts w:hint="eastAsia" w:ascii="宋体" w:hAnsi="宋体"/>
          <w:b/>
          <w:color w:val="auto"/>
          <w:sz w:val="24"/>
          <w:highlight w:val="none"/>
        </w:rPr>
        <w:t>商务评分表（30分）</w:t>
      </w:r>
    </w:p>
    <w:tbl>
      <w:tblPr>
        <w:tblStyle w:val="44"/>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06"/>
        <w:gridCol w:w="1227"/>
        <w:gridCol w:w="427"/>
        <w:gridCol w:w="2763"/>
        <w:gridCol w:w="12"/>
        <w:gridCol w:w="2769"/>
        <w:gridCol w:w="15"/>
        <w:gridCol w:w="2772"/>
        <w:gridCol w:w="13"/>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427"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序号</w:t>
            </w:r>
          </w:p>
        </w:tc>
        <w:tc>
          <w:tcPr>
            <w:tcW w:w="706"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项目</w:t>
            </w:r>
          </w:p>
        </w:tc>
        <w:tc>
          <w:tcPr>
            <w:tcW w:w="1227"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评审内容</w:t>
            </w:r>
          </w:p>
        </w:tc>
        <w:tc>
          <w:tcPr>
            <w:tcW w:w="427"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分值</w:t>
            </w:r>
          </w:p>
        </w:tc>
        <w:tc>
          <w:tcPr>
            <w:tcW w:w="11150" w:type="dxa"/>
            <w:gridSpan w:val="7"/>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427" w:type="dxa"/>
            <w:vMerge w:val="continue"/>
            <w:vAlign w:val="center"/>
          </w:tcPr>
          <w:p>
            <w:pPr>
              <w:jc w:val="center"/>
              <w:rPr>
                <w:rFonts w:ascii="宋体" w:hAnsi="宋体" w:cs="宋体"/>
                <w:b/>
                <w:color w:val="auto"/>
                <w:szCs w:val="21"/>
                <w:highlight w:val="none"/>
              </w:rPr>
            </w:pPr>
          </w:p>
        </w:tc>
        <w:tc>
          <w:tcPr>
            <w:tcW w:w="706" w:type="dxa"/>
            <w:vMerge w:val="continue"/>
            <w:vAlign w:val="center"/>
          </w:tcPr>
          <w:p>
            <w:pPr>
              <w:jc w:val="center"/>
              <w:rPr>
                <w:rFonts w:ascii="宋体" w:hAnsi="宋体" w:cs="宋体"/>
                <w:b/>
                <w:color w:val="auto"/>
                <w:szCs w:val="21"/>
                <w:highlight w:val="none"/>
              </w:rPr>
            </w:pPr>
          </w:p>
        </w:tc>
        <w:tc>
          <w:tcPr>
            <w:tcW w:w="1227" w:type="dxa"/>
            <w:vMerge w:val="continue"/>
            <w:vAlign w:val="center"/>
          </w:tcPr>
          <w:p>
            <w:pPr>
              <w:jc w:val="center"/>
              <w:rPr>
                <w:rFonts w:ascii="宋体" w:hAnsi="宋体" w:cs="宋体"/>
                <w:b/>
                <w:color w:val="auto"/>
                <w:szCs w:val="21"/>
                <w:highlight w:val="none"/>
              </w:rPr>
            </w:pPr>
          </w:p>
        </w:tc>
        <w:tc>
          <w:tcPr>
            <w:tcW w:w="427" w:type="dxa"/>
            <w:vMerge w:val="continue"/>
            <w:vAlign w:val="center"/>
          </w:tcPr>
          <w:p>
            <w:pPr>
              <w:jc w:val="center"/>
              <w:rPr>
                <w:rFonts w:ascii="宋体" w:hAnsi="宋体" w:cs="宋体"/>
                <w:b/>
                <w:color w:val="auto"/>
                <w:szCs w:val="21"/>
                <w:highlight w:val="none"/>
              </w:rPr>
            </w:pPr>
          </w:p>
        </w:tc>
        <w:tc>
          <w:tcPr>
            <w:tcW w:w="2775" w:type="dxa"/>
            <w:gridSpan w:val="2"/>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优</w:t>
            </w:r>
          </w:p>
        </w:tc>
        <w:tc>
          <w:tcPr>
            <w:tcW w:w="2784" w:type="dxa"/>
            <w:gridSpan w:val="2"/>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良</w:t>
            </w:r>
          </w:p>
        </w:tc>
        <w:tc>
          <w:tcPr>
            <w:tcW w:w="2785" w:type="dxa"/>
            <w:gridSpan w:val="2"/>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中</w:t>
            </w:r>
          </w:p>
        </w:tc>
        <w:tc>
          <w:tcPr>
            <w:tcW w:w="2806"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27" w:type="dxa"/>
            <w:vAlign w:val="center"/>
          </w:tcPr>
          <w:p>
            <w:pPr>
              <w:jc w:val="center"/>
              <w:rPr>
                <w:rFonts w:ascii="宋体"/>
                <w:color w:val="auto"/>
                <w:szCs w:val="21"/>
                <w:highlight w:val="none"/>
              </w:rPr>
            </w:pPr>
            <w:r>
              <w:rPr>
                <w:rFonts w:ascii="宋体" w:hAnsi="宋体" w:cs="宋体"/>
                <w:color w:val="auto"/>
                <w:szCs w:val="21"/>
                <w:highlight w:val="none"/>
              </w:rPr>
              <w:t>1</w:t>
            </w:r>
          </w:p>
        </w:tc>
        <w:tc>
          <w:tcPr>
            <w:tcW w:w="706" w:type="dxa"/>
            <w:vAlign w:val="center"/>
          </w:tcPr>
          <w:p>
            <w:pPr>
              <w:jc w:val="center"/>
              <w:rPr>
                <w:rFonts w:ascii="宋体"/>
                <w:color w:val="auto"/>
                <w:szCs w:val="21"/>
                <w:highlight w:val="none"/>
              </w:rPr>
            </w:pPr>
            <w:r>
              <w:rPr>
                <w:rFonts w:hint="eastAsia" w:ascii="宋体" w:hAnsi="宋体" w:cs="宋体"/>
                <w:color w:val="auto"/>
                <w:szCs w:val="21"/>
                <w:highlight w:val="none"/>
              </w:rPr>
              <w:t>商务响应</w:t>
            </w:r>
          </w:p>
        </w:tc>
        <w:tc>
          <w:tcPr>
            <w:tcW w:w="1227" w:type="dxa"/>
            <w:vAlign w:val="center"/>
          </w:tcPr>
          <w:p>
            <w:pPr>
              <w:jc w:val="center"/>
              <w:rPr>
                <w:rFonts w:ascii="宋体"/>
                <w:color w:val="auto"/>
                <w:szCs w:val="21"/>
                <w:highlight w:val="none"/>
              </w:rPr>
            </w:pPr>
            <w:r>
              <w:rPr>
                <w:rFonts w:hint="eastAsia" w:ascii="宋体" w:hAnsi="宋体"/>
                <w:color w:val="auto"/>
                <w:szCs w:val="21"/>
                <w:highlight w:val="none"/>
              </w:rPr>
              <w:t>各投标人的响应程度</w:t>
            </w:r>
          </w:p>
        </w:tc>
        <w:tc>
          <w:tcPr>
            <w:tcW w:w="427" w:type="dxa"/>
            <w:vAlign w:val="center"/>
          </w:tcPr>
          <w:p>
            <w:pPr>
              <w:jc w:val="center"/>
              <w:rPr>
                <w:rFonts w:ascii="宋体"/>
                <w:color w:val="auto"/>
                <w:szCs w:val="21"/>
                <w:highlight w:val="none"/>
              </w:rPr>
            </w:pPr>
            <w:r>
              <w:rPr>
                <w:rFonts w:hint="eastAsia" w:ascii="宋体" w:hAnsi="宋体" w:cs="宋体"/>
                <w:color w:val="auto"/>
                <w:szCs w:val="21"/>
                <w:highlight w:val="none"/>
              </w:rPr>
              <w:t>6</w:t>
            </w:r>
          </w:p>
        </w:tc>
        <w:tc>
          <w:tcPr>
            <w:tcW w:w="11150" w:type="dxa"/>
            <w:gridSpan w:val="7"/>
            <w:vAlign w:val="center"/>
          </w:tcPr>
          <w:p>
            <w:pPr>
              <w:jc w:val="left"/>
              <w:rPr>
                <w:rFonts w:ascii="宋体" w:hAnsi="宋体" w:cs="宋体"/>
                <w:color w:val="auto"/>
                <w:szCs w:val="21"/>
                <w:highlight w:val="none"/>
              </w:rPr>
            </w:pPr>
            <w:r>
              <w:rPr>
                <w:rFonts w:hint="eastAsia" w:ascii="宋体" w:hAnsi="宋体" w:cs="宋体"/>
                <w:color w:val="auto"/>
                <w:szCs w:val="21"/>
                <w:highlight w:val="none"/>
              </w:rPr>
              <w:t>根据投标人承诺的交货期、质保期、付款条件进行评分，三项均完全满足或优于招标文件要求的得6分，其他情况不得分。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2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706" w:type="dxa"/>
            <w:vAlign w:val="center"/>
          </w:tcPr>
          <w:p>
            <w:pPr>
              <w:jc w:val="center"/>
              <w:rPr>
                <w:rFonts w:ascii="宋体" w:hAnsi="宋体" w:cs="宋体"/>
                <w:color w:val="auto"/>
                <w:szCs w:val="21"/>
                <w:highlight w:val="none"/>
              </w:rPr>
            </w:pPr>
            <w:r>
              <w:rPr>
                <w:rFonts w:hint="eastAsia"/>
                <w:color w:val="auto"/>
                <w:szCs w:val="21"/>
                <w:highlight w:val="none"/>
              </w:rPr>
              <w:t>业绩</w:t>
            </w:r>
          </w:p>
        </w:tc>
        <w:tc>
          <w:tcPr>
            <w:tcW w:w="1227" w:type="dxa"/>
            <w:vAlign w:val="center"/>
          </w:tcPr>
          <w:p>
            <w:pPr>
              <w:jc w:val="center"/>
              <w:rPr>
                <w:rFonts w:ascii="宋体" w:hAnsi="宋体"/>
                <w:color w:val="auto"/>
                <w:szCs w:val="21"/>
                <w:highlight w:val="none"/>
              </w:rPr>
            </w:pPr>
            <w:r>
              <w:rPr>
                <w:rFonts w:hint="eastAsia" w:ascii="宋体" w:hAnsi="宋体"/>
                <w:color w:val="auto"/>
                <w:szCs w:val="21"/>
                <w:highlight w:val="none"/>
              </w:rPr>
              <w:t>两年内同类项目业绩</w:t>
            </w:r>
          </w:p>
        </w:tc>
        <w:tc>
          <w:tcPr>
            <w:tcW w:w="427" w:type="dxa"/>
            <w:vAlign w:val="center"/>
          </w:tcPr>
          <w:p>
            <w:pPr>
              <w:jc w:val="center"/>
              <w:rPr>
                <w:rFonts w:ascii="宋体" w:hAnsi="宋体" w:cs="宋体"/>
                <w:color w:val="auto"/>
                <w:szCs w:val="21"/>
                <w:highlight w:val="none"/>
              </w:rPr>
            </w:pPr>
            <w:r>
              <w:rPr>
                <w:rFonts w:ascii="宋体" w:hAnsi="宋体"/>
                <w:color w:val="auto"/>
                <w:szCs w:val="21"/>
                <w:highlight w:val="none"/>
              </w:rPr>
              <w:t>12</w:t>
            </w:r>
          </w:p>
        </w:tc>
        <w:tc>
          <w:tcPr>
            <w:tcW w:w="11150" w:type="dxa"/>
            <w:gridSpan w:val="7"/>
            <w:vAlign w:val="center"/>
          </w:tcPr>
          <w:p>
            <w:pPr>
              <w:jc w:val="left"/>
              <w:rPr>
                <w:rFonts w:ascii="宋体" w:hAnsi="宋体"/>
                <w:color w:val="auto"/>
                <w:szCs w:val="21"/>
                <w:highlight w:val="none"/>
              </w:rPr>
            </w:pPr>
            <w:r>
              <w:rPr>
                <w:rFonts w:hint="eastAsia" w:ascii="宋体" w:hAnsi="宋体"/>
                <w:color w:val="auto"/>
                <w:szCs w:val="21"/>
                <w:highlight w:val="none"/>
              </w:rPr>
              <w:t>2017年1月1日至今销售同类产品业绩，每1个得2分，最高得12分</w:t>
            </w:r>
            <w:r>
              <w:rPr>
                <w:rFonts w:hint="eastAsia" w:asciiTheme="minorEastAsia" w:hAnsiTheme="minorEastAsia" w:eastAsiaTheme="minorEastAsia"/>
                <w:color w:val="auto"/>
                <w:szCs w:val="21"/>
                <w:highlight w:val="none"/>
              </w:rPr>
              <w:t>（须提供合同关键页</w:t>
            </w:r>
            <w:r>
              <w:rPr>
                <w:rFonts w:hint="eastAsia" w:ascii="宋体" w:hAnsi="宋体"/>
                <w:color w:val="auto"/>
                <w:szCs w:val="21"/>
                <w:highlight w:val="none"/>
              </w:rPr>
              <w:t>或中标</w:t>
            </w:r>
            <w:r>
              <w:rPr>
                <w:rFonts w:ascii="宋体" w:hAnsi="宋体"/>
                <w:color w:val="auto"/>
                <w:szCs w:val="21"/>
                <w:highlight w:val="none"/>
              </w:rPr>
              <w:t>通知书</w:t>
            </w:r>
            <w:r>
              <w:rPr>
                <w:rFonts w:hint="eastAsia" w:asciiTheme="minorEastAsia" w:hAnsiTheme="minorEastAsia" w:eastAsiaTheme="minorEastAsia"/>
                <w:color w:val="auto"/>
                <w:szCs w:val="21"/>
                <w:highlight w:val="none"/>
              </w:rPr>
              <w:t>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427" w:type="dxa"/>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706" w:type="dxa"/>
            <w:vAlign w:val="center"/>
          </w:tcPr>
          <w:p>
            <w:pPr>
              <w:jc w:val="center"/>
              <w:rPr>
                <w:color w:val="auto"/>
                <w:szCs w:val="21"/>
                <w:highlight w:val="none"/>
              </w:rPr>
            </w:pPr>
            <w:r>
              <w:rPr>
                <w:rFonts w:hint="eastAsia"/>
                <w:color w:val="auto"/>
                <w:szCs w:val="21"/>
                <w:highlight w:val="none"/>
              </w:rPr>
              <w:t>培训方案</w:t>
            </w:r>
          </w:p>
        </w:tc>
        <w:tc>
          <w:tcPr>
            <w:tcW w:w="1227" w:type="dxa"/>
            <w:vAlign w:val="center"/>
          </w:tcPr>
          <w:p>
            <w:pPr>
              <w:jc w:val="center"/>
              <w:rPr>
                <w:rFonts w:ascii="宋体" w:hAnsi="宋体"/>
                <w:color w:val="auto"/>
                <w:szCs w:val="21"/>
                <w:highlight w:val="none"/>
              </w:rPr>
            </w:pPr>
            <w:r>
              <w:rPr>
                <w:rFonts w:hint="eastAsia" w:ascii="宋体" w:hAnsi="宋体"/>
                <w:color w:val="auto"/>
                <w:szCs w:val="21"/>
                <w:highlight w:val="none"/>
              </w:rPr>
              <w:t>根据投标人的培训方案内容、人员、时间安排等</w:t>
            </w:r>
            <w:r>
              <w:rPr>
                <w:rFonts w:hint="eastAsia" w:ascii="宋体" w:hAnsi="宋体" w:cs="Courier New"/>
                <w:color w:val="auto"/>
                <w:szCs w:val="21"/>
                <w:highlight w:val="none"/>
              </w:rPr>
              <w:t>做出评价</w:t>
            </w:r>
          </w:p>
        </w:tc>
        <w:tc>
          <w:tcPr>
            <w:tcW w:w="427"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2763" w:type="dxa"/>
            <w:vAlign w:val="center"/>
          </w:tcPr>
          <w:p>
            <w:pPr>
              <w:pStyle w:val="2"/>
              <w:rPr>
                <w:rFonts w:ascii="Times New Roman" w:hAnsi="Times New Roman"/>
                <w:color w:val="auto"/>
                <w:szCs w:val="24"/>
                <w:highlight w:val="none"/>
              </w:rPr>
            </w:pPr>
            <w:r>
              <w:rPr>
                <w:rFonts w:hint="eastAsia" w:ascii="Times New Roman" w:hAnsi="Times New Roman"/>
                <w:color w:val="auto"/>
                <w:szCs w:val="24"/>
                <w:highlight w:val="none"/>
              </w:rPr>
              <w:t>可配合招标人对设备进行指导安装、培训，且</w:t>
            </w:r>
            <w:r>
              <w:rPr>
                <w:rFonts w:hint="eastAsia" w:ascii="宋体" w:hAnsi="宋体"/>
                <w:color w:val="auto"/>
                <w:szCs w:val="21"/>
                <w:highlight w:val="none"/>
              </w:rPr>
              <w:t>培训方案阐述完整、具有可操作性，培训内容实用性强，人员、时间安排详尽科学的，得6分。</w:t>
            </w:r>
          </w:p>
        </w:tc>
        <w:tc>
          <w:tcPr>
            <w:tcW w:w="2781" w:type="dxa"/>
            <w:gridSpan w:val="2"/>
            <w:vAlign w:val="center"/>
          </w:tcPr>
          <w:p>
            <w:pPr>
              <w:jc w:val="center"/>
              <w:rPr>
                <w:rFonts w:ascii="宋体" w:hAnsi="宋体"/>
                <w:color w:val="auto"/>
                <w:szCs w:val="21"/>
                <w:highlight w:val="none"/>
              </w:rPr>
            </w:pPr>
            <w:r>
              <w:rPr>
                <w:rFonts w:hint="eastAsia"/>
                <w:color w:val="auto"/>
                <w:highlight w:val="none"/>
              </w:rPr>
              <w:t>可配合招标人对设备进行指导安装、培训，且</w:t>
            </w:r>
            <w:r>
              <w:rPr>
                <w:rFonts w:hint="eastAsia" w:ascii="宋体" w:hAnsi="宋体"/>
                <w:color w:val="auto"/>
                <w:szCs w:val="21"/>
                <w:highlight w:val="none"/>
              </w:rPr>
              <w:t>培训方案简要、具有可操作性人员、时间安排简要的，得4分。</w:t>
            </w:r>
          </w:p>
        </w:tc>
        <w:tc>
          <w:tcPr>
            <w:tcW w:w="2787" w:type="dxa"/>
            <w:gridSpan w:val="2"/>
            <w:vAlign w:val="center"/>
          </w:tcPr>
          <w:p>
            <w:pPr>
              <w:jc w:val="center"/>
              <w:rPr>
                <w:rFonts w:ascii="宋体" w:hAnsi="宋体"/>
                <w:color w:val="auto"/>
                <w:szCs w:val="21"/>
                <w:highlight w:val="none"/>
              </w:rPr>
            </w:pPr>
            <w:r>
              <w:rPr>
                <w:rFonts w:hint="eastAsia"/>
                <w:color w:val="auto"/>
                <w:highlight w:val="none"/>
              </w:rPr>
              <w:t>培训方案表述简要</w:t>
            </w:r>
            <w:r>
              <w:rPr>
                <w:rFonts w:hint="eastAsia" w:ascii="宋体" w:hAnsi="宋体"/>
                <w:color w:val="auto"/>
                <w:szCs w:val="21"/>
                <w:highlight w:val="none"/>
              </w:rPr>
              <w:t>，有简单的人员、时间安排的，得2分。</w:t>
            </w:r>
          </w:p>
        </w:tc>
        <w:tc>
          <w:tcPr>
            <w:tcW w:w="2819"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培训方案可操作性差，未就培训内容及人员、时间描述，或不提供培训方案的，得0分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427" w:type="dxa"/>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706" w:type="dxa"/>
            <w:vAlign w:val="center"/>
          </w:tcPr>
          <w:p>
            <w:pPr>
              <w:jc w:val="center"/>
              <w:rPr>
                <w:color w:val="auto"/>
                <w:szCs w:val="21"/>
                <w:highlight w:val="none"/>
              </w:rPr>
            </w:pPr>
            <w:r>
              <w:rPr>
                <w:rFonts w:hint="eastAsia"/>
                <w:color w:val="auto"/>
                <w:szCs w:val="21"/>
                <w:highlight w:val="none"/>
              </w:rPr>
              <w:t>售后服务方案</w:t>
            </w:r>
          </w:p>
        </w:tc>
        <w:tc>
          <w:tcPr>
            <w:tcW w:w="1227" w:type="dxa"/>
            <w:vAlign w:val="center"/>
          </w:tcPr>
          <w:p>
            <w:pPr>
              <w:jc w:val="center"/>
              <w:rPr>
                <w:rFonts w:ascii="宋体" w:hAnsi="宋体"/>
                <w:color w:val="auto"/>
                <w:szCs w:val="21"/>
                <w:highlight w:val="none"/>
              </w:rPr>
            </w:pPr>
            <w:r>
              <w:rPr>
                <w:rFonts w:hint="eastAsia" w:ascii="宋体" w:hAnsi="宋体"/>
                <w:color w:val="auto"/>
                <w:szCs w:val="21"/>
                <w:highlight w:val="none"/>
              </w:rPr>
              <w:t>根据投标人的服务方案内容、承诺</w:t>
            </w:r>
            <w:r>
              <w:rPr>
                <w:rFonts w:hint="eastAsia" w:ascii="宋体" w:hAnsi="宋体" w:cs="Courier New"/>
                <w:color w:val="auto"/>
                <w:szCs w:val="21"/>
                <w:highlight w:val="none"/>
              </w:rPr>
              <w:t>做出评价</w:t>
            </w:r>
          </w:p>
        </w:tc>
        <w:tc>
          <w:tcPr>
            <w:tcW w:w="427"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2763" w:type="dxa"/>
            <w:vAlign w:val="center"/>
          </w:tcPr>
          <w:p>
            <w:pPr>
              <w:rPr>
                <w:rFonts w:ascii="宋体" w:hAnsi="宋体"/>
                <w:color w:val="auto"/>
                <w:szCs w:val="21"/>
                <w:highlight w:val="none"/>
              </w:rPr>
            </w:pPr>
            <w:r>
              <w:rPr>
                <w:rFonts w:hint="eastAsia" w:ascii="宋体" w:hAnsi="宋体"/>
                <w:color w:val="auto"/>
                <w:szCs w:val="21"/>
                <w:highlight w:val="none"/>
              </w:rPr>
              <w:t>售后服务方案阐述完整，有具体的质量保证措施，有高素质的专业性的售后技术服务队伍，承诺的事故处理响应时间不超过2小时，</w:t>
            </w:r>
          </w:p>
          <w:p>
            <w:pPr>
              <w:jc w:val="center"/>
              <w:rPr>
                <w:color w:val="auto"/>
                <w:highlight w:val="none"/>
              </w:rPr>
            </w:pPr>
            <w:r>
              <w:rPr>
                <w:rFonts w:hint="eastAsia" w:ascii="宋体" w:hAnsi="宋体"/>
                <w:color w:val="auto"/>
                <w:szCs w:val="21"/>
                <w:highlight w:val="none"/>
              </w:rPr>
              <w:t>得6</w:t>
            </w:r>
            <w:r>
              <w:rPr>
                <w:rFonts w:ascii="宋体" w:hAnsi="宋体"/>
                <w:color w:val="auto"/>
                <w:szCs w:val="21"/>
                <w:highlight w:val="none"/>
              </w:rPr>
              <w:t>分</w:t>
            </w:r>
            <w:r>
              <w:rPr>
                <w:rFonts w:hint="eastAsia" w:ascii="宋体" w:hAnsi="宋体"/>
                <w:color w:val="auto"/>
                <w:szCs w:val="21"/>
                <w:highlight w:val="none"/>
              </w:rPr>
              <w:t>。</w:t>
            </w:r>
          </w:p>
        </w:tc>
        <w:tc>
          <w:tcPr>
            <w:tcW w:w="2781" w:type="dxa"/>
            <w:gridSpan w:val="2"/>
            <w:vAlign w:val="center"/>
          </w:tcPr>
          <w:p>
            <w:pPr>
              <w:jc w:val="left"/>
              <w:rPr>
                <w:rFonts w:ascii="宋体" w:hAnsi="宋体"/>
                <w:color w:val="auto"/>
                <w:szCs w:val="21"/>
                <w:highlight w:val="none"/>
              </w:rPr>
            </w:pPr>
            <w:r>
              <w:rPr>
                <w:rFonts w:hint="eastAsia" w:ascii="宋体" w:hAnsi="宋体"/>
                <w:color w:val="auto"/>
                <w:szCs w:val="21"/>
                <w:highlight w:val="none"/>
              </w:rPr>
              <w:t>售后服务方案阐述简要，有具体的质量保证措施，有售后技术服务队伍，承诺的事故处理响应时间不超过4小时，得4</w:t>
            </w:r>
            <w:r>
              <w:rPr>
                <w:rFonts w:ascii="宋体" w:hAnsi="宋体"/>
                <w:color w:val="auto"/>
                <w:szCs w:val="21"/>
                <w:highlight w:val="none"/>
              </w:rPr>
              <w:t>分</w:t>
            </w:r>
            <w:r>
              <w:rPr>
                <w:rFonts w:hint="eastAsia" w:ascii="宋体" w:hAnsi="宋体"/>
                <w:color w:val="auto"/>
                <w:szCs w:val="21"/>
                <w:highlight w:val="none"/>
              </w:rPr>
              <w:t>。</w:t>
            </w:r>
          </w:p>
        </w:tc>
        <w:tc>
          <w:tcPr>
            <w:tcW w:w="2787"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售后服务方案阐述简要，有售后技术服务队伍，承诺的事故处理响应时间不超过6小时，得2</w:t>
            </w:r>
            <w:r>
              <w:rPr>
                <w:rFonts w:ascii="宋体" w:hAnsi="宋体"/>
                <w:color w:val="auto"/>
                <w:szCs w:val="21"/>
                <w:highlight w:val="none"/>
              </w:rPr>
              <w:t>分</w:t>
            </w:r>
            <w:r>
              <w:rPr>
                <w:rFonts w:hint="eastAsia" w:ascii="宋体" w:hAnsi="宋体"/>
                <w:color w:val="auto"/>
                <w:szCs w:val="21"/>
                <w:highlight w:val="none"/>
              </w:rPr>
              <w:t>。</w:t>
            </w:r>
          </w:p>
        </w:tc>
        <w:tc>
          <w:tcPr>
            <w:tcW w:w="2819"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售后服务方案阐述简单，承诺的事故处理响应时间超过6小时，或其他情况得0</w:t>
            </w:r>
            <w:r>
              <w:rPr>
                <w:rFonts w:ascii="宋体" w:hAnsi="宋体"/>
                <w:color w:val="auto"/>
                <w:szCs w:val="21"/>
                <w:highlight w:val="none"/>
              </w:rPr>
              <w:t>分</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2360"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总分</w:t>
            </w:r>
          </w:p>
        </w:tc>
        <w:tc>
          <w:tcPr>
            <w:tcW w:w="427" w:type="dxa"/>
            <w:vAlign w:val="center"/>
          </w:tcPr>
          <w:p>
            <w:pPr>
              <w:jc w:val="center"/>
              <w:rPr>
                <w:rFonts w:ascii="宋体" w:hAnsi="宋体"/>
                <w:color w:val="auto"/>
                <w:szCs w:val="21"/>
                <w:highlight w:val="none"/>
              </w:rPr>
            </w:pPr>
            <w:r>
              <w:rPr>
                <w:rFonts w:ascii="宋体" w:hAnsi="宋体"/>
                <w:color w:val="auto"/>
                <w:szCs w:val="21"/>
                <w:highlight w:val="none"/>
              </w:rPr>
              <w:t>30</w:t>
            </w:r>
          </w:p>
        </w:tc>
        <w:tc>
          <w:tcPr>
            <w:tcW w:w="2763" w:type="dxa"/>
            <w:vAlign w:val="center"/>
          </w:tcPr>
          <w:p>
            <w:pPr>
              <w:rPr>
                <w:rFonts w:ascii="宋体" w:hAnsi="宋体"/>
                <w:color w:val="auto"/>
                <w:szCs w:val="21"/>
                <w:highlight w:val="none"/>
              </w:rPr>
            </w:pPr>
          </w:p>
        </w:tc>
        <w:tc>
          <w:tcPr>
            <w:tcW w:w="2781" w:type="dxa"/>
            <w:gridSpan w:val="2"/>
            <w:vAlign w:val="center"/>
          </w:tcPr>
          <w:p>
            <w:pPr>
              <w:rPr>
                <w:rFonts w:ascii="宋体" w:hAnsi="宋体"/>
                <w:color w:val="auto"/>
                <w:szCs w:val="21"/>
                <w:highlight w:val="none"/>
              </w:rPr>
            </w:pPr>
          </w:p>
        </w:tc>
        <w:tc>
          <w:tcPr>
            <w:tcW w:w="2787" w:type="dxa"/>
            <w:gridSpan w:val="2"/>
            <w:vAlign w:val="center"/>
          </w:tcPr>
          <w:p>
            <w:pPr>
              <w:rPr>
                <w:rFonts w:ascii="宋体" w:hAnsi="宋体"/>
                <w:color w:val="auto"/>
                <w:szCs w:val="21"/>
                <w:highlight w:val="none"/>
              </w:rPr>
            </w:pPr>
          </w:p>
        </w:tc>
        <w:tc>
          <w:tcPr>
            <w:tcW w:w="2819" w:type="dxa"/>
            <w:gridSpan w:val="2"/>
            <w:vAlign w:val="center"/>
          </w:tcPr>
          <w:p>
            <w:pPr>
              <w:rPr>
                <w:rFonts w:ascii="宋体" w:hAnsi="宋体"/>
                <w:color w:val="auto"/>
                <w:szCs w:val="21"/>
                <w:highlight w:val="none"/>
              </w:rPr>
            </w:pPr>
          </w:p>
        </w:tc>
      </w:tr>
    </w:tbl>
    <w:p>
      <w:pPr>
        <w:spacing w:line="360" w:lineRule="auto"/>
        <w:rPr>
          <w:rFonts w:ascii="宋体" w:hAnsi="宋体"/>
          <w:color w:val="auto"/>
          <w:sz w:val="24"/>
          <w:highlight w:val="none"/>
        </w:rPr>
      </w:pPr>
      <w:r>
        <w:rPr>
          <w:rFonts w:ascii="宋体" w:hAnsi="宋体"/>
          <w:color w:val="auto"/>
          <w:highlight w:val="none"/>
        </w:rPr>
        <w:br w:type="page"/>
      </w:r>
      <w:r>
        <w:rPr>
          <w:rFonts w:hint="eastAsia" w:ascii="宋体" w:hAnsi="宋体"/>
          <w:color w:val="auto"/>
          <w:sz w:val="24"/>
          <w:highlight w:val="none"/>
        </w:rPr>
        <w:t>附表3：</w:t>
      </w:r>
    </w:p>
    <w:p>
      <w:pPr>
        <w:spacing w:line="360" w:lineRule="auto"/>
        <w:jc w:val="center"/>
        <w:rPr>
          <w:rFonts w:ascii="宋体" w:hAnsi="宋体"/>
          <w:b/>
          <w:color w:val="auto"/>
          <w:sz w:val="24"/>
          <w:highlight w:val="none"/>
        </w:rPr>
      </w:pPr>
      <w:r>
        <w:rPr>
          <w:rFonts w:hint="eastAsia" w:ascii="宋体" w:hAnsi="宋体"/>
          <w:b/>
          <w:color w:val="auto"/>
          <w:sz w:val="24"/>
          <w:highlight w:val="none"/>
        </w:rPr>
        <w:t>技术评分标准（40分）</w:t>
      </w:r>
    </w:p>
    <w:tbl>
      <w:tblPr>
        <w:tblStyle w:val="44"/>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38"/>
        <w:gridCol w:w="1452"/>
        <w:gridCol w:w="498"/>
        <w:gridCol w:w="2837"/>
        <w:gridCol w:w="2428"/>
        <w:gridCol w:w="2490"/>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419"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序号</w:t>
            </w:r>
          </w:p>
        </w:tc>
        <w:tc>
          <w:tcPr>
            <w:tcW w:w="938"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项目</w:t>
            </w:r>
          </w:p>
        </w:tc>
        <w:tc>
          <w:tcPr>
            <w:tcW w:w="1452"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评审内容</w:t>
            </w:r>
          </w:p>
        </w:tc>
        <w:tc>
          <w:tcPr>
            <w:tcW w:w="498" w:type="dxa"/>
            <w:vMerge w:val="restart"/>
            <w:vAlign w:val="center"/>
          </w:tcPr>
          <w:p>
            <w:pPr>
              <w:jc w:val="center"/>
              <w:rPr>
                <w:rFonts w:ascii="宋体"/>
                <w:b/>
                <w:color w:val="auto"/>
                <w:szCs w:val="21"/>
                <w:highlight w:val="none"/>
              </w:rPr>
            </w:pPr>
            <w:r>
              <w:rPr>
                <w:rFonts w:hint="eastAsia" w:ascii="宋体" w:hAnsi="宋体" w:cs="宋体"/>
                <w:b/>
                <w:color w:val="auto"/>
                <w:szCs w:val="21"/>
                <w:highlight w:val="none"/>
              </w:rPr>
              <w:t>分值</w:t>
            </w:r>
          </w:p>
        </w:tc>
        <w:tc>
          <w:tcPr>
            <w:tcW w:w="10630" w:type="dxa"/>
            <w:gridSpan w:val="4"/>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blHeader/>
          <w:jc w:val="center"/>
        </w:trPr>
        <w:tc>
          <w:tcPr>
            <w:tcW w:w="419" w:type="dxa"/>
            <w:vMerge w:val="continue"/>
            <w:vAlign w:val="center"/>
          </w:tcPr>
          <w:p>
            <w:pPr>
              <w:jc w:val="center"/>
              <w:rPr>
                <w:rFonts w:ascii="宋体" w:hAnsi="宋体" w:cs="宋体"/>
                <w:b/>
                <w:color w:val="auto"/>
                <w:szCs w:val="21"/>
                <w:highlight w:val="none"/>
              </w:rPr>
            </w:pPr>
          </w:p>
        </w:tc>
        <w:tc>
          <w:tcPr>
            <w:tcW w:w="938" w:type="dxa"/>
            <w:vMerge w:val="continue"/>
            <w:vAlign w:val="center"/>
          </w:tcPr>
          <w:p>
            <w:pPr>
              <w:jc w:val="center"/>
              <w:rPr>
                <w:rFonts w:ascii="宋体" w:hAnsi="宋体" w:cs="宋体"/>
                <w:b/>
                <w:color w:val="auto"/>
                <w:szCs w:val="21"/>
                <w:highlight w:val="none"/>
              </w:rPr>
            </w:pPr>
          </w:p>
        </w:tc>
        <w:tc>
          <w:tcPr>
            <w:tcW w:w="1452" w:type="dxa"/>
            <w:vMerge w:val="continue"/>
            <w:vAlign w:val="center"/>
          </w:tcPr>
          <w:p>
            <w:pPr>
              <w:jc w:val="center"/>
              <w:rPr>
                <w:rFonts w:ascii="宋体" w:hAnsi="宋体" w:cs="宋体"/>
                <w:b/>
                <w:color w:val="auto"/>
                <w:szCs w:val="21"/>
                <w:highlight w:val="none"/>
              </w:rPr>
            </w:pPr>
          </w:p>
        </w:tc>
        <w:tc>
          <w:tcPr>
            <w:tcW w:w="498" w:type="dxa"/>
            <w:vMerge w:val="continue"/>
            <w:vAlign w:val="center"/>
          </w:tcPr>
          <w:p>
            <w:pPr>
              <w:jc w:val="center"/>
              <w:rPr>
                <w:rFonts w:ascii="宋体" w:hAnsi="宋体" w:cs="宋体"/>
                <w:b/>
                <w:color w:val="auto"/>
                <w:szCs w:val="21"/>
                <w:highlight w:val="none"/>
              </w:rPr>
            </w:pPr>
          </w:p>
        </w:tc>
        <w:tc>
          <w:tcPr>
            <w:tcW w:w="2837"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优</w:t>
            </w:r>
          </w:p>
        </w:tc>
        <w:tc>
          <w:tcPr>
            <w:tcW w:w="2428"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良</w:t>
            </w:r>
          </w:p>
        </w:tc>
        <w:tc>
          <w:tcPr>
            <w:tcW w:w="2490"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中</w:t>
            </w:r>
          </w:p>
        </w:tc>
        <w:tc>
          <w:tcPr>
            <w:tcW w:w="2875"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atLeast"/>
          <w:jc w:val="center"/>
        </w:trPr>
        <w:tc>
          <w:tcPr>
            <w:tcW w:w="419"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w:t>
            </w:r>
          </w:p>
        </w:tc>
        <w:tc>
          <w:tcPr>
            <w:tcW w:w="938" w:type="dxa"/>
            <w:vAlign w:val="center"/>
          </w:tcPr>
          <w:p>
            <w:pPr>
              <w:jc w:val="center"/>
              <w:rPr>
                <w:color w:val="auto"/>
                <w:szCs w:val="21"/>
                <w:highlight w:val="none"/>
              </w:rPr>
            </w:pPr>
            <w:r>
              <w:rPr>
                <w:rFonts w:hint="eastAsia"/>
                <w:color w:val="auto"/>
                <w:szCs w:val="21"/>
                <w:highlight w:val="none"/>
              </w:rPr>
              <w:t>设备的品牌选型、稳定性等</w:t>
            </w:r>
          </w:p>
        </w:tc>
        <w:tc>
          <w:tcPr>
            <w:tcW w:w="1452" w:type="dxa"/>
            <w:vAlign w:val="center"/>
          </w:tcPr>
          <w:p>
            <w:pPr>
              <w:jc w:val="center"/>
              <w:rPr>
                <w:rFonts w:ascii="宋体" w:hAnsi="宋体"/>
                <w:color w:val="auto"/>
                <w:szCs w:val="21"/>
                <w:highlight w:val="none"/>
              </w:rPr>
            </w:pPr>
            <w:r>
              <w:rPr>
                <w:rFonts w:hint="eastAsia" w:ascii="宋体" w:hAnsi="宋体"/>
                <w:color w:val="auto"/>
                <w:szCs w:val="21"/>
                <w:highlight w:val="none"/>
              </w:rPr>
              <w:t>根据投标人设备的配件、选型、稳定性等做出评价</w:t>
            </w:r>
          </w:p>
        </w:tc>
        <w:tc>
          <w:tcPr>
            <w:tcW w:w="498"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w:t>
            </w:r>
          </w:p>
        </w:tc>
        <w:tc>
          <w:tcPr>
            <w:tcW w:w="2837" w:type="dxa"/>
            <w:vAlign w:val="center"/>
          </w:tcPr>
          <w:p>
            <w:pPr>
              <w:autoSpaceDN w:val="0"/>
              <w:ind w:firstLine="420" w:firstLineChars="200"/>
              <w:jc w:val="left"/>
              <w:textAlignment w:val="center"/>
              <w:rPr>
                <w:rFonts w:ascii="宋体" w:hAnsi="宋体"/>
                <w:color w:val="auto"/>
                <w:szCs w:val="21"/>
                <w:highlight w:val="none"/>
              </w:rPr>
            </w:pPr>
            <w:r>
              <w:rPr>
                <w:rFonts w:hint="eastAsia" w:ascii="宋体" w:hAnsi="宋体"/>
                <w:color w:val="auto"/>
                <w:szCs w:val="21"/>
                <w:highlight w:val="none"/>
                <w:lang w:val="zh-CN"/>
              </w:rPr>
              <w:t>仪器设备采用的工作原理、试验方法先进可靠，配件质量可靠，结合目前市场反应，综合评估稳定性强、可靠性高的，得</w:t>
            </w:r>
            <w:r>
              <w:rPr>
                <w:rFonts w:hint="eastAsia" w:ascii="宋体" w:hAnsi="宋体"/>
                <w:color w:val="auto"/>
                <w:szCs w:val="21"/>
                <w:highlight w:val="none"/>
                <w:lang w:val="en-US" w:eastAsia="zh-CN"/>
              </w:rPr>
              <w:t>15</w:t>
            </w:r>
            <w:r>
              <w:rPr>
                <w:rFonts w:hint="eastAsia" w:ascii="宋体" w:hAnsi="宋体"/>
                <w:color w:val="auto"/>
                <w:szCs w:val="21"/>
                <w:highlight w:val="none"/>
                <w:lang w:val="zh-CN"/>
              </w:rPr>
              <w:t>分；</w:t>
            </w:r>
          </w:p>
        </w:tc>
        <w:tc>
          <w:tcPr>
            <w:tcW w:w="2428" w:type="dxa"/>
            <w:vAlign w:val="center"/>
          </w:tcPr>
          <w:p>
            <w:pPr>
              <w:autoSpaceDN w:val="0"/>
              <w:ind w:firstLine="420" w:firstLineChars="200"/>
              <w:jc w:val="left"/>
              <w:textAlignment w:val="center"/>
              <w:rPr>
                <w:rFonts w:ascii="宋体" w:hAnsi="宋体"/>
                <w:color w:val="auto"/>
                <w:szCs w:val="21"/>
                <w:highlight w:val="none"/>
              </w:rPr>
            </w:pPr>
            <w:r>
              <w:rPr>
                <w:rFonts w:hint="eastAsia" w:ascii="宋体" w:hAnsi="宋体"/>
                <w:color w:val="auto"/>
                <w:szCs w:val="21"/>
                <w:highlight w:val="none"/>
                <w:lang w:val="zh-CN"/>
              </w:rPr>
              <w:t>仪器设备采用的工作原理、试验方法可靠，配件质量可靠，得</w:t>
            </w:r>
            <w:r>
              <w:rPr>
                <w:rFonts w:hint="eastAsia" w:ascii="宋体" w:hAnsi="宋体"/>
                <w:color w:val="auto"/>
                <w:szCs w:val="21"/>
                <w:highlight w:val="none"/>
                <w:lang w:val="en-US" w:eastAsia="zh-CN"/>
              </w:rPr>
              <w:t>10</w:t>
            </w:r>
            <w:r>
              <w:rPr>
                <w:rFonts w:hint="eastAsia" w:ascii="宋体" w:hAnsi="宋体"/>
                <w:color w:val="auto"/>
                <w:szCs w:val="21"/>
                <w:highlight w:val="none"/>
                <w:lang w:val="zh-CN"/>
              </w:rPr>
              <w:t>分；</w:t>
            </w:r>
          </w:p>
        </w:tc>
        <w:tc>
          <w:tcPr>
            <w:tcW w:w="2490" w:type="dxa"/>
            <w:vAlign w:val="center"/>
          </w:tcPr>
          <w:p>
            <w:pPr>
              <w:autoSpaceDN w:val="0"/>
              <w:ind w:firstLine="420" w:firstLineChars="200"/>
              <w:jc w:val="left"/>
              <w:textAlignment w:val="center"/>
              <w:rPr>
                <w:rFonts w:ascii="宋体" w:hAnsi="宋体"/>
                <w:color w:val="auto"/>
                <w:szCs w:val="21"/>
                <w:highlight w:val="none"/>
              </w:rPr>
            </w:pPr>
            <w:r>
              <w:rPr>
                <w:rFonts w:hint="eastAsia" w:ascii="宋体" w:hAnsi="宋体"/>
                <w:color w:val="auto"/>
                <w:szCs w:val="21"/>
                <w:highlight w:val="none"/>
                <w:lang w:val="zh-CN"/>
              </w:rPr>
              <w:t>配件质量可靠，技术指标有少量偏差值，但日常工作中误差可控，对采购人工作影响小的，得</w:t>
            </w:r>
            <w:r>
              <w:rPr>
                <w:rFonts w:hint="eastAsia" w:ascii="宋体" w:hAnsi="宋体"/>
                <w:color w:val="auto"/>
                <w:szCs w:val="21"/>
                <w:highlight w:val="none"/>
                <w:lang w:val="en-US" w:eastAsia="zh-CN"/>
              </w:rPr>
              <w:t>5</w:t>
            </w:r>
            <w:r>
              <w:rPr>
                <w:rFonts w:hint="eastAsia" w:ascii="宋体" w:hAnsi="宋体"/>
                <w:color w:val="auto"/>
                <w:szCs w:val="21"/>
                <w:highlight w:val="none"/>
                <w:lang w:val="zh-CN"/>
              </w:rPr>
              <w:t>分；</w:t>
            </w:r>
          </w:p>
        </w:tc>
        <w:tc>
          <w:tcPr>
            <w:tcW w:w="2875" w:type="dxa"/>
            <w:vAlign w:val="center"/>
          </w:tcPr>
          <w:p>
            <w:pPr>
              <w:autoSpaceDN w:val="0"/>
              <w:ind w:firstLine="420" w:firstLineChars="200"/>
              <w:jc w:val="left"/>
              <w:textAlignment w:val="center"/>
              <w:rPr>
                <w:rFonts w:ascii="宋体" w:hAnsi="宋体"/>
                <w:color w:val="auto"/>
                <w:szCs w:val="21"/>
                <w:highlight w:val="none"/>
              </w:rPr>
            </w:pPr>
            <w:r>
              <w:rPr>
                <w:rFonts w:hint="eastAsia" w:ascii="宋体" w:hAnsi="宋体"/>
                <w:color w:val="auto"/>
                <w:szCs w:val="21"/>
                <w:highlight w:val="none"/>
                <w:lang w:val="zh-CN"/>
              </w:rPr>
              <w:t>技术指标有很多偏差值，配件质量可靠性差，稳定性差，得0分；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419"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w:t>
            </w:r>
          </w:p>
        </w:tc>
        <w:tc>
          <w:tcPr>
            <w:tcW w:w="938" w:type="dxa"/>
            <w:vAlign w:val="center"/>
          </w:tcPr>
          <w:p>
            <w:pPr>
              <w:jc w:val="center"/>
              <w:rPr>
                <w:color w:val="auto"/>
                <w:szCs w:val="21"/>
                <w:highlight w:val="none"/>
              </w:rPr>
            </w:pPr>
            <w:r>
              <w:rPr>
                <w:rFonts w:ascii="宋体" w:hAnsi="宋体" w:cs="Courier New"/>
                <w:color w:val="auto"/>
                <w:szCs w:val="21"/>
                <w:highlight w:val="none"/>
              </w:rPr>
              <w:t>产品配置方案</w:t>
            </w:r>
          </w:p>
        </w:tc>
        <w:tc>
          <w:tcPr>
            <w:tcW w:w="1452" w:type="dxa"/>
            <w:vAlign w:val="center"/>
          </w:tcPr>
          <w:p>
            <w:pPr>
              <w:jc w:val="left"/>
              <w:outlineLvl w:val="1"/>
              <w:rPr>
                <w:rFonts w:ascii="宋体" w:hAnsi="宋体"/>
                <w:color w:val="auto"/>
                <w:szCs w:val="21"/>
                <w:highlight w:val="none"/>
              </w:rPr>
            </w:pPr>
            <w:bookmarkStart w:id="504" w:name="_Toc518667329"/>
            <w:bookmarkStart w:id="505" w:name="_Toc514407133"/>
            <w:bookmarkStart w:id="506" w:name="_Toc518406659"/>
            <w:bookmarkStart w:id="507" w:name="_Toc519675215"/>
            <w:bookmarkStart w:id="508" w:name="_Toc514407024"/>
            <w:r>
              <w:rPr>
                <w:rFonts w:hint="eastAsia" w:ascii="宋体" w:hAnsi="宋体" w:cs="Courier New"/>
                <w:color w:val="auto"/>
                <w:szCs w:val="21"/>
                <w:highlight w:val="none"/>
              </w:rPr>
              <w:t>根据投标人的</w:t>
            </w:r>
            <w:r>
              <w:rPr>
                <w:rFonts w:ascii="宋体" w:hAnsi="宋体" w:cs="Courier New"/>
                <w:color w:val="auto"/>
                <w:szCs w:val="21"/>
                <w:highlight w:val="none"/>
              </w:rPr>
              <w:t>产品配置方案</w:t>
            </w:r>
            <w:bookmarkEnd w:id="504"/>
            <w:bookmarkEnd w:id="505"/>
            <w:bookmarkEnd w:id="506"/>
            <w:bookmarkEnd w:id="507"/>
            <w:bookmarkEnd w:id="508"/>
            <w:r>
              <w:rPr>
                <w:rFonts w:hint="eastAsia" w:ascii="宋体" w:hAnsi="宋体" w:cs="Courier New"/>
                <w:color w:val="auto"/>
                <w:szCs w:val="21"/>
                <w:highlight w:val="none"/>
              </w:rPr>
              <w:t>做出评价</w:t>
            </w:r>
          </w:p>
        </w:tc>
        <w:tc>
          <w:tcPr>
            <w:tcW w:w="498"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w:t>
            </w:r>
          </w:p>
        </w:tc>
        <w:tc>
          <w:tcPr>
            <w:tcW w:w="2837" w:type="dxa"/>
            <w:vAlign w:val="center"/>
          </w:tcPr>
          <w:p>
            <w:pPr>
              <w:jc w:val="left"/>
              <w:outlineLvl w:val="1"/>
              <w:rPr>
                <w:rFonts w:ascii="宋体" w:hAnsi="宋体"/>
                <w:color w:val="auto"/>
                <w:szCs w:val="21"/>
                <w:highlight w:val="none"/>
              </w:rPr>
            </w:pPr>
            <w:bookmarkStart w:id="509" w:name="_Toc518667330"/>
            <w:bookmarkStart w:id="510" w:name="_Toc519675216"/>
            <w:bookmarkStart w:id="511" w:name="_Toc514407134"/>
            <w:bookmarkStart w:id="512" w:name="_Toc514407025"/>
            <w:bookmarkStart w:id="513" w:name="_Toc518406660"/>
            <w:r>
              <w:rPr>
                <w:rFonts w:ascii="宋体" w:hAnsi="宋体" w:cs="Courier New"/>
                <w:color w:val="auto"/>
                <w:szCs w:val="21"/>
                <w:highlight w:val="none"/>
              </w:rPr>
              <w:t>产品配置方案</w:t>
            </w:r>
            <w:r>
              <w:rPr>
                <w:rFonts w:hint="eastAsia" w:ascii="宋体" w:hAnsi="宋体" w:cs="Courier New"/>
                <w:color w:val="auto"/>
                <w:szCs w:val="21"/>
                <w:highlight w:val="none"/>
              </w:rPr>
              <w:t>完全</w:t>
            </w:r>
            <w:r>
              <w:rPr>
                <w:rFonts w:ascii="宋体" w:hAnsi="宋体" w:cs="Courier New"/>
                <w:color w:val="auto"/>
                <w:szCs w:val="21"/>
                <w:highlight w:val="none"/>
              </w:rPr>
              <w:t>满足本项目要求，</w:t>
            </w:r>
            <w:r>
              <w:rPr>
                <w:rFonts w:hint="eastAsia" w:ascii="宋体" w:hAnsi="宋体" w:cs="Courier New"/>
                <w:color w:val="auto"/>
                <w:szCs w:val="21"/>
                <w:highlight w:val="none"/>
              </w:rPr>
              <w:t>设备操作简易，</w:t>
            </w:r>
            <w:r>
              <w:rPr>
                <w:rFonts w:ascii="宋体" w:hAnsi="宋体" w:cs="Courier New"/>
                <w:color w:val="auto"/>
                <w:szCs w:val="21"/>
                <w:highlight w:val="none"/>
              </w:rPr>
              <w:t>设备的选型配置科学合理（稳定性、先进性、可靠性等方面），</w:t>
            </w:r>
            <w:r>
              <w:rPr>
                <w:rFonts w:hint="eastAsia" w:ascii="宋体" w:hAnsi="宋体"/>
                <w:color w:val="auto"/>
                <w:szCs w:val="21"/>
                <w:highlight w:val="none"/>
              </w:rPr>
              <w:t>安装设计科学，维护便利，</w:t>
            </w:r>
            <w:r>
              <w:rPr>
                <w:rFonts w:ascii="宋体" w:hAnsi="宋体" w:cs="Courier New"/>
                <w:color w:val="auto"/>
                <w:szCs w:val="21"/>
                <w:highlight w:val="none"/>
              </w:rPr>
              <w:t>可操作性强，得</w:t>
            </w:r>
            <w:r>
              <w:rPr>
                <w:rFonts w:hint="eastAsia" w:ascii="宋体" w:hAnsi="宋体" w:cs="Courier New"/>
                <w:color w:val="auto"/>
                <w:szCs w:val="21"/>
                <w:highlight w:val="none"/>
                <w:lang w:val="en-US" w:eastAsia="zh-CN"/>
              </w:rPr>
              <w:t>15</w:t>
            </w:r>
            <w:r>
              <w:rPr>
                <w:rFonts w:ascii="宋体" w:hAnsi="宋体" w:cs="Courier New"/>
                <w:color w:val="auto"/>
                <w:szCs w:val="21"/>
                <w:highlight w:val="none"/>
              </w:rPr>
              <w:t>分；</w:t>
            </w:r>
            <w:bookmarkEnd w:id="509"/>
            <w:bookmarkEnd w:id="510"/>
            <w:bookmarkEnd w:id="511"/>
            <w:bookmarkEnd w:id="512"/>
            <w:bookmarkEnd w:id="513"/>
          </w:p>
        </w:tc>
        <w:tc>
          <w:tcPr>
            <w:tcW w:w="2428" w:type="dxa"/>
            <w:vAlign w:val="center"/>
          </w:tcPr>
          <w:p>
            <w:pPr>
              <w:jc w:val="left"/>
              <w:outlineLvl w:val="1"/>
              <w:rPr>
                <w:rFonts w:ascii="宋体" w:hAnsi="宋体"/>
                <w:color w:val="auto"/>
                <w:szCs w:val="21"/>
                <w:highlight w:val="none"/>
              </w:rPr>
            </w:pPr>
            <w:r>
              <w:rPr>
                <w:rFonts w:ascii="宋体" w:hAnsi="宋体" w:cs="Courier New"/>
                <w:color w:val="auto"/>
                <w:szCs w:val="21"/>
                <w:highlight w:val="none"/>
              </w:rPr>
              <w:t>产品配置方案</w:t>
            </w:r>
            <w:r>
              <w:rPr>
                <w:rFonts w:hint="eastAsia" w:ascii="宋体" w:hAnsi="宋体" w:cs="Courier New"/>
                <w:color w:val="auto"/>
                <w:szCs w:val="21"/>
                <w:highlight w:val="none"/>
              </w:rPr>
              <w:t>完全</w:t>
            </w:r>
            <w:r>
              <w:rPr>
                <w:rFonts w:ascii="宋体" w:hAnsi="宋体" w:cs="Courier New"/>
                <w:color w:val="auto"/>
                <w:szCs w:val="21"/>
                <w:highlight w:val="none"/>
              </w:rPr>
              <w:t>满足本项目要求，</w:t>
            </w:r>
            <w:r>
              <w:rPr>
                <w:rFonts w:hint="eastAsia" w:ascii="宋体" w:hAnsi="宋体" w:cs="Courier New"/>
                <w:color w:val="auto"/>
                <w:szCs w:val="21"/>
                <w:highlight w:val="none"/>
              </w:rPr>
              <w:t>设备操作简易，</w:t>
            </w:r>
            <w:r>
              <w:rPr>
                <w:rFonts w:ascii="宋体" w:hAnsi="宋体" w:cs="Courier New"/>
                <w:color w:val="auto"/>
                <w:szCs w:val="21"/>
                <w:highlight w:val="none"/>
              </w:rPr>
              <w:t>设备的选型配置合理（稳定性、先进性、可靠性等方面），</w:t>
            </w:r>
            <w:r>
              <w:rPr>
                <w:rFonts w:hint="eastAsia" w:ascii="宋体" w:hAnsi="宋体"/>
                <w:color w:val="auto"/>
                <w:szCs w:val="21"/>
                <w:highlight w:val="none"/>
              </w:rPr>
              <w:t>安装设计科学，</w:t>
            </w:r>
            <w:r>
              <w:rPr>
                <w:rFonts w:ascii="宋体" w:hAnsi="宋体" w:cs="Courier New"/>
                <w:color w:val="auto"/>
                <w:szCs w:val="21"/>
                <w:highlight w:val="none"/>
              </w:rPr>
              <w:t>得</w:t>
            </w:r>
            <w:r>
              <w:rPr>
                <w:rFonts w:hint="eastAsia" w:ascii="宋体" w:hAnsi="宋体" w:cs="Courier New"/>
                <w:color w:val="auto"/>
                <w:szCs w:val="21"/>
                <w:highlight w:val="none"/>
                <w:lang w:val="en-US" w:eastAsia="zh-CN"/>
              </w:rPr>
              <w:t>10</w:t>
            </w:r>
            <w:r>
              <w:rPr>
                <w:rFonts w:ascii="宋体" w:hAnsi="宋体" w:cs="Courier New"/>
                <w:color w:val="auto"/>
                <w:szCs w:val="21"/>
                <w:highlight w:val="none"/>
              </w:rPr>
              <w:t>分；</w:t>
            </w:r>
          </w:p>
        </w:tc>
        <w:tc>
          <w:tcPr>
            <w:tcW w:w="2490" w:type="dxa"/>
            <w:vAlign w:val="center"/>
          </w:tcPr>
          <w:p>
            <w:pPr>
              <w:autoSpaceDN w:val="0"/>
              <w:jc w:val="center"/>
              <w:textAlignment w:val="center"/>
              <w:rPr>
                <w:rFonts w:ascii="宋体" w:hAnsi="宋体"/>
                <w:color w:val="auto"/>
                <w:szCs w:val="21"/>
                <w:highlight w:val="none"/>
              </w:rPr>
            </w:pPr>
            <w:bookmarkStart w:id="514" w:name="_Toc518667332"/>
            <w:bookmarkStart w:id="515" w:name="_Toc519675218"/>
            <w:bookmarkStart w:id="516" w:name="_Toc514407027"/>
            <w:bookmarkStart w:id="517" w:name="_Toc518406662"/>
            <w:bookmarkStart w:id="518" w:name="_Toc514407136"/>
            <w:r>
              <w:rPr>
                <w:rFonts w:ascii="宋体" w:hAnsi="宋体" w:cs="Courier New"/>
                <w:color w:val="auto"/>
                <w:szCs w:val="21"/>
                <w:highlight w:val="none"/>
              </w:rPr>
              <w:t>产品配置方案</w:t>
            </w:r>
            <w:r>
              <w:rPr>
                <w:rFonts w:hint="eastAsia" w:ascii="宋体" w:hAnsi="宋体" w:cs="Courier New"/>
                <w:color w:val="auto"/>
                <w:szCs w:val="21"/>
                <w:highlight w:val="none"/>
              </w:rPr>
              <w:t>基本</w:t>
            </w:r>
            <w:r>
              <w:rPr>
                <w:rFonts w:ascii="宋体" w:hAnsi="宋体" w:cs="Courier New"/>
                <w:color w:val="auto"/>
                <w:szCs w:val="21"/>
                <w:highlight w:val="none"/>
              </w:rPr>
              <w:t>满足本项目要求，</w:t>
            </w:r>
            <w:r>
              <w:rPr>
                <w:rFonts w:hint="eastAsia" w:ascii="宋体" w:hAnsi="宋体" w:cs="Courier New"/>
                <w:color w:val="auto"/>
                <w:szCs w:val="21"/>
                <w:highlight w:val="none"/>
              </w:rPr>
              <w:t>设备操作复杂，</w:t>
            </w:r>
            <w:r>
              <w:rPr>
                <w:rFonts w:ascii="宋体" w:hAnsi="宋体" w:cs="Courier New"/>
                <w:color w:val="auto"/>
                <w:szCs w:val="21"/>
                <w:highlight w:val="none"/>
              </w:rPr>
              <w:t>设备的选型配置</w:t>
            </w:r>
            <w:r>
              <w:rPr>
                <w:rFonts w:hint="eastAsia" w:ascii="宋体" w:hAnsi="宋体" w:cs="Courier New"/>
                <w:color w:val="auto"/>
                <w:szCs w:val="21"/>
                <w:highlight w:val="none"/>
              </w:rPr>
              <w:t>一般</w:t>
            </w:r>
            <w:r>
              <w:rPr>
                <w:rFonts w:ascii="宋体" w:hAnsi="宋体" w:cs="Courier New"/>
                <w:color w:val="auto"/>
                <w:szCs w:val="21"/>
                <w:highlight w:val="none"/>
              </w:rPr>
              <w:t>（稳定性、先进性、可靠性等方面），得</w:t>
            </w:r>
            <w:r>
              <w:rPr>
                <w:rFonts w:hint="eastAsia" w:ascii="宋体" w:hAnsi="宋体" w:cs="Courier New"/>
                <w:color w:val="auto"/>
                <w:szCs w:val="21"/>
                <w:highlight w:val="none"/>
                <w:lang w:val="en-US" w:eastAsia="zh-CN"/>
              </w:rPr>
              <w:t>5</w:t>
            </w:r>
            <w:r>
              <w:rPr>
                <w:rFonts w:ascii="宋体" w:hAnsi="宋体" w:cs="Courier New"/>
                <w:color w:val="auto"/>
                <w:szCs w:val="21"/>
                <w:highlight w:val="none"/>
              </w:rPr>
              <w:t>分；</w:t>
            </w:r>
            <w:bookmarkEnd w:id="514"/>
            <w:bookmarkEnd w:id="515"/>
            <w:bookmarkEnd w:id="516"/>
            <w:bookmarkEnd w:id="517"/>
            <w:bookmarkEnd w:id="518"/>
          </w:p>
        </w:tc>
        <w:tc>
          <w:tcPr>
            <w:tcW w:w="2875" w:type="dxa"/>
            <w:vAlign w:val="center"/>
          </w:tcPr>
          <w:p>
            <w:pPr>
              <w:autoSpaceDN w:val="0"/>
              <w:jc w:val="center"/>
              <w:textAlignment w:val="center"/>
              <w:rPr>
                <w:rFonts w:ascii="宋体" w:hAnsi="宋体"/>
                <w:color w:val="auto"/>
                <w:szCs w:val="21"/>
                <w:highlight w:val="none"/>
              </w:rPr>
            </w:pPr>
            <w:bookmarkStart w:id="519" w:name="_Toc514407137"/>
            <w:bookmarkStart w:id="520" w:name="_Toc514407028"/>
            <w:r>
              <w:rPr>
                <w:rFonts w:hint="eastAsia" w:ascii="宋体" w:hAnsi="宋体" w:cs="Courier New"/>
                <w:color w:val="auto"/>
                <w:szCs w:val="21"/>
                <w:highlight w:val="none"/>
              </w:rPr>
              <w:t>设备操作复杂，</w:t>
            </w:r>
            <w:r>
              <w:rPr>
                <w:rFonts w:ascii="宋体" w:hAnsi="宋体" w:cs="Courier New"/>
                <w:color w:val="auto"/>
                <w:szCs w:val="21"/>
                <w:highlight w:val="none"/>
              </w:rPr>
              <w:t>设备的选型配置</w:t>
            </w:r>
            <w:r>
              <w:rPr>
                <w:rFonts w:hint="eastAsia" w:ascii="宋体" w:hAnsi="宋体" w:cs="Courier New"/>
                <w:color w:val="auto"/>
                <w:szCs w:val="21"/>
                <w:highlight w:val="none"/>
              </w:rPr>
              <w:t>差</w:t>
            </w:r>
            <w:r>
              <w:rPr>
                <w:rFonts w:ascii="宋体" w:hAnsi="宋体"/>
                <w:color w:val="auto"/>
                <w:highlight w:val="none"/>
              </w:rPr>
              <w:t>，或</w:t>
            </w:r>
            <w:r>
              <w:rPr>
                <w:rFonts w:hint="eastAsia" w:ascii="宋体" w:hAnsi="宋体"/>
                <w:color w:val="auto"/>
                <w:highlight w:val="none"/>
              </w:rPr>
              <w:t>产品配置</w:t>
            </w:r>
            <w:r>
              <w:rPr>
                <w:rFonts w:ascii="宋体" w:hAnsi="宋体"/>
                <w:color w:val="auto"/>
                <w:highlight w:val="none"/>
              </w:rPr>
              <w:t>方案不具有合理性、可操作性，</w:t>
            </w:r>
            <w:r>
              <w:rPr>
                <w:rFonts w:hint="eastAsia" w:ascii="宋体" w:hAnsi="宋体"/>
                <w:color w:val="auto"/>
                <w:szCs w:val="21"/>
                <w:highlight w:val="none"/>
              </w:rPr>
              <w:t>维护不便利，或其他情况</w:t>
            </w:r>
            <w:r>
              <w:rPr>
                <w:rFonts w:ascii="宋体" w:hAnsi="宋体"/>
                <w:color w:val="auto"/>
                <w:highlight w:val="none"/>
              </w:rPr>
              <w:t>得0分。</w:t>
            </w:r>
            <w:bookmarkEnd w:id="519"/>
            <w:bookmarkEnd w:id="5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419" w:type="dxa"/>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3</w:t>
            </w:r>
          </w:p>
        </w:tc>
        <w:tc>
          <w:tcPr>
            <w:tcW w:w="938" w:type="dxa"/>
            <w:vAlign w:val="center"/>
          </w:tcPr>
          <w:p>
            <w:pPr>
              <w:jc w:val="center"/>
              <w:rPr>
                <w:rFonts w:ascii="宋体" w:hAnsi="宋体"/>
                <w:color w:val="auto"/>
                <w:szCs w:val="21"/>
                <w:highlight w:val="none"/>
              </w:rPr>
            </w:pPr>
            <w:r>
              <w:rPr>
                <w:rFonts w:hint="eastAsia" w:ascii="宋体" w:hAnsi="宋体"/>
                <w:color w:val="auto"/>
                <w:szCs w:val="21"/>
                <w:highlight w:val="none"/>
              </w:rPr>
              <w:t>设备的兼容性</w:t>
            </w:r>
          </w:p>
        </w:tc>
        <w:tc>
          <w:tcPr>
            <w:tcW w:w="1452" w:type="dxa"/>
            <w:vAlign w:val="center"/>
          </w:tcPr>
          <w:p>
            <w:pPr>
              <w:jc w:val="center"/>
              <w:rPr>
                <w:rFonts w:ascii="宋体" w:hAnsi="宋体"/>
                <w:color w:val="auto"/>
                <w:szCs w:val="21"/>
                <w:highlight w:val="none"/>
              </w:rPr>
            </w:pPr>
            <w:r>
              <w:rPr>
                <w:rFonts w:hint="eastAsia" w:ascii="宋体" w:hAnsi="宋体"/>
                <w:color w:val="auto"/>
                <w:szCs w:val="21"/>
                <w:highlight w:val="none"/>
              </w:rPr>
              <w:t>根据投标设备与其他设备的兼容性和拓展性做出评价</w:t>
            </w:r>
          </w:p>
        </w:tc>
        <w:tc>
          <w:tcPr>
            <w:tcW w:w="498" w:type="dxa"/>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10</w:t>
            </w:r>
          </w:p>
        </w:tc>
        <w:tc>
          <w:tcPr>
            <w:tcW w:w="2837" w:type="dxa"/>
            <w:vAlign w:val="center"/>
          </w:tcPr>
          <w:p>
            <w:pPr>
              <w:pStyle w:val="102"/>
              <w:widowControl/>
              <w:autoSpaceDE w:val="0"/>
              <w:autoSpaceDN w:val="0"/>
              <w:adjustRightInd w:val="0"/>
              <w:ind w:firstLine="0" w:firstLineChars="0"/>
              <w:jc w:val="left"/>
              <w:rPr>
                <w:rFonts w:ascii="宋体" w:hAnsi="宋体" w:cs="宋体"/>
                <w:color w:val="auto"/>
                <w:szCs w:val="21"/>
                <w:highlight w:val="none"/>
              </w:rPr>
            </w:pPr>
            <w:r>
              <w:rPr>
                <w:rFonts w:hint="eastAsia" w:ascii="宋体" w:hAnsi="宋体" w:cs="宋体"/>
                <w:color w:val="auto"/>
                <w:kern w:val="0"/>
                <w:szCs w:val="21"/>
                <w:highlight w:val="none"/>
                <w:lang w:val="zh-CN"/>
              </w:rPr>
              <w:t>投标产品可扩展性强，配属功能能够通过增加配件、配置的方式进行增强的、或与其他厂家仪器通过接口可以连接、质量可靠得</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lang w:val="zh-CN"/>
              </w:rPr>
              <w:t>分；</w:t>
            </w:r>
          </w:p>
        </w:tc>
        <w:tc>
          <w:tcPr>
            <w:tcW w:w="2428" w:type="dxa"/>
            <w:vAlign w:val="center"/>
          </w:tcPr>
          <w:p>
            <w:pPr>
              <w:pStyle w:val="102"/>
              <w:widowControl/>
              <w:autoSpaceDE w:val="0"/>
              <w:autoSpaceDN w:val="0"/>
              <w:adjustRightInd w:val="0"/>
              <w:ind w:firstLine="0" w:firstLineChars="0"/>
              <w:jc w:val="left"/>
              <w:rPr>
                <w:rFonts w:ascii="宋体" w:hAnsi="宋体" w:cs="宋体"/>
                <w:color w:val="auto"/>
                <w:szCs w:val="21"/>
                <w:highlight w:val="none"/>
              </w:rPr>
            </w:pPr>
            <w:r>
              <w:rPr>
                <w:rFonts w:hint="eastAsia" w:ascii="宋体" w:hAnsi="宋体" w:cs="宋体"/>
                <w:color w:val="auto"/>
                <w:kern w:val="0"/>
                <w:szCs w:val="21"/>
                <w:highlight w:val="none"/>
                <w:lang w:val="zh-CN"/>
              </w:rPr>
              <w:t>投标产品可以扩展，与其他厂家仪器通过接口可以连接、质量可靠得</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lang w:val="zh-CN"/>
              </w:rPr>
              <w:t>分；</w:t>
            </w:r>
          </w:p>
        </w:tc>
        <w:tc>
          <w:tcPr>
            <w:tcW w:w="2490" w:type="dxa"/>
            <w:vAlign w:val="center"/>
          </w:tcPr>
          <w:p>
            <w:pPr>
              <w:autoSpaceDN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val="zh-CN"/>
              </w:rPr>
              <w:t>投标仪器可以扩展、只能与本厂产品对接、质量可靠得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val="zh-CN"/>
              </w:rPr>
              <w:t>分；</w:t>
            </w:r>
          </w:p>
        </w:tc>
        <w:tc>
          <w:tcPr>
            <w:tcW w:w="2875" w:type="dxa"/>
            <w:vAlign w:val="center"/>
          </w:tcPr>
          <w:p>
            <w:pPr>
              <w:autoSpaceDN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val="zh-CN"/>
              </w:rPr>
              <w:t>投标产品可扩展性一般，可扩展功能较少或没有的，或扩展功能可能造成工作误差增大等缺陷，或其他情况得0分。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2809"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总分</w:t>
            </w:r>
          </w:p>
        </w:tc>
        <w:tc>
          <w:tcPr>
            <w:tcW w:w="498" w:type="dxa"/>
            <w:vAlign w:val="center"/>
          </w:tcPr>
          <w:p>
            <w:pPr>
              <w:jc w:val="center"/>
              <w:rPr>
                <w:rFonts w:ascii="宋体" w:hAnsi="宋体"/>
                <w:color w:val="auto"/>
                <w:szCs w:val="21"/>
                <w:highlight w:val="none"/>
              </w:rPr>
            </w:pPr>
            <w:r>
              <w:rPr>
                <w:rFonts w:ascii="宋体" w:hAnsi="宋体"/>
                <w:color w:val="auto"/>
                <w:szCs w:val="21"/>
                <w:highlight w:val="none"/>
              </w:rPr>
              <w:t>40</w:t>
            </w:r>
          </w:p>
        </w:tc>
        <w:tc>
          <w:tcPr>
            <w:tcW w:w="2837" w:type="dxa"/>
            <w:vAlign w:val="center"/>
          </w:tcPr>
          <w:p>
            <w:pPr>
              <w:rPr>
                <w:rFonts w:ascii="宋体" w:hAnsi="宋体"/>
                <w:color w:val="auto"/>
                <w:szCs w:val="21"/>
                <w:highlight w:val="none"/>
              </w:rPr>
            </w:pPr>
          </w:p>
        </w:tc>
        <w:tc>
          <w:tcPr>
            <w:tcW w:w="2428" w:type="dxa"/>
            <w:vAlign w:val="center"/>
          </w:tcPr>
          <w:p>
            <w:pPr>
              <w:rPr>
                <w:rFonts w:ascii="宋体" w:hAnsi="宋体"/>
                <w:color w:val="auto"/>
                <w:szCs w:val="21"/>
                <w:highlight w:val="none"/>
              </w:rPr>
            </w:pPr>
          </w:p>
        </w:tc>
        <w:tc>
          <w:tcPr>
            <w:tcW w:w="2490" w:type="dxa"/>
            <w:vAlign w:val="center"/>
          </w:tcPr>
          <w:p>
            <w:pPr>
              <w:autoSpaceDN w:val="0"/>
              <w:textAlignment w:val="center"/>
              <w:rPr>
                <w:rFonts w:ascii="宋体" w:hAnsi="宋体"/>
                <w:color w:val="auto"/>
                <w:szCs w:val="21"/>
                <w:highlight w:val="none"/>
              </w:rPr>
            </w:pPr>
          </w:p>
        </w:tc>
        <w:tc>
          <w:tcPr>
            <w:tcW w:w="2875" w:type="dxa"/>
            <w:vAlign w:val="center"/>
          </w:tcPr>
          <w:p>
            <w:pPr>
              <w:autoSpaceDN w:val="0"/>
              <w:textAlignment w:val="center"/>
              <w:rPr>
                <w:rFonts w:ascii="宋体" w:hAnsi="宋体"/>
                <w:color w:val="auto"/>
                <w:szCs w:val="21"/>
                <w:highlight w:val="none"/>
              </w:rPr>
            </w:pPr>
          </w:p>
        </w:tc>
      </w:tr>
    </w:tbl>
    <w:p>
      <w:pPr>
        <w:spacing w:line="360" w:lineRule="auto"/>
        <w:rPr>
          <w:rFonts w:ascii="宋体" w:hAnsi="宋体" w:cs="Arial"/>
          <w:b/>
          <w:color w:val="auto"/>
          <w:sz w:val="20"/>
          <w:szCs w:val="20"/>
          <w:highlight w:val="none"/>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ootlight MT Light">
    <w:altName w:val="Segoe Print"/>
    <w:panose1 w:val="0204060206030A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80</w:t>
    </w:r>
    <w:r>
      <w:fldChar w:fldCharType="end"/>
    </w:r>
  </w:p>
  <w:p>
    <w:pPr>
      <w:pStyle w:val="2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19</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18</w:t>
    </w:r>
    <w:r>
      <w:fldChar w:fldCharType="end"/>
    </w:r>
  </w:p>
  <w:p>
    <w:pPr>
      <w:pStyle w:val="27"/>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end"/>
    </w:r>
  </w:p>
  <w:p>
    <w:pPr>
      <w:pStyle w:val="2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8"/>
      </w:rPr>
    </w:pPr>
  </w:p>
  <w:p>
    <w:pPr>
      <w:pStyle w:val="27"/>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38</w:t>
    </w:r>
    <w:r>
      <w:fldChar w:fldCharType="end"/>
    </w:r>
  </w:p>
  <w:p>
    <w:pPr>
      <w:pStyle w:val="27"/>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end"/>
    </w:r>
  </w:p>
  <w:p>
    <w:pPr>
      <w:pStyle w:val="2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8"/>
      </w:rPr>
    </w:pPr>
  </w:p>
  <w:p>
    <w:pPr>
      <w:pStyle w:val="27"/>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53</w:t>
    </w:r>
    <w:r>
      <w:fldChar w:fldCharType="end"/>
    </w:r>
  </w:p>
  <w:p>
    <w:pPr>
      <w:pStyle w:val="27"/>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C759F"/>
    <w:multiLevelType w:val="singleLevel"/>
    <w:tmpl w:val="937C759F"/>
    <w:lvl w:ilvl="0" w:tentative="0">
      <w:start w:val="1"/>
      <w:numFmt w:val="decimalEnclosedCircleChinese"/>
      <w:suff w:val="nothing"/>
      <w:lvlText w:val="%1　"/>
      <w:lvlJc w:val="left"/>
      <w:pPr>
        <w:ind w:left="0" w:firstLine="400"/>
      </w:pPr>
      <w:rPr>
        <w:rFonts w:hint="eastAsia"/>
      </w:rPr>
    </w:lvl>
  </w:abstractNum>
  <w:abstractNum w:abstractNumId="1">
    <w:nsid w:val="A08A3730"/>
    <w:multiLevelType w:val="singleLevel"/>
    <w:tmpl w:val="A08A3730"/>
    <w:lvl w:ilvl="0" w:tentative="0">
      <w:start w:val="1"/>
      <w:numFmt w:val="bullet"/>
      <w:pStyle w:val="16"/>
      <w:lvlText w:val=""/>
      <w:lvlJc w:val="left"/>
      <w:pPr>
        <w:tabs>
          <w:tab w:val="left" w:pos="1200"/>
        </w:tabs>
        <w:ind w:left="1200" w:hanging="360"/>
      </w:pPr>
      <w:rPr>
        <w:rFonts w:hint="default" w:ascii="Wingdings" w:hAnsi="Wingdings"/>
      </w:rPr>
    </w:lvl>
  </w:abstractNum>
  <w:abstractNum w:abstractNumId="2">
    <w:nsid w:val="B39AA211"/>
    <w:multiLevelType w:val="singleLevel"/>
    <w:tmpl w:val="B39AA211"/>
    <w:lvl w:ilvl="0" w:tentative="0">
      <w:start w:val="5"/>
      <w:numFmt w:val="chineseCounting"/>
      <w:suff w:val="space"/>
      <w:lvlText w:val="第%1章"/>
      <w:lvlJc w:val="left"/>
      <w:rPr>
        <w:rFonts w:hint="eastAsia"/>
      </w:rPr>
    </w:lvl>
  </w:abstractNum>
  <w:abstractNum w:abstractNumId="3">
    <w:nsid w:val="00000040"/>
    <w:multiLevelType w:val="multilevel"/>
    <w:tmpl w:val="00000040"/>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031B5A53"/>
    <w:multiLevelType w:val="multilevel"/>
    <w:tmpl w:val="031B5A5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E017E85"/>
    <w:multiLevelType w:val="multilevel"/>
    <w:tmpl w:val="0E017E8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E561925"/>
    <w:multiLevelType w:val="multilevel"/>
    <w:tmpl w:val="0E561925"/>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5C2C52"/>
    <w:multiLevelType w:val="multilevel"/>
    <w:tmpl w:val="115C2C52"/>
    <w:lvl w:ilvl="0" w:tentative="0">
      <w:start w:val="1"/>
      <w:numFmt w:val="decimal"/>
      <w:lvlText w:val="%1."/>
      <w:lvlJc w:val="left"/>
      <w:pPr>
        <w:tabs>
          <w:tab w:val="left" w:pos="360"/>
        </w:tabs>
        <w:ind w:left="360" w:hanging="360"/>
      </w:pPr>
      <w:rPr>
        <w:rFonts w:hint="default"/>
      </w:rPr>
    </w:lvl>
    <w:lvl w:ilvl="1" w:tentative="0">
      <w:start w:val="5"/>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1E649B7"/>
    <w:multiLevelType w:val="multilevel"/>
    <w:tmpl w:val="11E649B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4F93CBD"/>
    <w:multiLevelType w:val="multilevel"/>
    <w:tmpl w:val="14F93C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98D59A8"/>
    <w:multiLevelType w:val="multilevel"/>
    <w:tmpl w:val="198D59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093FEB"/>
    <w:multiLevelType w:val="multilevel"/>
    <w:tmpl w:val="20093F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22D4EAC"/>
    <w:multiLevelType w:val="multilevel"/>
    <w:tmpl w:val="222D4EA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4">
    <w:nsid w:val="35860AE5"/>
    <w:multiLevelType w:val="multilevel"/>
    <w:tmpl w:val="35860AE5"/>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5">
    <w:nsid w:val="3AE06F97"/>
    <w:multiLevelType w:val="multilevel"/>
    <w:tmpl w:val="3AE06F97"/>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1675BFA"/>
    <w:multiLevelType w:val="multilevel"/>
    <w:tmpl w:val="41675BF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4FB0E84"/>
    <w:multiLevelType w:val="multilevel"/>
    <w:tmpl w:val="44FB0E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A276D22"/>
    <w:multiLevelType w:val="multilevel"/>
    <w:tmpl w:val="4A276D2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AA136EC"/>
    <w:multiLevelType w:val="multilevel"/>
    <w:tmpl w:val="4AA136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E7932C7"/>
    <w:multiLevelType w:val="multilevel"/>
    <w:tmpl w:val="4E7932C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4F122B6C"/>
    <w:multiLevelType w:val="multilevel"/>
    <w:tmpl w:val="4F122B6C"/>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2160"/>
        </w:tabs>
        <w:ind w:left="2160" w:hanging="2160"/>
      </w:pPr>
      <w:rPr>
        <w:rFonts w:hint="default"/>
      </w:rPr>
    </w:lvl>
  </w:abstractNum>
  <w:abstractNum w:abstractNumId="22">
    <w:nsid w:val="4FEE25B1"/>
    <w:multiLevelType w:val="multilevel"/>
    <w:tmpl w:val="4FEE25B1"/>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800"/>
        </w:tabs>
        <w:ind w:left="1800" w:hanging="180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2160"/>
        </w:tabs>
        <w:ind w:left="2160" w:hanging="2160"/>
      </w:pPr>
      <w:rPr>
        <w:rFonts w:hint="default"/>
      </w:rPr>
    </w:lvl>
  </w:abstractNum>
  <w:abstractNum w:abstractNumId="23">
    <w:nsid w:val="51ED3C48"/>
    <w:multiLevelType w:val="multilevel"/>
    <w:tmpl w:val="51ED3C48"/>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4AC1158"/>
    <w:multiLevelType w:val="multilevel"/>
    <w:tmpl w:val="54AC115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26">
    <w:nsid w:val="59696389"/>
    <w:multiLevelType w:val="multilevel"/>
    <w:tmpl w:val="59696389"/>
    <w:lvl w:ilvl="0" w:tentative="0">
      <w:start w:val="1"/>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7">
    <w:nsid w:val="5EA11D7B"/>
    <w:multiLevelType w:val="multilevel"/>
    <w:tmpl w:val="5EA11D7B"/>
    <w:lvl w:ilvl="0" w:tentative="0">
      <w:start w:val="1"/>
      <w:numFmt w:val="decimal"/>
      <w:lvlText w:val="%1."/>
      <w:lvlJc w:val="left"/>
      <w:pPr>
        <w:ind w:left="600" w:hanging="60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EEE28B4"/>
    <w:multiLevelType w:val="multilevel"/>
    <w:tmpl w:val="5EEE28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0014F7D"/>
    <w:multiLevelType w:val="multilevel"/>
    <w:tmpl w:val="60014F7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31">
    <w:nsid w:val="6444541E"/>
    <w:multiLevelType w:val="multilevel"/>
    <w:tmpl w:val="6444541E"/>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32">
    <w:nsid w:val="65F8297E"/>
    <w:multiLevelType w:val="multilevel"/>
    <w:tmpl w:val="65F8297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71A2298"/>
    <w:multiLevelType w:val="multilevel"/>
    <w:tmpl w:val="671A2298"/>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4">
    <w:nsid w:val="7C81382A"/>
    <w:multiLevelType w:val="multilevel"/>
    <w:tmpl w:val="7C8138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3"/>
  </w:num>
  <w:num w:numId="3">
    <w:abstractNumId w:val="20"/>
  </w:num>
  <w:num w:numId="4">
    <w:abstractNumId w:val="19"/>
  </w:num>
  <w:num w:numId="5">
    <w:abstractNumId w:val="23"/>
  </w:num>
  <w:num w:numId="6">
    <w:abstractNumId w:val="34"/>
  </w:num>
  <w:num w:numId="7">
    <w:abstractNumId w:val="17"/>
  </w:num>
  <w:num w:numId="8">
    <w:abstractNumId w:val="15"/>
  </w:num>
  <w:num w:numId="9">
    <w:abstractNumId w:val="9"/>
  </w:num>
  <w:num w:numId="10">
    <w:abstractNumId w:val="28"/>
  </w:num>
  <w:num w:numId="11">
    <w:abstractNumId w:val="11"/>
  </w:num>
  <w:num w:numId="12">
    <w:abstractNumId w:val="27"/>
  </w:num>
  <w:num w:numId="13">
    <w:abstractNumId w:val="6"/>
  </w:num>
  <w:num w:numId="14">
    <w:abstractNumId w:val="26"/>
  </w:num>
  <w:num w:numId="15">
    <w:abstractNumId w:val="10"/>
  </w:num>
  <w:num w:numId="16">
    <w:abstractNumId w:val="8"/>
  </w:num>
  <w:num w:numId="17">
    <w:abstractNumId w:val="7"/>
  </w:num>
  <w:num w:numId="18">
    <w:abstractNumId w:val="12"/>
  </w:num>
  <w:num w:numId="19">
    <w:abstractNumId w:val="21"/>
  </w:num>
  <w:num w:numId="20">
    <w:abstractNumId w:val="14"/>
  </w:num>
  <w:num w:numId="21">
    <w:abstractNumId w:val="3"/>
  </w:num>
  <w:num w:numId="22">
    <w:abstractNumId w:val="5"/>
  </w:num>
  <w:num w:numId="23">
    <w:abstractNumId w:val="32"/>
  </w:num>
  <w:num w:numId="24">
    <w:abstractNumId w:val="22"/>
  </w:num>
  <w:num w:numId="25">
    <w:abstractNumId w:val="16"/>
  </w:num>
  <w:num w:numId="26">
    <w:abstractNumId w:val="18"/>
  </w:num>
  <w:num w:numId="27">
    <w:abstractNumId w:val="29"/>
  </w:num>
  <w:num w:numId="28">
    <w:abstractNumId w:val="24"/>
  </w:num>
  <w:num w:numId="29">
    <w:abstractNumId w:val="4"/>
  </w:num>
  <w:num w:numId="30">
    <w:abstractNumId w:val="2"/>
  </w:num>
  <w:num w:numId="31">
    <w:abstractNumId w:val="33"/>
  </w:num>
  <w:num w:numId="32">
    <w:abstractNumId w:val="0"/>
  </w:num>
  <w:num w:numId="33">
    <w:abstractNumId w:val="25"/>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trackRevisions w:val="1"/>
  <w:documentProtection w:edit="forms" w:enforcement="1" w:cryptProviderType="rsaFull" w:cryptAlgorithmClass="hash" w:cryptAlgorithmType="typeAny" w:cryptAlgorithmSid="4" w:cryptSpinCount="0" w:hash="GeY4ncHD+Y0NUsnGoUV1L7fZ3+w=" w:salt="8RVvt612EOvkD+4CGAsAIg=="/>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2"/>
  </w:compat>
  <w:docVars>
    <w:docVar w:name="ACTIVE" w:val="w:compa"/>
    <w:docVar w:name="VTCASE" w:val="橄埽궠К֯찔壐"/>
    <w:docVar w:name="VTCommandPending" w:val="http://schemas.openxmlformats.org/officeDocument/2006/relationships/endnotesspslj.docxlj.docxS Gothic✀녞皁D耀Ɇ￴Ɛ蘀䀀㘀微软雅黑 ￮□ ✀녞皁D"/>
  </w:docVars>
  <w:rsids>
    <w:rsidRoot w:val="00172A27"/>
    <w:rsid w:val="0000058F"/>
    <w:rsid w:val="00000DF1"/>
    <w:rsid w:val="00001E80"/>
    <w:rsid w:val="00002474"/>
    <w:rsid w:val="000037C7"/>
    <w:rsid w:val="00004402"/>
    <w:rsid w:val="00004B07"/>
    <w:rsid w:val="00005D66"/>
    <w:rsid w:val="00006702"/>
    <w:rsid w:val="00006C08"/>
    <w:rsid w:val="00010B9F"/>
    <w:rsid w:val="00010C3A"/>
    <w:rsid w:val="000114C7"/>
    <w:rsid w:val="00011843"/>
    <w:rsid w:val="000141CD"/>
    <w:rsid w:val="00014F7A"/>
    <w:rsid w:val="0001606A"/>
    <w:rsid w:val="000204A2"/>
    <w:rsid w:val="00023038"/>
    <w:rsid w:val="00023FAB"/>
    <w:rsid w:val="00024CB4"/>
    <w:rsid w:val="000361AD"/>
    <w:rsid w:val="000377B5"/>
    <w:rsid w:val="00041CD2"/>
    <w:rsid w:val="000434BB"/>
    <w:rsid w:val="00046581"/>
    <w:rsid w:val="0005142B"/>
    <w:rsid w:val="00051832"/>
    <w:rsid w:val="00051B06"/>
    <w:rsid w:val="00051E4C"/>
    <w:rsid w:val="00053C54"/>
    <w:rsid w:val="00057EFB"/>
    <w:rsid w:val="0006004B"/>
    <w:rsid w:val="000629BD"/>
    <w:rsid w:val="00063874"/>
    <w:rsid w:val="00065AA6"/>
    <w:rsid w:val="000662A6"/>
    <w:rsid w:val="00071505"/>
    <w:rsid w:val="000752E4"/>
    <w:rsid w:val="00076360"/>
    <w:rsid w:val="00082910"/>
    <w:rsid w:val="000843F3"/>
    <w:rsid w:val="00086107"/>
    <w:rsid w:val="000A10B3"/>
    <w:rsid w:val="000A338F"/>
    <w:rsid w:val="000A3F60"/>
    <w:rsid w:val="000B15CB"/>
    <w:rsid w:val="000B3FE6"/>
    <w:rsid w:val="000C1958"/>
    <w:rsid w:val="000C4FBB"/>
    <w:rsid w:val="000D0914"/>
    <w:rsid w:val="000D127A"/>
    <w:rsid w:val="000D232E"/>
    <w:rsid w:val="000D6811"/>
    <w:rsid w:val="000E2FFA"/>
    <w:rsid w:val="000E5374"/>
    <w:rsid w:val="000F032B"/>
    <w:rsid w:val="000F0880"/>
    <w:rsid w:val="000F151A"/>
    <w:rsid w:val="000F1F3D"/>
    <w:rsid w:val="000F1FC9"/>
    <w:rsid w:val="000F2626"/>
    <w:rsid w:val="000F28C6"/>
    <w:rsid w:val="00100F84"/>
    <w:rsid w:val="00101468"/>
    <w:rsid w:val="001015E5"/>
    <w:rsid w:val="00104453"/>
    <w:rsid w:val="00104E56"/>
    <w:rsid w:val="00105A5D"/>
    <w:rsid w:val="00105D77"/>
    <w:rsid w:val="001064C6"/>
    <w:rsid w:val="00111914"/>
    <w:rsid w:val="001143BF"/>
    <w:rsid w:val="00114E59"/>
    <w:rsid w:val="00115ECA"/>
    <w:rsid w:val="001168E7"/>
    <w:rsid w:val="00116A48"/>
    <w:rsid w:val="00120CFD"/>
    <w:rsid w:val="00120D77"/>
    <w:rsid w:val="0012444A"/>
    <w:rsid w:val="00124D43"/>
    <w:rsid w:val="00126285"/>
    <w:rsid w:val="001265CC"/>
    <w:rsid w:val="00127BD9"/>
    <w:rsid w:val="0013005A"/>
    <w:rsid w:val="001309F2"/>
    <w:rsid w:val="00130A69"/>
    <w:rsid w:val="00130E8C"/>
    <w:rsid w:val="00131107"/>
    <w:rsid w:val="00132C61"/>
    <w:rsid w:val="00133599"/>
    <w:rsid w:val="00136F6D"/>
    <w:rsid w:val="001378AD"/>
    <w:rsid w:val="00147B84"/>
    <w:rsid w:val="001533AB"/>
    <w:rsid w:val="00153DC1"/>
    <w:rsid w:val="00154D18"/>
    <w:rsid w:val="0016076C"/>
    <w:rsid w:val="001614A3"/>
    <w:rsid w:val="001670D4"/>
    <w:rsid w:val="00170C0B"/>
    <w:rsid w:val="00172A27"/>
    <w:rsid w:val="001731A8"/>
    <w:rsid w:val="00176BF1"/>
    <w:rsid w:val="00182792"/>
    <w:rsid w:val="00182883"/>
    <w:rsid w:val="00182F1D"/>
    <w:rsid w:val="0018420C"/>
    <w:rsid w:val="001854F5"/>
    <w:rsid w:val="0018551D"/>
    <w:rsid w:val="00190F0A"/>
    <w:rsid w:val="00191E80"/>
    <w:rsid w:val="00195787"/>
    <w:rsid w:val="00195DD1"/>
    <w:rsid w:val="0019792D"/>
    <w:rsid w:val="001A01B1"/>
    <w:rsid w:val="001A0AF5"/>
    <w:rsid w:val="001A7A89"/>
    <w:rsid w:val="001B3F37"/>
    <w:rsid w:val="001B70F0"/>
    <w:rsid w:val="001B7B1E"/>
    <w:rsid w:val="001C12AC"/>
    <w:rsid w:val="001C2305"/>
    <w:rsid w:val="001C4F17"/>
    <w:rsid w:val="001C77AC"/>
    <w:rsid w:val="001D0E6F"/>
    <w:rsid w:val="001D1587"/>
    <w:rsid w:val="001D2DAA"/>
    <w:rsid w:val="001D3417"/>
    <w:rsid w:val="001D7531"/>
    <w:rsid w:val="001E0F83"/>
    <w:rsid w:val="001E320F"/>
    <w:rsid w:val="001E36FD"/>
    <w:rsid w:val="001E39D7"/>
    <w:rsid w:val="001E4ED8"/>
    <w:rsid w:val="001E63EF"/>
    <w:rsid w:val="001E7D57"/>
    <w:rsid w:val="001F1874"/>
    <w:rsid w:val="001F2386"/>
    <w:rsid w:val="001F2803"/>
    <w:rsid w:val="001F3DCA"/>
    <w:rsid w:val="001F42C0"/>
    <w:rsid w:val="001F544F"/>
    <w:rsid w:val="001F77D4"/>
    <w:rsid w:val="00201090"/>
    <w:rsid w:val="00202887"/>
    <w:rsid w:val="00203521"/>
    <w:rsid w:val="0020473B"/>
    <w:rsid w:val="00206099"/>
    <w:rsid w:val="0020712B"/>
    <w:rsid w:val="00207D9C"/>
    <w:rsid w:val="0021084C"/>
    <w:rsid w:val="00211DE8"/>
    <w:rsid w:val="00216105"/>
    <w:rsid w:val="00216D70"/>
    <w:rsid w:val="00220366"/>
    <w:rsid w:val="0022064C"/>
    <w:rsid w:val="0022355C"/>
    <w:rsid w:val="00223697"/>
    <w:rsid w:val="00223CBD"/>
    <w:rsid w:val="00223E0F"/>
    <w:rsid w:val="00223F6D"/>
    <w:rsid w:val="002254E6"/>
    <w:rsid w:val="00231193"/>
    <w:rsid w:val="00233956"/>
    <w:rsid w:val="00235209"/>
    <w:rsid w:val="002403BD"/>
    <w:rsid w:val="00241186"/>
    <w:rsid w:val="00246584"/>
    <w:rsid w:val="00246B65"/>
    <w:rsid w:val="00250311"/>
    <w:rsid w:val="00253CB6"/>
    <w:rsid w:val="002618E3"/>
    <w:rsid w:val="00261948"/>
    <w:rsid w:val="0026276E"/>
    <w:rsid w:val="00265F37"/>
    <w:rsid w:val="0026693B"/>
    <w:rsid w:val="00277A14"/>
    <w:rsid w:val="0028174C"/>
    <w:rsid w:val="00285282"/>
    <w:rsid w:val="0028579D"/>
    <w:rsid w:val="00286AD4"/>
    <w:rsid w:val="00290A9F"/>
    <w:rsid w:val="002926CB"/>
    <w:rsid w:val="0029480F"/>
    <w:rsid w:val="002952C1"/>
    <w:rsid w:val="002A0D12"/>
    <w:rsid w:val="002A1307"/>
    <w:rsid w:val="002A2C57"/>
    <w:rsid w:val="002A5BBC"/>
    <w:rsid w:val="002A6AA6"/>
    <w:rsid w:val="002B1D4F"/>
    <w:rsid w:val="002B236B"/>
    <w:rsid w:val="002B2569"/>
    <w:rsid w:val="002B2711"/>
    <w:rsid w:val="002B2954"/>
    <w:rsid w:val="002B2B83"/>
    <w:rsid w:val="002B587E"/>
    <w:rsid w:val="002B684E"/>
    <w:rsid w:val="002C328E"/>
    <w:rsid w:val="002C436E"/>
    <w:rsid w:val="002C6F28"/>
    <w:rsid w:val="002C71D4"/>
    <w:rsid w:val="002D0156"/>
    <w:rsid w:val="002D0802"/>
    <w:rsid w:val="002D0FBF"/>
    <w:rsid w:val="002D5D58"/>
    <w:rsid w:val="002E02F2"/>
    <w:rsid w:val="002E2289"/>
    <w:rsid w:val="002E3CE1"/>
    <w:rsid w:val="002E510C"/>
    <w:rsid w:val="002E7B81"/>
    <w:rsid w:val="002F1501"/>
    <w:rsid w:val="002F18BF"/>
    <w:rsid w:val="002F2017"/>
    <w:rsid w:val="002F6680"/>
    <w:rsid w:val="002F671B"/>
    <w:rsid w:val="002F67FF"/>
    <w:rsid w:val="002F796C"/>
    <w:rsid w:val="002F7D49"/>
    <w:rsid w:val="003002BD"/>
    <w:rsid w:val="00300821"/>
    <w:rsid w:val="003009C5"/>
    <w:rsid w:val="0030105B"/>
    <w:rsid w:val="00303CDD"/>
    <w:rsid w:val="00304D22"/>
    <w:rsid w:val="00307222"/>
    <w:rsid w:val="0031211C"/>
    <w:rsid w:val="00313794"/>
    <w:rsid w:val="0031498A"/>
    <w:rsid w:val="003155D1"/>
    <w:rsid w:val="00317F60"/>
    <w:rsid w:val="00320E5B"/>
    <w:rsid w:val="00324F04"/>
    <w:rsid w:val="00325C5D"/>
    <w:rsid w:val="003318A1"/>
    <w:rsid w:val="003332D3"/>
    <w:rsid w:val="00335319"/>
    <w:rsid w:val="00337609"/>
    <w:rsid w:val="00340752"/>
    <w:rsid w:val="00340C3A"/>
    <w:rsid w:val="003433F5"/>
    <w:rsid w:val="00343B79"/>
    <w:rsid w:val="003458D4"/>
    <w:rsid w:val="00350C74"/>
    <w:rsid w:val="00351560"/>
    <w:rsid w:val="00353EB1"/>
    <w:rsid w:val="00354C27"/>
    <w:rsid w:val="00355AC5"/>
    <w:rsid w:val="00361980"/>
    <w:rsid w:val="00362276"/>
    <w:rsid w:val="00362DB6"/>
    <w:rsid w:val="003633DE"/>
    <w:rsid w:val="00365EB5"/>
    <w:rsid w:val="00367442"/>
    <w:rsid w:val="00372520"/>
    <w:rsid w:val="00377000"/>
    <w:rsid w:val="00380058"/>
    <w:rsid w:val="003823EE"/>
    <w:rsid w:val="00383D70"/>
    <w:rsid w:val="00385410"/>
    <w:rsid w:val="003860DB"/>
    <w:rsid w:val="003878D4"/>
    <w:rsid w:val="003904DD"/>
    <w:rsid w:val="00390A4A"/>
    <w:rsid w:val="003910F8"/>
    <w:rsid w:val="003923EF"/>
    <w:rsid w:val="00395DAD"/>
    <w:rsid w:val="00397E9A"/>
    <w:rsid w:val="003A05FC"/>
    <w:rsid w:val="003A143A"/>
    <w:rsid w:val="003A1B6B"/>
    <w:rsid w:val="003A220C"/>
    <w:rsid w:val="003A2984"/>
    <w:rsid w:val="003A3C99"/>
    <w:rsid w:val="003A5953"/>
    <w:rsid w:val="003A7F4F"/>
    <w:rsid w:val="003B0365"/>
    <w:rsid w:val="003B046B"/>
    <w:rsid w:val="003B108A"/>
    <w:rsid w:val="003B1277"/>
    <w:rsid w:val="003B3763"/>
    <w:rsid w:val="003B55DB"/>
    <w:rsid w:val="003B5E55"/>
    <w:rsid w:val="003B61A8"/>
    <w:rsid w:val="003C1B68"/>
    <w:rsid w:val="003C271F"/>
    <w:rsid w:val="003C3C72"/>
    <w:rsid w:val="003C4985"/>
    <w:rsid w:val="003C539A"/>
    <w:rsid w:val="003C5DC9"/>
    <w:rsid w:val="003C7657"/>
    <w:rsid w:val="003D021C"/>
    <w:rsid w:val="003D0DF2"/>
    <w:rsid w:val="003D24B7"/>
    <w:rsid w:val="003D48B6"/>
    <w:rsid w:val="003E1ED5"/>
    <w:rsid w:val="003E284E"/>
    <w:rsid w:val="003E72ED"/>
    <w:rsid w:val="003F03A0"/>
    <w:rsid w:val="003F2DF6"/>
    <w:rsid w:val="003F3FF4"/>
    <w:rsid w:val="003F4C52"/>
    <w:rsid w:val="003F5350"/>
    <w:rsid w:val="003F5802"/>
    <w:rsid w:val="003F59C4"/>
    <w:rsid w:val="003F7AEC"/>
    <w:rsid w:val="00402D5E"/>
    <w:rsid w:val="0040734B"/>
    <w:rsid w:val="00411B4C"/>
    <w:rsid w:val="00415666"/>
    <w:rsid w:val="00416DDC"/>
    <w:rsid w:val="00417803"/>
    <w:rsid w:val="00420346"/>
    <w:rsid w:val="0042199D"/>
    <w:rsid w:val="00422869"/>
    <w:rsid w:val="0042390B"/>
    <w:rsid w:val="0042393C"/>
    <w:rsid w:val="0042461A"/>
    <w:rsid w:val="00424BA5"/>
    <w:rsid w:val="0043063A"/>
    <w:rsid w:val="00430AA5"/>
    <w:rsid w:val="0043197E"/>
    <w:rsid w:val="0043431E"/>
    <w:rsid w:val="0043447E"/>
    <w:rsid w:val="00436012"/>
    <w:rsid w:val="004415BE"/>
    <w:rsid w:val="00441D4F"/>
    <w:rsid w:val="00441E76"/>
    <w:rsid w:val="00444476"/>
    <w:rsid w:val="00445DFE"/>
    <w:rsid w:val="004464D2"/>
    <w:rsid w:val="0044706F"/>
    <w:rsid w:val="0044716B"/>
    <w:rsid w:val="004516DD"/>
    <w:rsid w:val="00451FE6"/>
    <w:rsid w:val="004578AA"/>
    <w:rsid w:val="00462098"/>
    <w:rsid w:val="00462BB1"/>
    <w:rsid w:val="00463531"/>
    <w:rsid w:val="00465D82"/>
    <w:rsid w:val="00467CE6"/>
    <w:rsid w:val="00467F13"/>
    <w:rsid w:val="004725B5"/>
    <w:rsid w:val="004736D6"/>
    <w:rsid w:val="00475286"/>
    <w:rsid w:val="00476818"/>
    <w:rsid w:val="00477ADF"/>
    <w:rsid w:val="00477B9C"/>
    <w:rsid w:val="004803CB"/>
    <w:rsid w:val="00481092"/>
    <w:rsid w:val="00483E8F"/>
    <w:rsid w:val="00483FE9"/>
    <w:rsid w:val="00484EE6"/>
    <w:rsid w:val="00485D3A"/>
    <w:rsid w:val="00485E3A"/>
    <w:rsid w:val="00486BDE"/>
    <w:rsid w:val="00492688"/>
    <w:rsid w:val="00494EF1"/>
    <w:rsid w:val="00497BE7"/>
    <w:rsid w:val="004A05EE"/>
    <w:rsid w:val="004A2297"/>
    <w:rsid w:val="004A3795"/>
    <w:rsid w:val="004A61B4"/>
    <w:rsid w:val="004B0089"/>
    <w:rsid w:val="004B05C6"/>
    <w:rsid w:val="004B12DA"/>
    <w:rsid w:val="004B1A01"/>
    <w:rsid w:val="004B1A33"/>
    <w:rsid w:val="004B29D4"/>
    <w:rsid w:val="004B31A0"/>
    <w:rsid w:val="004B5733"/>
    <w:rsid w:val="004B6A28"/>
    <w:rsid w:val="004C04EF"/>
    <w:rsid w:val="004C0F81"/>
    <w:rsid w:val="004C1367"/>
    <w:rsid w:val="004C1CB9"/>
    <w:rsid w:val="004C3A03"/>
    <w:rsid w:val="004C7259"/>
    <w:rsid w:val="004C72AD"/>
    <w:rsid w:val="004C7AB7"/>
    <w:rsid w:val="004C7BD4"/>
    <w:rsid w:val="004D0EE8"/>
    <w:rsid w:val="004D145E"/>
    <w:rsid w:val="004D37A2"/>
    <w:rsid w:val="004D5201"/>
    <w:rsid w:val="004D5B62"/>
    <w:rsid w:val="004D70DD"/>
    <w:rsid w:val="004E4806"/>
    <w:rsid w:val="004E5365"/>
    <w:rsid w:val="004E7187"/>
    <w:rsid w:val="004F0945"/>
    <w:rsid w:val="004F34D3"/>
    <w:rsid w:val="004F680A"/>
    <w:rsid w:val="005016CF"/>
    <w:rsid w:val="00501FF6"/>
    <w:rsid w:val="00504B54"/>
    <w:rsid w:val="00505CC2"/>
    <w:rsid w:val="00506B0C"/>
    <w:rsid w:val="00510143"/>
    <w:rsid w:val="00513F4F"/>
    <w:rsid w:val="00515C5E"/>
    <w:rsid w:val="00517714"/>
    <w:rsid w:val="005228DF"/>
    <w:rsid w:val="00522EA7"/>
    <w:rsid w:val="0052388A"/>
    <w:rsid w:val="00524FFA"/>
    <w:rsid w:val="0052505B"/>
    <w:rsid w:val="00527F8C"/>
    <w:rsid w:val="00530CFF"/>
    <w:rsid w:val="00531F97"/>
    <w:rsid w:val="00532307"/>
    <w:rsid w:val="00532A82"/>
    <w:rsid w:val="0053354B"/>
    <w:rsid w:val="00534243"/>
    <w:rsid w:val="00536099"/>
    <w:rsid w:val="0053750F"/>
    <w:rsid w:val="00537B0A"/>
    <w:rsid w:val="00541A77"/>
    <w:rsid w:val="00541F05"/>
    <w:rsid w:val="00543471"/>
    <w:rsid w:val="00543561"/>
    <w:rsid w:val="005447F3"/>
    <w:rsid w:val="00547795"/>
    <w:rsid w:val="00547CE4"/>
    <w:rsid w:val="00551834"/>
    <w:rsid w:val="00552AEF"/>
    <w:rsid w:val="00564026"/>
    <w:rsid w:val="00564944"/>
    <w:rsid w:val="00565CDF"/>
    <w:rsid w:val="00567AF7"/>
    <w:rsid w:val="0057141D"/>
    <w:rsid w:val="0057189B"/>
    <w:rsid w:val="00572DF4"/>
    <w:rsid w:val="00575586"/>
    <w:rsid w:val="00577D02"/>
    <w:rsid w:val="00580F2E"/>
    <w:rsid w:val="00581016"/>
    <w:rsid w:val="00583826"/>
    <w:rsid w:val="0059004C"/>
    <w:rsid w:val="005902FA"/>
    <w:rsid w:val="005908BC"/>
    <w:rsid w:val="0059234E"/>
    <w:rsid w:val="0059367E"/>
    <w:rsid w:val="00597AB3"/>
    <w:rsid w:val="00597F7F"/>
    <w:rsid w:val="005A5163"/>
    <w:rsid w:val="005A613A"/>
    <w:rsid w:val="005A7E67"/>
    <w:rsid w:val="005B0729"/>
    <w:rsid w:val="005B14EB"/>
    <w:rsid w:val="005B1980"/>
    <w:rsid w:val="005B51ED"/>
    <w:rsid w:val="005B65D0"/>
    <w:rsid w:val="005B6898"/>
    <w:rsid w:val="005B6C01"/>
    <w:rsid w:val="005B6E08"/>
    <w:rsid w:val="005C043C"/>
    <w:rsid w:val="005C1ADD"/>
    <w:rsid w:val="005C6326"/>
    <w:rsid w:val="005C6D58"/>
    <w:rsid w:val="005C75AF"/>
    <w:rsid w:val="005D094E"/>
    <w:rsid w:val="005D0C19"/>
    <w:rsid w:val="005D151B"/>
    <w:rsid w:val="005D19F9"/>
    <w:rsid w:val="005D2343"/>
    <w:rsid w:val="005D350F"/>
    <w:rsid w:val="005D3FA5"/>
    <w:rsid w:val="005D4A95"/>
    <w:rsid w:val="005E022B"/>
    <w:rsid w:val="005E132B"/>
    <w:rsid w:val="005F09B0"/>
    <w:rsid w:val="005F0F56"/>
    <w:rsid w:val="005F17BB"/>
    <w:rsid w:val="005F21ED"/>
    <w:rsid w:val="005F30D5"/>
    <w:rsid w:val="005F3959"/>
    <w:rsid w:val="005F4A1C"/>
    <w:rsid w:val="005F687E"/>
    <w:rsid w:val="005F6E3B"/>
    <w:rsid w:val="00600C0B"/>
    <w:rsid w:val="006024B7"/>
    <w:rsid w:val="0060494F"/>
    <w:rsid w:val="0060722B"/>
    <w:rsid w:val="006103C7"/>
    <w:rsid w:val="006149E7"/>
    <w:rsid w:val="00614E99"/>
    <w:rsid w:val="0061570E"/>
    <w:rsid w:val="00620BC4"/>
    <w:rsid w:val="00622408"/>
    <w:rsid w:val="00623CFE"/>
    <w:rsid w:val="006276A0"/>
    <w:rsid w:val="0063128C"/>
    <w:rsid w:val="00631481"/>
    <w:rsid w:val="006315D8"/>
    <w:rsid w:val="00631C6D"/>
    <w:rsid w:val="0063261F"/>
    <w:rsid w:val="00633F22"/>
    <w:rsid w:val="0063473B"/>
    <w:rsid w:val="006349A9"/>
    <w:rsid w:val="0063593E"/>
    <w:rsid w:val="0063606B"/>
    <w:rsid w:val="00637935"/>
    <w:rsid w:val="00640EE5"/>
    <w:rsid w:val="00644434"/>
    <w:rsid w:val="00652026"/>
    <w:rsid w:val="00652665"/>
    <w:rsid w:val="00652BCD"/>
    <w:rsid w:val="00653F26"/>
    <w:rsid w:val="00653F45"/>
    <w:rsid w:val="00654420"/>
    <w:rsid w:val="0065574B"/>
    <w:rsid w:val="00660ADB"/>
    <w:rsid w:val="0066175B"/>
    <w:rsid w:val="00663304"/>
    <w:rsid w:val="006638D3"/>
    <w:rsid w:val="00664E35"/>
    <w:rsid w:val="00667348"/>
    <w:rsid w:val="00667990"/>
    <w:rsid w:val="00667ED4"/>
    <w:rsid w:val="00670BBA"/>
    <w:rsid w:val="00673B38"/>
    <w:rsid w:val="0067496D"/>
    <w:rsid w:val="0067497C"/>
    <w:rsid w:val="00674995"/>
    <w:rsid w:val="00675407"/>
    <w:rsid w:val="00676072"/>
    <w:rsid w:val="00681B88"/>
    <w:rsid w:val="0068457F"/>
    <w:rsid w:val="006906B4"/>
    <w:rsid w:val="006910CB"/>
    <w:rsid w:val="0069157C"/>
    <w:rsid w:val="0069359B"/>
    <w:rsid w:val="00694602"/>
    <w:rsid w:val="00694951"/>
    <w:rsid w:val="006A166C"/>
    <w:rsid w:val="006A2AE5"/>
    <w:rsid w:val="006A5F46"/>
    <w:rsid w:val="006A6BAE"/>
    <w:rsid w:val="006A6C62"/>
    <w:rsid w:val="006B177D"/>
    <w:rsid w:val="006B21FE"/>
    <w:rsid w:val="006B306D"/>
    <w:rsid w:val="006B59E2"/>
    <w:rsid w:val="006C321F"/>
    <w:rsid w:val="006C3269"/>
    <w:rsid w:val="006C794B"/>
    <w:rsid w:val="006C7A25"/>
    <w:rsid w:val="006D45FB"/>
    <w:rsid w:val="006D4F2B"/>
    <w:rsid w:val="006D58F4"/>
    <w:rsid w:val="006D67C7"/>
    <w:rsid w:val="006D6DD1"/>
    <w:rsid w:val="006D7442"/>
    <w:rsid w:val="006D7EC8"/>
    <w:rsid w:val="006D7F22"/>
    <w:rsid w:val="006E0ABE"/>
    <w:rsid w:val="006E7C38"/>
    <w:rsid w:val="006F2718"/>
    <w:rsid w:val="006F2DC1"/>
    <w:rsid w:val="006F3077"/>
    <w:rsid w:val="006F38B9"/>
    <w:rsid w:val="0070138E"/>
    <w:rsid w:val="0070185A"/>
    <w:rsid w:val="00702F5D"/>
    <w:rsid w:val="00706118"/>
    <w:rsid w:val="00706B0A"/>
    <w:rsid w:val="0071033A"/>
    <w:rsid w:val="00710FD1"/>
    <w:rsid w:val="007114EC"/>
    <w:rsid w:val="00711967"/>
    <w:rsid w:val="0071404E"/>
    <w:rsid w:val="00714626"/>
    <w:rsid w:val="0071524E"/>
    <w:rsid w:val="00716D02"/>
    <w:rsid w:val="00716F57"/>
    <w:rsid w:val="00720B69"/>
    <w:rsid w:val="00722012"/>
    <w:rsid w:val="007254C5"/>
    <w:rsid w:val="00725ADF"/>
    <w:rsid w:val="00725E7A"/>
    <w:rsid w:val="00726746"/>
    <w:rsid w:val="00727446"/>
    <w:rsid w:val="007278D1"/>
    <w:rsid w:val="00730116"/>
    <w:rsid w:val="00731137"/>
    <w:rsid w:val="007317F3"/>
    <w:rsid w:val="007329C4"/>
    <w:rsid w:val="00733391"/>
    <w:rsid w:val="007337B3"/>
    <w:rsid w:val="007342FC"/>
    <w:rsid w:val="00740616"/>
    <w:rsid w:val="00741AA9"/>
    <w:rsid w:val="00742524"/>
    <w:rsid w:val="0074365D"/>
    <w:rsid w:val="00743D9A"/>
    <w:rsid w:val="00745A80"/>
    <w:rsid w:val="00745D3A"/>
    <w:rsid w:val="00745DE8"/>
    <w:rsid w:val="00746DC2"/>
    <w:rsid w:val="00747CED"/>
    <w:rsid w:val="007511B4"/>
    <w:rsid w:val="00752F9F"/>
    <w:rsid w:val="00753CBB"/>
    <w:rsid w:val="00754693"/>
    <w:rsid w:val="007547B2"/>
    <w:rsid w:val="0076177E"/>
    <w:rsid w:val="00761926"/>
    <w:rsid w:val="007634FA"/>
    <w:rsid w:val="007661B1"/>
    <w:rsid w:val="00770C0A"/>
    <w:rsid w:val="00771D99"/>
    <w:rsid w:val="007740CA"/>
    <w:rsid w:val="007742CA"/>
    <w:rsid w:val="00774C02"/>
    <w:rsid w:val="00776760"/>
    <w:rsid w:val="007817E1"/>
    <w:rsid w:val="00783326"/>
    <w:rsid w:val="00783E55"/>
    <w:rsid w:val="007855F9"/>
    <w:rsid w:val="00786007"/>
    <w:rsid w:val="00786F2E"/>
    <w:rsid w:val="0079184B"/>
    <w:rsid w:val="00791FA3"/>
    <w:rsid w:val="00793331"/>
    <w:rsid w:val="00793C61"/>
    <w:rsid w:val="00794E44"/>
    <w:rsid w:val="00797297"/>
    <w:rsid w:val="00797CAD"/>
    <w:rsid w:val="007A1504"/>
    <w:rsid w:val="007A15D1"/>
    <w:rsid w:val="007A248C"/>
    <w:rsid w:val="007A290B"/>
    <w:rsid w:val="007A5123"/>
    <w:rsid w:val="007A5BA3"/>
    <w:rsid w:val="007B24E0"/>
    <w:rsid w:val="007B2BD9"/>
    <w:rsid w:val="007B7556"/>
    <w:rsid w:val="007C21D1"/>
    <w:rsid w:val="007C2A76"/>
    <w:rsid w:val="007C41A1"/>
    <w:rsid w:val="007C551E"/>
    <w:rsid w:val="007C62D2"/>
    <w:rsid w:val="007C7925"/>
    <w:rsid w:val="007D0065"/>
    <w:rsid w:val="007D06B4"/>
    <w:rsid w:val="007D4460"/>
    <w:rsid w:val="007E27A5"/>
    <w:rsid w:val="007E5152"/>
    <w:rsid w:val="007E5225"/>
    <w:rsid w:val="007E5239"/>
    <w:rsid w:val="007F3086"/>
    <w:rsid w:val="007F35A8"/>
    <w:rsid w:val="007F3E96"/>
    <w:rsid w:val="007F431B"/>
    <w:rsid w:val="007F6DBA"/>
    <w:rsid w:val="00800D33"/>
    <w:rsid w:val="00800E5B"/>
    <w:rsid w:val="00801230"/>
    <w:rsid w:val="0080171F"/>
    <w:rsid w:val="00803944"/>
    <w:rsid w:val="0080437A"/>
    <w:rsid w:val="008068F3"/>
    <w:rsid w:val="0081049E"/>
    <w:rsid w:val="00810A05"/>
    <w:rsid w:val="00810ABC"/>
    <w:rsid w:val="008122AB"/>
    <w:rsid w:val="00812417"/>
    <w:rsid w:val="00813AFB"/>
    <w:rsid w:val="0081420A"/>
    <w:rsid w:val="00821469"/>
    <w:rsid w:val="008219A0"/>
    <w:rsid w:val="0082214A"/>
    <w:rsid w:val="008226F1"/>
    <w:rsid w:val="00822986"/>
    <w:rsid w:val="00823857"/>
    <w:rsid w:val="008247E0"/>
    <w:rsid w:val="008271CD"/>
    <w:rsid w:val="00833AB1"/>
    <w:rsid w:val="0083414C"/>
    <w:rsid w:val="00834D57"/>
    <w:rsid w:val="008377D9"/>
    <w:rsid w:val="00846C43"/>
    <w:rsid w:val="008474C4"/>
    <w:rsid w:val="00850032"/>
    <w:rsid w:val="0085297A"/>
    <w:rsid w:val="00853211"/>
    <w:rsid w:val="008540C1"/>
    <w:rsid w:val="008551FE"/>
    <w:rsid w:val="00856AF9"/>
    <w:rsid w:val="00857852"/>
    <w:rsid w:val="00860AB3"/>
    <w:rsid w:val="00862BC7"/>
    <w:rsid w:val="00863DAB"/>
    <w:rsid w:val="00864547"/>
    <w:rsid w:val="0086595D"/>
    <w:rsid w:val="0086671C"/>
    <w:rsid w:val="008667A5"/>
    <w:rsid w:val="0086787C"/>
    <w:rsid w:val="00870507"/>
    <w:rsid w:val="00871F2F"/>
    <w:rsid w:val="008721B6"/>
    <w:rsid w:val="00876C0D"/>
    <w:rsid w:val="00877F24"/>
    <w:rsid w:val="00881F59"/>
    <w:rsid w:val="00882DCE"/>
    <w:rsid w:val="00886895"/>
    <w:rsid w:val="008914E8"/>
    <w:rsid w:val="00891D03"/>
    <w:rsid w:val="00892579"/>
    <w:rsid w:val="008947C4"/>
    <w:rsid w:val="00897F35"/>
    <w:rsid w:val="008A155A"/>
    <w:rsid w:val="008A5763"/>
    <w:rsid w:val="008A5977"/>
    <w:rsid w:val="008A76FE"/>
    <w:rsid w:val="008A7C4C"/>
    <w:rsid w:val="008B1360"/>
    <w:rsid w:val="008B1DD1"/>
    <w:rsid w:val="008B3072"/>
    <w:rsid w:val="008B6457"/>
    <w:rsid w:val="008B686F"/>
    <w:rsid w:val="008C0D58"/>
    <w:rsid w:val="008C4A64"/>
    <w:rsid w:val="008D0F00"/>
    <w:rsid w:val="008D0F67"/>
    <w:rsid w:val="008D21BD"/>
    <w:rsid w:val="008D3567"/>
    <w:rsid w:val="008D381C"/>
    <w:rsid w:val="008D449A"/>
    <w:rsid w:val="008D5779"/>
    <w:rsid w:val="008D6D0B"/>
    <w:rsid w:val="008E2B2E"/>
    <w:rsid w:val="008E3C94"/>
    <w:rsid w:val="008E48BB"/>
    <w:rsid w:val="008E5559"/>
    <w:rsid w:val="008E6F12"/>
    <w:rsid w:val="008E79F8"/>
    <w:rsid w:val="008F1391"/>
    <w:rsid w:val="008F32C2"/>
    <w:rsid w:val="00900340"/>
    <w:rsid w:val="009013B3"/>
    <w:rsid w:val="00901F66"/>
    <w:rsid w:val="009026E5"/>
    <w:rsid w:val="009027B3"/>
    <w:rsid w:val="009043A0"/>
    <w:rsid w:val="00906895"/>
    <w:rsid w:val="00910264"/>
    <w:rsid w:val="009107A8"/>
    <w:rsid w:val="00913A79"/>
    <w:rsid w:val="00913E45"/>
    <w:rsid w:val="0091459E"/>
    <w:rsid w:val="00915825"/>
    <w:rsid w:val="009160F1"/>
    <w:rsid w:val="00916667"/>
    <w:rsid w:val="009179C0"/>
    <w:rsid w:val="00923278"/>
    <w:rsid w:val="00923671"/>
    <w:rsid w:val="0092481D"/>
    <w:rsid w:val="009274B7"/>
    <w:rsid w:val="00931330"/>
    <w:rsid w:val="00932444"/>
    <w:rsid w:val="00933547"/>
    <w:rsid w:val="009348F0"/>
    <w:rsid w:val="009374C5"/>
    <w:rsid w:val="00940DFD"/>
    <w:rsid w:val="00942FC5"/>
    <w:rsid w:val="009457A3"/>
    <w:rsid w:val="00953746"/>
    <w:rsid w:val="00953AF3"/>
    <w:rsid w:val="0096268E"/>
    <w:rsid w:val="0096583C"/>
    <w:rsid w:val="00970711"/>
    <w:rsid w:val="009725F9"/>
    <w:rsid w:val="0097265A"/>
    <w:rsid w:val="00972F26"/>
    <w:rsid w:val="00972F5A"/>
    <w:rsid w:val="009738E4"/>
    <w:rsid w:val="00973A24"/>
    <w:rsid w:val="00975596"/>
    <w:rsid w:val="009834CB"/>
    <w:rsid w:val="00983C7B"/>
    <w:rsid w:val="009847D9"/>
    <w:rsid w:val="00984A4E"/>
    <w:rsid w:val="0098543B"/>
    <w:rsid w:val="0098703A"/>
    <w:rsid w:val="00991F28"/>
    <w:rsid w:val="009924F5"/>
    <w:rsid w:val="00993E63"/>
    <w:rsid w:val="00994BC6"/>
    <w:rsid w:val="00995A89"/>
    <w:rsid w:val="0099756B"/>
    <w:rsid w:val="00997D52"/>
    <w:rsid w:val="009A07A2"/>
    <w:rsid w:val="009A3208"/>
    <w:rsid w:val="009A424D"/>
    <w:rsid w:val="009A5D0B"/>
    <w:rsid w:val="009A5D7C"/>
    <w:rsid w:val="009B05A8"/>
    <w:rsid w:val="009B2BF6"/>
    <w:rsid w:val="009B377B"/>
    <w:rsid w:val="009B37B3"/>
    <w:rsid w:val="009B5525"/>
    <w:rsid w:val="009B6AB1"/>
    <w:rsid w:val="009C0EE2"/>
    <w:rsid w:val="009C4E2E"/>
    <w:rsid w:val="009C503F"/>
    <w:rsid w:val="009C5EC5"/>
    <w:rsid w:val="009C60D4"/>
    <w:rsid w:val="009C66D3"/>
    <w:rsid w:val="009C6B24"/>
    <w:rsid w:val="009C75D1"/>
    <w:rsid w:val="009D0709"/>
    <w:rsid w:val="009D0D67"/>
    <w:rsid w:val="009D5088"/>
    <w:rsid w:val="009E0EF0"/>
    <w:rsid w:val="009E30C2"/>
    <w:rsid w:val="009E39D7"/>
    <w:rsid w:val="009E3BC0"/>
    <w:rsid w:val="009E4FB4"/>
    <w:rsid w:val="009F24BF"/>
    <w:rsid w:val="009F5A31"/>
    <w:rsid w:val="00A06B3E"/>
    <w:rsid w:val="00A10728"/>
    <w:rsid w:val="00A111A0"/>
    <w:rsid w:val="00A150D0"/>
    <w:rsid w:val="00A16267"/>
    <w:rsid w:val="00A17851"/>
    <w:rsid w:val="00A23D95"/>
    <w:rsid w:val="00A3106D"/>
    <w:rsid w:val="00A31EC6"/>
    <w:rsid w:val="00A327D0"/>
    <w:rsid w:val="00A32CFC"/>
    <w:rsid w:val="00A33C88"/>
    <w:rsid w:val="00A34C5A"/>
    <w:rsid w:val="00A35496"/>
    <w:rsid w:val="00A3604F"/>
    <w:rsid w:val="00A37300"/>
    <w:rsid w:val="00A407BE"/>
    <w:rsid w:val="00A40D29"/>
    <w:rsid w:val="00A41C4A"/>
    <w:rsid w:val="00A424C0"/>
    <w:rsid w:val="00A429CF"/>
    <w:rsid w:val="00A46828"/>
    <w:rsid w:val="00A50AF9"/>
    <w:rsid w:val="00A53300"/>
    <w:rsid w:val="00A5468B"/>
    <w:rsid w:val="00A626DF"/>
    <w:rsid w:val="00A63809"/>
    <w:rsid w:val="00A63B92"/>
    <w:rsid w:val="00A63BF1"/>
    <w:rsid w:val="00A64402"/>
    <w:rsid w:val="00A65440"/>
    <w:rsid w:val="00A65F28"/>
    <w:rsid w:val="00A66641"/>
    <w:rsid w:val="00A66B81"/>
    <w:rsid w:val="00A6783C"/>
    <w:rsid w:val="00A7046C"/>
    <w:rsid w:val="00A73806"/>
    <w:rsid w:val="00A73F0F"/>
    <w:rsid w:val="00A744CF"/>
    <w:rsid w:val="00A77A9A"/>
    <w:rsid w:val="00A83569"/>
    <w:rsid w:val="00A8652B"/>
    <w:rsid w:val="00A86621"/>
    <w:rsid w:val="00A918E7"/>
    <w:rsid w:val="00A93686"/>
    <w:rsid w:val="00A96AE9"/>
    <w:rsid w:val="00A9792A"/>
    <w:rsid w:val="00A97CD4"/>
    <w:rsid w:val="00AA3499"/>
    <w:rsid w:val="00AA3C98"/>
    <w:rsid w:val="00AA3DFF"/>
    <w:rsid w:val="00AA7D7C"/>
    <w:rsid w:val="00AB190D"/>
    <w:rsid w:val="00AB2D7C"/>
    <w:rsid w:val="00AB42FE"/>
    <w:rsid w:val="00AB6E6D"/>
    <w:rsid w:val="00AB743A"/>
    <w:rsid w:val="00AC37E3"/>
    <w:rsid w:val="00AC47D1"/>
    <w:rsid w:val="00AD3848"/>
    <w:rsid w:val="00AD54F0"/>
    <w:rsid w:val="00AE0015"/>
    <w:rsid w:val="00AE25C5"/>
    <w:rsid w:val="00AE377A"/>
    <w:rsid w:val="00AE61A3"/>
    <w:rsid w:val="00AF0DAC"/>
    <w:rsid w:val="00AF2A41"/>
    <w:rsid w:val="00AF3294"/>
    <w:rsid w:val="00AF32AC"/>
    <w:rsid w:val="00AF6097"/>
    <w:rsid w:val="00B00148"/>
    <w:rsid w:val="00B01DE5"/>
    <w:rsid w:val="00B05313"/>
    <w:rsid w:val="00B068AE"/>
    <w:rsid w:val="00B0691A"/>
    <w:rsid w:val="00B07E19"/>
    <w:rsid w:val="00B10619"/>
    <w:rsid w:val="00B13963"/>
    <w:rsid w:val="00B13A14"/>
    <w:rsid w:val="00B15277"/>
    <w:rsid w:val="00B158A9"/>
    <w:rsid w:val="00B174C5"/>
    <w:rsid w:val="00B177D5"/>
    <w:rsid w:val="00B21A10"/>
    <w:rsid w:val="00B255A0"/>
    <w:rsid w:val="00B26845"/>
    <w:rsid w:val="00B323BF"/>
    <w:rsid w:val="00B33422"/>
    <w:rsid w:val="00B33D40"/>
    <w:rsid w:val="00B343A9"/>
    <w:rsid w:val="00B40691"/>
    <w:rsid w:val="00B5011C"/>
    <w:rsid w:val="00B52344"/>
    <w:rsid w:val="00B5605B"/>
    <w:rsid w:val="00B57314"/>
    <w:rsid w:val="00B57F1E"/>
    <w:rsid w:val="00B57F64"/>
    <w:rsid w:val="00B60A04"/>
    <w:rsid w:val="00B61104"/>
    <w:rsid w:val="00B624F3"/>
    <w:rsid w:val="00B71C1D"/>
    <w:rsid w:val="00B71F85"/>
    <w:rsid w:val="00B73A09"/>
    <w:rsid w:val="00B73E44"/>
    <w:rsid w:val="00B742D2"/>
    <w:rsid w:val="00B75583"/>
    <w:rsid w:val="00B77457"/>
    <w:rsid w:val="00B77C58"/>
    <w:rsid w:val="00B77EEE"/>
    <w:rsid w:val="00B80508"/>
    <w:rsid w:val="00B8137F"/>
    <w:rsid w:val="00B83624"/>
    <w:rsid w:val="00B8428D"/>
    <w:rsid w:val="00B8541D"/>
    <w:rsid w:val="00B85ADC"/>
    <w:rsid w:val="00B876BE"/>
    <w:rsid w:val="00B900C6"/>
    <w:rsid w:val="00B93588"/>
    <w:rsid w:val="00B95164"/>
    <w:rsid w:val="00B960C7"/>
    <w:rsid w:val="00B96B20"/>
    <w:rsid w:val="00B9721C"/>
    <w:rsid w:val="00B9783F"/>
    <w:rsid w:val="00BA12CE"/>
    <w:rsid w:val="00BA15CA"/>
    <w:rsid w:val="00BA1D8E"/>
    <w:rsid w:val="00BA3429"/>
    <w:rsid w:val="00BA3ABD"/>
    <w:rsid w:val="00BA66CB"/>
    <w:rsid w:val="00BB0354"/>
    <w:rsid w:val="00BB2BC2"/>
    <w:rsid w:val="00BB4D3E"/>
    <w:rsid w:val="00BB55D5"/>
    <w:rsid w:val="00BB5D21"/>
    <w:rsid w:val="00BB66B2"/>
    <w:rsid w:val="00BB7E8A"/>
    <w:rsid w:val="00BC03BF"/>
    <w:rsid w:val="00BC1874"/>
    <w:rsid w:val="00BC40DD"/>
    <w:rsid w:val="00BC492B"/>
    <w:rsid w:val="00BC4C8E"/>
    <w:rsid w:val="00BC5E97"/>
    <w:rsid w:val="00BC6D58"/>
    <w:rsid w:val="00BD5DA8"/>
    <w:rsid w:val="00BE16FC"/>
    <w:rsid w:val="00BE3A83"/>
    <w:rsid w:val="00BE75F8"/>
    <w:rsid w:val="00BF0BDC"/>
    <w:rsid w:val="00BF18B3"/>
    <w:rsid w:val="00BF18F8"/>
    <w:rsid w:val="00BF6176"/>
    <w:rsid w:val="00BF6284"/>
    <w:rsid w:val="00C03785"/>
    <w:rsid w:val="00C06F80"/>
    <w:rsid w:val="00C07F45"/>
    <w:rsid w:val="00C1440D"/>
    <w:rsid w:val="00C14E27"/>
    <w:rsid w:val="00C16193"/>
    <w:rsid w:val="00C16718"/>
    <w:rsid w:val="00C16D42"/>
    <w:rsid w:val="00C205E7"/>
    <w:rsid w:val="00C21079"/>
    <w:rsid w:val="00C22737"/>
    <w:rsid w:val="00C2455C"/>
    <w:rsid w:val="00C24F20"/>
    <w:rsid w:val="00C25E8A"/>
    <w:rsid w:val="00C26F8C"/>
    <w:rsid w:val="00C3582F"/>
    <w:rsid w:val="00C3588D"/>
    <w:rsid w:val="00C3648D"/>
    <w:rsid w:val="00C36E43"/>
    <w:rsid w:val="00C3772F"/>
    <w:rsid w:val="00C37F1C"/>
    <w:rsid w:val="00C411EC"/>
    <w:rsid w:val="00C4462F"/>
    <w:rsid w:val="00C44F57"/>
    <w:rsid w:val="00C53923"/>
    <w:rsid w:val="00C54096"/>
    <w:rsid w:val="00C55584"/>
    <w:rsid w:val="00C561DF"/>
    <w:rsid w:val="00C61825"/>
    <w:rsid w:val="00C62219"/>
    <w:rsid w:val="00C63407"/>
    <w:rsid w:val="00C64139"/>
    <w:rsid w:val="00C74113"/>
    <w:rsid w:val="00C74116"/>
    <w:rsid w:val="00C74666"/>
    <w:rsid w:val="00C7479D"/>
    <w:rsid w:val="00C751AD"/>
    <w:rsid w:val="00C75341"/>
    <w:rsid w:val="00C7616C"/>
    <w:rsid w:val="00C814AC"/>
    <w:rsid w:val="00C85CEF"/>
    <w:rsid w:val="00C868FA"/>
    <w:rsid w:val="00C9019C"/>
    <w:rsid w:val="00C90961"/>
    <w:rsid w:val="00C910EE"/>
    <w:rsid w:val="00C920A5"/>
    <w:rsid w:val="00C930F2"/>
    <w:rsid w:val="00C96393"/>
    <w:rsid w:val="00CA11AE"/>
    <w:rsid w:val="00CA1B28"/>
    <w:rsid w:val="00CA37FC"/>
    <w:rsid w:val="00CA5E02"/>
    <w:rsid w:val="00CA6A91"/>
    <w:rsid w:val="00CB0433"/>
    <w:rsid w:val="00CB0BEE"/>
    <w:rsid w:val="00CB1E79"/>
    <w:rsid w:val="00CB46A6"/>
    <w:rsid w:val="00CB53F0"/>
    <w:rsid w:val="00CB6184"/>
    <w:rsid w:val="00CB7F9B"/>
    <w:rsid w:val="00CC6441"/>
    <w:rsid w:val="00CC746D"/>
    <w:rsid w:val="00CC7FF3"/>
    <w:rsid w:val="00CD0469"/>
    <w:rsid w:val="00CD0F5C"/>
    <w:rsid w:val="00CD1755"/>
    <w:rsid w:val="00CD4310"/>
    <w:rsid w:val="00CD496B"/>
    <w:rsid w:val="00CD7C34"/>
    <w:rsid w:val="00CE1EF9"/>
    <w:rsid w:val="00CE2B20"/>
    <w:rsid w:val="00CE50E4"/>
    <w:rsid w:val="00CE6623"/>
    <w:rsid w:val="00CF1D63"/>
    <w:rsid w:val="00CF1EFF"/>
    <w:rsid w:val="00CF42FF"/>
    <w:rsid w:val="00CF4C77"/>
    <w:rsid w:val="00CF6EF5"/>
    <w:rsid w:val="00CF7A05"/>
    <w:rsid w:val="00CF7C05"/>
    <w:rsid w:val="00D00F8C"/>
    <w:rsid w:val="00D0211A"/>
    <w:rsid w:val="00D04457"/>
    <w:rsid w:val="00D04730"/>
    <w:rsid w:val="00D05691"/>
    <w:rsid w:val="00D06C66"/>
    <w:rsid w:val="00D06E6F"/>
    <w:rsid w:val="00D072EE"/>
    <w:rsid w:val="00D07708"/>
    <w:rsid w:val="00D1017C"/>
    <w:rsid w:val="00D115BD"/>
    <w:rsid w:val="00D14CB4"/>
    <w:rsid w:val="00D16E16"/>
    <w:rsid w:val="00D20823"/>
    <w:rsid w:val="00D25C85"/>
    <w:rsid w:val="00D275C6"/>
    <w:rsid w:val="00D30692"/>
    <w:rsid w:val="00D32991"/>
    <w:rsid w:val="00D3318A"/>
    <w:rsid w:val="00D35BF5"/>
    <w:rsid w:val="00D366A3"/>
    <w:rsid w:val="00D42695"/>
    <w:rsid w:val="00D428F1"/>
    <w:rsid w:val="00D44706"/>
    <w:rsid w:val="00D44F89"/>
    <w:rsid w:val="00D457CB"/>
    <w:rsid w:val="00D462C2"/>
    <w:rsid w:val="00D46849"/>
    <w:rsid w:val="00D50FE1"/>
    <w:rsid w:val="00D51CBA"/>
    <w:rsid w:val="00D5788A"/>
    <w:rsid w:val="00D61475"/>
    <w:rsid w:val="00D61B26"/>
    <w:rsid w:val="00D6216A"/>
    <w:rsid w:val="00D6252D"/>
    <w:rsid w:val="00D63B3C"/>
    <w:rsid w:val="00D64144"/>
    <w:rsid w:val="00D747F3"/>
    <w:rsid w:val="00D74C12"/>
    <w:rsid w:val="00D759B1"/>
    <w:rsid w:val="00D77333"/>
    <w:rsid w:val="00D7783E"/>
    <w:rsid w:val="00D8026F"/>
    <w:rsid w:val="00D8111B"/>
    <w:rsid w:val="00D81DD3"/>
    <w:rsid w:val="00D81F1B"/>
    <w:rsid w:val="00D85F16"/>
    <w:rsid w:val="00D86600"/>
    <w:rsid w:val="00D87A3B"/>
    <w:rsid w:val="00D90A67"/>
    <w:rsid w:val="00D90A82"/>
    <w:rsid w:val="00D93DFF"/>
    <w:rsid w:val="00D95735"/>
    <w:rsid w:val="00D95CC1"/>
    <w:rsid w:val="00D97739"/>
    <w:rsid w:val="00D97BD9"/>
    <w:rsid w:val="00DA0285"/>
    <w:rsid w:val="00DA0E45"/>
    <w:rsid w:val="00DA1C9F"/>
    <w:rsid w:val="00DA34B3"/>
    <w:rsid w:val="00DA44AC"/>
    <w:rsid w:val="00DA797B"/>
    <w:rsid w:val="00DB03FC"/>
    <w:rsid w:val="00DB21C7"/>
    <w:rsid w:val="00DB6023"/>
    <w:rsid w:val="00DB63DB"/>
    <w:rsid w:val="00DC0ECF"/>
    <w:rsid w:val="00DC590A"/>
    <w:rsid w:val="00DC5933"/>
    <w:rsid w:val="00DC65D3"/>
    <w:rsid w:val="00DC7067"/>
    <w:rsid w:val="00DD21C2"/>
    <w:rsid w:val="00DD2615"/>
    <w:rsid w:val="00DD2FFF"/>
    <w:rsid w:val="00DD4D15"/>
    <w:rsid w:val="00DD5199"/>
    <w:rsid w:val="00DD5EF0"/>
    <w:rsid w:val="00DD69FF"/>
    <w:rsid w:val="00DD7C9F"/>
    <w:rsid w:val="00DE1FC2"/>
    <w:rsid w:val="00DE226C"/>
    <w:rsid w:val="00DE2426"/>
    <w:rsid w:val="00DE40AC"/>
    <w:rsid w:val="00DE61B1"/>
    <w:rsid w:val="00DE6340"/>
    <w:rsid w:val="00DE7DB0"/>
    <w:rsid w:val="00DE7EAF"/>
    <w:rsid w:val="00DF2A5B"/>
    <w:rsid w:val="00DF593A"/>
    <w:rsid w:val="00DF7600"/>
    <w:rsid w:val="00E02308"/>
    <w:rsid w:val="00E02E04"/>
    <w:rsid w:val="00E0331D"/>
    <w:rsid w:val="00E03900"/>
    <w:rsid w:val="00E050CA"/>
    <w:rsid w:val="00E06BDD"/>
    <w:rsid w:val="00E11FE2"/>
    <w:rsid w:val="00E13C69"/>
    <w:rsid w:val="00E148B7"/>
    <w:rsid w:val="00E14B0B"/>
    <w:rsid w:val="00E1571D"/>
    <w:rsid w:val="00E15F1E"/>
    <w:rsid w:val="00E16B95"/>
    <w:rsid w:val="00E2038D"/>
    <w:rsid w:val="00E220E5"/>
    <w:rsid w:val="00E23E44"/>
    <w:rsid w:val="00E24CFC"/>
    <w:rsid w:val="00E2518C"/>
    <w:rsid w:val="00E26829"/>
    <w:rsid w:val="00E26D60"/>
    <w:rsid w:val="00E27608"/>
    <w:rsid w:val="00E27C40"/>
    <w:rsid w:val="00E3074B"/>
    <w:rsid w:val="00E31CA0"/>
    <w:rsid w:val="00E334B4"/>
    <w:rsid w:val="00E3359D"/>
    <w:rsid w:val="00E3438A"/>
    <w:rsid w:val="00E369EC"/>
    <w:rsid w:val="00E37B3A"/>
    <w:rsid w:val="00E410F7"/>
    <w:rsid w:val="00E42977"/>
    <w:rsid w:val="00E452DF"/>
    <w:rsid w:val="00E45FEE"/>
    <w:rsid w:val="00E50BA5"/>
    <w:rsid w:val="00E51ED3"/>
    <w:rsid w:val="00E530EE"/>
    <w:rsid w:val="00E53A5E"/>
    <w:rsid w:val="00E54366"/>
    <w:rsid w:val="00E568FD"/>
    <w:rsid w:val="00E56C85"/>
    <w:rsid w:val="00E57D4A"/>
    <w:rsid w:val="00E60E5A"/>
    <w:rsid w:val="00E61C2A"/>
    <w:rsid w:val="00E63ADF"/>
    <w:rsid w:val="00E652F9"/>
    <w:rsid w:val="00E70D0C"/>
    <w:rsid w:val="00E70F7A"/>
    <w:rsid w:val="00E71C7E"/>
    <w:rsid w:val="00E71CA7"/>
    <w:rsid w:val="00E74587"/>
    <w:rsid w:val="00E80657"/>
    <w:rsid w:val="00E83F4E"/>
    <w:rsid w:val="00E863CE"/>
    <w:rsid w:val="00E8670A"/>
    <w:rsid w:val="00E86F09"/>
    <w:rsid w:val="00E911C6"/>
    <w:rsid w:val="00E9165C"/>
    <w:rsid w:val="00E970E6"/>
    <w:rsid w:val="00E97957"/>
    <w:rsid w:val="00E97A86"/>
    <w:rsid w:val="00E97C0F"/>
    <w:rsid w:val="00EA0B30"/>
    <w:rsid w:val="00EA0B38"/>
    <w:rsid w:val="00EA1282"/>
    <w:rsid w:val="00EA16DC"/>
    <w:rsid w:val="00EA1C37"/>
    <w:rsid w:val="00EA4516"/>
    <w:rsid w:val="00EA4DE9"/>
    <w:rsid w:val="00EA5BF1"/>
    <w:rsid w:val="00EA69DE"/>
    <w:rsid w:val="00EA77F3"/>
    <w:rsid w:val="00EB02A2"/>
    <w:rsid w:val="00EB0417"/>
    <w:rsid w:val="00EB0D1A"/>
    <w:rsid w:val="00EB0E14"/>
    <w:rsid w:val="00EB1A23"/>
    <w:rsid w:val="00EB1D1C"/>
    <w:rsid w:val="00EB1DB2"/>
    <w:rsid w:val="00EB2FE8"/>
    <w:rsid w:val="00EB35F4"/>
    <w:rsid w:val="00EB4251"/>
    <w:rsid w:val="00EB626C"/>
    <w:rsid w:val="00EB6287"/>
    <w:rsid w:val="00EC0737"/>
    <w:rsid w:val="00EC0AEF"/>
    <w:rsid w:val="00EC12F2"/>
    <w:rsid w:val="00EC2390"/>
    <w:rsid w:val="00EC3460"/>
    <w:rsid w:val="00EC376C"/>
    <w:rsid w:val="00EC5F7D"/>
    <w:rsid w:val="00ED0E07"/>
    <w:rsid w:val="00ED215E"/>
    <w:rsid w:val="00ED235B"/>
    <w:rsid w:val="00ED2421"/>
    <w:rsid w:val="00ED2806"/>
    <w:rsid w:val="00ED5AA3"/>
    <w:rsid w:val="00ED6C91"/>
    <w:rsid w:val="00EE1566"/>
    <w:rsid w:val="00EE1F07"/>
    <w:rsid w:val="00EE21A4"/>
    <w:rsid w:val="00EE35AD"/>
    <w:rsid w:val="00EE38B0"/>
    <w:rsid w:val="00EE5104"/>
    <w:rsid w:val="00EE6986"/>
    <w:rsid w:val="00EF2A08"/>
    <w:rsid w:val="00EF436D"/>
    <w:rsid w:val="00EF7174"/>
    <w:rsid w:val="00EF7A73"/>
    <w:rsid w:val="00F02126"/>
    <w:rsid w:val="00F04E17"/>
    <w:rsid w:val="00F056B4"/>
    <w:rsid w:val="00F110E6"/>
    <w:rsid w:val="00F118B5"/>
    <w:rsid w:val="00F11CB9"/>
    <w:rsid w:val="00F11E2F"/>
    <w:rsid w:val="00F15AEC"/>
    <w:rsid w:val="00F15B8E"/>
    <w:rsid w:val="00F16597"/>
    <w:rsid w:val="00F22CA8"/>
    <w:rsid w:val="00F23460"/>
    <w:rsid w:val="00F23553"/>
    <w:rsid w:val="00F238BE"/>
    <w:rsid w:val="00F245EC"/>
    <w:rsid w:val="00F25FD9"/>
    <w:rsid w:val="00F26B64"/>
    <w:rsid w:val="00F27FF7"/>
    <w:rsid w:val="00F30B28"/>
    <w:rsid w:val="00F31F1A"/>
    <w:rsid w:val="00F32094"/>
    <w:rsid w:val="00F34374"/>
    <w:rsid w:val="00F35A9F"/>
    <w:rsid w:val="00F365BF"/>
    <w:rsid w:val="00F372D0"/>
    <w:rsid w:val="00F404F4"/>
    <w:rsid w:val="00F40EBD"/>
    <w:rsid w:val="00F43436"/>
    <w:rsid w:val="00F4524A"/>
    <w:rsid w:val="00F457B9"/>
    <w:rsid w:val="00F51C6F"/>
    <w:rsid w:val="00F531E4"/>
    <w:rsid w:val="00F55CA3"/>
    <w:rsid w:val="00F56E1C"/>
    <w:rsid w:val="00F60024"/>
    <w:rsid w:val="00F613C2"/>
    <w:rsid w:val="00F638EF"/>
    <w:rsid w:val="00F63FAC"/>
    <w:rsid w:val="00F71C3E"/>
    <w:rsid w:val="00F71D19"/>
    <w:rsid w:val="00F7259A"/>
    <w:rsid w:val="00F73BB6"/>
    <w:rsid w:val="00F74626"/>
    <w:rsid w:val="00F83175"/>
    <w:rsid w:val="00F86B16"/>
    <w:rsid w:val="00F911B9"/>
    <w:rsid w:val="00F91776"/>
    <w:rsid w:val="00F92F45"/>
    <w:rsid w:val="00F94FAB"/>
    <w:rsid w:val="00F9586A"/>
    <w:rsid w:val="00FA0B82"/>
    <w:rsid w:val="00FA45A5"/>
    <w:rsid w:val="00FA5273"/>
    <w:rsid w:val="00FA5A57"/>
    <w:rsid w:val="00FB07F0"/>
    <w:rsid w:val="00FB0E55"/>
    <w:rsid w:val="00FB362B"/>
    <w:rsid w:val="00FB4450"/>
    <w:rsid w:val="00FC10E6"/>
    <w:rsid w:val="00FC40A5"/>
    <w:rsid w:val="00FC5B34"/>
    <w:rsid w:val="00FC6E6A"/>
    <w:rsid w:val="00FC6F3A"/>
    <w:rsid w:val="00FC784A"/>
    <w:rsid w:val="00FC7956"/>
    <w:rsid w:val="00FD2157"/>
    <w:rsid w:val="00FD3269"/>
    <w:rsid w:val="00FD3499"/>
    <w:rsid w:val="00FD354B"/>
    <w:rsid w:val="00FD4098"/>
    <w:rsid w:val="00FD493D"/>
    <w:rsid w:val="00FD5976"/>
    <w:rsid w:val="00FD7B5F"/>
    <w:rsid w:val="00FE28B0"/>
    <w:rsid w:val="00FE2BBB"/>
    <w:rsid w:val="00FE3856"/>
    <w:rsid w:val="00FE43B1"/>
    <w:rsid w:val="00FF19DF"/>
    <w:rsid w:val="00FF249A"/>
    <w:rsid w:val="00FF734A"/>
    <w:rsid w:val="00FF763C"/>
    <w:rsid w:val="00FF7AC1"/>
    <w:rsid w:val="00FF7C3A"/>
    <w:rsid w:val="02067AAA"/>
    <w:rsid w:val="022005B7"/>
    <w:rsid w:val="02C51581"/>
    <w:rsid w:val="02CA29D0"/>
    <w:rsid w:val="02CD26DC"/>
    <w:rsid w:val="02D736F0"/>
    <w:rsid w:val="03240E3D"/>
    <w:rsid w:val="032427F6"/>
    <w:rsid w:val="03D03AD2"/>
    <w:rsid w:val="042016BC"/>
    <w:rsid w:val="04710B0E"/>
    <w:rsid w:val="05523B3A"/>
    <w:rsid w:val="05DD5640"/>
    <w:rsid w:val="064E7CBE"/>
    <w:rsid w:val="06B93DC2"/>
    <w:rsid w:val="06C27464"/>
    <w:rsid w:val="076E1117"/>
    <w:rsid w:val="07AA7D6F"/>
    <w:rsid w:val="084A720A"/>
    <w:rsid w:val="085C7B8E"/>
    <w:rsid w:val="0A5E0122"/>
    <w:rsid w:val="0A937AB6"/>
    <w:rsid w:val="0AD811D3"/>
    <w:rsid w:val="0AE06DA2"/>
    <w:rsid w:val="0AF82018"/>
    <w:rsid w:val="0AFF0D53"/>
    <w:rsid w:val="0B010552"/>
    <w:rsid w:val="0B2240D8"/>
    <w:rsid w:val="0B4F151B"/>
    <w:rsid w:val="0B5261BF"/>
    <w:rsid w:val="0B9E6B8E"/>
    <w:rsid w:val="0BC008D0"/>
    <w:rsid w:val="0C696B19"/>
    <w:rsid w:val="0D03320D"/>
    <w:rsid w:val="0D907FE1"/>
    <w:rsid w:val="0DA0285C"/>
    <w:rsid w:val="0DEE490E"/>
    <w:rsid w:val="0E0F5DE7"/>
    <w:rsid w:val="0E306892"/>
    <w:rsid w:val="0ECD025C"/>
    <w:rsid w:val="0F3D6385"/>
    <w:rsid w:val="0F7A482A"/>
    <w:rsid w:val="0FF95578"/>
    <w:rsid w:val="109B7975"/>
    <w:rsid w:val="10A21C3D"/>
    <w:rsid w:val="10ED12CB"/>
    <w:rsid w:val="11921259"/>
    <w:rsid w:val="11954E1B"/>
    <w:rsid w:val="12430122"/>
    <w:rsid w:val="13954B7D"/>
    <w:rsid w:val="14247586"/>
    <w:rsid w:val="1458651A"/>
    <w:rsid w:val="150C715F"/>
    <w:rsid w:val="151F0B49"/>
    <w:rsid w:val="154B28F1"/>
    <w:rsid w:val="158A4017"/>
    <w:rsid w:val="16521D72"/>
    <w:rsid w:val="165F4C0F"/>
    <w:rsid w:val="17097690"/>
    <w:rsid w:val="17421CE2"/>
    <w:rsid w:val="175910CD"/>
    <w:rsid w:val="17A57189"/>
    <w:rsid w:val="17CF64B3"/>
    <w:rsid w:val="189B03A3"/>
    <w:rsid w:val="18AD5840"/>
    <w:rsid w:val="18B10A26"/>
    <w:rsid w:val="18D62F3E"/>
    <w:rsid w:val="19D21766"/>
    <w:rsid w:val="1A2E433B"/>
    <w:rsid w:val="1AAB1497"/>
    <w:rsid w:val="1AD31E25"/>
    <w:rsid w:val="1B342CD1"/>
    <w:rsid w:val="1B5A3F23"/>
    <w:rsid w:val="1B622F2C"/>
    <w:rsid w:val="1B697CE4"/>
    <w:rsid w:val="1B780493"/>
    <w:rsid w:val="1C8F6EA9"/>
    <w:rsid w:val="1C9A6729"/>
    <w:rsid w:val="1CAF1CB0"/>
    <w:rsid w:val="1CE83FEE"/>
    <w:rsid w:val="1D4E2BEC"/>
    <w:rsid w:val="1D8E48EC"/>
    <w:rsid w:val="1E0D4C37"/>
    <w:rsid w:val="1E53446D"/>
    <w:rsid w:val="1ECF6091"/>
    <w:rsid w:val="1F4333BD"/>
    <w:rsid w:val="1FE8224D"/>
    <w:rsid w:val="204755A4"/>
    <w:rsid w:val="20E03F9F"/>
    <w:rsid w:val="210D7332"/>
    <w:rsid w:val="21396B2C"/>
    <w:rsid w:val="2153068A"/>
    <w:rsid w:val="2174179E"/>
    <w:rsid w:val="21823D3D"/>
    <w:rsid w:val="21DC3B29"/>
    <w:rsid w:val="21F738F1"/>
    <w:rsid w:val="22917564"/>
    <w:rsid w:val="22B9390D"/>
    <w:rsid w:val="235C31C9"/>
    <w:rsid w:val="24597374"/>
    <w:rsid w:val="251067E6"/>
    <w:rsid w:val="25454264"/>
    <w:rsid w:val="255139F9"/>
    <w:rsid w:val="264371E8"/>
    <w:rsid w:val="26A72F94"/>
    <w:rsid w:val="26D945EE"/>
    <w:rsid w:val="27063DC7"/>
    <w:rsid w:val="271E3EDB"/>
    <w:rsid w:val="2760489B"/>
    <w:rsid w:val="28E56DA2"/>
    <w:rsid w:val="29263C31"/>
    <w:rsid w:val="29913C94"/>
    <w:rsid w:val="29CC0E90"/>
    <w:rsid w:val="2A3D7557"/>
    <w:rsid w:val="2AA7539F"/>
    <w:rsid w:val="2AAC1A13"/>
    <w:rsid w:val="2ACF5213"/>
    <w:rsid w:val="2AD37368"/>
    <w:rsid w:val="2B281AC1"/>
    <w:rsid w:val="2B860FAC"/>
    <w:rsid w:val="2BBD106E"/>
    <w:rsid w:val="2BCA4274"/>
    <w:rsid w:val="2C2225B8"/>
    <w:rsid w:val="2C301127"/>
    <w:rsid w:val="2CC44331"/>
    <w:rsid w:val="2CE4519B"/>
    <w:rsid w:val="2DF61564"/>
    <w:rsid w:val="2E553FA2"/>
    <w:rsid w:val="2E564490"/>
    <w:rsid w:val="2E7474E1"/>
    <w:rsid w:val="2ED23E10"/>
    <w:rsid w:val="2EEA3BAB"/>
    <w:rsid w:val="2F463433"/>
    <w:rsid w:val="2F8908EC"/>
    <w:rsid w:val="2F9366DB"/>
    <w:rsid w:val="2FB332B5"/>
    <w:rsid w:val="30E63362"/>
    <w:rsid w:val="30ED732F"/>
    <w:rsid w:val="31072C43"/>
    <w:rsid w:val="31446AD6"/>
    <w:rsid w:val="31CB2E01"/>
    <w:rsid w:val="32157936"/>
    <w:rsid w:val="322246AB"/>
    <w:rsid w:val="32566097"/>
    <w:rsid w:val="326075D3"/>
    <w:rsid w:val="329F49E5"/>
    <w:rsid w:val="3334033E"/>
    <w:rsid w:val="33F94D78"/>
    <w:rsid w:val="34572C42"/>
    <w:rsid w:val="356430F4"/>
    <w:rsid w:val="35721092"/>
    <w:rsid w:val="35D76101"/>
    <w:rsid w:val="35E82A37"/>
    <w:rsid w:val="367C47C1"/>
    <w:rsid w:val="36BD47EA"/>
    <w:rsid w:val="37272418"/>
    <w:rsid w:val="38053153"/>
    <w:rsid w:val="38BD7D60"/>
    <w:rsid w:val="38F66440"/>
    <w:rsid w:val="398F01B6"/>
    <w:rsid w:val="39CF488E"/>
    <w:rsid w:val="39DF05FD"/>
    <w:rsid w:val="3A2A4010"/>
    <w:rsid w:val="3A762004"/>
    <w:rsid w:val="3AD72D93"/>
    <w:rsid w:val="3ADA65F8"/>
    <w:rsid w:val="3B110333"/>
    <w:rsid w:val="3B650487"/>
    <w:rsid w:val="3B98237D"/>
    <w:rsid w:val="3BDD2C56"/>
    <w:rsid w:val="3C0E1AF3"/>
    <w:rsid w:val="3C2B2403"/>
    <w:rsid w:val="3D0018B8"/>
    <w:rsid w:val="3E3C3272"/>
    <w:rsid w:val="3E864780"/>
    <w:rsid w:val="3E881326"/>
    <w:rsid w:val="3E8A7F1D"/>
    <w:rsid w:val="3E954DFA"/>
    <w:rsid w:val="3E9D3EF8"/>
    <w:rsid w:val="3F451AC4"/>
    <w:rsid w:val="405D64E1"/>
    <w:rsid w:val="40774630"/>
    <w:rsid w:val="415E0CFF"/>
    <w:rsid w:val="41C43F65"/>
    <w:rsid w:val="41DE60C0"/>
    <w:rsid w:val="43194D6F"/>
    <w:rsid w:val="439944EE"/>
    <w:rsid w:val="43BD58FC"/>
    <w:rsid w:val="443500E6"/>
    <w:rsid w:val="45801239"/>
    <w:rsid w:val="45C56678"/>
    <w:rsid w:val="464121ED"/>
    <w:rsid w:val="46855160"/>
    <w:rsid w:val="47451B46"/>
    <w:rsid w:val="475D47DC"/>
    <w:rsid w:val="48027344"/>
    <w:rsid w:val="48256DBA"/>
    <w:rsid w:val="486F062D"/>
    <w:rsid w:val="48AD304D"/>
    <w:rsid w:val="48B00654"/>
    <w:rsid w:val="4A1E4BD8"/>
    <w:rsid w:val="4A7B64D0"/>
    <w:rsid w:val="4A89015D"/>
    <w:rsid w:val="4AFE016D"/>
    <w:rsid w:val="4B5E5826"/>
    <w:rsid w:val="4B636563"/>
    <w:rsid w:val="4BE43471"/>
    <w:rsid w:val="4C0676C6"/>
    <w:rsid w:val="4C28735A"/>
    <w:rsid w:val="4CE25A6C"/>
    <w:rsid w:val="4CFA04B7"/>
    <w:rsid w:val="4D8564A2"/>
    <w:rsid w:val="4E6E4EBC"/>
    <w:rsid w:val="4EE971A4"/>
    <w:rsid w:val="4EEA75A5"/>
    <w:rsid w:val="50070117"/>
    <w:rsid w:val="50CB1EC1"/>
    <w:rsid w:val="513F759F"/>
    <w:rsid w:val="51646A20"/>
    <w:rsid w:val="516B550C"/>
    <w:rsid w:val="51700F03"/>
    <w:rsid w:val="517936B2"/>
    <w:rsid w:val="517D4979"/>
    <w:rsid w:val="51C66CB9"/>
    <w:rsid w:val="52536AE2"/>
    <w:rsid w:val="52652267"/>
    <w:rsid w:val="52C25B96"/>
    <w:rsid w:val="5311799E"/>
    <w:rsid w:val="5369240A"/>
    <w:rsid w:val="53D8255E"/>
    <w:rsid w:val="544874E6"/>
    <w:rsid w:val="550215ED"/>
    <w:rsid w:val="55301A66"/>
    <w:rsid w:val="55FB1158"/>
    <w:rsid w:val="563F1A7E"/>
    <w:rsid w:val="56483AAE"/>
    <w:rsid w:val="56EE544E"/>
    <w:rsid w:val="57D62DAB"/>
    <w:rsid w:val="57F77761"/>
    <w:rsid w:val="57FE2BA5"/>
    <w:rsid w:val="587F47D8"/>
    <w:rsid w:val="58F0319B"/>
    <w:rsid w:val="5962503F"/>
    <w:rsid w:val="598B2527"/>
    <w:rsid w:val="59AB0D56"/>
    <w:rsid w:val="59E72A48"/>
    <w:rsid w:val="5AB9552C"/>
    <w:rsid w:val="5ABF020C"/>
    <w:rsid w:val="5B024D1F"/>
    <w:rsid w:val="5B37317D"/>
    <w:rsid w:val="5C024561"/>
    <w:rsid w:val="5C28595A"/>
    <w:rsid w:val="5C532345"/>
    <w:rsid w:val="5C7F15CD"/>
    <w:rsid w:val="5CAA7B20"/>
    <w:rsid w:val="5CAB1E95"/>
    <w:rsid w:val="5CE21924"/>
    <w:rsid w:val="5D172CDB"/>
    <w:rsid w:val="5DDB48F9"/>
    <w:rsid w:val="5E6743BE"/>
    <w:rsid w:val="5EAC5129"/>
    <w:rsid w:val="5ECC444B"/>
    <w:rsid w:val="5F02618A"/>
    <w:rsid w:val="5F561C22"/>
    <w:rsid w:val="5F710B7A"/>
    <w:rsid w:val="5F9D77F7"/>
    <w:rsid w:val="5FB72215"/>
    <w:rsid w:val="5FC71A16"/>
    <w:rsid w:val="5FC85CDF"/>
    <w:rsid w:val="602D2D39"/>
    <w:rsid w:val="604554F7"/>
    <w:rsid w:val="60DD4B66"/>
    <w:rsid w:val="61F96CE3"/>
    <w:rsid w:val="621F0A8D"/>
    <w:rsid w:val="62B262FA"/>
    <w:rsid w:val="62DB6171"/>
    <w:rsid w:val="639714E4"/>
    <w:rsid w:val="63E945ED"/>
    <w:rsid w:val="642127C3"/>
    <w:rsid w:val="64C55B84"/>
    <w:rsid w:val="64CF1A26"/>
    <w:rsid w:val="650E5D2E"/>
    <w:rsid w:val="65914BE8"/>
    <w:rsid w:val="65CD51F6"/>
    <w:rsid w:val="660331DC"/>
    <w:rsid w:val="664737C9"/>
    <w:rsid w:val="66A41056"/>
    <w:rsid w:val="66CE36A6"/>
    <w:rsid w:val="66D36711"/>
    <w:rsid w:val="67AD68D5"/>
    <w:rsid w:val="67D73EC7"/>
    <w:rsid w:val="67EC7CBB"/>
    <w:rsid w:val="680E5B70"/>
    <w:rsid w:val="683E424C"/>
    <w:rsid w:val="68EB3305"/>
    <w:rsid w:val="6A011477"/>
    <w:rsid w:val="6B253B96"/>
    <w:rsid w:val="6B9409DA"/>
    <w:rsid w:val="6BAC4B71"/>
    <w:rsid w:val="6BAE7572"/>
    <w:rsid w:val="6BBE3EFA"/>
    <w:rsid w:val="6BBE5503"/>
    <w:rsid w:val="6BCF286A"/>
    <w:rsid w:val="6BEA3920"/>
    <w:rsid w:val="6D1E0C8B"/>
    <w:rsid w:val="6D80432D"/>
    <w:rsid w:val="6E071FA1"/>
    <w:rsid w:val="6E3B268C"/>
    <w:rsid w:val="6E504FCA"/>
    <w:rsid w:val="6EF270D2"/>
    <w:rsid w:val="6F0D21B3"/>
    <w:rsid w:val="6F990C02"/>
    <w:rsid w:val="6FAB2782"/>
    <w:rsid w:val="6FDB2966"/>
    <w:rsid w:val="700A75CC"/>
    <w:rsid w:val="704B4E40"/>
    <w:rsid w:val="7067619A"/>
    <w:rsid w:val="7167689A"/>
    <w:rsid w:val="722532ED"/>
    <w:rsid w:val="72E9493E"/>
    <w:rsid w:val="72F65B8A"/>
    <w:rsid w:val="73013875"/>
    <w:rsid w:val="73D37A6C"/>
    <w:rsid w:val="74371510"/>
    <w:rsid w:val="750A06F1"/>
    <w:rsid w:val="755F3BE0"/>
    <w:rsid w:val="75DE6039"/>
    <w:rsid w:val="76551957"/>
    <w:rsid w:val="7691356D"/>
    <w:rsid w:val="77DC2715"/>
    <w:rsid w:val="7828606B"/>
    <w:rsid w:val="796E17D8"/>
    <w:rsid w:val="7B4644F5"/>
    <w:rsid w:val="7C211684"/>
    <w:rsid w:val="7CEB6CBB"/>
    <w:rsid w:val="7D133BC7"/>
    <w:rsid w:val="7D3B391D"/>
    <w:rsid w:val="7D6574B8"/>
    <w:rsid w:val="7D67280F"/>
    <w:rsid w:val="7D7624AE"/>
    <w:rsid w:val="7DB73D55"/>
    <w:rsid w:val="7DCB47F9"/>
    <w:rsid w:val="7EB852BA"/>
    <w:rsid w:val="7EDE1350"/>
    <w:rsid w:val="7F2E305E"/>
    <w:rsid w:val="7F8F0647"/>
    <w:rsid w:val="7FA1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6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link w:val="80"/>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link w:val="60"/>
    <w:qFormat/>
    <w:uiPriority w:val="0"/>
    <w:pPr>
      <w:keepNext/>
      <w:keepLines/>
      <w:spacing w:before="280" w:after="290" w:line="372" w:lineRule="auto"/>
      <w:outlineLvl w:val="3"/>
    </w:pPr>
    <w:rPr>
      <w:rFonts w:ascii="Arial" w:hAnsi="Arial" w:eastAsia="黑体"/>
      <w:b/>
      <w:sz w:val="24"/>
      <w:szCs w:val="20"/>
    </w:rPr>
  </w:style>
  <w:style w:type="paragraph" w:styleId="8">
    <w:name w:val="heading 5"/>
    <w:basedOn w:val="1"/>
    <w:next w:val="5"/>
    <w:link w:val="75"/>
    <w:qFormat/>
    <w:uiPriority w:val="0"/>
    <w:pPr>
      <w:keepNext/>
      <w:keepLines/>
      <w:tabs>
        <w:tab w:val="left" w:pos="2640"/>
      </w:tabs>
      <w:spacing w:before="280" w:after="290" w:line="372" w:lineRule="auto"/>
      <w:ind w:left="2640" w:hanging="420"/>
      <w:outlineLvl w:val="4"/>
    </w:pPr>
    <w:rPr>
      <w:b/>
      <w:sz w:val="28"/>
    </w:rPr>
  </w:style>
  <w:style w:type="paragraph" w:styleId="9">
    <w:name w:val="heading 6"/>
    <w:basedOn w:val="1"/>
    <w:next w:val="5"/>
    <w:link w:val="54"/>
    <w:qFormat/>
    <w:uiPriority w:val="0"/>
    <w:pPr>
      <w:keepNext/>
      <w:keepLines/>
      <w:tabs>
        <w:tab w:val="left" w:pos="3060"/>
      </w:tabs>
      <w:spacing w:before="240" w:after="64" w:line="317" w:lineRule="auto"/>
      <w:ind w:left="3060" w:hanging="420"/>
      <w:outlineLvl w:val="5"/>
    </w:pPr>
    <w:rPr>
      <w:rFonts w:ascii="Arial" w:hAnsi="Arial" w:eastAsia="黑体"/>
      <w:b/>
      <w:sz w:val="24"/>
    </w:rPr>
  </w:style>
  <w:style w:type="paragraph" w:styleId="10">
    <w:name w:val="heading 7"/>
    <w:basedOn w:val="1"/>
    <w:next w:val="5"/>
    <w:link w:val="58"/>
    <w:qFormat/>
    <w:uiPriority w:val="0"/>
    <w:pPr>
      <w:keepNext/>
      <w:keepLines/>
      <w:tabs>
        <w:tab w:val="left" w:pos="3480"/>
      </w:tabs>
      <w:spacing w:before="240" w:after="64" w:line="317" w:lineRule="auto"/>
      <w:ind w:left="3480" w:hanging="420"/>
      <w:outlineLvl w:val="6"/>
    </w:pPr>
    <w:rPr>
      <w:b/>
      <w:sz w:val="24"/>
    </w:rPr>
  </w:style>
  <w:style w:type="paragraph" w:styleId="11">
    <w:name w:val="heading 8"/>
    <w:basedOn w:val="1"/>
    <w:next w:val="5"/>
    <w:link w:val="83"/>
    <w:qFormat/>
    <w:uiPriority w:val="0"/>
    <w:pPr>
      <w:keepNext/>
      <w:keepLines/>
      <w:tabs>
        <w:tab w:val="left" w:pos="3900"/>
      </w:tabs>
      <w:spacing w:before="240" w:after="64" w:line="317" w:lineRule="auto"/>
      <w:ind w:left="3900" w:hanging="420"/>
      <w:outlineLvl w:val="7"/>
    </w:pPr>
    <w:rPr>
      <w:rFonts w:ascii="Arial" w:hAnsi="Arial" w:eastAsia="黑体"/>
      <w:sz w:val="24"/>
    </w:rPr>
  </w:style>
  <w:style w:type="paragraph" w:styleId="12">
    <w:name w:val="heading 9"/>
    <w:basedOn w:val="1"/>
    <w:next w:val="5"/>
    <w:link w:val="69"/>
    <w:qFormat/>
    <w:uiPriority w:val="0"/>
    <w:pPr>
      <w:keepNext/>
      <w:keepLines/>
      <w:tabs>
        <w:tab w:val="left" w:pos="4320"/>
      </w:tabs>
      <w:spacing w:before="240" w:after="64" w:line="317" w:lineRule="auto"/>
      <w:ind w:left="4320" w:hanging="420"/>
      <w:outlineLvl w:val="8"/>
    </w:pPr>
    <w:rPr>
      <w:rFonts w:ascii="Arial" w:hAnsi="Arial" w:eastAsia="黑体"/>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5">
    <w:name w:val="Normal Indent"/>
    <w:basedOn w:val="1"/>
    <w:link w:val="64"/>
    <w:qFormat/>
    <w:uiPriority w:val="0"/>
    <w:pPr>
      <w:autoSpaceDE w:val="0"/>
      <w:autoSpaceDN w:val="0"/>
      <w:adjustRightInd w:val="0"/>
      <w:ind w:firstLine="420"/>
      <w:jc w:val="left"/>
    </w:pPr>
    <w:rPr>
      <w:rFonts w:ascii="宋体"/>
      <w:kern w:val="0"/>
      <w:sz w:val="24"/>
      <w:szCs w:val="20"/>
    </w:rPr>
  </w:style>
  <w:style w:type="paragraph" w:styleId="13">
    <w:name w:val="toc 7"/>
    <w:basedOn w:val="1"/>
    <w:next w:val="1"/>
    <w:qFormat/>
    <w:uiPriority w:val="0"/>
    <w:pPr>
      <w:ind w:left="2520" w:leftChars="1200"/>
    </w:pPr>
  </w:style>
  <w:style w:type="paragraph" w:styleId="14">
    <w:name w:val="Document Map"/>
    <w:basedOn w:val="1"/>
    <w:link w:val="74"/>
    <w:qFormat/>
    <w:uiPriority w:val="0"/>
    <w:pPr>
      <w:shd w:val="clear" w:color="auto" w:fill="000080"/>
    </w:pPr>
    <w:rPr>
      <w:shd w:val="clear" w:color="auto" w:fill="000080"/>
    </w:rPr>
  </w:style>
  <w:style w:type="paragraph" w:styleId="15">
    <w:name w:val="annotation text"/>
    <w:basedOn w:val="1"/>
    <w:link w:val="72"/>
    <w:qFormat/>
    <w:uiPriority w:val="99"/>
    <w:pPr>
      <w:jc w:val="left"/>
    </w:pPr>
  </w:style>
  <w:style w:type="paragraph" w:styleId="16">
    <w:name w:val="List Bullet 3"/>
    <w:basedOn w:val="1"/>
    <w:semiHidden/>
    <w:unhideWhenUsed/>
    <w:qFormat/>
    <w:uiPriority w:val="0"/>
    <w:pPr>
      <w:numPr>
        <w:ilvl w:val="0"/>
        <w:numId w:val="1"/>
      </w:numPr>
    </w:pPr>
  </w:style>
  <w:style w:type="paragraph" w:styleId="17">
    <w:name w:val="Body Text"/>
    <w:basedOn w:val="1"/>
    <w:link w:val="79"/>
    <w:qFormat/>
    <w:uiPriority w:val="0"/>
    <w:pPr>
      <w:tabs>
        <w:tab w:val="left" w:pos="567"/>
      </w:tabs>
      <w:spacing w:before="120" w:line="22" w:lineRule="atLeast"/>
    </w:pPr>
    <w:rPr>
      <w:rFonts w:ascii="宋体" w:hAnsi="宋体"/>
      <w:sz w:val="24"/>
    </w:rPr>
  </w:style>
  <w:style w:type="paragraph" w:styleId="18">
    <w:name w:val="Body Text Indent"/>
    <w:basedOn w:val="1"/>
    <w:qFormat/>
    <w:uiPriority w:val="0"/>
    <w:pPr>
      <w:spacing w:line="360" w:lineRule="auto"/>
      <w:ind w:firstLine="570"/>
    </w:pPr>
    <w:rPr>
      <w:sz w:val="24"/>
    </w:rPr>
  </w:style>
  <w:style w:type="paragraph" w:styleId="19">
    <w:name w:val="Block Text"/>
    <w:basedOn w:val="1"/>
    <w:qFormat/>
    <w:uiPriority w:val="0"/>
    <w:pPr>
      <w:spacing w:after="120"/>
      <w:ind w:left="1440" w:leftChars="700" w:right="1440" w:rightChars="700"/>
    </w:pPr>
    <w:rPr>
      <w:rFonts w:ascii="Calibri" w:hAnsi="Calibri"/>
      <w:szCs w:val="22"/>
    </w:rPr>
  </w:style>
  <w:style w:type="paragraph" w:styleId="20">
    <w:name w:val="toc 5"/>
    <w:basedOn w:val="1"/>
    <w:next w:val="1"/>
    <w:qFormat/>
    <w:uiPriority w:val="0"/>
    <w:pPr>
      <w:ind w:left="1680" w:leftChars="800"/>
    </w:pPr>
  </w:style>
  <w:style w:type="paragraph" w:styleId="21">
    <w:name w:val="toc 3"/>
    <w:basedOn w:val="1"/>
    <w:next w:val="1"/>
    <w:qFormat/>
    <w:uiPriority w:val="39"/>
    <w:pPr>
      <w:tabs>
        <w:tab w:val="left" w:pos="1680"/>
        <w:tab w:val="right" w:leader="dot" w:pos="8630"/>
      </w:tabs>
      <w:ind w:left="840" w:leftChars="400"/>
    </w:pPr>
  </w:style>
  <w:style w:type="paragraph" w:styleId="22">
    <w:name w:val="Plain Text"/>
    <w:basedOn w:val="1"/>
    <w:link w:val="81"/>
    <w:qFormat/>
    <w:uiPriority w:val="0"/>
    <w:rPr>
      <w:rFonts w:ascii="宋体" w:hAnsi="Courier New"/>
      <w:szCs w:val="20"/>
    </w:rPr>
  </w:style>
  <w:style w:type="paragraph" w:styleId="23">
    <w:name w:val="toc 8"/>
    <w:basedOn w:val="1"/>
    <w:next w:val="1"/>
    <w:qFormat/>
    <w:uiPriority w:val="0"/>
    <w:pPr>
      <w:ind w:left="2940" w:leftChars="1400"/>
    </w:pPr>
  </w:style>
  <w:style w:type="paragraph" w:styleId="24">
    <w:name w:val="Date"/>
    <w:basedOn w:val="1"/>
    <w:next w:val="1"/>
    <w:link w:val="61"/>
    <w:qFormat/>
    <w:uiPriority w:val="0"/>
    <w:pPr>
      <w:ind w:left="100" w:leftChars="2500"/>
    </w:pPr>
    <w:rPr>
      <w:rFonts w:ascii="仿宋_GB2312" w:hAnsi="宋体" w:eastAsia="仿宋_GB2312"/>
      <w:color w:val="000000"/>
      <w:sz w:val="24"/>
    </w:rPr>
  </w:style>
  <w:style w:type="paragraph" w:styleId="25">
    <w:name w:val="Body Text Indent 2"/>
    <w:basedOn w:val="1"/>
    <w:link w:val="66"/>
    <w:qFormat/>
    <w:uiPriority w:val="0"/>
    <w:pPr>
      <w:ind w:firstLine="480" w:firstLineChars="200"/>
    </w:pPr>
    <w:rPr>
      <w:rFonts w:ascii="仿宋_GB2312" w:eastAsia="仿宋_GB2312"/>
      <w:sz w:val="24"/>
    </w:rPr>
  </w:style>
  <w:style w:type="paragraph" w:styleId="26">
    <w:name w:val="Balloon Text"/>
    <w:basedOn w:val="1"/>
    <w:link w:val="68"/>
    <w:qFormat/>
    <w:uiPriority w:val="0"/>
    <w:rPr>
      <w:sz w:val="18"/>
      <w:szCs w:val="18"/>
    </w:rPr>
  </w:style>
  <w:style w:type="paragraph" w:styleId="27">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Signature"/>
    <w:basedOn w:val="1"/>
    <w:link w:val="63"/>
    <w:qFormat/>
    <w:uiPriority w:val="0"/>
    <w:pPr>
      <w:ind w:left="4320"/>
    </w:pPr>
    <w:rPr>
      <w:rFonts w:eastAsia="楷体_GB2312"/>
      <w:szCs w:val="20"/>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index heading"/>
    <w:basedOn w:val="1"/>
    <w:next w:val="33"/>
    <w:qFormat/>
    <w:uiPriority w:val="0"/>
    <w:pPr>
      <w:spacing w:line="360" w:lineRule="auto"/>
      <w:ind w:firstLine="482"/>
    </w:pPr>
    <w:rPr>
      <w:rFonts w:ascii="Footlight MT Light" w:hAnsi="Footlight MT Light"/>
      <w:sz w:val="24"/>
      <w:szCs w:val="20"/>
    </w:rPr>
  </w:style>
  <w:style w:type="paragraph" w:styleId="33">
    <w:name w:val="index 1"/>
    <w:basedOn w:val="1"/>
    <w:next w:val="1"/>
    <w:qFormat/>
    <w:uiPriority w:val="0"/>
    <w:rPr>
      <w:szCs w:val="20"/>
    </w:rPr>
  </w:style>
  <w:style w:type="paragraph" w:styleId="34">
    <w:name w:val="toc 6"/>
    <w:basedOn w:val="1"/>
    <w:next w:val="1"/>
    <w:qFormat/>
    <w:uiPriority w:val="0"/>
    <w:pPr>
      <w:ind w:left="2100" w:leftChars="1000"/>
    </w:pPr>
  </w:style>
  <w:style w:type="paragraph" w:styleId="35">
    <w:name w:val="Body Text Indent 3"/>
    <w:basedOn w:val="1"/>
    <w:link w:val="7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6">
    <w:name w:val="toc 2"/>
    <w:basedOn w:val="1"/>
    <w:next w:val="1"/>
    <w:qFormat/>
    <w:uiPriority w:val="39"/>
    <w:pPr>
      <w:ind w:left="420" w:leftChars="200"/>
    </w:pPr>
  </w:style>
  <w:style w:type="paragraph" w:styleId="37">
    <w:name w:val="toc 9"/>
    <w:basedOn w:val="1"/>
    <w:next w:val="1"/>
    <w:qFormat/>
    <w:uiPriority w:val="0"/>
    <w:pPr>
      <w:ind w:left="3360" w:leftChars="1600"/>
    </w:pPr>
  </w:style>
  <w:style w:type="paragraph" w:styleId="38">
    <w:name w:val="Body Text 2"/>
    <w:basedOn w:val="1"/>
    <w:link w:val="52"/>
    <w:qFormat/>
    <w:uiPriority w:val="0"/>
    <w:rPr>
      <w:sz w:val="28"/>
      <w:szCs w:val="20"/>
    </w:rPr>
  </w:style>
  <w:style w:type="paragraph" w:styleId="39">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Title"/>
    <w:basedOn w:val="1"/>
    <w:link w:val="78"/>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42">
    <w:name w:val="annotation subject"/>
    <w:basedOn w:val="15"/>
    <w:next w:val="15"/>
    <w:link w:val="67"/>
    <w:qFormat/>
    <w:uiPriority w:val="0"/>
    <w:rPr>
      <w:b/>
      <w:bCs/>
    </w:rPr>
  </w:style>
  <w:style w:type="paragraph" w:styleId="43">
    <w:name w:val="Body Text First Indent"/>
    <w:basedOn w:val="17"/>
    <w:link w:val="57"/>
    <w:qFormat/>
    <w:uiPriority w:val="0"/>
    <w:pPr>
      <w:spacing w:before="0" w:after="120" w:line="240" w:lineRule="auto"/>
      <w:ind w:firstLine="420"/>
    </w:pPr>
    <w:rPr>
      <w:rFonts w:ascii="Times New Roman" w:hAnsi="Times New Roman"/>
      <w:sz w:val="21"/>
      <w:szCs w:val="20"/>
    </w:rPr>
  </w:style>
  <w:style w:type="table" w:styleId="45">
    <w:name w:val="Table Grid"/>
    <w:basedOn w:val="4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basedOn w:val="46"/>
    <w:qFormat/>
    <w:uiPriority w:val="0"/>
    <w:rPr>
      <w:b/>
    </w:rPr>
  </w:style>
  <w:style w:type="character" w:styleId="48">
    <w:name w:val="page number"/>
    <w:basedOn w:val="46"/>
    <w:qFormat/>
    <w:uiPriority w:val="0"/>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customStyle="1" w:styleId="52">
    <w:name w:val="正文文本 2 Char"/>
    <w:link w:val="38"/>
    <w:qFormat/>
    <w:uiPriority w:val="0"/>
    <w:rPr>
      <w:kern w:val="2"/>
      <w:sz w:val="28"/>
      <w:lang w:bidi="ar-SA"/>
    </w:rPr>
  </w:style>
  <w:style w:type="character" w:customStyle="1" w:styleId="53">
    <w:name w:val="标题 1 Char"/>
    <w:link w:val="3"/>
    <w:qFormat/>
    <w:uiPriority w:val="0"/>
    <w:rPr>
      <w:rFonts w:ascii="宋体" w:eastAsia="宋体"/>
      <w:b/>
      <w:kern w:val="44"/>
      <w:sz w:val="32"/>
      <w:lang w:val="en-US" w:eastAsia="zh-CN" w:bidi="ar-SA"/>
    </w:rPr>
  </w:style>
  <w:style w:type="character" w:customStyle="1" w:styleId="54">
    <w:name w:val="标题 6 Char"/>
    <w:link w:val="9"/>
    <w:qFormat/>
    <w:uiPriority w:val="0"/>
    <w:rPr>
      <w:rFonts w:ascii="Arial" w:hAnsi="Arial" w:eastAsia="黑体"/>
      <w:b/>
      <w:kern w:val="2"/>
      <w:sz w:val="24"/>
      <w:szCs w:val="24"/>
    </w:rPr>
  </w:style>
  <w:style w:type="character" w:customStyle="1" w:styleId="55">
    <w:name w:val="列项 Char Char"/>
    <w:link w:val="56"/>
    <w:qFormat/>
    <w:uiPriority w:val="0"/>
    <w:rPr>
      <w:rFonts w:ascii="宋体" w:hAnsi="宋体"/>
      <w:b/>
      <w:snapToGrid w:val="0"/>
      <w:kern w:val="2"/>
      <w:sz w:val="24"/>
      <w:szCs w:val="24"/>
    </w:rPr>
  </w:style>
  <w:style w:type="paragraph" w:customStyle="1" w:styleId="56">
    <w:name w:val="列项"/>
    <w:basedOn w:val="43"/>
    <w:link w:val="55"/>
    <w:qFormat/>
    <w:uiPriority w:val="0"/>
    <w:pPr>
      <w:tabs>
        <w:tab w:val="left" w:pos="969"/>
      </w:tabs>
      <w:adjustRightInd w:val="0"/>
      <w:snapToGrid w:val="0"/>
      <w:spacing w:after="0" w:line="360" w:lineRule="auto"/>
      <w:ind w:left="969" w:hanging="397"/>
      <w:jc w:val="left"/>
    </w:pPr>
    <w:rPr>
      <w:rFonts w:ascii="宋体" w:hAnsi="宋体"/>
      <w:b/>
      <w:snapToGrid w:val="0"/>
      <w:sz w:val="24"/>
      <w:szCs w:val="24"/>
    </w:rPr>
  </w:style>
  <w:style w:type="character" w:customStyle="1" w:styleId="57">
    <w:name w:val="正文首行缩进 Char"/>
    <w:link w:val="43"/>
    <w:qFormat/>
    <w:uiPriority w:val="0"/>
    <w:rPr>
      <w:kern w:val="2"/>
      <w:sz w:val="21"/>
      <w:lang w:bidi="ar-SA"/>
    </w:rPr>
  </w:style>
  <w:style w:type="character" w:customStyle="1" w:styleId="58">
    <w:name w:val="标题 7 Char"/>
    <w:link w:val="10"/>
    <w:qFormat/>
    <w:uiPriority w:val="0"/>
    <w:rPr>
      <w:b/>
      <w:kern w:val="2"/>
      <w:sz w:val="24"/>
      <w:szCs w:val="24"/>
    </w:rPr>
  </w:style>
  <w:style w:type="character" w:customStyle="1" w:styleId="59">
    <w:name w:val="Char Char10"/>
    <w:qFormat/>
    <w:uiPriority w:val="0"/>
    <w:rPr>
      <w:rFonts w:ascii="宋体" w:hAnsi="Courier New" w:eastAsia="宋体"/>
      <w:kern w:val="2"/>
      <w:sz w:val="21"/>
      <w:lang w:val="en-US" w:eastAsia="zh-CN" w:bidi="ar-SA"/>
    </w:rPr>
  </w:style>
  <w:style w:type="character" w:customStyle="1" w:styleId="60">
    <w:name w:val="标题 4 Char"/>
    <w:link w:val="7"/>
    <w:qFormat/>
    <w:uiPriority w:val="0"/>
    <w:rPr>
      <w:rFonts w:ascii="Arial" w:hAnsi="Arial" w:eastAsia="黑体"/>
      <w:b/>
      <w:kern w:val="2"/>
      <w:sz w:val="24"/>
      <w:lang w:bidi="ar-SA"/>
    </w:rPr>
  </w:style>
  <w:style w:type="character" w:customStyle="1" w:styleId="61">
    <w:name w:val="日期 Char"/>
    <w:link w:val="24"/>
    <w:qFormat/>
    <w:uiPriority w:val="0"/>
    <w:rPr>
      <w:rFonts w:ascii="仿宋_GB2312" w:hAnsi="宋体" w:eastAsia="仿宋_GB2312"/>
      <w:color w:val="000000"/>
      <w:kern w:val="2"/>
      <w:sz w:val="24"/>
      <w:szCs w:val="24"/>
      <w:lang w:val="en-US" w:eastAsia="zh-CN" w:bidi="ar-SA"/>
    </w:rPr>
  </w:style>
  <w:style w:type="character" w:customStyle="1" w:styleId="62">
    <w:name w:val="Char Char"/>
    <w:qFormat/>
    <w:uiPriority w:val="0"/>
    <w:rPr>
      <w:rFonts w:ascii="宋体" w:eastAsia="宋体"/>
      <w:sz w:val="24"/>
      <w:lang w:val="en-US" w:eastAsia="zh-CN" w:bidi="ar-SA"/>
    </w:rPr>
  </w:style>
  <w:style w:type="character" w:customStyle="1" w:styleId="63">
    <w:name w:val="签名 Char"/>
    <w:link w:val="29"/>
    <w:qFormat/>
    <w:uiPriority w:val="0"/>
    <w:rPr>
      <w:rFonts w:eastAsia="楷体_GB2312"/>
      <w:kern w:val="2"/>
      <w:sz w:val="21"/>
      <w:lang w:bidi="ar-SA"/>
    </w:rPr>
  </w:style>
  <w:style w:type="character" w:customStyle="1" w:styleId="64">
    <w:name w:val="正文缩进 Char"/>
    <w:link w:val="5"/>
    <w:qFormat/>
    <w:uiPriority w:val="0"/>
    <w:rPr>
      <w:rFonts w:ascii="宋体" w:eastAsia="宋体"/>
      <w:sz w:val="24"/>
      <w:lang w:val="en-US" w:eastAsia="zh-CN" w:bidi="ar-SA"/>
    </w:rPr>
  </w:style>
  <w:style w:type="character" w:customStyle="1" w:styleId="65">
    <w:name w:val="标题 2 Char"/>
    <w:link w:val="4"/>
    <w:qFormat/>
    <w:uiPriority w:val="0"/>
    <w:rPr>
      <w:rFonts w:ascii="Arial" w:hAnsi="Arial" w:eastAsia="黑体"/>
      <w:b/>
      <w:sz w:val="30"/>
      <w:lang w:val="en-US" w:eastAsia="zh-CN" w:bidi="ar-SA"/>
    </w:rPr>
  </w:style>
  <w:style w:type="character" w:customStyle="1" w:styleId="66">
    <w:name w:val="正文文本缩进 2 Char"/>
    <w:link w:val="25"/>
    <w:qFormat/>
    <w:uiPriority w:val="0"/>
    <w:rPr>
      <w:rFonts w:ascii="仿宋_GB2312" w:eastAsia="仿宋_GB2312"/>
      <w:kern w:val="2"/>
      <w:sz w:val="24"/>
      <w:szCs w:val="24"/>
      <w:lang w:val="en-US" w:eastAsia="zh-CN" w:bidi="ar-SA"/>
    </w:rPr>
  </w:style>
  <w:style w:type="character" w:customStyle="1" w:styleId="67">
    <w:name w:val="批注主题 Char"/>
    <w:link w:val="42"/>
    <w:qFormat/>
    <w:uiPriority w:val="0"/>
    <w:rPr>
      <w:rFonts w:eastAsia="宋体"/>
      <w:b/>
      <w:bCs/>
      <w:kern w:val="2"/>
      <w:sz w:val="21"/>
      <w:szCs w:val="24"/>
      <w:lang w:val="en-US" w:eastAsia="zh-CN" w:bidi="ar-SA"/>
    </w:rPr>
  </w:style>
  <w:style w:type="character" w:customStyle="1" w:styleId="68">
    <w:name w:val="批注框文本 Char"/>
    <w:link w:val="26"/>
    <w:qFormat/>
    <w:uiPriority w:val="0"/>
    <w:rPr>
      <w:rFonts w:eastAsia="宋体"/>
      <w:kern w:val="2"/>
      <w:sz w:val="18"/>
      <w:szCs w:val="18"/>
      <w:lang w:val="en-US" w:eastAsia="zh-CN" w:bidi="ar-SA"/>
    </w:rPr>
  </w:style>
  <w:style w:type="character" w:customStyle="1" w:styleId="69">
    <w:name w:val="标题 9 Char"/>
    <w:link w:val="12"/>
    <w:qFormat/>
    <w:uiPriority w:val="0"/>
    <w:rPr>
      <w:rFonts w:ascii="Arial" w:hAnsi="Arial" w:eastAsia="黑体"/>
      <w:kern w:val="2"/>
      <w:sz w:val="21"/>
      <w:szCs w:val="24"/>
    </w:rPr>
  </w:style>
  <w:style w:type="character" w:customStyle="1" w:styleId="70">
    <w:name w:val="正文缩进 Char1"/>
    <w:qFormat/>
    <w:uiPriority w:val="0"/>
    <w:rPr>
      <w:rFonts w:ascii="宋体" w:hAnsi="Times New Roman" w:eastAsia="宋体" w:cs="Times New Roman"/>
      <w:sz w:val="24"/>
      <w:szCs w:val="20"/>
    </w:rPr>
  </w:style>
  <w:style w:type="character" w:customStyle="1" w:styleId="71">
    <w:name w:val="正文文本缩进 3 Char"/>
    <w:link w:val="35"/>
    <w:qFormat/>
    <w:uiPriority w:val="0"/>
    <w:rPr>
      <w:rFonts w:ascii="宋体" w:eastAsia="宋体"/>
      <w:sz w:val="24"/>
      <w:lang w:val="en-US" w:eastAsia="zh-CN" w:bidi="ar-SA"/>
    </w:rPr>
  </w:style>
  <w:style w:type="character" w:customStyle="1" w:styleId="72">
    <w:name w:val="批注文字 Char"/>
    <w:link w:val="15"/>
    <w:qFormat/>
    <w:uiPriority w:val="99"/>
    <w:rPr>
      <w:rFonts w:eastAsia="宋体"/>
      <w:kern w:val="2"/>
      <w:sz w:val="21"/>
      <w:szCs w:val="24"/>
      <w:lang w:val="en-US" w:eastAsia="zh-CN" w:bidi="ar-SA"/>
    </w:rPr>
  </w:style>
  <w:style w:type="character" w:customStyle="1" w:styleId="73">
    <w:name w:val="apple-converted-space"/>
    <w:qFormat/>
    <w:uiPriority w:val="0"/>
  </w:style>
  <w:style w:type="character" w:customStyle="1" w:styleId="74">
    <w:name w:val="文档结构图 Char"/>
    <w:link w:val="14"/>
    <w:qFormat/>
    <w:uiPriority w:val="0"/>
    <w:rPr>
      <w:kern w:val="2"/>
      <w:sz w:val="21"/>
      <w:szCs w:val="24"/>
      <w:shd w:val="clear" w:color="auto" w:fill="000080"/>
      <w:lang w:bidi="ar-SA"/>
    </w:rPr>
  </w:style>
  <w:style w:type="character" w:customStyle="1" w:styleId="75">
    <w:name w:val="标题 5 Char"/>
    <w:link w:val="8"/>
    <w:qFormat/>
    <w:uiPriority w:val="0"/>
    <w:rPr>
      <w:b/>
      <w:kern w:val="2"/>
      <w:sz w:val="28"/>
      <w:szCs w:val="24"/>
    </w:rPr>
  </w:style>
  <w:style w:type="character" w:customStyle="1" w:styleId="76">
    <w:name w:val="ACTi Content 字元"/>
    <w:link w:val="77"/>
    <w:qFormat/>
    <w:uiPriority w:val="0"/>
    <w:rPr>
      <w:rFonts w:ascii="PMingLiU" w:hAnsi="PMingLiU" w:eastAsia="PMingLiU"/>
      <w:sz w:val="22"/>
      <w:lang w:eastAsia="zh-TW" w:bidi="ar-SA"/>
    </w:rPr>
  </w:style>
  <w:style w:type="paragraph" w:customStyle="1" w:styleId="77">
    <w:name w:val="ACTi Content"/>
    <w:basedOn w:val="19"/>
    <w:next w:val="1"/>
    <w:link w:val="76"/>
    <w:qFormat/>
    <w:uiPriority w:val="0"/>
    <w:pPr>
      <w:adjustRightInd w:val="0"/>
      <w:spacing w:before="120" w:after="0" w:line="280" w:lineRule="exact"/>
      <w:ind w:left="0" w:leftChars="400" w:right="0" w:rightChars="0"/>
    </w:pPr>
    <w:rPr>
      <w:rFonts w:ascii="PMingLiU" w:hAnsi="PMingLiU" w:eastAsia="PMingLiU"/>
      <w:kern w:val="0"/>
      <w:sz w:val="22"/>
      <w:szCs w:val="20"/>
      <w:lang w:eastAsia="zh-TW"/>
    </w:rPr>
  </w:style>
  <w:style w:type="character" w:customStyle="1" w:styleId="78">
    <w:name w:val="标题 Char"/>
    <w:link w:val="41"/>
    <w:qFormat/>
    <w:uiPriority w:val="0"/>
    <w:rPr>
      <w:rFonts w:ascii="Arial" w:hAnsi="Arial"/>
      <w:b/>
      <w:sz w:val="36"/>
      <w:lang w:bidi="ar-SA"/>
    </w:rPr>
  </w:style>
  <w:style w:type="character" w:customStyle="1" w:styleId="79">
    <w:name w:val="正文文本 Char"/>
    <w:link w:val="17"/>
    <w:qFormat/>
    <w:uiPriority w:val="0"/>
    <w:rPr>
      <w:rFonts w:ascii="宋体" w:hAnsi="宋体" w:eastAsia="宋体"/>
      <w:kern w:val="2"/>
      <w:sz w:val="24"/>
      <w:szCs w:val="24"/>
      <w:lang w:val="en-US" w:eastAsia="zh-CN" w:bidi="ar-SA"/>
    </w:rPr>
  </w:style>
  <w:style w:type="character" w:customStyle="1" w:styleId="80">
    <w:name w:val="标题 3 Char"/>
    <w:link w:val="6"/>
    <w:qFormat/>
    <w:uiPriority w:val="0"/>
    <w:rPr>
      <w:rFonts w:ascii="宋体" w:eastAsia="宋体"/>
      <w:b/>
      <w:sz w:val="24"/>
      <w:u w:val="single"/>
      <w:lang w:val="en-US" w:eastAsia="zh-CN" w:bidi="ar-SA"/>
    </w:rPr>
  </w:style>
  <w:style w:type="character" w:customStyle="1" w:styleId="81">
    <w:name w:val="纯文本 Char"/>
    <w:link w:val="22"/>
    <w:qFormat/>
    <w:uiPriority w:val="0"/>
    <w:rPr>
      <w:rFonts w:ascii="宋体" w:hAnsi="Courier New" w:eastAsia="宋体"/>
      <w:kern w:val="2"/>
      <w:sz w:val="21"/>
      <w:lang w:val="en-US" w:eastAsia="zh-CN" w:bidi="ar-SA"/>
    </w:rPr>
  </w:style>
  <w:style w:type="character" w:customStyle="1" w:styleId="82">
    <w:name w:val="HTML 预设格式 Char"/>
    <w:link w:val="39"/>
    <w:qFormat/>
    <w:uiPriority w:val="0"/>
    <w:rPr>
      <w:rFonts w:ascii="Arial" w:hAnsi="Arial" w:cs="Arial"/>
      <w:sz w:val="24"/>
      <w:szCs w:val="24"/>
    </w:rPr>
  </w:style>
  <w:style w:type="character" w:customStyle="1" w:styleId="83">
    <w:name w:val="标题 8 Char"/>
    <w:link w:val="11"/>
    <w:qFormat/>
    <w:uiPriority w:val="0"/>
    <w:rPr>
      <w:rFonts w:ascii="Arial" w:hAnsi="Arial" w:eastAsia="黑体"/>
      <w:kern w:val="2"/>
      <w:sz w:val="24"/>
      <w:szCs w:val="24"/>
    </w:rPr>
  </w:style>
  <w:style w:type="paragraph" w:customStyle="1" w:styleId="8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5">
    <w:name w:val="列出段落2"/>
    <w:basedOn w:val="1"/>
    <w:qFormat/>
    <w:uiPriority w:val="99"/>
    <w:pPr>
      <w:widowControl/>
      <w:spacing w:line="360" w:lineRule="auto"/>
      <w:ind w:firstLine="420" w:firstLineChars="200"/>
      <w:jc w:val="left"/>
    </w:pPr>
    <w:rPr>
      <w:rFonts w:eastAsia="微软雅黑"/>
      <w:kern w:val="0"/>
      <w:szCs w:val="20"/>
    </w:rPr>
  </w:style>
  <w:style w:type="paragraph" w:customStyle="1" w:styleId="86">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87">
    <w:name w:val="样式2"/>
    <w:basedOn w:val="21"/>
    <w:qFormat/>
    <w:uiPriority w:val="0"/>
    <w:pPr>
      <w:tabs>
        <w:tab w:val="right" w:leader="dot" w:pos="9458"/>
        <w:tab w:val="clear" w:pos="1680"/>
        <w:tab w:val="clear" w:pos="8630"/>
      </w:tabs>
      <w:ind w:left="420" w:leftChars="0"/>
      <w:jc w:val="left"/>
    </w:pPr>
    <w:rPr>
      <w:rFonts w:ascii="Arial" w:cs="Arial"/>
      <w:i/>
      <w:iCs/>
    </w:rPr>
  </w:style>
  <w:style w:type="paragraph" w:customStyle="1" w:styleId="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89">
    <w:name w:val="文一"/>
    <w:basedOn w:val="1"/>
    <w:qFormat/>
    <w:uiPriority w:val="0"/>
    <w:pPr>
      <w:topLinePunct/>
      <w:adjustRightInd w:val="0"/>
      <w:snapToGrid w:val="0"/>
      <w:spacing w:line="360" w:lineRule="auto"/>
      <w:ind w:firstLine="200" w:firstLineChars="200"/>
    </w:pPr>
    <w:rPr>
      <w:spacing w:val="4"/>
      <w:kern w:val="0"/>
      <w:sz w:val="24"/>
    </w:rPr>
  </w:style>
  <w:style w:type="paragraph" w:customStyle="1" w:styleId="90">
    <w:name w:val="样式 标题31 + 首行缩进:  2 字符 + 首行缩进:  2 字符"/>
    <w:basedOn w:val="1"/>
    <w:qFormat/>
    <w:uiPriority w:val="0"/>
    <w:pPr>
      <w:keepNext/>
      <w:keepLines/>
      <w:spacing w:line="360" w:lineRule="auto"/>
      <w:ind w:firstLine="562" w:firstLineChars="200"/>
      <w:jc w:val="left"/>
      <w:outlineLvl w:val="3"/>
    </w:pPr>
    <w:rPr>
      <w:rFonts w:cs="宋体"/>
      <w:b/>
      <w:bCs/>
      <w:sz w:val="28"/>
      <w:szCs w:val="20"/>
    </w:rPr>
  </w:style>
  <w:style w:type="paragraph" w:customStyle="1" w:styleId="9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92">
    <w:name w:val="文档正文"/>
    <w:basedOn w:val="1"/>
    <w:qFormat/>
    <w:uiPriority w:val="0"/>
    <w:rPr>
      <w:rFonts w:ascii="Arial" w:hAnsi="Arial" w:cs="Arial"/>
      <w:bCs/>
      <w:sz w:val="24"/>
    </w:rPr>
  </w:style>
  <w:style w:type="paragraph" w:customStyle="1" w:styleId="93">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94">
    <w:name w:val="font8"/>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5">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96">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97">
    <w:name w:val="样式4"/>
    <w:basedOn w:val="30"/>
    <w:qFormat/>
    <w:uiPriority w:val="0"/>
    <w:pPr>
      <w:tabs>
        <w:tab w:val="right" w:leader="dot" w:pos="9458"/>
      </w:tabs>
      <w:spacing w:before="120" w:after="120"/>
      <w:jc w:val="left"/>
    </w:pPr>
    <w:rPr>
      <w:bCs/>
      <w:caps/>
    </w:rPr>
  </w:style>
  <w:style w:type="paragraph" w:customStyle="1" w:styleId="9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9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00">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01">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styleId="102">
    <w:name w:val="List Paragraph"/>
    <w:basedOn w:val="1"/>
    <w:qFormat/>
    <w:uiPriority w:val="0"/>
    <w:pPr>
      <w:ind w:firstLine="420" w:firstLineChars="200"/>
    </w:pPr>
  </w:style>
  <w:style w:type="paragraph" w:customStyle="1" w:styleId="103">
    <w:name w:val="font9"/>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0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106">
    <w:name w:val="正文内容"/>
    <w:basedOn w:val="1"/>
    <w:qFormat/>
    <w:uiPriority w:val="0"/>
    <w:rPr>
      <w:rFonts w:ascii="Arial" w:hAnsi="Arial"/>
      <w:spacing w:val="-12"/>
      <w:szCs w:val="20"/>
    </w:rPr>
  </w:style>
  <w:style w:type="paragraph" w:customStyle="1" w:styleId="107">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08">
    <w:name w:val="font6"/>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09">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10">
    <w:name w:val="Char"/>
    <w:basedOn w:val="1"/>
    <w:qFormat/>
    <w:uiPriority w:val="0"/>
    <w:pPr>
      <w:tabs>
        <w:tab w:val="left" w:pos="825"/>
      </w:tabs>
      <w:ind w:left="360" w:hanging="360"/>
    </w:pPr>
    <w:rPr>
      <w:sz w:val="24"/>
    </w:rPr>
  </w:style>
  <w:style w:type="paragraph" w:customStyle="1" w:styleId="111">
    <w:name w:val="样式3"/>
    <w:basedOn w:val="21"/>
    <w:qFormat/>
    <w:uiPriority w:val="0"/>
    <w:pPr>
      <w:tabs>
        <w:tab w:val="right" w:leader="dot" w:pos="9458"/>
        <w:tab w:val="clear" w:pos="1680"/>
        <w:tab w:val="clear" w:pos="8630"/>
      </w:tabs>
      <w:ind w:left="420" w:leftChars="0"/>
      <w:jc w:val="left"/>
    </w:pPr>
    <w:rPr>
      <w:i/>
      <w:iCs/>
    </w:rPr>
  </w:style>
  <w:style w:type="paragraph" w:customStyle="1" w:styleId="11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13">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14">
    <w:name w:val="Table Heading"/>
    <w:basedOn w:val="1"/>
    <w:qFormat/>
    <w:uiPriority w:val="0"/>
    <w:pPr>
      <w:widowControl/>
      <w:jc w:val="center"/>
    </w:pPr>
    <w:rPr>
      <w:rFonts w:ascii="Arial" w:hAnsi="Arial"/>
      <w:b/>
      <w:kern w:val="0"/>
      <w:sz w:val="18"/>
      <w:szCs w:val="20"/>
    </w:rPr>
  </w:style>
  <w:style w:type="paragraph" w:customStyle="1" w:styleId="115">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16">
    <w:name w:val="CM27"/>
    <w:basedOn w:val="91"/>
    <w:next w:val="91"/>
    <w:qFormat/>
    <w:uiPriority w:val="0"/>
    <w:pPr>
      <w:spacing w:after="65"/>
    </w:pPr>
    <w:rPr>
      <w:rFonts w:ascii="华文中宋" w:eastAsia="华文中宋"/>
      <w:color w:val="auto"/>
    </w:rPr>
  </w:style>
  <w:style w:type="paragraph" w:customStyle="1" w:styleId="117">
    <w:name w:val="表内文"/>
    <w:basedOn w:val="1"/>
    <w:qFormat/>
    <w:uiPriority w:val="0"/>
    <w:pPr>
      <w:adjustRightInd w:val="0"/>
      <w:snapToGrid w:val="0"/>
      <w:spacing w:beforeLines="40" w:line="312" w:lineRule="auto"/>
    </w:pPr>
    <w:rPr>
      <w:rFonts w:ascii="宋体" w:hAnsi="宋体"/>
      <w:color w:val="FF0000"/>
      <w:szCs w:val="20"/>
    </w:rPr>
  </w:style>
  <w:style w:type="paragraph" w:customStyle="1" w:styleId="118">
    <w:name w:val="签名 - 公司"/>
    <w:basedOn w:val="29"/>
    <w:next w:val="11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1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20">
    <w:name w:val="样式5"/>
    <w:basedOn w:val="97"/>
    <w:next w:val="97"/>
    <w:qFormat/>
    <w:uiPriority w:val="0"/>
  </w:style>
  <w:style w:type="paragraph" w:customStyle="1" w:styleId="121">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2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3">
    <w:name w:val="Table Body"/>
    <w:basedOn w:val="1"/>
    <w:qFormat/>
    <w:uiPriority w:val="0"/>
    <w:pPr>
      <w:widowControl/>
      <w:jc w:val="center"/>
    </w:pPr>
    <w:rPr>
      <w:rFonts w:ascii="Arial" w:hAnsi="Arial"/>
      <w:snapToGrid w:val="0"/>
      <w:kern w:val="0"/>
      <w:sz w:val="18"/>
      <w:szCs w:val="20"/>
    </w:rPr>
  </w:style>
  <w:style w:type="paragraph" w:customStyle="1" w:styleId="124">
    <w:name w:val="CM20"/>
    <w:basedOn w:val="91"/>
    <w:next w:val="91"/>
    <w:qFormat/>
    <w:uiPriority w:val="0"/>
    <w:pPr>
      <w:spacing w:line="400" w:lineRule="atLeast"/>
    </w:pPr>
    <w:rPr>
      <w:rFonts w:ascii="华文中宋" w:eastAsia="华文中宋"/>
      <w:color w:val="auto"/>
    </w:rPr>
  </w:style>
  <w:style w:type="paragraph" w:customStyle="1" w:styleId="125">
    <w:name w:val="列出段落1"/>
    <w:basedOn w:val="1"/>
    <w:qFormat/>
    <w:uiPriority w:val="34"/>
    <w:pPr>
      <w:ind w:firstLine="420" w:firstLineChars="200"/>
    </w:pPr>
    <w:rPr>
      <w:rFonts w:hint="eastAsia" w:ascii="Calibri" w:hAnsi="Calibri"/>
    </w:rPr>
  </w:style>
  <w:style w:type="paragraph" w:customStyle="1" w:styleId="1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27">
    <w:name w:val="Pa5"/>
    <w:basedOn w:val="1"/>
    <w:next w:val="1"/>
    <w:qFormat/>
    <w:uiPriority w:val="0"/>
    <w:pPr>
      <w:autoSpaceDE w:val="0"/>
      <w:autoSpaceDN w:val="0"/>
      <w:adjustRightInd w:val="0"/>
      <w:spacing w:line="185" w:lineRule="atLeast"/>
      <w:jc w:val="left"/>
    </w:pPr>
    <w:rPr>
      <w:rFonts w:ascii="Verdana" w:hAnsi="Verdana" w:cs="Verdana"/>
      <w:kern w:val="0"/>
      <w:sz w:val="24"/>
    </w:rPr>
  </w:style>
  <w:style w:type="paragraph" w:customStyle="1" w:styleId="128">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2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30">
    <w:name w:val="_Style 26"/>
    <w:basedOn w:val="1"/>
    <w:qFormat/>
    <w:uiPriority w:val="0"/>
    <w:pPr>
      <w:tabs>
        <w:tab w:val="left" w:pos="360"/>
      </w:tabs>
    </w:pPr>
    <w:rPr>
      <w:sz w:val="24"/>
    </w:rPr>
  </w:style>
  <w:style w:type="paragraph" w:customStyle="1" w:styleId="131">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32">
    <w:name w:val="样式1"/>
    <w:basedOn w:val="1"/>
    <w:qFormat/>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13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4">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3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36">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37">
    <w:name w:val="Pa4"/>
    <w:basedOn w:val="1"/>
    <w:next w:val="1"/>
    <w:qFormat/>
    <w:uiPriority w:val="0"/>
    <w:pPr>
      <w:autoSpaceDE w:val="0"/>
      <w:autoSpaceDN w:val="0"/>
      <w:adjustRightInd w:val="0"/>
      <w:spacing w:line="185" w:lineRule="atLeast"/>
      <w:jc w:val="left"/>
    </w:pPr>
    <w:rPr>
      <w:rFonts w:ascii="Verdana" w:hAnsi="Verdana" w:cs="Verdana"/>
      <w:kern w:val="0"/>
      <w:sz w:val="24"/>
    </w:rPr>
  </w:style>
  <w:style w:type="paragraph" w:customStyle="1" w:styleId="13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39">
    <w:name w:val="font7"/>
    <w:basedOn w:val="1"/>
    <w:qFormat/>
    <w:uiPriority w:val="0"/>
    <w:pPr>
      <w:widowControl/>
      <w:spacing w:before="100" w:beforeAutospacing="1" w:after="100" w:afterAutospacing="1"/>
      <w:jc w:val="left"/>
    </w:pPr>
    <w:rPr>
      <w:kern w:val="0"/>
      <w:sz w:val="22"/>
      <w:szCs w:val="22"/>
    </w:rPr>
  </w:style>
  <w:style w:type="paragraph" w:customStyle="1" w:styleId="140">
    <w:name w:val="4"/>
    <w:basedOn w:val="1"/>
    <w:next w:val="1"/>
    <w:qFormat/>
    <w:uiPriority w:val="0"/>
  </w:style>
  <w:style w:type="paragraph" w:customStyle="1" w:styleId="141">
    <w:name w:val="Noident"/>
    <w:basedOn w:val="1"/>
    <w:qFormat/>
    <w:uiPriority w:val="0"/>
    <w:pPr>
      <w:widowControl/>
      <w:spacing w:line="300" w:lineRule="auto"/>
    </w:pPr>
    <w:rPr>
      <w:sz w:val="24"/>
      <w:szCs w:val="20"/>
    </w:rPr>
  </w:style>
  <w:style w:type="paragraph" w:customStyle="1" w:styleId="142">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3">
    <w:name w:val="Char1"/>
    <w:basedOn w:val="1"/>
    <w:qFormat/>
    <w:uiPriority w:val="0"/>
    <w:pPr>
      <w:tabs>
        <w:tab w:val="left" w:pos="425"/>
      </w:tabs>
      <w:ind w:left="1200" w:hanging="720"/>
    </w:pPr>
    <w:rPr>
      <w:sz w:val="24"/>
    </w:rPr>
  </w:style>
  <w:style w:type="paragraph" w:customStyle="1" w:styleId="144">
    <w:name w:val="样式 标题 2 +"/>
    <w:basedOn w:val="4"/>
    <w:qFormat/>
    <w:uiPriority w:val="99"/>
    <w:pPr>
      <w:autoSpaceDE/>
      <w:autoSpaceDN/>
      <w:spacing w:before="0" w:line="360" w:lineRule="auto"/>
      <w:ind w:firstLine="602" w:firstLineChars="200"/>
    </w:pPr>
    <w:rPr>
      <w:rFonts w:eastAsia="宋体" w:cs="宋体"/>
      <w:bCs/>
      <w:kern w:val="2"/>
    </w:rPr>
  </w:style>
  <w:style w:type="paragraph" w:customStyle="1" w:styleId="145">
    <w:name w:val="l2"/>
    <w:basedOn w:val="1"/>
    <w:qFormat/>
    <w:uiPriority w:val="0"/>
    <w:pPr>
      <w:keepLines/>
      <w:widowControl/>
      <w:spacing w:beforeLines="50" w:afterLines="50" w:line="300" w:lineRule="auto"/>
    </w:pPr>
    <w:rPr>
      <w:rFonts w:ascii="Arial" w:hAnsi="Arial"/>
      <w:bCs/>
    </w:rPr>
  </w:style>
  <w:style w:type="paragraph" w:customStyle="1" w:styleId="146">
    <w:name w:val="_Style 1"/>
    <w:basedOn w:val="1"/>
    <w:qFormat/>
    <w:uiPriority w:val="0"/>
    <w:pPr>
      <w:ind w:firstLine="420" w:firstLineChars="200"/>
    </w:pPr>
  </w:style>
  <w:style w:type="paragraph" w:customStyle="1" w:styleId="147">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148">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9">
    <w:name w:val="列出段落3"/>
    <w:basedOn w:val="1"/>
    <w:qFormat/>
    <w:uiPriority w:val="34"/>
    <w:pPr>
      <w:ind w:firstLine="420" w:firstLineChars="200"/>
    </w:pPr>
  </w:style>
  <w:style w:type="paragraph" w:customStyle="1" w:styleId="150">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152">
    <w:name w:val="CM18"/>
    <w:basedOn w:val="91"/>
    <w:next w:val="91"/>
    <w:qFormat/>
    <w:uiPriority w:val="0"/>
    <w:pPr>
      <w:spacing w:line="400" w:lineRule="atLeast"/>
    </w:pPr>
    <w:rPr>
      <w:rFonts w:ascii="华文中宋" w:eastAsia="华文中宋"/>
      <w:color w:val="auto"/>
    </w:rPr>
  </w:style>
  <w:style w:type="paragraph" w:customStyle="1" w:styleId="153">
    <w:name w:val="CM24"/>
    <w:basedOn w:val="91"/>
    <w:next w:val="91"/>
    <w:qFormat/>
    <w:uiPriority w:val="0"/>
    <w:pPr>
      <w:spacing w:after="155"/>
    </w:pPr>
    <w:rPr>
      <w:rFonts w:ascii="华文中宋" w:eastAsia="华文中宋"/>
      <w:color w:val="auto"/>
    </w:rPr>
  </w:style>
  <w:style w:type="paragraph" w:customStyle="1" w:styleId="154">
    <w:name w:val="正文2"/>
    <w:basedOn w:val="38"/>
    <w:qFormat/>
    <w:uiPriority w:val="0"/>
    <w:pPr>
      <w:spacing w:line="480" w:lineRule="atLeast"/>
      <w:ind w:firstLine="200" w:firstLineChars="200"/>
    </w:pPr>
    <w:rPr>
      <w:spacing w:val="5"/>
    </w:rPr>
  </w:style>
  <w:style w:type="paragraph" w:customStyle="1" w:styleId="155">
    <w:name w:val="标题5"/>
    <w:basedOn w:val="1"/>
    <w:qFormat/>
    <w:uiPriority w:val="0"/>
    <w:pPr>
      <w:spacing w:before="120" w:after="120"/>
    </w:pPr>
    <w:rPr>
      <w:rFonts w:ascii="宋体"/>
      <w:b/>
      <w:sz w:val="28"/>
    </w:rPr>
  </w:style>
  <w:style w:type="paragraph" w:customStyle="1" w:styleId="15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57">
    <w:name w:val="样式1 标题1"/>
    <w:basedOn w:val="3"/>
    <w:qFormat/>
    <w:uiPriority w:val="0"/>
    <w:pPr>
      <w:autoSpaceDE/>
      <w:autoSpaceDN/>
      <w:adjustRightInd/>
      <w:spacing w:before="0" w:after="0" w:line="360" w:lineRule="auto"/>
    </w:pPr>
    <w:rPr>
      <w:rFonts w:ascii="Times New Roman"/>
      <w:bCs/>
      <w:szCs w:val="44"/>
    </w:rPr>
  </w:style>
  <w:style w:type="paragraph" w:customStyle="1" w:styleId="158">
    <w:name w:val="表格样式"/>
    <w:next w:val="1"/>
    <w:qFormat/>
    <w:uiPriority w:val="0"/>
    <w:pPr>
      <w:adjustRightInd w:val="0"/>
      <w:snapToGrid w:val="0"/>
      <w:jc w:val="center"/>
    </w:pPr>
    <w:rPr>
      <w:rFonts w:ascii="Times New Roman" w:hAnsi="Times New Roman" w:eastAsia="宋体" w:cs="Times New Roman"/>
      <w:snapToGrid w:val="0"/>
      <w:sz w:val="21"/>
      <w:lang w:val="en-US" w:eastAsia="zh-CN" w:bidi="ar-SA"/>
    </w:rPr>
  </w:style>
  <w:style w:type="paragraph" w:customStyle="1" w:styleId="159">
    <w:name w:val="Char Char Char Char Char Char Char"/>
    <w:basedOn w:val="1"/>
    <w:qFormat/>
    <w:uiPriority w:val="0"/>
    <w:pPr>
      <w:widowControl/>
      <w:spacing w:after="160" w:line="240" w:lineRule="exact"/>
      <w:jc w:val="left"/>
    </w:pPr>
    <w:rPr>
      <w:kern w:val="0"/>
      <w:szCs w:val="20"/>
    </w:rPr>
  </w:style>
  <w:style w:type="paragraph" w:customStyle="1" w:styleId="160">
    <w:name w:val="Table Paragraph"/>
    <w:basedOn w:val="1"/>
    <w:qFormat/>
    <w:uiPriority w:val="1"/>
    <w:pPr>
      <w:autoSpaceDE w:val="0"/>
      <w:autoSpaceDN w:val="0"/>
      <w:adjustRightInd w:val="0"/>
      <w:jc w:val="left"/>
    </w:pPr>
    <w:rPr>
      <w:rFonts w:ascii="宋体" w:cs="宋体"/>
      <w:kern w:val="0"/>
      <w:sz w:val="24"/>
    </w:rPr>
  </w:style>
  <w:style w:type="paragraph" w:customStyle="1" w:styleId="161">
    <w:name w:val="_Style 2"/>
    <w:basedOn w:val="1"/>
    <w:qFormat/>
    <w:uiPriority w:val="1"/>
    <w:pPr>
      <w:ind w:firstLine="420"/>
    </w:pPr>
    <w:rPr>
      <w:rFonts w:ascii="Calibri" w:hAnsi="Calibri"/>
      <w:szCs w:val="22"/>
    </w:rPr>
  </w:style>
  <w:style w:type="paragraph" w:customStyle="1" w:styleId="162">
    <w:name w:val="我的正文"/>
    <w:basedOn w:val="1"/>
    <w:qFormat/>
    <w:uiPriority w:val="0"/>
    <w:pPr>
      <w:widowControl/>
      <w:autoSpaceDE w:val="0"/>
      <w:autoSpaceDN w:val="0"/>
      <w:spacing w:beforeLines="50" w:afterLines="50" w:line="360" w:lineRule="auto"/>
      <w:ind w:firstLine="480" w:firstLineChars="200"/>
      <w:textAlignment w:val="bottom"/>
    </w:pPr>
    <w:rPr>
      <w:sz w:val="24"/>
    </w:rPr>
  </w:style>
  <w:style w:type="paragraph" w:customStyle="1" w:styleId="163">
    <w:name w:val="列出段落11"/>
    <w:basedOn w:val="1"/>
    <w:qFormat/>
    <w:uiPriority w:val="34"/>
    <w:pPr>
      <w:ind w:firstLine="420" w:firstLineChars="200"/>
    </w:pPr>
    <w:rPr>
      <w:rFonts w:hint="eastAsia" w:ascii="Calibri" w:hAnsi="Calibri"/>
    </w:rPr>
  </w:style>
  <w:style w:type="paragraph" w:customStyle="1" w:styleId="164">
    <w:name w:val="p15"/>
    <w:basedOn w:val="1"/>
    <w:qFormat/>
    <w:uiPriority w:val="0"/>
    <w:pPr>
      <w:widowControl/>
    </w:pPr>
    <w:rPr>
      <w:rFonts w:ascii="Calibri" w:hAnsi="Calibri" w:cs="宋体"/>
      <w:kern w:val="0"/>
      <w:szCs w:val="21"/>
    </w:rPr>
  </w:style>
  <w:style w:type="paragraph" w:customStyle="1" w:styleId="165">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F1479-A195-4380-A6FD-170DD612456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81</Pages>
  <Words>7818</Words>
  <Characters>44564</Characters>
  <Lines>371</Lines>
  <Paragraphs>104</Paragraphs>
  <TotalTime>14</TotalTime>
  <ScaleCrop>false</ScaleCrop>
  <LinksUpToDate>false</LinksUpToDate>
  <CharactersWithSpaces>52278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2020-03-11T01:23:00Z</dcterms:created>
  <dc:creator>dell</dc:creator>
  <cp:lastModifiedBy>田工</cp:lastModifiedBy>
  <cp:lastPrinted>2019-10-08T07:01:00Z</cp:lastPrinted>
  <dcterms:modified xsi:type="dcterms:W3CDTF">2020-03-20T07:45:07Z</dcterms:modified>
  <dc:title>02年杜范本稿</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