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outlineLvl w:val="0"/>
        <w:rPr>
          <w:rFonts w:ascii="黑体" w:hAnsi="宋体" w:eastAsia="黑体"/>
          <w:bCs/>
          <w:sz w:val="32"/>
          <w:szCs w:val="32"/>
        </w:rPr>
      </w:pPr>
      <w:r>
        <w:rPr>
          <w:rFonts w:hint="eastAsia" w:ascii="黑体" w:hAnsi="宋体" w:eastAsia="黑体"/>
          <w:bCs/>
          <w:sz w:val="32"/>
          <w:szCs w:val="32"/>
        </w:rPr>
        <w:t>需求及技术规格</w:t>
      </w:r>
    </w:p>
    <w:p>
      <w:pPr>
        <w:spacing w:line="340" w:lineRule="exact"/>
        <w:ind w:left="-71" w:firstLine="447" w:firstLineChars="212"/>
        <w:rPr>
          <w:rFonts w:ascii="宋体" w:hAnsi="宋体"/>
          <w:b/>
          <w:bCs/>
          <w:szCs w:val="21"/>
        </w:rPr>
      </w:pPr>
    </w:p>
    <w:p>
      <w:pPr>
        <w:jc w:val="center"/>
        <w:outlineLvl w:val="1"/>
        <w:rPr>
          <w:rFonts w:ascii="黑体" w:hAnsi="宋体" w:eastAsia="黑体"/>
          <w:bCs/>
          <w:sz w:val="24"/>
          <w:szCs w:val="24"/>
        </w:rPr>
      </w:pPr>
      <w:bookmarkStart w:id="0" w:name="_Toc23315188"/>
      <w:r>
        <w:rPr>
          <w:rFonts w:hint="eastAsia" w:ascii="黑体" w:hAnsi="宋体" w:eastAsia="黑体"/>
          <w:bCs/>
          <w:sz w:val="24"/>
          <w:szCs w:val="24"/>
        </w:rPr>
        <w:t>第一节  说明</w:t>
      </w:r>
      <w:bookmarkEnd w:id="0"/>
    </w:p>
    <w:p>
      <w:pPr>
        <w:spacing w:line="360" w:lineRule="exact"/>
        <w:ind w:firstLine="420" w:firstLineChars="200"/>
        <w:rPr>
          <w:rFonts w:ascii="宋体" w:hAnsi="宋体"/>
          <w:bCs/>
          <w:szCs w:val="21"/>
        </w:rPr>
      </w:pPr>
      <w:r>
        <w:rPr>
          <w:rFonts w:hint="eastAsia" w:ascii="宋体" w:hAnsi="宋体"/>
          <w:szCs w:val="21"/>
        </w:rPr>
        <w:t>1、投标人必须对本招标文件所列的所有采购内容进行投标，不得将项目中的内容拆开投标，如果项目有分包的，投标人也可以只对其中一个或几个分包进行投标，但不得将一个包中的内容拆开投标，否则将导致其投标被拒绝。投标人须认真填写第五章的偏离表，偏离表将作为重要的评标依据。</w:t>
      </w:r>
    </w:p>
    <w:p>
      <w:pPr>
        <w:spacing w:line="360" w:lineRule="exact"/>
        <w:ind w:firstLine="413" w:firstLineChars="196"/>
        <w:rPr>
          <w:rFonts w:ascii="宋体" w:hAnsi="宋体"/>
          <w:b/>
        </w:rPr>
      </w:pPr>
      <w:r>
        <w:rPr>
          <w:rFonts w:hint="eastAsia" w:ascii="宋体" w:hAnsi="宋体"/>
          <w:b/>
        </w:rPr>
        <w:t>重点说明：偏离表中“偏离度”由投标人自行判断后填写，内容仅供评委参考，</w:t>
      </w:r>
      <w:r>
        <w:rPr>
          <w:rFonts w:ascii="宋体" w:hAnsi="宋体"/>
          <w:b/>
        </w:rPr>
        <w:t>评标委员会将根据</w:t>
      </w:r>
      <w:r>
        <w:rPr>
          <w:rFonts w:hint="eastAsia" w:ascii="宋体" w:hAnsi="宋体"/>
          <w:b/>
        </w:rPr>
        <w:t>具体响应内容</w:t>
      </w:r>
      <w:r>
        <w:rPr>
          <w:rFonts w:ascii="宋体" w:hAnsi="宋体"/>
          <w:b/>
        </w:rPr>
        <w:t>给予是否偏离的认定，并以此</w:t>
      </w:r>
      <w:r>
        <w:rPr>
          <w:rFonts w:hint="eastAsia" w:ascii="宋体" w:hAnsi="宋体"/>
          <w:b/>
        </w:rPr>
        <w:t>作为</w:t>
      </w:r>
      <w:r>
        <w:rPr>
          <w:rFonts w:ascii="宋体" w:hAnsi="宋体"/>
          <w:b/>
        </w:rPr>
        <w:t>最终评判</w:t>
      </w:r>
      <w:r>
        <w:rPr>
          <w:rFonts w:hint="eastAsia" w:ascii="宋体" w:hAnsi="宋体"/>
          <w:b/>
          <w:szCs w:val="22"/>
        </w:rPr>
        <w:t>。</w:t>
      </w:r>
      <w:r>
        <w:rPr>
          <w:rFonts w:hint="eastAsia" w:ascii="宋体" w:hAnsi="宋体"/>
          <w:b/>
        </w:rPr>
        <w:t>需求中要求提供证书、检测报告、承诺函或其他证明文件的，如投标人未按要求提供或提供的文件无法证明对应事项的，该项要求的响应偏离度评委会有权认定为“负偏离”，若该项要求为不可偏离项或实质性要求，做无效标处理；若该项要求非不可偏离项，则按评分标准做相应扣分处理。</w:t>
      </w:r>
    </w:p>
    <w:p>
      <w:pPr>
        <w:spacing w:line="360" w:lineRule="exact"/>
        <w:ind w:firstLine="422" w:firstLineChars="200"/>
        <w:rPr>
          <w:rFonts w:ascii="宋体" w:hAnsi="宋体"/>
          <w:b/>
          <w:bCs/>
          <w:szCs w:val="21"/>
        </w:rPr>
      </w:pPr>
      <w:r>
        <w:rPr>
          <w:rFonts w:hint="eastAsia" w:ascii="宋体" w:hAnsi="宋体"/>
          <w:b/>
          <w:bCs/>
          <w:szCs w:val="21"/>
        </w:rPr>
        <w:t>2、</w:t>
      </w:r>
      <w:r>
        <w:rPr>
          <w:rFonts w:ascii="宋体" w:hAnsi="宋体"/>
          <w:b/>
          <w:bCs/>
          <w:szCs w:val="21"/>
        </w:rPr>
        <w:t>本招标文件要求中，凡标有</w:t>
      </w:r>
      <w:r>
        <w:rPr>
          <w:rFonts w:hint="eastAsia" w:ascii="宋体" w:hAnsi="宋体"/>
          <w:b/>
          <w:bCs/>
          <w:szCs w:val="21"/>
        </w:rPr>
        <w:t>“★”</w:t>
      </w:r>
      <w:r>
        <w:rPr>
          <w:rFonts w:ascii="宋体" w:hAnsi="宋体"/>
          <w:b/>
          <w:bCs/>
          <w:szCs w:val="21"/>
        </w:rPr>
        <w:t>的地方均被视为</w:t>
      </w:r>
      <w:r>
        <w:rPr>
          <w:rFonts w:hint="eastAsia" w:ascii="宋体" w:hAnsi="宋体"/>
          <w:b/>
          <w:bCs/>
          <w:szCs w:val="21"/>
        </w:rPr>
        <w:t>不可偏离条款，</w:t>
      </w:r>
      <w:r>
        <w:rPr>
          <w:rFonts w:ascii="宋体" w:hAnsi="宋体"/>
          <w:b/>
          <w:bCs/>
          <w:szCs w:val="21"/>
        </w:rPr>
        <w:t>投标人要特别加以注意</w:t>
      </w:r>
      <w:r>
        <w:rPr>
          <w:rFonts w:hint="eastAsia" w:ascii="宋体" w:hAnsi="宋体"/>
          <w:b/>
          <w:bCs/>
          <w:szCs w:val="21"/>
        </w:rPr>
        <w:t>并予以响应，</w:t>
      </w:r>
      <w:r>
        <w:rPr>
          <w:rFonts w:ascii="宋体" w:hAnsi="宋体"/>
          <w:b/>
          <w:bCs/>
          <w:szCs w:val="21"/>
        </w:rPr>
        <w:t>否则，若有一项带</w:t>
      </w:r>
      <w:r>
        <w:rPr>
          <w:rFonts w:hint="eastAsia" w:ascii="宋体" w:hAnsi="宋体"/>
          <w:b/>
          <w:bCs/>
          <w:szCs w:val="21"/>
        </w:rPr>
        <w:t>“★”</w:t>
      </w:r>
      <w:r>
        <w:rPr>
          <w:rFonts w:ascii="宋体" w:hAnsi="宋体"/>
          <w:b/>
          <w:bCs/>
          <w:szCs w:val="21"/>
        </w:rPr>
        <w:t>的</w:t>
      </w:r>
      <w:r>
        <w:rPr>
          <w:rFonts w:hint="eastAsia" w:ascii="宋体" w:hAnsi="宋体"/>
          <w:b/>
          <w:bCs/>
          <w:szCs w:val="21"/>
        </w:rPr>
        <w:t>要求</w:t>
      </w:r>
      <w:r>
        <w:rPr>
          <w:rFonts w:ascii="宋体" w:hAnsi="宋体"/>
          <w:b/>
          <w:bCs/>
          <w:szCs w:val="21"/>
        </w:rPr>
        <w:t>未响应或不满足，将按投标无效处理</w:t>
      </w:r>
      <w:r>
        <w:rPr>
          <w:rFonts w:hint="eastAsia" w:ascii="宋体" w:hAnsi="宋体"/>
          <w:b/>
          <w:bCs/>
          <w:szCs w:val="21"/>
        </w:rPr>
        <w:t>；</w:t>
      </w:r>
      <w:r>
        <w:rPr>
          <w:rFonts w:ascii="宋体" w:hAnsi="宋体"/>
          <w:b/>
          <w:bCs/>
          <w:szCs w:val="21"/>
        </w:rPr>
        <w:t>凡标有</w:t>
      </w:r>
      <w:r>
        <w:rPr>
          <w:rFonts w:hint="eastAsia" w:ascii="宋体" w:hAnsi="宋体"/>
          <w:b/>
          <w:bCs/>
          <w:szCs w:val="21"/>
        </w:rPr>
        <w:t xml:space="preserve"> “▲”</w:t>
      </w:r>
      <w:r>
        <w:rPr>
          <w:rFonts w:ascii="宋体" w:hAnsi="宋体"/>
          <w:b/>
          <w:bCs/>
          <w:szCs w:val="21"/>
        </w:rPr>
        <w:t>的地方均被视为重要要求</w:t>
      </w:r>
      <w:r>
        <w:rPr>
          <w:rFonts w:hint="eastAsia" w:ascii="宋体" w:hAnsi="宋体"/>
          <w:b/>
          <w:bCs/>
          <w:szCs w:val="21"/>
        </w:rPr>
        <w:t>，若有带“▲”的要求未响应或不满足的，将按加重扣分处理</w:t>
      </w:r>
      <w:r>
        <w:rPr>
          <w:rFonts w:ascii="宋体" w:hAnsi="宋体"/>
          <w:b/>
          <w:bCs/>
          <w:szCs w:val="21"/>
        </w:rPr>
        <w:t>。</w:t>
      </w:r>
    </w:p>
    <w:p>
      <w:pPr>
        <w:spacing w:line="360" w:lineRule="exact"/>
        <w:ind w:firstLine="422" w:firstLineChars="200"/>
        <w:rPr>
          <w:rFonts w:hint="eastAsia" w:ascii="宋体" w:hAnsi="宋体"/>
          <w:b/>
          <w:szCs w:val="21"/>
        </w:rPr>
      </w:pPr>
      <w:r>
        <w:rPr>
          <w:rFonts w:hint="eastAsia" w:ascii="宋体" w:hAnsi="宋体"/>
          <w:b/>
          <w:szCs w:val="21"/>
        </w:rPr>
        <w:t>3、相同品牌产品投标的说明：</w:t>
      </w:r>
    </w:p>
    <w:p>
      <w:pPr>
        <w:spacing w:line="360" w:lineRule="exact"/>
        <w:ind w:firstLine="420" w:firstLineChars="200"/>
        <w:rPr>
          <w:rFonts w:hint="eastAsia" w:ascii="宋体" w:hAnsi="宋体"/>
          <w:i/>
          <w:szCs w:val="21"/>
        </w:rPr>
      </w:pPr>
      <w:r>
        <w:rPr>
          <w:rFonts w:hint="eastAsia" w:ascii="宋体" w:hAnsi="宋体"/>
          <w:szCs w:val="21"/>
        </w:rPr>
        <w:t>使用综合评分法评标的，提供相同品牌产品且通过资格审查、符合性审查的不同投标人参加同一合同项下投标的，按一家投标人计算，评审后得分最高的同品牌投标人获得中标人推荐资格；评审得分相同的，由采购人或者采购人委托评标委员会确定技术得分最高的一个投标人获得中标人推荐资格；技术得分仍相同的，确定投标报价最低的一个投标人获得中标人推荐资格；投标报价仍相同，采取随机抽取方式确定，其他同品牌投标人不作为中标候选人。</w:t>
      </w:r>
    </w:p>
    <w:p>
      <w:pPr>
        <w:spacing w:line="360" w:lineRule="exact"/>
        <w:ind w:firstLine="420" w:firstLineChars="200"/>
        <w:rPr>
          <w:rFonts w:hint="eastAsia" w:ascii="宋体" w:hAnsi="宋体"/>
          <w:szCs w:val="21"/>
        </w:rPr>
      </w:pPr>
      <w:r>
        <w:rPr>
          <w:rFonts w:hint="eastAsia" w:ascii="宋体" w:hAnsi="宋体"/>
          <w:szCs w:val="21"/>
        </w:rPr>
        <w:t>本项目为非单一产品采购项目，采购人根据采购项目技术构成、产品价格比重等合理确定核心产品，并在招标文件中载明。多家投标人提供的核心产品品牌相同的，按前两款规定处理。本项目核心产品为：</w:t>
      </w:r>
      <w:r>
        <w:rPr>
          <w:rFonts w:hint="eastAsia" w:ascii="宋体" w:hAnsi="宋体" w:cs="宋体"/>
          <w:szCs w:val="21"/>
        </w:rPr>
        <w:t>生物显微镜</w:t>
      </w:r>
      <w:r>
        <w:rPr>
          <w:rFonts w:hint="eastAsia" w:ascii="宋体" w:hAnsi="宋体"/>
          <w:szCs w:val="21"/>
        </w:rPr>
        <w:t>。</w:t>
      </w:r>
    </w:p>
    <w:p>
      <w:pPr>
        <w:spacing w:line="360" w:lineRule="exact"/>
        <w:ind w:firstLine="422" w:firstLineChars="200"/>
        <w:rPr>
          <w:rFonts w:ascii="宋体" w:hAnsi="宋体"/>
          <w:bCs/>
          <w:spacing w:val="-2"/>
          <w:szCs w:val="21"/>
        </w:rPr>
      </w:pPr>
      <w:r>
        <w:rPr>
          <w:rFonts w:hint="eastAsia" w:ascii="宋体" w:hAnsi="宋体"/>
          <w:b/>
          <w:szCs w:val="21"/>
        </w:rPr>
        <w:t>4、进口产品：</w:t>
      </w:r>
      <w:r>
        <w:rPr>
          <w:rFonts w:hint="eastAsia" w:ascii="宋体" w:hAnsi="宋体"/>
          <w:szCs w:val="21"/>
        </w:rPr>
        <w:t>对于经财政部门审批同意采购进口产品的，即使在进口产品中，也优先采购向我国企业转让技术、与我国企业签订消化吸收再创新方案的供应商的进口产品是指在采用综合评分法时，如果有两家以上经评审最高得分相同时具有优先性；在采用最低价评标法时，如果经评审最低价在两家以上时具有优先性。供应商如果满足上述条件，须自行在投标文件中提供上述证明文件，否则，不具备优先性。</w:t>
      </w:r>
    </w:p>
    <w:p>
      <w:pPr>
        <w:spacing w:line="360" w:lineRule="exact"/>
        <w:ind w:firstLine="420" w:firstLineChars="200"/>
        <w:rPr>
          <w:rFonts w:ascii="宋体" w:hAnsi="宋体"/>
          <w:szCs w:val="21"/>
        </w:rPr>
      </w:pPr>
    </w:p>
    <w:p>
      <w:pPr>
        <w:jc w:val="center"/>
        <w:outlineLvl w:val="1"/>
        <w:rPr>
          <w:rFonts w:ascii="黑体" w:hAnsi="宋体" w:eastAsia="黑体"/>
          <w:bCs/>
          <w:sz w:val="24"/>
          <w:szCs w:val="24"/>
        </w:rPr>
      </w:pPr>
      <w:bookmarkStart w:id="1" w:name="_Toc23315189"/>
      <w:r>
        <w:rPr>
          <w:rFonts w:hint="eastAsia" w:ascii="黑体" w:hAnsi="宋体" w:eastAsia="黑体"/>
          <w:bCs/>
          <w:sz w:val="24"/>
          <w:szCs w:val="24"/>
        </w:rPr>
        <w:t>第二节  需求一览表</w:t>
      </w:r>
      <w:bookmarkEnd w:id="1"/>
    </w:p>
    <w:tbl>
      <w:tblPr>
        <w:tblStyle w:val="31"/>
        <w:tblW w:w="49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
        <w:gridCol w:w="3130"/>
        <w:gridCol w:w="788"/>
        <w:gridCol w:w="789"/>
        <w:gridCol w:w="1261"/>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1"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rPr>
            </w:pPr>
            <w:r>
              <w:rPr>
                <w:rFonts w:ascii="宋体" w:hAnsi="宋体"/>
                <w:b/>
              </w:rPr>
              <w:t>序号</w:t>
            </w:r>
          </w:p>
        </w:tc>
        <w:tc>
          <w:tcPr>
            <w:tcW w:w="187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货物</w:t>
            </w:r>
            <w:r>
              <w:rPr>
                <w:rFonts w:ascii="宋体" w:hAnsi="宋体"/>
                <w:b/>
                <w:szCs w:val="21"/>
              </w:rPr>
              <w:t>名称</w:t>
            </w:r>
          </w:p>
        </w:tc>
        <w:tc>
          <w:tcPr>
            <w:tcW w:w="471"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rPr>
            </w:pPr>
            <w:r>
              <w:rPr>
                <w:rFonts w:ascii="宋体" w:hAnsi="宋体"/>
                <w:b/>
              </w:rPr>
              <w:t>数量</w:t>
            </w:r>
          </w:p>
        </w:tc>
        <w:tc>
          <w:tcPr>
            <w:tcW w:w="47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rPr>
            </w:pPr>
            <w:r>
              <w:rPr>
                <w:rFonts w:ascii="宋体" w:hAnsi="宋体"/>
                <w:b/>
              </w:rPr>
              <w:t>单位</w:t>
            </w:r>
          </w:p>
        </w:tc>
        <w:tc>
          <w:tcPr>
            <w:tcW w:w="754" w:type="pct"/>
            <w:tcBorders>
              <w:top w:val="single" w:color="auto" w:sz="4" w:space="0"/>
              <w:left w:val="single" w:color="auto" w:sz="4" w:space="0"/>
              <w:bottom w:val="single" w:color="auto" w:sz="4" w:space="0"/>
              <w:right w:val="single" w:color="auto" w:sz="4" w:space="0"/>
            </w:tcBorders>
            <w:noWrap w:val="0"/>
            <w:vAlign w:val="center"/>
          </w:tcPr>
          <w:p>
            <w:pPr>
              <w:jc w:val="center"/>
              <w:rPr>
                <w:b/>
                <w:bCs/>
                <w:szCs w:val="21"/>
              </w:rPr>
            </w:pPr>
            <w:r>
              <w:rPr>
                <w:rFonts w:hint="eastAsia"/>
                <w:b/>
                <w:bCs/>
                <w:szCs w:val="21"/>
              </w:rPr>
              <w:t>备注</w:t>
            </w:r>
          </w:p>
        </w:tc>
        <w:tc>
          <w:tcPr>
            <w:tcW w:w="860" w:type="pct"/>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预算控制金额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1"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ascii="宋体" w:hAnsi="宋体"/>
              </w:rPr>
              <w:t>1</w:t>
            </w:r>
          </w:p>
        </w:tc>
        <w:tc>
          <w:tcPr>
            <w:tcW w:w="1872" w:type="pct"/>
            <w:tcBorders>
              <w:top w:val="single" w:color="auto" w:sz="4" w:space="0"/>
              <w:left w:val="single" w:color="auto" w:sz="4" w:space="0"/>
              <w:bottom w:val="single" w:color="auto" w:sz="4" w:space="0"/>
              <w:right w:val="single" w:color="auto" w:sz="4" w:space="0"/>
            </w:tcBorders>
            <w:noWrap w:val="0"/>
            <w:vAlign w:val="center"/>
          </w:tcPr>
          <w:p>
            <w:pPr>
              <w:jc w:val="center"/>
              <w:rPr>
                <w:b/>
                <w:bCs/>
                <w:szCs w:val="21"/>
              </w:rPr>
            </w:pPr>
            <w:r>
              <w:rPr>
                <w:rFonts w:hint="eastAsia"/>
                <w:b/>
                <w:bCs/>
                <w:szCs w:val="21"/>
              </w:rPr>
              <w:t>荧光原位杂交成像系统</w:t>
            </w:r>
          </w:p>
        </w:tc>
        <w:tc>
          <w:tcPr>
            <w:tcW w:w="471" w:type="pct"/>
            <w:tcBorders>
              <w:top w:val="single" w:color="auto" w:sz="4" w:space="0"/>
              <w:left w:val="single" w:color="auto" w:sz="4" w:space="0"/>
              <w:bottom w:val="single" w:color="auto" w:sz="4" w:space="0"/>
              <w:right w:val="single" w:color="auto" w:sz="4" w:space="0"/>
            </w:tcBorders>
            <w:noWrap w:val="0"/>
            <w:vAlign w:val="center"/>
          </w:tcPr>
          <w:p>
            <w:pPr>
              <w:jc w:val="center"/>
              <w:rPr>
                <w:b/>
                <w:bCs/>
                <w:szCs w:val="21"/>
              </w:rPr>
            </w:pPr>
            <w:r>
              <w:rPr>
                <w:rFonts w:hint="eastAsia"/>
                <w:b/>
                <w:bCs/>
                <w:szCs w:val="21"/>
              </w:rPr>
              <w:t>1</w:t>
            </w:r>
          </w:p>
        </w:tc>
        <w:tc>
          <w:tcPr>
            <w:tcW w:w="472" w:type="pct"/>
            <w:tcBorders>
              <w:top w:val="single" w:color="auto" w:sz="4" w:space="0"/>
              <w:left w:val="single" w:color="auto" w:sz="4" w:space="0"/>
              <w:bottom w:val="single" w:color="auto" w:sz="4" w:space="0"/>
              <w:right w:val="single" w:color="auto" w:sz="4" w:space="0"/>
            </w:tcBorders>
            <w:noWrap w:val="0"/>
            <w:vAlign w:val="center"/>
          </w:tcPr>
          <w:p>
            <w:pPr>
              <w:jc w:val="center"/>
              <w:rPr>
                <w:b/>
                <w:bCs/>
                <w:szCs w:val="21"/>
              </w:rPr>
            </w:pPr>
            <w:r>
              <w:rPr>
                <w:rFonts w:hint="eastAsia"/>
                <w:b/>
                <w:bCs/>
                <w:szCs w:val="21"/>
              </w:rPr>
              <w:t>套</w:t>
            </w:r>
          </w:p>
        </w:tc>
        <w:tc>
          <w:tcPr>
            <w:tcW w:w="754" w:type="pct"/>
            <w:tcBorders>
              <w:top w:val="single" w:color="auto" w:sz="4" w:space="0"/>
              <w:left w:val="single" w:color="auto" w:sz="4" w:space="0"/>
              <w:bottom w:val="single" w:color="auto" w:sz="4" w:space="0"/>
              <w:right w:val="single" w:color="auto" w:sz="4" w:space="0"/>
            </w:tcBorders>
            <w:noWrap w:val="0"/>
            <w:vAlign w:val="center"/>
          </w:tcPr>
          <w:p>
            <w:pPr>
              <w:jc w:val="center"/>
              <w:rPr>
                <w:b/>
                <w:bCs/>
                <w:szCs w:val="21"/>
              </w:rPr>
            </w:pPr>
            <w:r>
              <w:rPr>
                <w:rFonts w:hint="eastAsia"/>
                <w:b/>
                <w:bCs/>
                <w:szCs w:val="21"/>
              </w:rPr>
              <w:t>接受进口</w:t>
            </w:r>
          </w:p>
        </w:tc>
        <w:tc>
          <w:tcPr>
            <w:tcW w:w="860" w:type="pct"/>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39万元</w:t>
            </w:r>
          </w:p>
        </w:tc>
      </w:tr>
    </w:tbl>
    <w:p>
      <w:pPr>
        <w:spacing w:line="340" w:lineRule="exact"/>
        <w:ind w:firstLine="422" w:firstLineChars="200"/>
        <w:rPr>
          <w:rFonts w:hint="eastAsia" w:ascii="宋体" w:hAnsi="宋体"/>
          <w:b/>
          <w:szCs w:val="21"/>
        </w:rPr>
      </w:pPr>
      <w:r>
        <w:rPr>
          <w:rFonts w:hint="eastAsia" w:ascii="宋体" w:hAnsi="宋体"/>
          <w:b/>
          <w:szCs w:val="21"/>
        </w:rPr>
        <w:t xml:space="preserve">注：备注栏注明“拒绝进口”的产品不接受投标人选用进口产品参与投标；注明“接受进口”的产品允许投标人选用进口产品参与投标，但不排斥国内产品。 </w:t>
      </w:r>
    </w:p>
    <w:p>
      <w:pPr>
        <w:spacing w:line="340" w:lineRule="exact"/>
        <w:ind w:firstLine="422" w:firstLineChars="200"/>
        <w:rPr>
          <w:rFonts w:hint="eastAsia" w:ascii="宋体" w:hAnsi="宋体"/>
          <w:b/>
          <w:szCs w:val="21"/>
        </w:rPr>
      </w:pPr>
      <w:r>
        <w:rPr>
          <w:rFonts w:hint="eastAsia" w:ascii="宋体" w:hAnsi="宋体"/>
          <w:b/>
          <w:szCs w:val="21"/>
        </w:rPr>
        <w:t>配置清单：</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3"/>
        <w:gridCol w:w="5901"/>
        <w:gridCol w:w="844"/>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548" w:type="pct"/>
            <w:noWrap w:val="0"/>
            <w:vAlign w:val="center"/>
          </w:tcPr>
          <w:p>
            <w:pPr>
              <w:spacing w:line="360" w:lineRule="exact"/>
              <w:jc w:val="center"/>
              <w:rPr>
                <w:rFonts w:ascii="宋体" w:hAnsi="宋体"/>
                <w:b/>
                <w:szCs w:val="21"/>
              </w:rPr>
            </w:pPr>
            <w:r>
              <w:rPr>
                <w:rFonts w:hint="eastAsia" w:ascii="宋体" w:hAnsi="宋体"/>
                <w:b/>
                <w:szCs w:val="21"/>
              </w:rPr>
              <w:t>序号</w:t>
            </w:r>
          </w:p>
        </w:tc>
        <w:tc>
          <w:tcPr>
            <w:tcW w:w="3462" w:type="pct"/>
            <w:noWrap w:val="0"/>
            <w:vAlign w:val="center"/>
          </w:tcPr>
          <w:p>
            <w:pPr>
              <w:spacing w:line="360" w:lineRule="exact"/>
              <w:jc w:val="center"/>
              <w:rPr>
                <w:rFonts w:ascii="宋体" w:hAnsi="宋体"/>
                <w:b/>
                <w:szCs w:val="21"/>
              </w:rPr>
            </w:pPr>
            <w:r>
              <w:rPr>
                <w:rFonts w:hint="eastAsia" w:ascii="宋体" w:hAnsi="宋体"/>
                <w:b/>
                <w:szCs w:val="21"/>
              </w:rPr>
              <w:t>配置名称</w:t>
            </w:r>
          </w:p>
        </w:tc>
        <w:tc>
          <w:tcPr>
            <w:tcW w:w="495" w:type="pct"/>
            <w:noWrap w:val="0"/>
            <w:vAlign w:val="center"/>
          </w:tcPr>
          <w:p>
            <w:pPr>
              <w:spacing w:line="360" w:lineRule="exact"/>
              <w:jc w:val="center"/>
              <w:rPr>
                <w:rFonts w:ascii="宋体" w:hAnsi="宋体"/>
                <w:b/>
                <w:szCs w:val="21"/>
              </w:rPr>
            </w:pPr>
            <w:r>
              <w:rPr>
                <w:rFonts w:hint="eastAsia" w:ascii="宋体" w:hAnsi="宋体"/>
                <w:b/>
                <w:szCs w:val="21"/>
              </w:rPr>
              <w:t>数量</w:t>
            </w:r>
          </w:p>
        </w:tc>
        <w:tc>
          <w:tcPr>
            <w:tcW w:w="495" w:type="pct"/>
            <w:noWrap w:val="0"/>
            <w:vAlign w:val="center"/>
          </w:tcPr>
          <w:p>
            <w:pPr>
              <w:spacing w:line="360" w:lineRule="exact"/>
              <w:jc w:val="center"/>
              <w:rPr>
                <w:rFonts w:ascii="宋体" w:hAnsi="宋体"/>
                <w:b/>
                <w:szCs w:val="21"/>
              </w:rPr>
            </w:pPr>
            <w:r>
              <w:rPr>
                <w:rFonts w:hint="eastAsia" w:ascii="宋体" w:hAnsi="宋体"/>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548" w:type="pct"/>
            <w:noWrap w:val="0"/>
            <w:vAlign w:val="center"/>
          </w:tcPr>
          <w:p>
            <w:pPr>
              <w:spacing w:line="360" w:lineRule="exact"/>
              <w:jc w:val="center"/>
              <w:rPr>
                <w:rFonts w:ascii="宋体" w:hAnsi="宋体"/>
                <w:szCs w:val="21"/>
              </w:rPr>
            </w:pPr>
            <w:r>
              <w:rPr>
                <w:rFonts w:hint="eastAsia" w:ascii="宋体" w:hAnsi="宋体"/>
                <w:szCs w:val="21"/>
              </w:rPr>
              <w:t>1</w:t>
            </w:r>
          </w:p>
        </w:tc>
        <w:tc>
          <w:tcPr>
            <w:tcW w:w="3462" w:type="pct"/>
            <w:noWrap w:val="0"/>
            <w:vAlign w:val="bottom"/>
          </w:tcPr>
          <w:p>
            <w:pPr>
              <w:widowControl/>
              <w:spacing w:line="360" w:lineRule="exact"/>
              <w:jc w:val="left"/>
              <w:rPr>
                <w:rFonts w:ascii="宋体" w:hAnsi="宋体"/>
                <w:szCs w:val="21"/>
              </w:rPr>
            </w:pPr>
            <w:r>
              <w:rPr>
                <w:rFonts w:hint="eastAsia" w:ascii="宋体" w:hAnsi="宋体" w:cs="宋体"/>
                <w:szCs w:val="21"/>
              </w:rPr>
              <w:t>生物显微镜</w:t>
            </w:r>
          </w:p>
        </w:tc>
        <w:tc>
          <w:tcPr>
            <w:tcW w:w="495" w:type="pct"/>
            <w:noWrap w:val="0"/>
            <w:vAlign w:val="bottom"/>
          </w:tcPr>
          <w:p>
            <w:pPr>
              <w:widowControl/>
              <w:spacing w:line="360" w:lineRule="exact"/>
              <w:jc w:val="center"/>
              <w:rPr>
                <w:rFonts w:ascii="宋体" w:hAnsi="宋体" w:cs="Arial"/>
                <w:kern w:val="0"/>
                <w:szCs w:val="21"/>
              </w:rPr>
            </w:pPr>
            <w:r>
              <w:rPr>
                <w:rFonts w:hint="eastAsia" w:ascii="宋体" w:hAnsi="宋体" w:cs="Arial"/>
                <w:kern w:val="0"/>
                <w:szCs w:val="21"/>
              </w:rPr>
              <w:t>1</w:t>
            </w:r>
          </w:p>
        </w:tc>
        <w:tc>
          <w:tcPr>
            <w:tcW w:w="495" w:type="pct"/>
            <w:noWrap w:val="0"/>
            <w:vAlign w:val="top"/>
          </w:tcPr>
          <w:p>
            <w:pPr>
              <w:spacing w:line="360" w:lineRule="exact"/>
              <w:jc w:val="center"/>
              <w:rPr>
                <w:rFonts w:ascii="宋体" w:hAnsi="宋体"/>
                <w:szCs w:val="24"/>
              </w:rPr>
            </w:pPr>
            <w:r>
              <w:rPr>
                <w:rFonts w:hint="eastAsia" w:ascii="宋体" w:hAnsi="宋体"/>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548" w:type="pct"/>
            <w:noWrap w:val="0"/>
            <w:vAlign w:val="center"/>
          </w:tcPr>
          <w:p>
            <w:pPr>
              <w:spacing w:line="360" w:lineRule="exact"/>
              <w:jc w:val="center"/>
              <w:rPr>
                <w:rFonts w:ascii="宋体" w:hAnsi="宋体"/>
                <w:szCs w:val="21"/>
              </w:rPr>
            </w:pPr>
            <w:r>
              <w:rPr>
                <w:rFonts w:hint="eastAsia" w:ascii="宋体" w:hAnsi="宋体"/>
                <w:szCs w:val="21"/>
              </w:rPr>
              <w:t>2</w:t>
            </w:r>
          </w:p>
        </w:tc>
        <w:tc>
          <w:tcPr>
            <w:tcW w:w="3462" w:type="pct"/>
            <w:noWrap w:val="0"/>
            <w:vAlign w:val="bottom"/>
          </w:tcPr>
          <w:p>
            <w:pPr>
              <w:widowControl/>
              <w:spacing w:line="360" w:lineRule="exact"/>
              <w:jc w:val="left"/>
              <w:rPr>
                <w:rFonts w:ascii="宋体" w:hAnsi="宋体"/>
                <w:szCs w:val="21"/>
              </w:rPr>
            </w:pPr>
            <w:r>
              <w:rPr>
                <w:rFonts w:hint="eastAsia" w:ascii="宋体" w:hAnsi="宋体"/>
                <w:szCs w:val="24"/>
              </w:rPr>
              <w:t>数码相机</w:t>
            </w:r>
          </w:p>
        </w:tc>
        <w:tc>
          <w:tcPr>
            <w:tcW w:w="495" w:type="pct"/>
            <w:noWrap w:val="0"/>
            <w:vAlign w:val="bottom"/>
          </w:tcPr>
          <w:p>
            <w:pPr>
              <w:widowControl/>
              <w:spacing w:line="360" w:lineRule="exact"/>
              <w:jc w:val="center"/>
              <w:rPr>
                <w:rFonts w:ascii="宋体" w:hAnsi="宋体" w:cs="Arial"/>
                <w:kern w:val="0"/>
                <w:szCs w:val="21"/>
              </w:rPr>
            </w:pPr>
            <w:r>
              <w:rPr>
                <w:rFonts w:hint="eastAsia" w:ascii="宋体" w:hAnsi="宋体" w:cs="Arial"/>
                <w:kern w:val="0"/>
                <w:szCs w:val="21"/>
              </w:rPr>
              <w:t>1</w:t>
            </w:r>
          </w:p>
        </w:tc>
        <w:tc>
          <w:tcPr>
            <w:tcW w:w="495" w:type="pct"/>
            <w:noWrap w:val="0"/>
            <w:vAlign w:val="top"/>
          </w:tcPr>
          <w:p>
            <w:pPr>
              <w:spacing w:line="360" w:lineRule="exact"/>
              <w:jc w:val="center"/>
              <w:rPr>
                <w:rFonts w:ascii="宋体" w:hAnsi="宋体"/>
                <w:szCs w:val="24"/>
              </w:rPr>
            </w:pPr>
            <w:r>
              <w:rPr>
                <w:rFonts w:hint="eastAsia" w:ascii="宋体" w:hAnsi="宋体" w:cs="宋体"/>
                <w:kern w:val="24"/>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548" w:type="pct"/>
            <w:noWrap w:val="0"/>
            <w:vAlign w:val="center"/>
          </w:tcPr>
          <w:p>
            <w:pPr>
              <w:spacing w:line="360" w:lineRule="exact"/>
              <w:jc w:val="center"/>
              <w:rPr>
                <w:rFonts w:ascii="宋体" w:hAnsi="宋体"/>
                <w:szCs w:val="21"/>
              </w:rPr>
            </w:pPr>
            <w:r>
              <w:rPr>
                <w:rFonts w:hint="eastAsia" w:ascii="宋体" w:hAnsi="宋体"/>
                <w:szCs w:val="21"/>
              </w:rPr>
              <w:t>3</w:t>
            </w:r>
          </w:p>
        </w:tc>
        <w:tc>
          <w:tcPr>
            <w:tcW w:w="3462" w:type="pct"/>
            <w:noWrap w:val="0"/>
            <w:vAlign w:val="bottom"/>
          </w:tcPr>
          <w:p>
            <w:pPr>
              <w:widowControl/>
              <w:spacing w:line="360" w:lineRule="exact"/>
              <w:jc w:val="left"/>
              <w:rPr>
                <w:rFonts w:ascii="宋体" w:hAnsi="宋体"/>
                <w:szCs w:val="21"/>
              </w:rPr>
            </w:pPr>
            <w:r>
              <w:rPr>
                <w:rFonts w:hint="eastAsia" w:ascii="宋体" w:hAnsi="宋体"/>
                <w:szCs w:val="24"/>
              </w:rPr>
              <w:t>荧光原位杂交分析软件</w:t>
            </w:r>
          </w:p>
        </w:tc>
        <w:tc>
          <w:tcPr>
            <w:tcW w:w="495" w:type="pct"/>
            <w:noWrap w:val="0"/>
            <w:vAlign w:val="bottom"/>
          </w:tcPr>
          <w:p>
            <w:pPr>
              <w:widowControl/>
              <w:spacing w:line="360" w:lineRule="exact"/>
              <w:jc w:val="center"/>
              <w:rPr>
                <w:rFonts w:ascii="宋体" w:hAnsi="宋体" w:cs="Arial"/>
                <w:kern w:val="0"/>
                <w:szCs w:val="21"/>
              </w:rPr>
            </w:pPr>
            <w:r>
              <w:rPr>
                <w:rFonts w:hint="eastAsia" w:ascii="宋体" w:hAnsi="宋体" w:cs="Arial"/>
                <w:kern w:val="0"/>
                <w:szCs w:val="21"/>
              </w:rPr>
              <w:t>1</w:t>
            </w:r>
          </w:p>
        </w:tc>
        <w:tc>
          <w:tcPr>
            <w:tcW w:w="495" w:type="pct"/>
            <w:noWrap w:val="0"/>
            <w:vAlign w:val="bottom"/>
          </w:tcPr>
          <w:p>
            <w:pPr>
              <w:widowControl/>
              <w:spacing w:line="360" w:lineRule="exact"/>
              <w:jc w:val="center"/>
              <w:rPr>
                <w:rFonts w:ascii="宋体" w:hAnsi="宋体" w:cs="宋体"/>
                <w:kern w:val="24"/>
                <w:szCs w:val="21"/>
              </w:rPr>
            </w:pPr>
            <w:r>
              <w:rPr>
                <w:rFonts w:hint="eastAsia" w:ascii="宋体" w:hAnsi="宋体" w:cs="宋体"/>
                <w:kern w:val="24"/>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548" w:type="pct"/>
            <w:noWrap w:val="0"/>
            <w:vAlign w:val="center"/>
          </w:tcPr>
          <w:p>
            <w:pPr>
              <w:spacing w:line="360" w:lineRule="exact"/>
              <w:jc w:val="center"/>
              <w:rPr>
                <w:rFonts w:ascii="宋体" w:hAnsi="宋体"/>
                <w:szCs w:val="21"/>
              </w:rPr>
            </w:pPr>
            <w:r>
              <w:rPr>
                <w:rFonts w:hint="eastAsia" w:ascii="宋体" w:hAnsi="宋体"/>
                <w:szCs w:val="21"/>
              </w:rPr>
              <w:t>4</w:t>
            </w:r>
          </w:p>
        </w:tc>
        <w:tc>
          <w:tcPr>
            <w:tcW w:w="3462" w:type="pct"/>
            <w:noWrap w:val="0"/>
            <w:vAlign w:val="bottom"/>
          </w:tcPr>
          <w:p>
            <w:pPr>
              <w:widowControl/>
              <w:spacing w:line="360" w:lineRule="exact"/>
              <w:jc w:val="left"/>
              <w:rPr>
                <w:rFonts w:ascii="宋体" w:hAnsi="宋体"/>
                <w:szCs w:val="21"/>
              </w:rPr>
            </w:pPr>
            <w:r>
              <w:rPr>
                <w:rFonts w:hint="eastAsia" w:ascii="宋体" w:hAnsi="宋体"/>
                <w:szCs w:val="21"/>
              </w:rPr>
              <w:t>工作站电脑</w:t>
            </w:r>
          </w:p>
        </w:tc>
        <w:tc>
          <w:tcPr>
            <w:tcW w:w="495" w:type="pct"/>
            <w:noWrap w:val="0"/>
            <w:vAlign w:val="bottom"/>
          </w:tcPr>
          <w:p>
            <w:pPr>
              <w:widowControl/>
              <w:spacing w:line="360" w:lineRule="exact"/>
              <w:jc w:val="center"/>
              <w:rPr>
                <w:rFonts w:ascii="宋体" w:hAnsi="宋体" w:cs="Arial"/>
                <w:kern w:val="0"/>
                <w:szCs w:val="21"/>
              </w:rPr>
            </w:pPr>
            <w:r>
              <w:rPr>
                <w:rFonts w:hint="eastAsia" w:ascii="宋体" w:hAnsi="宋体" w:cs="Arial"/>
                <w:kern w:val="0"/>
                <w:szCs w:val="21"/>
              </w:rPr>
              <w:t>1</w:t>
            </w:r>
          </w:p>
        </w:tc>
        <w:tc>
          <w:tcPr>
            <w:tcW w:w="495" w:type="pct"/>
            <w:noWrap w:val="0"/>
            <w:vAlign w:val="bottom"/>
          </w:tcPr>
          <w:p>
            <w:pPr>
              <w:widowControl/>
              <w:spacing w:line="360" w:lineRule="exact"/>
              <w:jc w:val="center"/>
              <w:rPr>
                <w:rFonts w:ascii="宋体" w:hAnsi="宋体" w:cs="宋体"/>
                <w:kern w:val="24"/>
                <w:szCs w:val="21"/>
              </w:rPr>
            </w:pPr>
            <w:r>
              <w:rPr>
                <w:rFonts w:hint="eastAsia" w:ascii="宋体" w:hAnsi="宋体" w:cs="宋体"/>
                <w:kern w:val="24"/>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548" w:type="pct"/>
            <w:noWrap w:val="0"/>
            <w:vAlign w:val="center"/>
          </w:tcPr>
          <w:p>
            <w:pPr>
              <w:spacing w:line="360" w:lineRule="exact"/>
              <w:jc w:val="center"/>
              <w:rPr>
                <w:rFonts w:ascii="宋体" w:hAnsi="宋体"/>
                <w:szCs w:val="21"/>
              </w:rPr>
            </w:pPr>
            <w:r>
              <w:rPr>
                <w:rFonts w:hint="eastAsia" w:ascii="宋体" w:hAnsi="宋体"/>
                <w:szCs w:val="21"/>
              </w:rPr>
              <w:t>5</w:t>
            </w:r>
          </w:p>
        </w:tc>
        <w:tc>
          <w:tcPr>
            <w:tcW w:w="3462" w:type="pct"/>
            <w:noWrap w:val="0"/>
            <w:vAlign w:val="bottom"/>
          </w:tcPr>
          <w:p>
            <w:pPr>
              <w:widowControl/>
              <w:spacing w:line="360" w:lineRule="exact"/>
              <w:jc w:val="left"/>
              <w:rPr>
                <w:rFonts w:ascii="宋体" w:hAnsi="宋体"/>
                <w:szCs w:val="21"/>
              </w:rPr>
            </w:pPr>
            <w:r>
              <w:rPr>
                <w:rFonts w:hint="eastAsia" w:ascii="宋体" w:hAnsi="宋体"/>
                <w:szCs w:val="24"/>
              </w:rPr>
              <w:t>彩色打印机</w:t>
            </w:r>
          </w:p>
        </w:tc>
        <w:tc>
          <w:tcPr>
            <w:tcW w:w="495" w:type="pct"/>
            <w:noWrap w:val="0"/>
            <w:vAlign w:val="bottom"/>
          </w:tcPr>
          <w:p>
            <w:pPr>
              <w:widowControl/>
              <w:spacing w:line="360" w:lineRule="exact"/>
              <w:jc w:val="center"/>
              <w:rPr>
                <w:rFonts w:ascii="宋体" w:hAnsi="宋体" w:cs="Arial"/>
                <w:kern w:val="0"/>
                <w:szCs w:val="21"/>
              </w:rPr>
            </w:pPr>
            <w:r>
              <w:rPr>
                <w:rFonts w:hint="eastAsia" w:ascii="宋体" w:hAnsi="宋体" w:cs="Arial"/>
                <w:kern w:val="0"/>
                <w:szCs w:val="21"/>
              </w:rPr>
              <w:t>1</w:t>
            </w:r>
          </w:p>
        </w:tc>
        <w:tc>
          <w:tcPr>
            <w:tcW w:w="495" w:type="pct"/>
            <w:noWrap w:val="0"/>
            <w:vAlign w:val="bottom"/>
          </w:tcPr>
          <w:p>
            <w:pPr>
              <w:widowControl/>
              <w:spacing w:line="360" w:lineRule="exact"/>
              <w:jc w:val="center"/>
              <w:rPr>
                <w:rFonts w:ascii="宋体" w:hAnsi="宋体" w:cs="宋体"/>
                <w:kern w:val="24"/>
                <w:szCs w:val="21"/>
              </w:rPr>
            </w:pPr>
            <w:r>
              <w:rPr>
                <w:rFonts w:hint="eastAsia" w:ascii="宋体" w:hAnsi="宋体" w:cs="宋体"/>
                <w:kern w:val="24"/>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548" w:type="pct"/>
            <w:noWrap w:val="0"/>
            <w:vAlign w:val="center"/>
          </w:tcPr>
          <w:p>
            <w:pPr>
              <w:spacing w:line="360" w:lineRule="exact"/>
              <w:jc w:val="center"/>
              <w:rPr>
                <w:rFonts w:ascii="宋体" w:hAnsi="宋体"/>
                <w:szCs w:val="21"/>
              </w:rPr>
            </w:pPr>
            <w:r>
              <w:rPr>
                <w:rFonts w:hint="eastAsia" w:ascii="宋体" w:hAnsi="宋体"/>
                <w:szCs w:val="21"/>
              </w:rPr>
              <w:t>6</w:t>
            </w:r>
          </w:p>
        </w:tc>
        <w:tc>
          <w:tcPr>
            <w:tcW w:w="3462" w:type="pct"/>
            <w:noWrap w:val="0"/>
            <w:vAlign w:val="bottom"/>
          </w:tcPr>
          <w:p>
            <w:pPr>
              <w:widowControl/>
              <w:spacing w:line="360" w:lineRule="exact"/>
              <w:jc w:val="left"/>
              <w:rPr>
                <w:rFonts w:ascii="宋体" w:hAnsi="宋体"/>
                <w:szCs w:val="21"/>
              </w:rPr>
            </w:pPr>
            <w:r>
              <w:rPr>
                <w:rFonts w:hint="eastAsia" w:ascii="宋体" w:hAnsi="宋体"/>
                <w:szCs w:val="21"/>
              </w:rPr>
              <w:t>说明书</w:t>
            </w:r>
          </w:p>
        </w:tc>
        <w:tc>
          <w:tcPr>
            <w:tcW w:w="495" w:type="pct"/>
            <w:noWrap w:val="0"/>
            <w:vAlign w:val="bottom"/>
          </w:tcPr>
          <w:p>
            <w:pPr>
              <w:widowControl/>
              <w:spacing w:line="360" w:lineRule="exact"/>
              <w:jc w:val="center"/>
              <w:rPr>
                <w:rFonts w:ascii="宋体" w:hAnsi="宋体" w:cs="Arial"/>
                <w:kern w:val="0"/>
                <w:szCs w:val="21"/>
              </w:rPr>
            </w:pPr>
            <w:r>
              <w:rPr>
                <w:rFonts w:hint="eastAsia" w:ascii="宋体" w:hAnsi="宋体" w:cs="Arial"/>
                <w:kern w:val="0"/>
                <w:szCs w:val="21"/>
              </w:rPr>
              <w:t>2</w:t>
            </w:r>
          </w:p>
        </w:tc>
        <w:tc>
          <w:tcPr>
            <w:tcW w:w="495" w:type="pct"/>
            <w:noWrap w:val="0"/>
            <w:vAlign w:val="bottom"/>
          </w:tcPr>
          <w:p>
            <w:pPr>
              <w:widowControl/>
              <w:spacing w:line="360" w:lineRule="exact"/>
              <w:jc w:val="center"/>
              <w:rPr>
                <w:rFonts w:ascii="宋体" w:hAnsi="宋体" w:cs="宋体"/>
                <w:kern w:val="24"/>
                <w:szCs w:val="21"/>
              </w:rPr>
            </w:pPr>
            <w:r>
              <w:rPr>
                <w:rFonts w:hint="eastAsia" w:ascii="宋体" w:hAnsi="宋体" w:cs="宋体"/>
                <w:kern w:val="24"/>
                <w:szCs w:val="21"/>
              </w:rPr>
              <w:t>份</w:t>
            </w:r>
          </w:p>
        </w:tc>
      </w:tr>
    </w:tbl>
    <w:p>
      <w:pPr>
        <w:spacing w:line="340" w:lineRule="exact"/>
        <w:ind w:firstLine="422" w:firstLineChars="200"/>
        <w:rPr>
          <w:rFonts w:ascii="宋体" w:hAnsi="宋体"/>
          <w:b/>
          <w:szCs w:val="21"/>
        </w:rPr>
      </w:pPr>
    </w:p>
    <w:p>
      <w:pPr>
        <w:spacing w:line="340" w:lineRule="exact"/>
        <w:ind w:firstLine="422" w:firstLineChars="200"/>
        <w:rPr>
          <w:rFonts w:ascii="宋体" w:hAnsi="宋体"/>
          <w:b/>
          <w:bCs/>
          <w:szCs w:val="21"/>
        </w:rPr>
      </w:pPr>
    </w:p>
    <w:p>
      <w:pPr>
        <w:jc w:val="center"/>
        <w:outlineLvl w:val="1"/>
        <w:rPr>
          <w:rFonts w:ascii="黑体" w:hAnsi="宋体" w:eastAsia="黑体"/>
          <w:bCs/>
          <w:sz w:val="24"/>
          <w:szCs w:val="24"/>
        </w:rPr>
      </w:pPr>
      <w:bookmarkStart w:id="2" w:name="_Toc23315190"/>
      <w:r>
        <w:rPr>
          <w:rFonts w:hint="eastAsia" w:ascii="黑体" w:hAnsi="宋体" w:eastAsia="黑体"/>
          <w:bCs/>
          <w:sz w:val="24"/>
          <w:szCs w:val="24"/>
        </w:rPr>
        <w:t>第三节  技术需求明细</w:t>
      </w:r>
      <w:bookmarkEnd w:id="2"/>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1607"/>
        <w:gridCol w:w="6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496" w:type="pct"/>
            <w:noWrap w:val="0"/>
            <w:vAlign w:val="center"/>
          </w:tcPr>
          <w:p>
            <w:pPr>
              <w:spacing w:line="360" w:lineRule="exact"/>
              <w:jc w:val="center"/>
              <w:rPr>
                <w:rFonts w:ascii="宋体" w:hAnsi="宋体"/>
                <w:b/>
                <w:szCs w:val="21"/>
              </w:rPr>
            </w:pPr>
            <w:r>
              <w:rPr>
                <w:rFonts w:hint="eastAsia" w:ascii="宋体" w:hAnsi="宋体"/>
                <w:b/>
                <w:szCs w:val="21"/>
              </w:rPr>
              <w:t>序号</w:t>
            </w:r>
          </w:p>
        </w:tc>
        <w:tc>
          <w:tcPr>
            <w:tcW w:w="943" w:type="pct"/>
            <w:noWrap w:val="0"/>
            <w:vAlign w:val="center"/>
          </w:tcPr>
          <w:p>
            <w:pPr>
              <w:spacing w:line="360" w:lineRule="exact"/>
              <w:jc w:val="center"/>
              <w:rPr>
                <w:rFonts w:ascii="宋体" w:hAnsi="宋体"/>
                <w:b/>
                <w:szCs w:val="21"/>
              </w:rPr>
            </w:pPr>
            <w:r>
              <w:rPr>
                <w:rFonts w:hint="eastAsia" w:ascii="宋体" w:hAnsi="宋体"/>
                <w:b/>
                <w:szCs w:val="21"/>
              </w:rPr>
              <w:t>货物名称</w:t>
            </w:r>
          </w:p>
        </w:tc>
        <w:tc>
          <w:tcPr>
            <w:tcW w:w="3561" w:type="pct"/>
            <w:noWrap w:val="0"/>
            <w:vAlign w:val="center"/>
          </w:tcPr>
          <w:p>
            <w:pPr>
              <w:spacing w:line="360" w:lineRule="exact"/>
              <w:jc w:val="center"/>
              <w:rPr>
                <w:rFonts w:ascii="宋体" w:hAnsi="宋体"/>
                <w:b/>
                <w:szCs w:val="21"/>
              </w:rPr>
            </w:pPr>
            <w:r>
              <w:rPr>
                <w:rFonts w:hint="eastAsia" w:ascii="宋体" w:hAnsi="宋体"/>
                <w:b/>
                <w:szCs w:val="21"/>
              </w:rPr>
              <w:t>招标技术要求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96" w:type="pct"/>
            <w:vMerge w:val="restart"/>
            <w:noWrap w:val="0"/>
            <w:vAlign w:val="top"/>
          </w:tcPr>
          <w:p>
            <w:pPr>
              <w:widowControl/>
              <w:spacing w:line="360" w:lineRule="exact"/>
              <w:jc w:val="center"/>
              <w:rPr>
                <w:rFonts w:ascii="宋体" w:hAnsi="宋体"/>
                <w:b/>
                <w:kern w:val="0"/>
                <w:szCs w:val="21"/>
              </w:rPr>
            </w:pPr>
            <w:r>
              <w:rPr>
                <w:rFonts w:hint="eastAsia" w:ascii="宋体" w:hAnsi="宋体"/>
                <w:b/>
                <w:kern w:val="0"/>
                <w:szCs w:val="21"/>
              </w:rPr>
              <w:t>1</w:t>
            </w:r>
          </w:p>
        </w:tc>
        <w:tc>
          <w:tcPr>
            <w:tcW w:w="943" w:type="pct"/>
            <w:vMerge w:val="restart"/>
            <w:noWrap w:val="0"/>
            <w:vAlign w:val="top"/>
          </w:tcPr>
          <w:p>
            <w:pPr>
              <w:widowControl/>
              <w:spacing w:line="360" w:lineRule="exact"/>
              <w:jc w:val="center"/>
              <w:rPr>
                <w:rFonts w:ascii="宋体" w:hAnsi="宋体"/>
                <w:b/>
                <w:kern w:val="0"/>
                <w:szCs w:val="21"/>
              </w:rPr>
            </w:pPr>
            <w:r>
              <w:rPr>
                <w:rFonts w:hint="eastAsia" w:ascii="宋体" w:hAnsi="宋体" w:cs="宋体"/>
                <w:b/>
                <w:szCs w:val="21"/>
              </w:rPr>
              <w:t>生物显微镜</w:t>
            </w:r>
          </w:p>
        </w:tc>
        <w:tc>
          <w:tcPr>
            <w:tcW w:w="3561" w:type="pct"/>
            <w:noWrap w:val="0"/>
            <w:vAlign w:val="top"/>
          </w:tcPr>
          <w:p>
            <w:pPr>
              <w:widowControl/>
              <w:spacing w:line="360" w:lineRule="exact"/>
              <w:jc w:val="left"/>
              <w:rPr>
                <w:rFonts w:ascii="宋体" w:hAnsi="宋体"/>
                <w:kern w:val="0"/>
                <w:szCs w:val="21"/>
              </w:rPr>
            </w:pPr>
            <w:r>
              <w:rPr>
                <w:rFonts w:hint="eastAsia" w:ascii="宋体" w:hAnsi="宋体"/>
                <w:kern w:val="0"/>
                <w:szCs w:val="21"/>
              </w:rPr>
              <w:t>1.1</w:t>
            </w:r>
            <w:r>
              <w:rPr>
                <w:rFonts w:hint="eastAsia" w:ascii="宋体" w:hAnsi="宋体" w:cs="Arial"/>
                <w:bCs/>
                <w:kern w:val="0"/>
                <w:szCs w:val="21"/>
              </w:rPr>
              <w:t>具有DAPI(蓝色)，FITC(绿色)，RHOD(红色)，AQUA(青色)四个滤光块</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96" w:type="pct"/>
            <w:vMerge w:val="continue"/>
            <w:noWrap w:val="0"/>
            <w:vAlign w:val="top"/>
          </w:tcPr>
          <w:p>
            <w:pPr>
              <w:widowControl/>
              <w:spacing w:line="360" w:lineRule="exact"/>
              <w:jc w:val="center"/>
              <w:rPr>
                <w:rFonts w:ascii="宋体" w:hAnsi="宋体"/>
                <w:kern w:val="0"/>
                <w:szCs w:val="21"/>
              </w:rPr>
            </w:pPr>
          </w:p>
        </w:tc>
        <w:tc>
          <w:tcPr>
            <w:tcW w:w="943" w:type="pct"/>
            <w:vMerge w:val="continue"/>
            <w:noWrap w:val="0"/>
            <w:vAlign w:val="top"/>
          </w:tcPr>
          <w:p>
            <w:pPr>
              <w:widowControl/>
              <w:spacing w:line="360" w:lineRule="exact"/>
              <w:jc w:val="center"/>
              <w:rPr>
                <w:rFonts w:ascii="宋体" w:hAnsi="宋体"/>
                <w:kern w:val="0"/>
                <w:szCs w:val="21"/>
              </w:rPr>
            </w:pPr>
          </w:p>
        </w:tc>
        <w:tc>
          <w:tcPr>
            <w:tcW w:w="3561" w:type="pct"/>
            <w:noWrap w:val="0"/>
            <w:vAlign w:val="top"/>
          </w:tcPr>
          <w:p>
            <w:pPr>
              <w:widowControl/>
              <w:spacing w:line="360" w:lineRule="exact"/>
              <w:jc w:val="left"/>
              <w:rPr>
                <w:rFonts w:ascii="宋体" w:hAnsi="宋体"/>
                <w:kern w:val="0"/>
                <w:szCs w:val="21"/>
              </w:rPr>
            </w:pPr>
            <w:r>
              <w:rPr>
                <w:rFonts w:hint="eastAsia" w:ascii="宋体" w:hAnsi="宋体"/>
                <w:kern w:val="0"/>
                <w:szCs w:val="21"/>
              </w:rPr>
              <w:t>1.2</w:t>
            </w:r>
            <w:r>
              <w:rPr>
                <w:rFonts w:hint="eastAsia" w:ascii="宋体" w:hAnsi="宋体" w:cs="Arial"/>
                <w:bCs/>
                <w:kern w:val="0"/>
                <w:szCs w:val="21"/>
              </w:rPr>
              <w:t>光学系统：无限远校正光学系统，齐焦距离为国际标准45mm</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96" w:type="pct"/>
            <w:vMerge w:val="continue"/>
            <w:noWrap w:val="0"/>
            <w:vAlign w:val="top"/>
          </w:tcPr>
          <w:p>
            <w:pPr>
              <w:widowControl/>
              <w:spacing w:line="360" w:lineRule="exact"/>
              <w:jc w:val="center"/>
              <w:rPr>
                <w:rFonts w:ascii="宋体" w:hAnsi="宋体"/>
                <w:kern w:val="0"/>
                <w:szCs w:val="21"/>
              </w:rPr>
            </w:pPr>
          </w:p>
        </w:tc>
        <w:tc>
          <w:tcPr>
            <w:tcW w:w="943" w:type="pct"/>
            <w:vMerge w:val="continue"/>
            <w:noWrap w:val="0"/>
            <w:vAlign w:val="top"/>
          </w:tcPr>
          <w:p>
            <w:pPr>
              <w:widowControl/>
              <w:spacing w:line="360" w:lineRule="exact"/>
              <w:jc w:val="center"/>
              <w:rPr>
                <w:rFonts w:ascii="宋体" w:hAnsi="宋体"/>
                <w:kern w:val="0"/>
                <w:szCs w:val="21"/>
              </w:rPr>
            </w:pPr>
          </w:p>
        </w:tc>
        <w:tc>
          <w:tcPr>
            <w:tcW w:w="3561" w:type="pct"/>
            <w:noWrap w:val="0"/>
            <w:vAlign w:val="top"/>
          </w:tcPr>
          <w:p>
            <w:pPr>
              <w:widowControl/>
              <w:spacing w:line="360" w:lineRule="exact"/>
              <w:jc w:val="left"/>
              <w:rPr>
                <w:rFonts w:ascii="宋体" w:hAnsi="宋体"/>
                <w:kern w:val="0"/>
                <w:szCs w:val="21"/>
              </w:rPr>
            </w:pPr>
            <w:r>
              <w:rPr>
                <w:rFonts w:hint="eastAsia" w:ascii="宋体" w:hAnsi="宋体"/>
                <w:kern w:val="0"/>
                <w:szCs w:val="21"/>
              </w:rPr>
              <w:t>1.3</w:t>
            </w:r>
            <w:r>
              <w:rPr>
                <w:rFonts w:hint="eastAsia" w:ascii="宋体" w:hAnsi="宋体" w:cs="Arial"/>
                <w:bCs/>
                <w:kern w:val="0"/>
                <w:szCs w:val="21"/>
              </w:rPr>
              <w:t>调焦：载物台垂直运动方式距离≥25mm，最小微调刻度单位≤1微米</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96" w:type="pct"/>
            <w:vMerge w:val="continue"/>
            <w:noWrap w:val="0"/>
            <w:vAlign w:val="top"/>
          </w:tcPr>
          <w:p>
            <w:pPr>
              <w:widowControl/>
              <w:spacing w:line="360" w:lineRule="exact"/>
              <w:jc w:val="center"/>
              <w:rPr>
                <w:rFonts w:ascii="宋体" w:hAnsi="宋体"/>
                <w:kern w:val="0"/>
                <w:szCs w:val="21"/>
              </w:rPr>
            </w:pPr>
          </w:p>
        </w:tc>
        <w:tc>
          <w:tcPr>
            <w:tcW w:w="943" w:type="pct"/>
            <w:vMerge w:val="continue"/>
            <w:noWrap w:val="0"/>
            <w:vAlign w:val="top"/>
          </w:tcPr>
          <w:p>
            <w:pPr>
              <w:widowControl/>
              <w:spacing w:line="360" w:lineRule="exact"/>
              <w:jc w:val="center"/>
              <w:rPr>
                <w:rFonts w:ascii="宋体" w:hAnsi="宋体"/>
                <w:kern w:val="0"/>
                <w:szCs w:val="21"/>
              </w:rPr>
            </w:pPr>
          </w:p>
        </w:tc>
        <w:tc>
          <w:tcPr>
            <w:tcW w:w="3561" w:type="pct"/>
            <w:noWrap w:val="0"/>
            <w:vAlign w:val="top"/>
          </w:tcPr>
          <w:p>
            <w:pPr>
              <w:widowControl/>
              <w:spacing w:line="360" w:lineRule="exact"/>
              <w:jc w:val="left"/>
              <w:rPr>
                <w:rFonts w:ascii="宋体" w:hAnsi="宋体"/>
                <w:kern w:val="0"/>
                <w:szCs w:val="21"/>
              </w:rPr>
            </w:pPr>
            <w:r>
              <w:rPr>
                <w:rFonts w:hint="eastAsia" w:ascii="宋体" w:hAnsi="宋体"/>
                <w:kern w:val="0"/>
                <w:szCs w:val="21"/>
              </w:rPr>
              <w:t>1.4</w:t>
            </w:r>
            <w:r>
              <w:rPr>
                <w:rFonts w:hint="eastAsia" w:ascii="宋体" w:hAnsi="宋体" w:cs="Arial"/>
                <w:bCs/>
                <w:kern w:val="0"/>
                <w:szCs w:val="21"/>
              </w:rPr>
              <w:t xml:space="preserve">观察镜筒:宽视野三目观察筒分光比可调节档位≥3档，分光比为双目/摄像：100%/0、20%/80%、0/100% </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96" w:type="pct"/>
            <w:vMerge w:val="continue"/>
            <w:noWrap w:val="0"/>
            <w:vAlign w:val="top"/>
          </w:tcPr>
          <w:p>
            <w:pPr>
              <w:widowControl/>
              <w:spacing w:line="360" w:lineRule="exact"/>
              <w:jc w:val="center"/>
              <w:rPr>
                <w:rFonts w:ascii="宋体" w:hAnsi="宋体"/>
                <w:kern w:val="0"/>
                <w:szCs w:val="21"/>
              </w:rPr>
            </w:pPr>
          </w:p>
        </w:tc>
        <w:tc>
          <w:tcPr>
            <w:tcW w:w="943" w:type="pct"/>
            <w:vMerge w:val="continue"/>
            <w:noWrap w:val="0"/>
            <w:vAlign w:val="top"/>
          </w:tcPr>
          <w:p>
            <w:pPr>
              <w:widowControl/>
              <w:spacing w:line="360" w:lineRule="exact"/>
              <w:jc w:val="center"/>
              <w:rPr>
                <w:rFonts w:ascii="宋体" w:hAnsi="宋体"/>
                <w:kern w:val="0"/>
                <w:szCs w:val="21"/>
              </w:rPr>
            </w:pPr>
          </w:p>
        </w:tc>
        <w:tc>
          <w:tcPr>
            <w:tcW w:w="3561" w:type="pct"/>
            <w:noWrap w:val="0"/>
            <w:vAlign w:val="top"/>
          </w:tcPr>
          <w:p>
            <w:pPr>
              <w:widowControl/>
              <w:spacing w:line="360" w:lineRule="exact"/>
              <w:jc w:val="left"/>
              <w:rPr>
                <w:rFonts w:ascii="宋体" w:hAnsi="宋体"/>
                <w:kern w:val="0"/>
                <w:szCs w:val="21"/>
              </w:rPr>
            </w:pPr>
            <w:r>
              <w:rPr>
                <w:rFonts w:hint="eastAsia" w:ascii="宋体" w:hAnsi="宋体"/>
                <w:kern w:val="0"/>
                <w:szCs w:val="21"/>
              </w:rPr>
              <w:t>1.5</w:t>
            </w:r>
            <w:r>
              <w:rPr>
                <w:rFonts w:hint="eastAsia" w:ascii="宋体" w:hAnsi="宋体" w:cs="Arial"/>
                <w:bCs/>
                <w:kern w:val="0"/>
                <w:szCs w:val="21"/>
              </w:rPr>
              <w:t>具有照明装置，主机内置复眼光学透镜。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96" w:type="pct"/>
            <w:vMerge w:val="continue"/>
            <w:noWrap w:val="0"/>
            <w:vAlign w:val="top"/>
          </w:tcPr>
          <w:p>
            <w:pPr>
              <w:widowControl/>
              <w:spacing w:line="360" w:lineRule="exact"/>
              <w:jc w:val="center"/>
              <w:rPr>
                <w:rFonts w:ascii="宋体" w:hAnsi="宋体"/>
                <w:kern w:val="0"/>
                <w:szCs w:val="21"/>
              </w:rPr>
            </w:pPr>
          </w:p>
        </w:tc>
        <w:tc>
          <w:tcPr>
            <w:tcW w:w="943" w:type="pct"/>
            <w:vMerge w:val="continue"/>
            <w:noWrap w:val="0"/>
            <w:vAlign w:val="top"/>
          </w:tcPr>
          <w:p>
            <w:pPr>
              <w:widowControl/>
              <w:spacing w:line="360" w:lineRule="exact"/>
              <w:jc w:val="center"/>
              <w:rPr>
                <w:rFonts w:ascii="宋体" w:hAnsi="宋体"/>
                <w:kern w:val="0"/>
                <w:szCs w:val="21"/>
              </w:rPr>
            </w:pPr>
          </w:p>
        </w:tc>
        <w:tc>
          <w:tcPr>
            <w:tcW w:w="3561" w:type="pct"/>
            <w:noWrap w:val="0"/>
            <w:vAlign w:val="top"/>
          </w:tcPr>
          <w:p>
            <w:pPr>
              <w:widowControl/>
              <w:spacing w:line="360" w:lineRule="exact"/>
              <w:jc w:val="left"/>
              <w:rPr>
                <w:rFonts w:ascii="宋体" w:hAnsi="宋体"/>
                <w:kern w:val="0"/>
                <w:szCs w:val="21"/>
              </w:rPr>
            </w:pPr>
            <w:r>
              <w:rPr>
                <w:rFonts w:hint="eastAsia" w:ascii="宋体" w:hAnsi="宋体"/>
                <w:kern w:val="0"/>
                <w:szCs w:val="21"/>
              </w:rPr>
              <w:t>1.6</w:t>
            </w:r>
            <w:r>
              <w:rPr>
                <w:rFonts w:hint="eastAsia" w:ascii="宋体" w:hAnsi="宋体" w:cs="Arial"/>
                <w:bCs/>
                <w:kern w:val="0"/>
                <w:szCs w:val="21"/>
              </w:rPr>
              <w:t>物镜：视场数≥25，万能平场半复消色差万能物镜：10X（N.A.0.30 W.D.10mm），20X（N.A.0.5 W.D.2.1mm 带弹簧），100X（N.A.1.3 W.D.0.2mm带弹簧）</w:t>
            </w:r>
            <w:r>
              <w:rPr>
                <w:rFonts w:hint="eastAsia" w:ascii="宋体" w:hAnsi="宋体"/>
                <w:szCs w:val="21"/>
              </w:rPr>
              <w:t>。</w:t>
            </w:r>
          </w:p>
        </w:tc>
      </w:tr>
      <w:tr>
        <w:tblPrEx>
          <w:tblCellMar>
            <w:top w:w="0" w:type="dxa"/>
            <w:left w:w="108" w:type="dxa"/>
            <w:bottom w:w="0" w:type="dxa"/>
            <w:right w:w="108" w:type="dxa"/>
          </w:tblCellMar>
        </w:tblPrEx>
        <w:trPr>
          <w:trHeight w:val="450" w:hRule="atLeast"/>
        </w:trPr>
        <w:tc>
          <w:tcPr>
            <w:tcW w:w="496" w:type="pct"/>
            <w:vMerge w:val="continue"/>
            <w:noWrap w:val="0"/>
            <w:vAlign w:val="top"/>
          </w:tcPr>
          <w:p>
            <w:pPr>
              <w:widowControl/>
              <w:spacing w:line="360" w:lineRule="exact"/>
              <w:jc w:val="center"/>
              <w:rPr>
                <w:rFonts w:ascii="宋体" w:hAnsi="宋体"/>
                <w:kern w:val="0"/>
                <w:szCs w:val="21"/>
              </w:rPr>
            </w:pPr>
          </w:p>
        </w:tc>
        <w:tc>
          <w:tcPr>
            <w:tcW w:w="943" w:type="pct"/>
            <w:vMerge w:val="continue"/>
            <w:noWrap w:val="0"/>
            <w:vAlign w:val="top"/>
          </w:tcPr>
          <w:p>
            <w:pPr>
              <w:widowControl/>
              <w:spacing w:line="360" w:lineRule="exact"/>
              <w:jc w:val="center"/>
              <w:rPr>
                <w:rFonts w:ascii="宋体" w:hAnsi="宋体"/>
                <w:kern w:val="0"/>
                <w:szCs w:val="21"/>
              </w:rPr>
            </w:pPr>
          </w:p>
        </w:tc>
        <w:tc>
          <w:tcPr>
            <w:tcW w:w="3561" w:type="pct"/>
            <w:noWrap w:val="0"/>
            <w:vAlign w:val="top"/>
          </w:tcPr>
          <w:p>
            <w:pPr>
              <w:widowControl/>
              <w:spacing w:line="360" w:lineRule="exact"/>
              <w:jc w:val="left"/>
              <w:rPr>
                <w:rFonts w:ascii="宋体" w:hAnsi="宋体"/>
                <w:kern w:val="0"/>
                <w:szCs w:val="21"/>
              </w:rPr>
            </w:pPr>
            <w:r>
              <w:rPr>
                <w:rFonts w:hint="eastAsia" w:ascii="宋体" w:hAnsi="宋体"/>
                <w:kern w:val="0"/>
                <w:szCs w:val="21"/>
              </w:rPr>
              <w:t>1.7</w:t>
            </w:r>
            <w:r>
              <w:rPr>
                <w:rFonts w:hint="eastAsia" w:ascii="宋体" w:hAnsi="宋体" w:cs="Arial"/>
                <w:bCs/>
                <w:kern w:val="0"/>
                <w:szCs w:val="21"/>
              </w:rPr>
              <w:t>具有载物台，带双切夹，横向行程≥78（x轴）*54（y轴）mm</w:t>
            </w: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6" w:type="pct"/>
            <w:vMerge w:val="continue"/>
            <w:noWrap w:val="0"/>
            <w:vAlign w:val="top"/>
          </w:tcPr>
          <w:p>
            <w:pPr>
              <w:widowControl/>
              <w:spacing w:line="360" w:lineRule="exact"/>
              <w:jc w:val="center"/>
              <w:rPr>
                <w:rFonts w:ascii="宋体" w:hAnsi="宋体"/>
                <w:b/>
                <w:kern w:val="0"/>
                <w:szCs w:val="21"/>
              </w:rPr>
            </w:pPr>
          </w:p>
        </w:tc>
        <w:tc>
          <w:tcPr>
            <w:tcW w:w="943" w:type="pct"/>
            <w:vMerge w:val="continue"/>
            <w:noWrap w:val="0"/>
            <w:vAlign w:val="top"/>
          </w:tcPr>
          <w:p>
            <w:pPr>
              <w:widowControl/>
              <w:spacing w:line="360" w:lineRule="exact"/>
              <w:jc w:val="center"/>
              <w:rPr>
                <w:rFonts w:ascii="宋体" w:hAnsi="宋体"/>
                <w:kern w:val="0"/>
                <w:szCs w:val="21"/>
              </w:rPr>
            </w:pPr>
          </w:p>
        </w:tc>
        <w:tc>
          <w:tcPr>
            <w:tcW w:w="3561" w:type="pct"/>
            <w:noWrap w:val="0"/>
            <w:vAlign w:val="top"/>
          </w:tcPr>
          <w:p>
            <w:pPr>
              <w:widowControl/>
              <w:spacing w:line="360" w:lineRule="exact"/>
              <w:jc w:val="left"/>
              <w:rPr>
                <w:rFonts w:ascii="宋体" w:hAnsi="宋体"/>
                <w:kern w:val="0"/>
                <w:szCs w:val="21"/>
              </w:rPr>
            </w:pPr>
            <w:r>
              <w:rPr>
                <w:rFonts w:hint="eastAsia" w:ascii="宋体" w:hAnsi="宋体"/>
                <w:kern w:val="0"/>
                <w:szCs w:val="21"/>
              </w:rPr>
              <w:t>1.8</w:t>
            </w:r>
            <w:r>
              <w:rPr>
                <w:rFonts w:hint="eastAsia" w:ascii="宋体" w:hAnsi="宋体" w:cs="Arial"/>
                <w:bCs/>
                <w:kern w:val="0"/>
                <w:szCs w:val="21"/>
              </w:rPr>
              <w:t>目镜：10X宽视野目镜，视场数≥22</w:t>
            </w: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6" w:type="pct"/>
            <w:vMerge w:val="continue"/>
            <w:noWrap w:val="0"/>
            <w:vAlign w:val="top"/>
          </w:tcPr>
          <w:p>
            <w:pPr>
              <w:widowControl/>
              <w:spacing w:line="360" w:lineRule="exact"/>
              <w:jc w:val="center"/>
              <w:rPr>
                <w:rFonts w:ascii="宋体" w:hAnsi="宋体"/>
                <w:kern w:val="0"/>
                <w:szCs w:val="21"/>
              </w:rPr>
            </w:pPr>
          </w:p>
        </w:tc>
        <w:tc>
          <w:tcPr>
            <w:tcW w:w="943" w:type="pct"/>
            <w:vMerge w:val="continue"/>
            <w:noWrap w:val="0"/>
            <w:vAlign w:val="top"/>
          </w:tcPr>
          <w:p>
            <w:pPr>
              <w:widowControl/>
              <w:spacing w:line="360" w:lineRule="exact"/>
              <w:jc w:val="center"/>
              <w:rPr>
                <w:rFonts w:ascii="宋体" w:hAnsi="宋体"/>
                <w:kern w:val="0"/>
                <w:szCs w:val="21"/>
              </w:rPr>
            </w:pPr>
          </w:p>
        </w:tc>
        <w:tc>
          <w:tcPr>
            <w:tcW w:w="3561" w:type="pct"/>
            <w:noWrap w:val="0"/>
            <w:vAlign w:val="top"/>
          </w:tcPr>
          <w:p>
            <w:pPr>
              <w:widowControl/>
              <w:spacing w:line="360" w:lineRule="exact"/>
              <w:jc w:val="left"/>
              <w:rPr>
                <w:rFonts w:ascii="宋体" w:hAnsi="宋体"/>
                <w:kern w:val="0"/>
                <w:szCs w:val="21"/>
              </w:rPr>
            </w:pPr>
            <w:r>
              <w:rPr>
                <w:rFonts w:hint="eastAsia" w:ascii="宋体" w:hAnsi="宋体"/>
                <w:kern w:val="0"/>
                <w:szCs w:val="21"/>
              </w:rPr>
              <w:t>1.9</w:t>
            </w:r>
            <w:r>
              <w:rPr>
                <w:rFonts w:hint="eastAsia" w:ascii="宋体" w:hAnsi="宋体" w:cs="Arial"/>
                <w:bCs/>
                <w:kern w:val="0"/>
                <w:szCs w:val="21"/>
              </w:rPr>
              <w:t>物镜转换器：六孔物镜转换器</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6" w:type="pct"/>
            <w:vMerge w:val="continue"/>
            <w:noWrap w:val="0"/>
            <w:vAlign w:val="top"/>
          </w:tcPr>
          <w:p>
            <w:pPr>
              <w:widowControl/>
              <w:spacing w:line="360" w:lineRule="exact"/>
              <w:jc w:val="center"/>
              <w:rPr>
                <w:rFonts w:ascii="宋体" w:hAnsi="宋体"/>
                <w:kern w:val="0"/>
                <w:szCs w:val="21"/>
              </w:rPr>
            </w:pPr>
          </w:p>
        </w:tc>
        <w:tc>
          <w:tcPr>
            <w:tcW w:w="943" w:type="pct"/>
            <w:vMerge w:val="continue"/>
            <w:noWrap w:val="0"/>
            <w:vAlign w:val="top"/>
          </w:tcPr>
          <w:p>
            <w:pPr>
              <w:widowControl/>
              <w:spacing w:line="360" w:lineRule="exact"/>
              <w:jc w:val="center"/>
              <w:rPr>
                <w:rFonts w:ascii="宋体" w:hAnsi="宋体"/>
                <w:kern w:val="0"/>
                <w:szCs w:val="21"/>
              </w:rPr>
            </w:pPr>
          </w:p>
        </w:tc>
        <w:tc>
          <w:tcPr>
            <w:tcW w:w="3561" w:type="pct"/>
            <w:noWrap w:val="0"/>
            <w:vAlign w:val="top"/>
          </w:tcPr>
          <w:p>
            <w:pPr>
              <w:widowControl/>
              <w:spacing w:line="360" w:lineRule="exact"/>
              <w:jc w:val="left"/>
              <w:rPr>
                <w:rFonts w:ascii="宋体" w:hAnsi="宋体"/>
                <w:kern w:val="0"/>
                <w:szCs w:val="21"/>
              </w:rPr>
            </w:pPr>
            <w:r>
              <w:rPr>
                <w:rFonts w:hint="eastAsia" w:ascii="宋体" w:hAnsi="宋体"/>
                <w:kern w:val="0"/>
                <w:szCs w:val="21"/>
              </w:rPr>
              <w:t>1.10</w:t>
            </w:r>
            <w:r>
              <w:rPr>
                <w:rFonts w:hint="eastAsia" w:ascii="宋体" w:hAnsi="宋体" w:cs="Arial"/>
                <w:bCs/>
                <w:kern w:val="0"/>
                <w:szCs w:val="21"/>
              </w:rPr>
              <w:t>荧光系统：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6" w:type="pct"/>
            <w:vMerge w:val="continue"/>
            <w:noWrap w:val="0"/>
            <w:vAlign w:val="top"/>
          </w:tcPr>
          <w:p>
            <w:pPr>
              <w:widowControl/>
              <w:spacing w:line="360" w:lineRule="exact"/>
              <w:jc w:val="center"/>
              <w:rPr>
                <w:rFonts w:ascii="宋体" w:hAnsi="宋体"/>
                <w:kern w:val="0"/>
                <w:szCs w:val="21"/>
              </w:rPr>
            </w:pPr>
          </w:p>
        </w:tc>
        <w:tc>
          <w:tcPr>
            <w:tcW w:w="943" w:type="pct"/>
            <w:vMerge w:val="continue"/>
            <w:noWrap w:val="0"/>
            <w:vAlign w:val="top"/>
          </w:tcPr>
          <w:p>
            <w:pPr>
              <w:widowControl/>
              <w:spacing w:line="360" w:lineRule="exact"/>
              <w:jc w:val="center"/>
              <w:rPr>
                <w:rFonts w:ascii="宋体" w:hAnsi="宋体"/>
                <w:kern w:val="0"/>
                <w:szCs w:val="21"/>
              </w:rPr>
            </w:pPr>
          </w:p>
        </w:tc>
        <w:tc>
          <w:tcPr>
            <w:tcW w:w="3561" w:type="pct"/>
            <w:noWrap w:val="0"/>
            <w:vAlign w:val="top"/>
          </w:tcPr>
          <w:p>
            <w:pPr>
              <w:widowControl/>
              <w:spacing w:line="360" w:lineRule="exact"/>
              <w:jc w:val="left"/>
              <w:rPr>
                <w:rFonts w:ascii="宋体" w:hAnsi="宋体"/>
                <w:kern w:val="0"/>
                <w:szCs w:val="21"/>
              </w:rPr>
            </w:pPr>
            <w:r>
              <w:rPr>
                <w:rFonts w:hint="eastAsia" w:ascii="宋体" w:hAnsi="宋体"/>
                <w:kern w:val="0"/>
                <w:szCs w:val="21"/>
              </w:rPr>
              <w:t>1.10.1</w:t>
            </w:r>
            <w:r>
              <w:rPr>
                <w:rFonts w:hint="eastAsia" w:ascii="宋体" w:hAnsi="宋体" w:cs="Arial"/>
                <w:bCs/>
                <w:kern w:val="0"/>
                <w:szCs w:val="21"/>
              </w:rPr>
              <w:t>≥6孔位激发镜转换器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6" w:type="pct"/>
            <w:vMerge w:val="continue"/>
            <w:noWrap w:val="0"/>
            <w:vAlign w:val="top"/>
          </w:tcPr>
          <w:p>
            <w:pPr>
              <w:widowControl/>
              <w:spacing w:line="360" w:lineRule="exact"/>
              <w:jc w:val="center"/>
              <w:rPr>
                <w:rFonts w:ascii="宋体" w:hAnsi="宋体"/>
                <w:kern w:val="0"/>
                <w:szCs w:val="21"/>
              </w:rPr>
            </w:pPr>
          </w:p>
        </w:tc>
        <w:tc>
          <w:tcPr>
            <w:tcW w:w="943" w:type="pct"/>
            <w:vMerge w:val="continue"/>
            <w:noWrap w:val="0"/>
            <w:vAlign w:val="top"/>
          </w:tcPr>
          <w:p>
            <w:pPr>
              <w:widowControl/>
              <w:spacing w:line="360" w:lineRule="exact"/>
              <w:jc w:val="center"/>
              <w:rPr>
                <w:rFonts w:ascii="宋体" w:hAnsi="宋体"/>
                <w:kern w:val="0"/>
                <w:szCs w:val="21"/>
              </w:rPr>
            </w:pPr>
          </w:p>
        </w:tc>
        <w:tc>
          <w:tcPr>
            <w:tcW w:w="3561" w:type="pct"/>
            <w:noWrap w:val="0"/>
            <w:vAlign w:val="top"/>
          </w:tcPr>
          <w:p>
            <w:pPr>
              <w:widowControl/>
              <w:spacing w:line="360" w:lineRule="exact"/>
              <w:jc w:val="left"/>
              <w:rPr>
                <w:rFonts w:ascii="宋体" w:hAnsi="宋体"/>
                <w:kern w:val="0"/>
                <w:szCs w:val="21"/>
              </w:rPr>
            </w:pPr>
            <w:r>
              <w:rPr>
                <w:rFonts w:hint="eastAsia" w:ascii="宋体" w:hAnsi="宋体"/>
                <w:kern w:val="0"/>
                <w:szCs w:val="21"/>
              </w:rPr>
              <w:t>1.10.2</w:t>
            </w:r>
            <w:r>
              <w:rPr>
                <w:rFonts w:hint="eastAsia" w:ascii="宋体" w:hAnsi="宋体" w:cs="Arial"/>
                <w:bCs/>
                <w:kern w:val="0"/>
                <w:szCs w:val="21"/>
              </w:rPr>
              <w:t>具有荧光激发块：B、G、U激发，滤光块转盘和滤光块中配备噪音消除装置。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6" w:type="pct"/>
            <w:vMerge w:val="continue"/>
            <w:noWrap w:val="0"/>
            <w:vAlign w:val="top"/>
          </w:tcPr>
          <w:p>
            <w:pPr>
              <w:widowControl/>
              <w:spacing w:line="360" w:lineRule="exact"/>
              <w:jc w:val="center"/>
              <w:rPr>
                <w:rFonts w:ascii="宋体" w:hAnsi="宋体"/>
                <w:kern w:val="0"/>
                <w:szCs w:val="21"/>
              </w:rPr>
            </w:pPr>
          </w:p>
        </w:tc>
        <w:tc>
          <w:tcPr>
            <w:tcW w:w="943" w:type="pct"/>
            <w:vMerge w:val="continue"/>
            <w:noWrap w:val="0"/>
            <w:vAlign w:val="top"/>
          </w:tcPr>
          <w:p>
            <w:pPr>
              <w:widowControl/>
              <w:spacing w:line="360" w:lineRule="exact"/>
              <w:jc w:val="center"/>
              <w:rPr>
                <w:rFonts w:ascii="宋体" w:hAnsi="宋体"/>
                <w:kern w:val="0"/>
                <w:szCs w:val="21"/>
              </w:rPr>
            </w:pPr>
          </w:p>
        </w:tc>
        <w:tc>
          <w:tcPr>
            <w:tcW w:w="3561" w:type="pct"/>
            <w:noWrap w:val="0"/>
            <w:vAlign w:val="top"/>
          </w:tcPr>
          <w:p>
            <w:pPr>
              <w:widowControl/>
              <w:spacing w:line="360" w:lineRule="exact"/>
              <w:jc w:val="left"/>
              <w:rPr>
                <w:rFonts w:ascii="宋体" w:hAnsi="宋体"/>
                <w:kern w:val="0"/>
                <w:szCs w:val="21"/>
              </w:rPr>
            </w:pPr>
            <w:r>
              <w:rPr>
                <w:rFonts w:hint="eastAsia" w:ascii="宋体" w:hAnsi="宋体"/>
                <w:kern w:val="0"/>
                <w:szCs w:val="21"/>
              </w:rPr>
              <w:t>1.10.3 具有</w:t>
            </w:r>
            <w:r>
              <w:rPr>
                <w:rFonts w:hint="eastAsia" w:ascii="宋体" w:hAnsi="宋体" w:cs="Arial"/>
                <w:bCs/>
                <w:kern w:val="0"/>
                <w:szCs w:val="21"/>
              </w:rPr>
              <w:t>12V100W超高压汞灯，带反光镜，中性密度滤色片。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6" w:type="pct"/>
            <w:vMerge w:val="restart"/>
            <w:noWrap w:val="0"/>
            <w:vAlign w:val="top"/>
          </w:tcPr>
          <w:p>
            <w:pPr>
              <w:widowControl/>
              <w:spacing w:line="360" w:lineRule="exact"/>
              <w:jc w:val="center"/>
              <w:rPr>
                <w:rFonts w:ascii="宋体" w:hAnsi="宋体"/>
                <w:b/>
                <w:kern w:val="0"/>
                <w:szCs w:val="21"/>
              </w:rPr>
            </w:pPr>
            <w:r>
              <w:rPr>
                <w:rFonts w:hint="eastAsia" w:ascii="宋体" w:hAnsi="宋体"/>
                <w:b/>
                <w:kern w:val="0"/>
                <w:szCs w:val="21"/>
              </w:rPr>
              <w:t>2</w:t>
            </w:r>
          </w:p>
        </w:tc>
        <w:tc>
          <w:tcPr>
            <w:tcW w:w="943" w:type="pct"/>
            <w:vMerge w:val="restart"/>
            <w:noWrap w:val="0"/>
            <w:vAlign w:val="top"/>
          </w:tcPr>
          <w:p>
            <w:pPr>
              <w:widowControl/>
              <w:spacing w:line="360" w:lineRule="exact"/>
              <w:jc w:val="center"/>
              <w:rPr>
                <w:rFonts w:ascii="宋体" w:hAnsi="宋体"/>
                <w:b/>
                <w:kern w:val="0"/>
                <w:szCs w:val="21"/>
              </w:rPr>
            </w:pPr>
            <w:r>
              <w:rPr>
                <w:rFonts w:hint="eastAsia" w:ascii="宋体" w:hAnsi="宋体"/>
                <w:b/>
                <w:szCs w:val="21"/>
              </w:rPr>
              <w:t>数码相机</w:t>
            </w:r>
          </w:p>
        </w:tc>
        <w:tc>
          <w:tcPr>
            <w:tcW w:w="3561" w:type="pct"/>
            <w:noWrap w:val="0"/>
            <w:vAlign w:val="top"/>
          </w:tcPr>
          <w:p>
            <w:pPr>
              <w:widowControl/>
              <w:spacing w:line="360" w:lineRule="exact"/>
              <w:jc w:val="left"/>
              <w:rPr>
                <w:rFonts w:ascii="宋体" w:hAnsi="宋体"/>
                <w:kern w:val="0"/>
                <w:szCs w:val="21"/>
              </w:rPr>
            </w:pPr>
            <w:r>
              <w:rPr>
                <w:rFonts w:hint="eastAsia" w:ascii="宋体" w:hAnsi="宋体"/>
                <w:kern w:val="0"/>
                <w:szCs w:val="21"/>
              </w:rPr>
              <w:t>2.1</w:t>
            </w:r>
            <w:r>
              <w:rPr>
                <w:rFonts w:hint="eastAsia" w:ascii="宋体" w:hAnsi="宋体"/>
                <w:szCs w:val="21"/>
              </w:rPr>
              <w:t>高分辨率显微专用数码相机。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6" w:type="pct"/>
            <w:vMerge w:val="continue"/>
            <w:noWrap w:val="0"/>
            <w:vAlign w:val="top"/>
          </w:tcPr>
          <w:p>
            <w:pPr>
              <w:widowControl/>
              <w:spacing w:line="360" w:lineRule="exact"/>
              <w:jc w:val="center"/>
              <w:rPr>
                <w:rFonts w:ascii="宋体" w:hAnsi="宋体"/>
                <w:kern w:val="0"/>
                <w:szCs w:val="21"/>
              </w:rPr>
            </w:pPr>
          </w:p>
        </w:tc>
        <w:tc>
          <w:tcPr>
            <w:tcW w:w="943" w:type="pct"/>
            <w:vMerge w:val="continue"/>
            <w:noWrap w:val="0"/>
            <w:vAlign w:val="top"/>
          </w:tcPr>
          <w:p>
            <w:pPr>
              <w:widowControl/>
              <w:spacing w:line="360" w:lineRule="exact"/>
              <w:jc w:val="center"/>
              <w:rPr>
                <w:rFonts w:ascii="宋体" w:hAnsi="宋体"/>
                <w:kern w:val="0"/>
                <w:szCs w:val="21"/>
              </w:rPr>
            </w:pPr>
          </w:p>
        </w:tc>
        <w:tc>
          <w:tcPr>
            <w:tcW w:w="3561" w:type="pct"/>
            <w:noWrap w:val="0"/>
            <w:vAlign w:val="top"/>
          </w:tcPr>
          <w:p>
            <w:pPr>
              <w:widowControl/>
              <w:spacing w:line="360" w:lineRule="exact"/>
              <w:jc w:val="left"/>
              <w:rPr>
                <w:rFonts w:ascii="宋体" w:hAnsi="宋体"/>
                <w:kern w:val="0"/>
                <w:szCs w:val="21"/>
              </w:rPr>
            </w:pPr>
            <w:r>
              <w:rPr>
                <w:rFonts w:hint="eastAsia" w:ascii="宋体" w:hAnsi="宋体"/>
                <w:kern w:val="0"/>
                <w:szCs w:val="21"/>
              </w:rPr>
              <w:t>2.2</w:t>
            </w:r>
            <w:r>
              <w:rPr>
                <w:rFonts w:hint="eastAsia" w:ascii="宋体" w:hAnsi="宋体"/>
                <w:szCs w:val="21"/>
              </w:rPr>
              <w:t>高分辩率/高敏感度数字扫描灰度CCD摄像头（黑白）。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6" w:type="pct"/>
            <w:vMerge w:val="continue"/>
            <w:noWrap w:val="0"/>
            <w:vAlign w:val="top"/>
          </w:tcPr>
          <w:p>
            <w:pPr>
              <w:widowControl/>
              <w:spacing w:line="360" w:lineRule="exact"/>
              <w:jc w:val="center"/>
              <w:rPr>
                <w:rFonts w:ascii="宋体" w:hAnsi="宋体"/>
                <w:kern w:val="0"/>
                <w:szCs w:val="21"/>
              </w:rPr>
            </w:pPr>
          </w:p>
        </w:tc>
        <w:tc>
          <w:tcPr>
            <w:tcW w:w="943" w:type="pct"/>
            <w:vMerge w:val="continue"/>
            <w:noWrap w:val="0"/>
            <w:vAlign w:val="top"/>
          </w:tcPr>
          <w:p>
            <w:pPr>
              <w:widowControl/>
              <w:spacing w:line="360" w:lineRule="exact"/>
              <w:jc w:val="center"/>
              <w:rPr>
                <w:rFonts w:ascii="宋体" w:hAnsi="宋体"/>
                <w:kern w:val="0"/>
                <w:szCs w:val="21"/>
              </w:rPr>
            </w:pPr>
          </w:p>
        </w:tc>
        <w:tc>
          <w:tcPr>
            <w:tcW w:w="3561" w:type="pct"/>
            <w:noWrap w:val="0"/>
            <w:vAlign w:val="top"/>
          </w:tcPr>
          <w:p>
            <w:pPr>
              <w:widowControl/>
              <w:spacing w:line="360" w:lineRule="exact"/>
              <w:jc w:val="left"/>
              <w:rPr>
                <w:rFonts w:ascii="宋体" w:hAnsi="宋体"/>
                <w:kern w:val="0"/>
                <w:szCs w:val="21"/>
              </w:rPr>
            </w:pPr>
            <w:r>
              <w:rPr>
                <w:rFonts w:hint="eastAsia" w:ascii="宋体" w:hAnsi="宋体"/>
                <w:kern w:val="0"/>
                <w:szCs w:val="21"/>
              </w:rPr>
              <w:t>2.3具有≥</w:t>
            </w:r>
            <w:r>
              <w:rPr>
                <w:rFonts w:hint="eastAsia" w:ascii="宋体" w:hAnsi="宋体"/>
                <w:szCs w:val="21"/>
              </w:rPr>
              <w:t>1英寸COMS芯片。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6" w:type="pct"/>
            <w:vMerge w:val="continue"/>
            <w:noWrap w:val="0"/>
            <w:vAlign w:val="top"/>
          </w:tcPr>
          <w:p>
            <w:pPr>
              <w:widowControl/>
              <w:spacing w:line="360" w:lineRule="exact"/>
              <w:jc w:val="center"/>
              <w:rPr>
                <w:rFonts w:ascii="宋体" w:hAnsi="宋体"/>
                <w:kern w:val="0"/>
                <w:szCs w:val="21"/>
              </w:rPr>
            </w:pPr>
          </w:p>
        </w:tc>
        <w:tc>
          <w:tcPr>
            <w:tcW w:w="943" w:type="pct"/>
            <w:vMerge w:val="continue"/>
            <w:noWrap w:val="0"/>
            <w:vAlign w:val="top"/>
          </w:tcPr>
          <w:p>
            <w:pPr>
              <w:widowControl/>
              <w:spacing w:line="360" w:lineRule="exact"/>
              <w:jc w:val="center"/>
              <w:rPr>
                <w:rFonts w:ascii="宋体" w:hAnsi="宋体"/>
                <w:kern w:val="0"/>
                <w:szCs w:val="21"/>
              </w:rPr>
            </w:pPr>
          </w:p>
        </w:tc>
        <w:tc>
          <w:tcPr>
            <w:tcW w:w="3561" w:type="pct"/>
            <w:noWrap w:val="0"/>
            <w:vAlign w:val="top"/>
          </w:tcPr>
          <w:p>
            <w:pPr>
              <w:widowControl/>
              <w:spacing w:line="360" w:lineRule="exact"/>
              <w:jc w:val="left"/>
              <w:rPr>
                <w:rFonts w:ascii="宋体" w:hAnsi="宋体"/>
                <w:kern w:val="0"/>
                <w:szCs w:val="21"/>
              </w:rPr>
            </w:pPr>
            <w:r>
              <w:rPr>
                <w:rFonts w:hint="eastAsia" w:ascii="宋体" w:hAnsi="宋体"/>
                <w:kern w:val="0"/>
                <w:szCs w:val="21"/>
              </w:rPr>
              <w:t>2.4</w:t>
            </w:r>
            <w:r>
              <w:rPr>
                <w:rFonts w:hint="eastAsia" w:ascii="宋体" w:hAnsi="宋体"/>
                <w:szCs w:val="21"/>
              </w:rPr>
              <w:t>有效像素≥900万。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6" w:type="pct"/>
            <w:vMerge w:val="continue"/>
            <w:noWrap w:val="0"/>
            <w:vAlign w:val="top"/>
          </w:tcPr>
          <w:p>
            <w:pPr>
              <w:widowControl/>
              <w:spacing w:line="360" w:lineRule="exact"/>
              <w:jc w:val="center"/>
              <w:rPr>
                <w:rFonts w:ascii="宋体" w:hAnsi="宋体"/>
                <w:kern w:val="0"/>
                <w:szCs w:val="21"/>
              </w:rPr>
            </w:pPr>
          </w:p>
        </w:tc>
        <w:tc>
          <w:tcPr>
            <w:tcW w:w="943" w:type="pct"/>
            <w:vMerge w:val="continue"/>
            <w:noWrap w:val="0"/>
            <w:vAlign w:val="top"/>
          </w:tcPr>
          <w:p>
            <w:pPr>
              <w:widowControl/>
              <w:spacing w:line="360" w:lineRule="exact"/>
              <w:jc w:val="center"/>
              <w:rPr>
                <w:rFonts w:ascii="宋体" w:hAnsi="宋体"/>
                <w:kern w:val="0"/>
                <w:szCs w:val="21"/>
              </w:rPr>
            </w:pPr>
          </w:p>
        </w:tc>
        <w:tc>
          <w:tcPr>
            <w:tcW w:w="3561" w:type="pct"/>
            <w:noWrap w:val="0"/>
            <w:vAlign w:val="top"/>
          </w:tcPr>
          <w:p>
            <w:pPr>
              <w:widowControl/>
              <w:spacing w:line="360" w:lineRule="exact"/>
              <w:jc w:val="left"/>
              <w:rPr>
                <w:rFonts w:ascii="宋体" w:hAnsi="宋体"/>
                <w:kern w:val="0"/>
                <w:szCs w:val="21"/>
              </w:rPr>
            </w:pPr>
            <w:r>
              <w:rPr>
                <w:rFonts w:hint="eastAsia" w:ascii="宋体" w:hAnsi="宋体"/>
                <w:kern w:val="0"/>
                <w:szCs w:val="21"/>
              </w:rPr>
              <w:t>2.5</w:t>
            </w:r>
            <w:r>
              <w:rPr>
                <w:rFonts w:hint="eastAsia" w:ascii="宋体" w:hAnsi="宋体"/>
                <w:szCs w:val="21"/>
              </w:rPr>
              <w:t>最大分辨率≥4096X2160像素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6" w:type="pct"/>
            <w:vMerge w:val="continue"/>
            <w:noWrap w:val="0"/>
            <w:vAlign w:val="top"/>
          </w:tcPr>
          <w:p>
            <w:pPr>
              <w:widowControl/>
              <w:spacing w:line="360" w:lineRule="exact"/>
              <w:jc w:val="center"/>
              <w:rPr>
                <w:rFonts w:ascii="宋体" w:hAnsi="宋体"/>
                <w:kern w:val="0"/>
                <w:szCs w:val="21"/>
              </w:rPr>
            </w:pPr>
          </w:p>
        </w:tc>
        <w:tc>
          <w:tcPr>
            <w:tcW w:w="943" w:type="pct"/>
            <w:vMerge w:val="continue"/>
            <w:noWrap w:val="0"/>
            <w:vAlign w:val="top"/>
          </w:tcPr>
          <w:p>
            <w:pPr>
              <w:widowControl/>
              <w:spacing w:line="360" w:lineRule="exact"/>
              <w:jc w:val="center"/>
              <w:rPr>
                <w:rFonts w:ascii="宋体" w:hAnsi="宋体"/>
                <w:kern w:val="0"/>
                <w:szCs w:val="21"/>
              </w:rPr>
            </w:pPr>
          </w:p>
        </w:tc>
        <w:tc>
          <w:tcPr>
            <w:tcW w:w="3561" w:type="pct"/>
            <w:noWrap w:val="0"/>
            <w:vAlign w:val="top"/>
          </w:tcPr>
          <w:p>
            <w:pPr>
              <w:widowControl/>
              <w:spacing w:line="360" w:lineRule="exact"/>
              <w:jc w:val="left"/>
              <w:rPr>
                <w:rFonts w:ascii="宋体" w:hAnsi="宋体"/>
                <w:kern w:val="0"/>
                <w:szCs w:val="21"/>
              </w:rPr>
            </w:pPr>
            <w:r>
              <w:rPr>
                <w:rFonts w:hint="eastAsia" w:ascii="宋体" w:hAnsi="宋体"/>
                <w:kern w:val="0"/>
                <w:szCs w:val="21"/>
              </w:rPr>
              <w:t>2.6</w:t>
            </w:r>
            <w:r>
              <w:rPr>
                <w:rFonts w:hint="eastAsia" w:ascii="宋体" w:hAnsi="宋体"/>
                <w:szCs w:val="21"/>
              </w:rPr>
              <w:t>灰度显示≥12位（4096级）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6" w:type="pct"/>
            <w:vMerge w:val="continue"/>
            <w:noWrap w:val="0"/>
            <w:vAlign w:val="top"/>
          </w:tcPr>
          <w:p>
            <w:pPr>
              <w:widowControl/>
              <w:spacing w:line="360" w:lineRule="exact"/>
              <w:jc w:val="center"/>
              <w:rPr>
                <w:rFonts w:ascii="宋体" w:hAnsi="宋体"/>
                <w:kern w:val="0"/>
                <w:szCs w:val="21"/>
              </w:rPr>
            </w:pPr>
          </w:p>
        </w:tc>
        <w:tc>
          <w:tcPr>
            <w:tcW w:w="943" w:type="pct"/>
            <w:vMerge w:val="continue"/>
            <w:noWrap w:val="0"/>
            <w:vAlign w:val="top"/>
          </w:tcPr>
          <w:p>
            <w:pPr>
              <w:widowControl/>
              <w:spacing w:line="360" w:lineRule="exact"/>
              <w:jc w:val="center"/>
              <w:rPr>
                <w:rFonts w:ascii="宋体" w:hAnsi="宋体"/>
                <w:kern w:val="0"/>
                <w:szCs w:val="21"/>
              </w:rPr>
            </w:pPr>
          </w:p>
        </w:tc>
        <w:tc>
          <w:tcPr>
            <w:tcW w:w="3561" w:type="pct"/>
            <w:noWrap w:val="0"/>
            <w:vAlign w:val="top"/>
          </w:tcPr>
          <w:p>
            <w:pPr>
              <w:widowControl/>
              <w:spacing w:line="360" w:lineRule="exact"/>
              <w:jc w:val="left"/>
              <w:rPr>
                <w:rFonts w:ascii="宋体" w:hAnsi="宋体"/>
                <w:kern w:val="0"/>
                <w:szCs w:val="21"/>
              </w:rPr>
            </w:pPr>
            <w:r>
              <w:rPr>
                <w:rFonts w:hint="eastAsia" w:ascii="宋体" w:hAnsi="宋体"/>
                <w:kern w:val="0"/>
                <w:szCs w:val="21"/>
              </w:rPr>
              <w:t>2.7</w:t>
            </w:r>
            <w:r>
              <w:rPr>
                <w:rFonts w:hint="eastAsia" w:ascii="宋体" w:hAnsi="宋体"/>
                <w:szCs w:val="21"/>
              </w:rPr>
              <w:t xml:space="preserve"> 具有USB3.0接口，传输速率≥400Mb每秒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6" w:type="pct"/>
            <w:vMerge w:val="continue"/>
            <w:noWrap w:val="0"/>
            <w:vAlign w:val="top"/>
          </w:tcPr>
          <w:p>
            <w:pPr>
              <w:widowControl/>
              <w:spacing w:line="360" w:lineRule="exact"/>
              <w:jc w:val="center"/>
              <w:rPr>
                <w:rFonts w:ascii="宋体" w:hAnsi="宋体"/>
                <w:kern w:val="0"/>
                <w:szCs w:val="21"/>
              </w:rPr>
            </w:pPr>
          </w:p>
        </w:tc>
        <w:tc>
          <w:tcPr>
            <w:tcW w:w="943" w:type="pct"/>
            <w:vMerge w:val="continue"/>
            <w:noWrap w:val="0"/>
            <w:vAlign w:val="top"/>
          </w:tcPr>
          <w:p>
            <w:pPr>
              <w:widowControl/>
              <w:spacing w:line="360" w:lineRule="exact"/>
              <w:jc w:val="center"/>
              <w:rPr>
                <w:rFonts w:ascii="宋体" w:hAnsi="宋体"/>
                <w:kern w:val="0"/>
                <w:szCs w:val="21"/>
              </w:rPr>
            </w:pPr>
          </w:p>
        </w:tc>
        <w:tc>
          <w:tcPr>
            <w:tcW w:w="3561" w:type="pct"/>
            <w:noWrap w:val="0"/>
            <w:vAlign w:val="top"/>
          </w:tcPr>
          <w:p>
            <w:pPr>
              <w:widowControl/>
              <w:spacing w:line="360" w:lineRule="exact"/>
              <w:jc w:val="left"/>
              <w:rPr>
                <w:rFonts w:ascii="宋体" w:hAnsi="宋体"/>
                <w:kern w:val="0"/>
                <w:szCs w:val="21"/>
              </w:rPr>
            </w:pPr>
            <w:r>
              <w:rPr>
                <w:rFonts w:hint="eastAsia" w:ascii="宋体" w:hAnsi="宋体"/>
                <w:kern w:val="0"/>
                <w:szCs w:val="21"/>
              </w:rPr>
              <w:t>2.8</w:t>
            </w:r>
            <w:r>
              <w:rPr>
                <w:rFonts w:hint="eastAsia" w:ascii="宋体" w:hAnsi="宋体"/>
                <w:szCs w:val="21"/>
              </w:rPr>
              <w:t>像素大小：≤3.45x3.45um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6" w:type="pct"/>
            <w:vMerge w:val="restart"/>
            <w:noWrap w:val="0"/>
            <w:vAlign w:val="top"/>
          </w:tcPr>
          <w:p>
            <w:pPr>
              <w:widowControl/>
              <w:spacing w:line="360" w:lineRule="exact"/>
              <w:jc w:val="center"/>
              <w:rPr>
                <w:rFonts w:ascii="宋体" w:hAnsi="宋体"/>
                <w:b/>
                <w:kern w:val="0"/>
                <w:szCs w:val="21"/>
              </w:rPr>
            </w:pPr>
            <w:r>
              <w:rPr>
                <w:rFonts w:hint="eastAsia" w:ascii="宋体" w:hAnsi="宋体"/>
                <w:b/>
                <w:kern w:val="0"/>
                <w:szCs w:val="21"/>
              </w:rPr>
              <w:t>3</w:t>
            </w:r>
          </w:p>
        </w:tc>
        <w:tc>
          <w:tcPr>
            <w:tcW w:w="943" w:type="pct"/>
            <w:vMerge w:val="restart"/>
            <w:noWrap w:val="0"/>
            <w:vAlign w:val="top"/>
          </w:tcPr>
          <w:p>
            <w:pPr>
              <w:widowControl/>
              <w:spacing w:line="360" w:lineRule="exact"/>
              <w:jc w:val="center"/>
              <w:rPr>
                <w:rFonts w:ascii="宋体" w:hAnsi="宋体"/>
                <w:b/>
                <w:kern w:val="0"/>
                <w:szCs w:val="21"/>
              </w:rPr>
            </w:pPr>
            <w:r>
              <w:rPr>
                <w:rFonts w:hint="eastAsia" w:ascii="宋体" w:hAnsi="宋体" w:cs="Arial"/>
                <w:b/>
                <w:bCs/>
                <w:kern w:val="0"/>
                <w:szCs w:val="21"/>
              </w:rPr>
              <w:t>荧光原位杂交分析软件</w:t>
            </w:r>
          </w:p>
        </w:tc>
        <w:tc>
          <w:tcPr>
            <w:tcW w:w="3561" w:type="pct"/>
            <w:noWrap w:val="0"/>
            <w:vAlign w:val="top"/>
          </w:tcPr>
          <w:p>
            <w:pPr>
              <w:widowControl/>
              <w:spacing w:line="360" w:lineRule="exact"/>
              <w:jc w:val="left"/>
              <w:rPr>
                <w:rFonts w:ascii="宋体" w:hAnsi="宋体"/>
                <w:kern w:val="0"/>
                <w:szCs w:val="21"/>
              </w:rPr>
            </w:pPr>
            <w:r>
              <w:rPr>
                <w:rFonts w:hint="eastAsia" w:ascii="宋体" w:hAnsi="宋体"/>
                <w:kern w:val="0"/>
                <w:szCs w:val="21"/>
              </w:rPr>
              <w:t>3.1适</w:t>
            </w:r>
            <w:r>
              <w:rPr>
                <w:rFonts w:hint="eastAsia" w:ascii="宋体" w:hAnsi="宋体"/>
                <w:szCs w:val="21"/>
              </w:rPr>
              <w:t>用于人、动物和植物等各种生物的中期分裂相和间期细胞的荧光原位杂交图像分析；全中文操作界面。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6" w:type="pct"/>
            <w:vMerge w:val="continue"/>
            <w:noWrap w:val="0"/>
            <w:vAlign w:val="top"/>
          </w:tcPr>
          <w:p>
            <w:pPr>
              <w:widowControl/>
              <w:spacing w:line="360" w:lineRule="exact"/>
              <w:jc w:val="left"/>
              <w:rPr>
                <w:rFonts w:ascii="宋体" w:hAnsi="宋体"/>
                <w:kern w:val="0"/>
                <w:szCs w:val="21"/>
              </w:rPr>
            </w:pPr>
          </w:p>
        </w:tc>
        <w:tc>
          <w:tcPr>
            <w:tcW w:w="943" w:type="pct"/>
            <w:vMerge w:val="continue"/>
            <w:noWrap w:val="0"/>
            <w:vAlign w:val="top"/>
          </w:tcPr>
          <w:p>
            <w:pPr>
              <w:widowControl/>
              <w:spacing w:line="360" w:lineRule="exact"/>
              <w:jc w:val="left"/>
              <w:rPr>
                <w:rFonts w:ascii="宋体" w:hAnsi="宋体"/>
                <w:kern w:val="0"/>
                <w:szCs w:val="21"/>
              </w:rPr>
            </w:pPr>
          </w:p>
        </w:tc>
        <w:tc>
          <w:tcPr>
            <w:tcW w:w="3561" w:type="pct"/>
            <w:noWrap w:val="0"/>
            <w:vAlign w:val="top"/>
          </w:tcPr>
          <w:p>
            <w:pPr>
              <w:widowControl/>
              <w:spacing w:line="360" w:lineRule="exact"/>
              <w:jc w:val="left"/>
              <w:rPr>
                <w:rFonts w:ascii="宋体" w:hAnsi="宋体"/>
                <w:kern w:val="0"/>
                <w:szCs w:val="21"/>
              </w:rPr>
            </w:pPr>
            <w:r>
              <w:rPr>
                <w:rFonts w:hint="eastAsia" w:ascii="宋体" w:hAnsi="宋体"/>
                <w:kern w:val="0"/>
                <w:szCs w:val="21"/>
              </w:rPr>
              <w:t>3.2具有</w:t>
            </w:r>
            <w:r>
              <w:rPr>
                <w:rFonts w:hint="eastAsia" w:ascii="宋体" w:hAnsi="宋体"/>
                <w:szCs w:val="21"/>
              </w:rPr>
              <w:t>各种颜色荧光图像采集，无限种颜色添加与修正，无限种颜色信号与图像合成图像自动叠加功能，不同通道拍摄的图像软件会自动合成并实时显示，具备任意通道图像位置修正功能。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6" w:type="pct"/>
            <w:vMerge w:val="continue"/>
            <w:noWrap w:val="0"/>
            <w:vAlign w:val="top"/>
          </w:tcPr>
          <w:p>
            <w:pPr>
              <w:widowControl/>
              <w:spacing w:line="360" w:lineRule="exact"/>
              <w:jc w:val="left"/>
              <w:rPr>
                <w:rFonts w:ascii="宋体" w:hAnsi="宋体"/>
                <w:kern w:val="0"/>
                <w:szCs w:val="21"/>
              </w:rPr>
            </w:pPr>
          </w:p>
        </w:tc>
        <w:tc>
          <w:tcPr>
            <w:tcW w:w="943" w:type="pct"/>
            <w:vMerge w:val="continue"/>
            <w:noWrap w:val="0"/>
            <w:vAlign w:val="top"/>
          </w:tcPr>
          <w:p>
            <w:pPr>
              <w:widowControl/>
              <w:spacing w:line="360" w:lineRule="exact"/>
              <w:jc w:val="left"/>
              <w:rPr>
                <w:rFonts w:ascii="宋体" w:hAnsi="宋体"/>
                <w:kern w:val="0"/>
                <w:szCs w:val="21"/>
              </w:rPr>
            </w:pPr>
          </w:p>
        </w:tc>
        <w:tc>
          <w:tcPr>
            <w:tcW w:w="3561" w:type="pct"/>
            <w:noWrap w:val="0"/>
            <w:vAlign w:val="top"/>
          </w:tcPr>
          <w:p>
            <w:pPr>
              <w:widowControl/>
              <w:spacing w:line="360" w:lineRule="exact"/>
              <w:jc w:val="left"/>
              <w:rPr>
                <w:rFonts w:ascii="宋体" w:hAnsi="宋体"/>
                <w:kern w:val="0"/>
                <w:szCs w:val="21"/>
              </w:rPr>
            </w:pPr>
            <w:r>
              <w:rPr>
                <w:rFonts w:hint="eastAsia" w:ascii="宋体" w:hAnsi="宋体"/>
                <w:kern w:val="0"/>
                <w:szCs w:val="21"/>
              </w:rPr>
              <w:t>3.3</w:t>
            </w:r>
            <w:r>
              <w:rPr>
                <w:rFonts w:hint="eastAsia" w:ascii="宋体" w:hAnsi="宋体"/>
                <w:szCs w:val="21"/>
              </w:rPr>
              <w:t>可以通过 CCD 摄像头、扫描仪等设备捕获图像，也可从文档中打开图像或从剪贴板中粘贴图像，能够打开 IAMGE,TIFF,BMP,JPG 等多种格式的图像；具有图像堆栈功能。支持先拍摄多幅图像，随时一键调出分析，分析结果和步骤最后一起保存到一个文件。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6" w:type="pct"/>
            <w:vMerge w:val="continue"/>
            <w:noWrap w:val="0"/>
            <w:vAlign w:val="top"/>
          </w:tcPr>
          <w:p>
            <w:pPr>
              <w:widowControl/>
              <w:spacing w:line="360" w:lineRule="exact"/>
              <w:jc w:val="left"/>
              <w:rPr>
                <w:rFonts w:ascii="宋体" w:hAnsi="宋体"/>
                <w:kern w:val="0"/>
                <w:szCs w:val="21"/>
              </w:rPr>
            </w:pPr>
          </w:p>
        </w:tc>
        <w:tc>
          <w:tcPr>
            <w:tcW w:w="943" w:type="pct"/>
            <w:vMerge w:val="continue"/>
            <w:noWrap w:val="0"/>
            <w:vAlign w:val="top"/>
          </w:tcPr>
          <w:p>
            <w:pPr>
              <w:widowControl/>
              <w:spacing w:line="360" w:lineRule="exact"/>
              <w:jc w:val="left"/>
              <w:rPr>
                <w:rFonts w:ascii="宋体" w:hAnsi="宋体"/>
                <w:kern w:val="0"/>
                <w:szCs w:val="21"/>
              </w:rPr>
            </w:pPr>
          </w:p>
        </w:tc>
        <w:tc>
          <w:tcPr>
            <w:tcW w:w="3561" w:type="pct"/>
            <w:noWrap w:val="0"/>
            <w:vAlign w:val="top"/>
          </w:tcPr>
          <w:p>
            <w:pPr>
              <w:widowControl/>
              <w:spacing w:line="360" w:lineRule="exact"/>
              <w:jc w:val="left"/>
              <w:rPr>
                <w:rFonts w:ascii="宋体" w:hAnsi="宋体"/>
                <w:kern w:val="0"/>
                <w:szCs w:val="21"/>
              </w:rPr>
            </w:pPr>
            <w:r>
              <w:rPr>
                <w:rFonts w:hint="eastAsia" w:ascii="宋体" w:hAnsi="宋体"/>
                <w:kern w:val="0"/>
                <w:szCs w:val="21"/>
              </w:rPr>
              <w:t>3.4</w:t>
            </w:r>
            <w:r>
              <w:rPr>
                <w:rFonts w:hint="eastAsia" w:ascii="宋体" w:hAnsi="宋体"/>
                <w:szCs w:val="21"/>
              </w:rPr>
              <w:t>曝光时间自动调节；兴趣区域放大观察拍摄；弱荧光信号智能增强；多荧光信号点计数。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6" w:type="pct"/>
            <w:vMerge w:val="continue"/>
            <w:noWrap w:val="0"/>
            <w:vAlign w:val="top"/>
          </w:tcPr>
          <w:p>
            <w:pPr>
              <w:widowControl/>
              <w:spacing w:line="360" w:lineRule="exact"/>
              <w:jc w:val="left"/>
              <w:rPr>
                <w:rFonts w:ascii="宋体" w:hAnsi="宋体"/>
                <w:kern w:val="0"/>
                <w:szCs w:val="21"/>
              </w:rPr>
            </w:pPr>
          </w:p>
        </w:tc>
        <w:tc>
          <w:tcPr>
            <w:tcW w:w="943" w:type="pct"/>
            <w:vMerge w:val="continue"/>
            <w:noWrap w:val="0"/>
            <w:vAlign w:val="top"/>
          </w:tcPr>
          <w:p>
            <w:pPr>
              <w:widowControl/>
              <w:spacing w:line="360" w:lineRule="exact"/>
              <w:jc w:val="left"/>
              <w:rPr>
                <w:rFonts w:ascii="宋体" w:hAnsi="宋体"/>
                <w:kern w:val="0"/>
                <w:szCs w:val="21"/>
              </w:rPr>
            </w:pPr>
          </w:p>
        </w:tc>
        <w:tc>
          <w:tcPr>
            <w:tcW w:w="3561" w:type="pct"/>
            <w:noWrap w:val="0"/>
            <w:vAlign w:val="top"/>
          </w:tcPr>
          <w:p>
            <w:pPr>
              <w:widowControl/>
              <w:spacing w:line="360" w:lineRule="exact"/>
              <w:jc w:val="left"/>
              <w:rPr>
                <w:rFonts w:ascii="宋体" w:hAnsi="宋体"/>
                <w:kern w:val="0"/>
                <w:szCs w:val="21"/>
              </w:rPr>
            </w:pPr>
            <w:r>
              <w:rPr>
                <w:rFonts w:hint="eastAsia" w:ascii="宋体" w:hAnsi="宋体"/>
                <w:kern w:val="0"/>
                <w:szCs w:val="21"/>
              </w:rPr>
              <w:t>3.5</w:t>
            </w:r>
            <w:r>
              <w:rPr>
                <w:rFonts w:hint="eastAsia" w:ascii="宋体" w:hAnsi="宋体"/>
                <w:szCs w:val="21"/>
              </w:rPr>
              <w:t>景深扩展，支持同一探针多层面荧光信号共聚焦功能。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6" w:type="pct"/>
            <w:vMerge w:val="continue"/>
            <w:noWrap w:val="0"/>
            <w:vAlign w:val="top"/>
          </w:tcPr>
          <w:p>
            <w:pPr>
              <w:widowControl/>
              <w:spacing w:line="360" w:lineRule="exact"/>
              <w:jc w:val="left"/>
              <w:rPr>
                <w:rFonts w:ascii="宋体" w:hAnsi="宋体"/>
                <w:kern w:val="0"/>
                <w:szCs w:val="21"/>
              </w:rPr>
            </w:pPr>
          </w:p>
        </w:tc>
        <w:tc>
          <w:tcPr>
            <w:tcW w:w="943" w:type="pct"/>
            <w:vMerge w:val="continue"/>
            <w:noWrap w:val="0"/>
            <w:vAlign w:val="top"/>
          </w:tcPr>
          <w:p>
            <w:pPr>
              <w:widowControl/>
              <w:spacing w:line="360" w:lineRule="exact"/>
              <w:jc w:val="left"/>
              <w:rPr>
                <w:rFonts w:ascii="宋体" w:hAnsi="宋体"/>
                <w:kern w:val="0"/>
                <w:szCs w:val="21"/>
              </w:rPr>
            </w:pPr>
          </w:p>
        </w:tc>
        <w:tc>
          <w:tcPr>
            <w:tcW w:w="3561" w:type="pct"/>
            <w:noWrap w:val="0"/>
            <w:vAlign w:val="top"/>
          </w:tcPr>
          <w:p>
            <w:pPr>
              <w:widowControl/>
              <w:spacing w:line="360" w:lineRule="exact"/>
              <w:jc w:val="left"/>
              <w:rPr>
                <w:rFonts w:ascii="宋体" w:hAnsi="宋体"/>
                <w:kern w:val="0"/>
                <w:szCs w:val="21"/>
              </w:rPr>
            </w:pPr>
            <w:r>
              <w:rPr>
                <w:rFonts w:hint="eastAsia" w:ascii="宋体" w:hAnsi="宋体"/>
                <w:kern w:val="0"/>
                <w:szCs w:val="21"/>
              </w:rPr>
              <w:t>3.6</w:t>
            </w:r>
            <w:r>
              <w:rPr>
                <w:rFonts w:hint="eastAsia" w:ascii="宋体" w:hAnsi="宋体"/>
                <w:szCs w:val="21"/>
              </w:rPr>
              <w:t>长度等参数测量，对图像任意区域加入注释文字。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6" w:type="pct"/>
            <w:vMerge w:val="continue"/>
            <w:noWrap w:val="0"/>
            <w:vAlign w:val="top"/>
          </w:tcPr>
          <w:p>
            <w:pPr>
              <w:widowControl/>
              <w:spacing w:line="360" w:lineRule="exact"/>
              <w:jc w:val="left"/>
              <w:rPr>
                <w:rFonts w:ascii="宋体" w:hAnsi="宋体"/>
                <w:kern w:val="0"/>
                <w:szCs w:val="21"/>
              </w:rPr>
            </w:pPr>
          </w:p>
        </w:tc>
        <w:tc>
          <w:tcPr>
            <w:tcW w:w="943" w:type="pct"/>
            <w:vMerge w:val="continue"/>
            <w:noWrap w:val="0"/>
            <w:vAlign w:val="top"/>
          </w:tcPr>
          <w:p>
            <w:pPr>
              <w:widowControl/>
              <w:spacing w:line="360" w:lineRule="exact"/>
              <w:jc w:val="left"/>
              <w:rPr>
                <w:rFonts w:ascii="宋体" w:hAnsi="宋体"/>
                <w:kern w:val="0"/>
                <w:szCs w:val="21"/>
              </w:rPr>
            </w:pPr>
          </w:p>
        </w:tc>
        <w:tc>
          <w:tcPr>
            <w:tcW w:w="3561" w:type="pct"/>
            <w:noWrap w:val="0"/>
            <w:vAlign w:val="top"/>
          </w:tcPr>
          <w:p>
            <w:pPr>
              <w:widowControl/>
              <w:spacing w:line="360" w:lineRule="exact"/>
              <w:jc w:val="left"/>
              <w:rPr>
                <w:rFonts w:ascii="宋体" w:hAnsi="宋体"/>
                <w:kern w:val="0"/>
                <w:szCs w:val="21"/>
              </w:rPr>
            </w:pPr>
            <w:r>
              <w:rPr>
                <w:rFonts w:hint="eastAsia" w:ascii="宋体" w:hAnsi="宋体"/>
                <w:kern w:val="0"/>
                <w:szCs w:val="21"/>
              </w:rPr>
              <w:t>3.7</w:t>
            </w:r>
            <w:r>
              <w:rPr>
                <w:rFonts w:hint="eastAsia" w:ascii="宋体" w:hAnsi="宋体"/>
                <w:szCs w:val="21"/>
              </w:rPr>
              <w:t>分析报告的内容和格式，可以根据需要设置，各种储存数据可快速检索，图像和文字资料储存于图像数据中，数据库独立存在于硬盘中。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6" w:type="pct"/>
            <w:vMerge w:val="continue"/>
            <w:noWrap w:val="0"/>
            <w:vAlign w:val="top"/>
          </w:tcPr>
          <w:p>
            <w:pPr>
              <w:widowControl/>
              <w:spacing w:line="360" w:lineRule="exact"/>
              <w:jc w:val="left"/>
              <w:rPr>
                <w:rFonts w:ascii="宋体" w:hAnsi="宋体"/>
                <w:kern w:val="0"/>
                <w:szCs w:val="21"/>
              </w:rPr>
            </w:pPr>
          </w:p>
        </w:tc>
        <w:tc>
          <w:tcPr>
            <w:tcW w:w="943" w:type="pct"/>
            <w:vMerge w:val="continue"/>
            <w:noWrap w:val="0"/>
            <w:vAlign w:val="top"/>
          </w:tcPr>
          <w:p>
            <w:pPr>
              <w:widowControl/>
              <w:spacing w:line="360" w:lineRule="exact"/>
              <w:jc w:val="left"/>
              <w:rPr>
                <w:rFonts w:ascii="宋体" w:hAnsi="宋体"/>
                <w:kern w:val="0"/>
                <w:szCs w:val="21"/>
              </w:rPr>
            </w:pPr>
          </w:p>
        </w:tc>
        <w:tc>
          <w:tcPr>
            <w:tcW w:w="3561" w:type="pct"/>
            <w:noWrap w:val="0"/>
            <w:vAlign w:val="top"/>
          </w:tcPr>
          <w:p>
            <w:pPr>
              <w:widowControl/>
              <w:spacing w:line="360" w:lineRule="exact"/>
              <w:jc w:val="left"/>
              <w:rPr>
                <w:rFonts w:ascii="宋体" w:hAnsi="宋体"/>
                <w:kern w:val="0"/>
                <w:szCs w:val="21"/>
              </w:rPr>
            </w:pPr>
            <w:r>
              <w:rPr>
                <w:rFonts w:hint="eastAsia" w:ascii="宋体" w:hAnsi="宋体"/>
                <w:kern w:val="0"/>
                <w:szCs w:val="21"/>
              </w:rPr>
              <w:t>3.8</w:t>
            </w:r>
            <w:r>
              <w:rPr>
                <w:rFonts w:hint="eastAsia" w:ascii="宋体" w:hAnsi="宋体"/>
                <w:szCs w:val="21"/>
              </w:rPr>
              <w:t>具有病例信息及相关信息库功能，可与病理科报告系统兼容，并具有文件导航功能。</w:t>
            </w:r>
          </w:p>
        </w:tc>
      </w:tr>
    </w:tbl>
    <w:p>
      <w:pPr>
        <w:spacing w:line="350" w:lineRule="exact"/>
        <w:ind w:firstLine="420" w:firstLineChars="200"/>
        <w:rPr>
          <w:rFonts w:ascii="宋体" w:hAnsi="宋体"/>
          <w:szCs w:val="21"/>
        </w:rPr>
      </w:pPr>
    </w:p>
    <w:p>
      <w:pPr>
        <w:jc w:val="center"/>
        <w:outlineLvl w:val="1"/>
        <w:rPr>
          <w:rFonts w:ascii="黑体" w:hAnsi="宋体" w:eastAsia="黑体"/>
          <w:bCs/>
          <w:sz w:val="24"/>
          <w:szCs w:val="24"/>
        </w:rPr>
      </w:pPr>
      <w:bookmarkStart w:id="3" w:name="_Toc23315191"/>
      <w:r>
        <w:rPr>
          <w:rFonts w:hint="eastAsia" w:ascii="黑体" w:hAnsi="宋体" w:eastAsia="黑体"/>
          <w:bCs/>
          <w:sz w:val="24"/>
          <w:szCs w:val="24"/>
        </w:rPr>
        <w:t>第四节  商务需求明细</w:t>
      </w:r>
      <w:bookmarkEnd w:id="3"/>
    </w:p>
    <w:p>
      <w:pPr>
        <w:spacing w:line="350" w:lineRule="exact"/>
        <w:ind w:firstLine="420" w:firstLineChars="200"/>
        <w:rPr>
          <w:rFonts w:hint="eastAsia" w:ascii="宋体" w:hAnsi="宋体"/>
          <w:szCs w:val="21"/>
        </w:rPr>
      </w:pPr>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1650"/>
        <w:gridCol w:w="5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753" w:type="pct"/>
            <w:noWrap w:val="0"/>
            <w:vAlign w:val="center"/>
          </w:tcPr>
          <w:p>
            <w:pPr>
              <w:spacing w:line="360" w:lineRule="exact"/>
              <w:jc w:val="center"/>
              <w:rPr>
                <w:rFonts w:ascii="宋体" w:hAnsi="宋体"/>
                <w:b/>
                <w:szCs w:val="21"/>
              </w:rPr>
            </w:pPr>
            <w:r>
              <w:rPr>
                <w:rFonts w:hint="eastAsia" w:ascii="宋体" w:hAnsi="宋体"/>
                <w:b/>
                <w:szCs w:val="21"/>
              </w:rPr>
              <w:t>序号</w:t>
            </w:r>
          </w:p>
        </w:tc>
        <w:tc>
          <w:tcPr>
            <w:tcW w:w="968" w:type="pct"/>
            <w:noWrap w:val="0"/>
            <w:vAlign w:val="center"/>
          </w:tcPr>
          <w:p>
            <w:pPr>
              <w:spacing w:line="360" w:lineRule="exact"/>
              <w:jc w:val="center"/>
              <w:rPr>
                <w:rFonts w:ascii="宋体" w:hAnsi="宋体"/>
                <w:b/>
                <w:szCs w:val="21"/>
              </w:rPr>
            </w:pPr>
            <w:r>
              <w:rPr>
                <w:rFonts w:hint="eastAsia" w:ascii="宋体" w:hAnsi="宋体"/>
                <w:b/>
                <w:szCs w:val="21"/>
              </w:rPr>
              <w:t>目录</w:t>
            </w:r>
          </w:p>
        </w:tc>
        <w:tc>
          <w:tcPr>
            <w:tcW w:w="3278" w:type="pct"/>
            <w:noWrap w:val="0"/>
            <w:vAlign w:val="center"/>
          </w:tcPr>
          <w:p>
            <w:pPr>
              <w:spacing w:line="360" w:lineRule="exact"/>
              <w:jc w:val="center"/>
              <w:rPr>
                <w:rFonts w:ascii="宋体" w:hAnsi="宋体"/>
                <w:b/>
                <w:szCs w:val="21"/>
              </w:rPr>
            </w:pPr>
            <w:r>
              <w:rPr>
                <w:rFonts w:hint="eastAsia" w:ascii="宋体" w:hAnsi="宋体"/>
                <w:b/>
                <w:szCs w:val="21"/>
              </w:rPr>
              <w:t>招标商务需求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000" w:type="pct"/>
            <w:gridSpan w:val="3"/>
            <w:noWrap w:val="0"/>
            <w:vAlign w:val="top"/>
          </w:tcPr>
          <w:p>
            <w:pPr>
              <w:spacing w:line="360" w:lineRule="exact"/>
              <w:rPr>
                <w:rFonts w:ascii="宋体" w:hAnsi="宋体"/>
                <w:b/>
                <w:szCs w:val="21"/>
              </w:rPr>
            </w:pPr>
            <w:r>
              <w:rPr>
                <w:rFonts w:hint="eastAsia" w:ascii="宋体" w:hAnsi="宋体"/>
                <w:b/>
                <w:szCs w:val="21"/>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753" w:type="pct"/>
            <w:noWrap w:val="0"/>
            <w:vAlign w:val="center"/>
          </w:tcPr>
          <w:p>
            <w:pPr>
              <w:spacing w:line="360" w:lineRule="exact"/>
              <w:jc w:val="center"/>
              <w:rPr>
                <w:rFonts w:ascii="宋体" w:hAnsi="宋体"/>
                <w:b/>
                <w:szCs w:val="21"/>
              </w:rPr>
            </w:pPr>
            <w:r>
              <w:rPr>
                <w:rFonts w:hint="eastAsia" w:ascii="宋体" w:hAnsi="宋体"/>
                <w:b/>
                <w:szCs w:val="21"/>
              </w:rPr>
              <w:t>1</w:t>
            </w:r>
          </w:p>
        </w:tc>
        <w:tc>
          <w:tcPr>
            <w:tcW w:w="968" w:type="pct"/>
            <w:noWrap w:val="0"/>
            <w:vAlign w:val="center"/>
          </w:tcPr>
          <w:p>
            <w:pPr>
              <w:spacing w:line="360" w:lineRule="exact"/>
              <w:jc w:val="center"/>
              <w:rPr>
                <w:rFonts w:ascii="宋体" w:hAnsi="宋体"/>
                <w:szCs w:val="21"/>
              </w:rPr>
            </w:pPr>
            <w:r>
              <w:rPr>
                <w:rFonts w:hint="eastAsia" w:ascii="宋体" w:hAnsi="宋体"/>
                <w:szCs w:val="21"/>
              </w:rPr>
              <w:t>免费保修期</w:t>
            </w:r>
          </w:p>
        </w:tc>
        <w:tc>
          <w:tcPr>
            <w:tcW w:w="3278" w:type="pct"/>
            <w:noWrap w:val="0"/>
            <w:vAlign w:val="top"/>
          </w:tcPr>
          <w:p>
            <w:pPr>
              <w:spacing w:line="360" w:lineRule="exact"/>
              <w:rPr>
                <w:rFonts w:ascii="宋体" w:hAnsi="宋体"/>
                <w:b/>
                <w:szCs w:val="21"/>
              </w:rPr>
            </w:pPr>
            <w:r>
              <w:rPr>
                <w:rFonts w:hint="eastAsia" w:ascii="宋体" w:hAnsi="宋体"/>
                <w:b/>
                <w:bCs/>
                <w:szCs w:val="21"/>
              </w:rPr>
              <w:t>★1、货物原厂免费保修期</w:t>
            </w:r>
            <w:r>
              <w:rPr>
                <w:rFonts w:hint="eastAsia" w:ascii="宋体" w:hAnsi="宋体"/>
                <w:b/>
                <w:bCs/>
                <w:szCs w:val="21"/>
                <w:u w:val="single"/>
              </w:rPr>
              <w:t xml:space="preserve"> 3 </w:t>
            </w:r>
            <w:r>
              <w:rPr>
                <w:rFonts w:hint="eastAsia" w:ascii="宋体" w:hAnsi="宋体"/>
                <w:b/>
                <w:bCs/>
                <w:szCs w:val="21"/>
              </w:rPr>
              <w:t>年（含附件），时间自最终验收合格并交付使用之日起计算，以用户设备验收单日期为准。</w:t>
            </w:r>
            <w:r>
              <w:rPr>
                <w:rFonts w:hint="eastAsia" w:ascii="宋体" w:hAnsi="宋体"/>
                <w:b/>
                <w:szCs w:val="21"/>
              </w:rPr>
              <w:t>投标文件载明的免费保修期低于招标文件规定期限的视为没有实质性满足招标文件要求。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53" w:type="pct"/>
            <w:noWrap w:val="0"/>
            <w:vAlign w:val="center"/>
          </w:tcPr>
          <w:p>
            <w:pPr>
              <w:spacing w:line="360" w:lineRule="exact"/>
              <w:jc w:val="center"/>
              <w:rPr>
                <w:rFonts w:ascii="宋体" w:hAnsi="宋体"/>
                <w:b/>
                <w:szCs w:val="21"/>
              </w:rPr>
            </w:pPr>
            <w:r>
              <w:rPr>
                <w:rFonts w:hint="eastAsia" w:ascii="宋体" w:hAnsi="宋体"/>
                <w:b/>
                <w:szCs w:val="21"/>
              </w:rPr>
              <w:t>2</w:t>
            </w:r>
          </w:p>
        </w:tc>
        <w:tc>
          <w:tcPr>
            <w:tcW w:w="968" w:type="pct"/>
            <w:noWrap w:val="0"/>
            <w:vAlign w:val="center"/>
          </w:tcPr>
          <w:p>
            <w:pPr>
              <w:spacing w:line="360" w:lineRule="exact"/>
              <w:jc w:val="center"/>
              <w:rPr>
                <w:rFonts w:ascii="宋体" w:hAnsi="宋体"/>
                <w:szCs w:val="21"/>
              </w:rPr>
            </w:pPr>
            <w:r>
              <w:rPr>
                <w:rFonts w:hint="eastAsia" w:ascii="宋体" w:hAnsi="宋体"/>
                <w:szCs w:val="21"/>
              </w:rPr>
              <w:t>响应时间</w:t>
            </w:r>
          </w:p>
        </w:tc>
        <w:tc>
          <w:tcPr>
            <w:tcW w:w="3278" w:type="pct"/>
            <w:noWrap w:val="0"/>
            <w:vAlign w:val="top"/>
          </w:tcPr>
          <w:p>
            <w:pPr>
              <w:spacing w:line="360" w:lineRule="exact"/>
              <w:rPr>
                <w:rFonts w:ascii="宋体" w:hAnsi="宋体"/>
                <w:b/>
                <w:szCs w:val="21"/>
              </w:rPr>
            </w:pPr>
            <w:r>
              <w:rPr>
                <w:rFonts w:hint="eastAsia" w:ascii="宋体" w:hAnsi="宋体"/>
                <w:bCs/>
                <w:szCs w:val="21"/>
              </w:rPr>
              <w:t>2、由产生厂家提供全免费售后服务，维修响应时间8小时，维修人员24小时内赶到现场进行修理或更换。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753" w:type="pct"/>
            <w:vMerge w:val="restart"/>
            <w:noWrap w:val="0"/>
            <w:vAlign w:val="center"/>
          </w:tcPr>
          <w:p>
            <w:pPr>
              <w:spacing w:line="360" w:lineRule="exact"/>
              <w:jc w:val="center"/>
              <w:rPr>
                <w:rFonts w:ascii="宋体" w:hAnsi="宋体"/>
                <w:b/>
                <w:szCs w:val="21"/>
              </w:rPr>
            </w:pPr>
            <w:r>
              <w:rPr>
                <w:rFonts w:hint="eastAsia" w:ascii="宋体" w:hAnsi="宋体"/>
                <w:b/>
                <w:szCs w:val="21"/>
              </w:rPr>
              <w:t>3</w:t>
            </w:r>
          </w:p>
        </w:tc>
        <w:tc>
          <w:tcPr>
            <w:tcW w:w="968" w:type="pct"/>
            <w:vMerge w:val="restart"/>
            <w:noWrap w:val="0"/>
            <w:vAlign w:val="center"/>
          </w:tcPr>
          <w:p>
            <w:pPr>
              <w:spacing w:line="360" w:lineRule="exact"/>
              <w:jc w:val="center"/>
              <w:rPr>
                <w:rFonts w:ascii="宋体" w:hAnsi="宋体"/>
                <w:b/>
                <w:szCs w:val="21"/>
              </w:rPr>
            </w:pPr>
            <w:r>
              <w:rPr>
                <w:rFonts w:hint="eastAsia" w:ascii="宋体" w:hAnsi="宋体"/>
                <w:szCs w:val="21"/>
              </w:rPr>
              <w:t>其他</w:t>
            </w:r>
          </w:p>
        </w:tc>
        <w:tc>
          <w:tcPr>
            <w:tcW w:w="3278" w:type="pct"/>
            <w:noWrap w:val="0"/>
            <w:vAlign w:val="center"/>
          </w:tcPr>
          <w:p>
            <w:pPr>
              <w:spacing w:line="360" w:lineRule="exact"/>
              <w:rPr>
                <w:rFonts w:ascii="宋体" w:hAnsi="宋体"/>
                <w:b/>
                <w:szCs w:val="21"/>
              </w:rPr>
            </w:pPr>
            <w:r>
              <w:rPr>
                <w:rFonts w:hint="eastAsia" w:ascii="宋体" w:hAnsi="宋体"/>
                <w:szCs w:val="21"/>
              </w:rPr>
              <w:t>3.1</w:t>
            </w:r>
            <w:r>
              <w:rPr>
                <w:rFonts w:ascii="宋体" w:hAnsi="宋体"/>
                <w:szCs w:val="21"/>
              </w:rPr>
              <w:t>投标方提供售后服务承诺书，由生产厂家提供售后服务，生产厂家有固定、专业的售后机构，有专职厂家工程师提供应用培训及上门维修服务</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753" w:type="pct"/>
            <w:vMerge w:val="continue"/>
            <w:noWrap w:val="0"/>
            <w:vAlign w:val="center"/>
          </w:tcPr>
          <w:p>
            <w:pPr>
              <w:spacing w:line="360" w:lineRule="exact"/>
              <w:jc w:val="center"/>
              <w:rPr>
                <w:rFonts w:ascii="宋体" w:hAnsi="宋体"/>
                <w:b/>
                <w:szCs w:val="21"/>
              </w:rPr>
            </w:pPr>
          </w:p>
        </w:tc>
        <w:tc>
          <w:tcPr>
            <w:tcW w:w="968" w:type="pct"/>
            <w:vMerge w:val="continue"/>
            <w:noWrap w:val="0"/>
            <w:vAlign w:val="center"/>
          </w:tcPr>
          <w:p>
            <w:pPr>
              <w:spacing w:line="360" w:lineRule="exact"/>
              <w:rPr>
                <w:rFonts w:ascii="宋体" w:hAnsi="宋体"/>
                <w:szCs w:val="21"/>
              </w:rPr>
            </w:pPr>
          </w:p>
        </w:tc>
        <w:tc>
          <w:tcPr>
            <w:tcW w:w="3278" w:type="pct"/>
            <w:noWrap w:val="0"/>
            <w:vAlign w:val="center"/>
          </w:tcPr>
          <w:p>
            <w:pPr>
              <w:spacing w:line="360" w:lineRule="exact"/>
              <w:rPr>
                <w:rFonts w:ascii="宋体" w:hAnsi="宋体"/>
                <w:bCs/>
                <w:szCs w:val="21"/>
              </w:rPr>
            </w:pPr>
            <w:r>
              <w:rPr>
                <w:rFonts w:hint="eastAsia" w:ascii="宋体" w:hAnsi="宋体"/>
                <w:b/>
                <w:bCs/>
                <w:szCs w:val="21"/>
              </w:rPr>
              <w:t>★</w:t>
            </w:r>
            <w:r>
              <w:rPr>
                <w:rFonts w:hint="eastAsia" w:ascii="宋体" w:hAnsi="宋体"/>
                <w:b/>
                <w:szCs w:val="21"/>
              </w:rPr>
              <w:t>3.2</w:t>
            </w:r>
            <w:r>
              <w:rPr>
                <w:rFonts w:hint="eastAsia" w:ascii="宋体" w:hAnsi="宋体"/>
                <w:b/>
                <w:bCs/>
                <w:szCs w:val="21"/>
              </w:rPr>
              <w:t>投标人须承诺</w:t>
            </w:r>
            <w:r>
              <w:rPr>
                <w:rFonts w:hint="eastAsia" w:ascii="宋体" w:hAnsi="宋体"/>
                <w:b/>
                <w:szCs w:val="21"/>
              </w:rPr>
              <w:t>在</w:t>
            </w:r>
            <w:r>
              <w:rPr>
                <w:rFonts w:ascii="宋体" w:hAnsi="宋体"/>
                <w:b/>
                <w:szCs w:val="21"/>
              </w:rPr>
              <w:t>免费保修期</w:t>
            </w:r>
            <w:r>
              <w:rPr>
                <w:rFonts w:hint="eastAsia" w:ascii="宋体" w:hAnsi="宋体"/>
                <w:b/>
                <w:szCs w:val="21"/>
              </w:rPr>
              <w:t>内厂家每半年免费做设备预防性维护和使用培训一次</w:t>
            </w:r>
            <w:r>
              <w:rPr>
                <w:rFonts w:hint="eastAsia" w:ascii="宋体" w:hAnsi="宋体"/>
                <w:b/>
                <w:bCs/>
                <w:szCs w:val="21"/>
              </w:rPr>
              <w:t>，并在投标文件中作出承诺，否则视为没有实质性满足招标文件要求（承诺函格式自拟）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753" w:type="pct"/>
            <w:vMerge w:val="continue"/>
            <w:noWrap w:val="0"/>
            <w:vAlign w:val="center"/>
          </w:tcPr>
          <w:p>
            <w:pPr>
              <w:spacing w:line="360" w:lineRule="exact"/>
              <w:jc w:val="center"/>
              <w:rPr>
                <w:rFonts w:ascii="宋体" w:hAnsi="宋体"/>
                <w:b/>
                <w:szCs w:val="21"/>
              </w:rPr>
            </w:pPr>
          </w:p>
        </w:tc>
        <w:tc>
          <w:tcPr>
            <w:tcW w:w="968" w:type="pct"/>
            <w:vMerge w:val="continue"/>
            <w:noWrap w:val="0"/>
            <w:vAlign w:val="center"/>
          </w:tcPr>
          <w:p>
            <w:pPr>
              <w:spacing w:line="360" w:lineRule="exact"/>
              <w:rPr>
                <w:rFonts w:ascii="宋体" w:hAnsi="宋体"/>
                <w:szCs w:val="21"/>
              </w:rPr>
            </w:pPr>
          </w:p>
        </w:tc>
        <w:tc>
          <w:tcPr>
            <w:tcW w:w="3278" w:type="pct"/>
            <w:noWrap w:val="0"/>
            <w:vAlign w:val="center"/>
          </w:tcPr>
          <w:p>
            <w:pPr>
              <w:spacing w:line="360" w:lineRule="exact"/>
              <w:rPr>
                <w:rFonts w:ascii="宋体" w:hAnsi="宋体"/>
                <w:b/>
                <w:szCs w:val="21"/>
              </w:rPr>
            </w:pPr>
            <w:r>
              <w:rPr>
                <w:rFonts w:hint="eastAsia" w:ascii="宋体" w:hAnsi="宋体"/>
                <w:szCs w:val="21"/>
              </w:rPr>
              <w:t>3.3在保修期内</w:t>
            </w:r>
            <w:r>
              <w:rPr>
                <w:rFonts w:ascii="宋体" w:hAnsi="宋体"/>
                <w:szCs w:val="21"/>
              </w:rPr>
              <w:t>,</w:t>
            </w:r>
            <w:r>
              <w:rPr>
                <w:rFonts w:hint="eastAsia" w:ascii="宋体" w:hAnsi="宋体"/>
                <w:szCs w:val="21"/>
              </w:rPr>
              <w:t>投标人应确保年开机率在</w:t>
            </w:r>
            <w:r>
              <w:rPr>
                <w:rFonts w:ascii="宋体" w:hAnsi="宋体"/>
                <w:szCs w:val="21"/>
              </w:rPr>
              <w:t>95%</w:t>
            </w:r>
            <w:r>
              <w:rPr>
                <w:rFonts w:hint="eastAsia" w:ascii="宋体" w:hAnsi="宋体"/>
                <w:szCs w:val="21"/>
              </w:rPr>
              <w:t>以上</w:t>
            </w:r>
            <w:r>
              <w:rPr>
                <w:rFonts w:ascii="宋体" w:hAnsi="宋体"/>
                <w:szCs w:val="21"/>
              </w:rPr>
              <w:t>,</w:t>
            </w:r>
            <w:r>
              <w:rPr>
                <w:rFonts w:hint="eastAsia" w:ascii="宋体" w:hAnsi="宋体"/>
                <w:szCs w:val="21"/>
              </w:rPr>
              <w:t>若不能达到此开机率，将作以下处理：</w:t>
            </w:r>
            <w:r>
              <w:rPr>
                <w:rFonts w:ascii="宋体" w:hAnsi="宋体"/>
                <w:szCs w:val="21"/>
              </w:rPr>
              <w:t>a.</w:t>
            </w:r>
            <w:r>
              <w:rPr>
                <w:rFonts w:hint="eastAsia" w:ascii="宋体" w:hAnsi="宋体"/>
                <w:szCs w:val="21"/>
              </w:rPr>
              <w:t>年开机率在</w:t>
            </w:r>
            <w:r>
              <w:rPr>
                <w:rFonts w:ascii="宋体" w:hAnsi="宋体"/>
                <w:szCs w:val="21"/>
              </w:rPr>
              <w:t>90-95%</w:t>
            </w:r>
            <w:r>
              <w:rPr>
                <w:rFonts w:hint="eastAsia" w:ascii="宋体" w:hAnsi="宋体"/>
                <w:szCs w:val="21"/>
              </w:rPr>
              <w:t>之间按一赔二延长保修期；</w:t>
            </w:r>
            <w:r>
              <w:rPr>
                <w:rFonts w:ascii="宋体" w:hAnsi="宋体"/>
                <w:szCs w:val="21"/>
              </w:rPr>
              <w:t>b.</w:t>
            </w:r>
            <w:r>
              <w:rPr>
                <w:rFonts w:hint="eastAsia" w:ascii="宋体" w:hAnsi="宋体"/>
                <w:szCs w:val="21"/>
              </w:rPr>
              <w:t>年开机率在</w:t>
            </w:r>
            <w:r>
              <w:rPr>
                <w:rFonts w:ascii="宋体" w:hAnsi="宋体"/>
                <w:szCs w:val="21"/>
              </w:rPr>
              <w:t>85-90%</w:t>
            </w:r>
            <w:r>
              <w:rPr>
                <w:rFonts w:hint="eastAsia" w:ascii="宋体" w:hAnsi="宋体"/>
                <w:szCs w:val="21"/>
              </w:rPr>
              <w:t>之间按一赔五延长保修期；</w:t>
            </w:r>
            <w:r>
              <w:rPr>
                <w:rFonts w:ascii="宋体" w:hAnsi="宋体"/>
                <w:szCs w:val="21"/>
              </w:rPr>
              <w:t>c.</w:t>
            </w:r>
            <w:r>
              <w:rPr>
                <w:rFonts w:hint="eastAsia" w:ascii="宋体" w:hAnsi="宋体"/>
                <w:szCs w:val="21"/>
              </w:rPr>
              <w:t>年开机率低于</w:t>
            </w:r>
            <w:r>
              <w:rPr>
                <w:rFonts w:ascii="宋体" w:hAnsi="宋体"/>
                <w:szCs w:val="21"/>
              </w:rPr>
              <w:t>85%</w:t>
            </w:r>
            <w:r>
              <w:rPr>
                <w:rFonts w:hint="eastAsia" w:ascii="宋体" w:hAnsi="宋体"/>
                <w:szCs w:val="21"/>
              </w:rPr>
              <w:t>，投标人必须无条件更换新机，并重新计算保修期，以及赔偿用户的直接经济损失和间接经济损失。注：年开机率=（365-停机天数）/365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753" w:type="pct"/>
            <w:vMerge w:val="continue"/>
            <w:noWrap w:val="0"/>
            <w:vAlign w:val="center"/>
          </w:tcPr>
          <w:p>
            <w:pPr>
              <w:spacing w:line="360" w:lineRule="exact"/>
              <w:jc w:val="center"/>
              <w:rPr>
                <w:rFonts w:ascii="宋体" w:hAnsi="宋体"/>
                <w:b/>
                <w:szCs w:val="21"/>
              </w:rPr>
            </w:pPr>
          </w:p>
        </w:tc>
        <w:tc>
          <w:tcPr>
            <w:tcW w:w="968" w:type="pct"/>
            <w:vMerge w:val="continue"/>
            <w:noWrap w:val="0"/>
            <w:vAlign w:val="center"/>
          </w:tcPr>
          <w:p>
            <w:pPr>
              <w:spacing w:line="360" w:lineRule="exact"/>
              <w:rPr>
                <w:rFonts w:ascii="宋体" w:hAnsi="宋体"/>
                <w:szCs w:val="21"/>
              </w:rPr>
            </w:pPr>
          </w:p>
        </w:tc>
        <w:tc>
          <w:tcPr>
            <w:tcW w:w="3278" w:type="pct"/>
            <w:noWrap w:val="0"/>
            <w:vAlign w:val="center"/>
          </w:tcPr>
          <w:p>
            <w:pPr>
              <w:spacing w:line="360" w:lineRule="exact"/>
              <w:rPr>
                <w:rFonts w:ascii="宋体" w:hAnsi="宋体"/>
                <w:szCs w:val="21"/>
              </w:rPr>
            </w:pPr>
            <w:r>
              <w:rPr>
                <w:rFonts w:hint="eastAsia" w:ascii="宋体" w:hAnsi="宋体"/>
                <w:bCs/>
                <w:szCs w:val="21"/>
              </w:rPr>
              <w:t>3.4免费开放软件数据端口，支付对接医院HIS、PACS、LIS系统费用。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753" w:type="pct"/>
            <w:vMerge w:val="continue"/>
            <w:noWrap w:val="0"/>
            <w:vAlign w:val="center"/>
          </w:tcPr>
          <w:p>
            <w:pPr>
              <w:spacing w:line="360" w:lineRule="exact"/>
              <w:jc w:val="center"/>
              <w:rPr>
                <w:rFonts w:ascii="宋体" w:hAnsi="宋体"/>
                <w:b/>
                <w:szCs w:val="21"/>
              </w:rPr>
            </w:pPr>
          </w:p>
        </w:tc>
        <w:tc>
          <w:tcPr>
            <w:tcW w:w="968" w:type="pct"/>
            <w:vMerge w:val="continue"/>
            <w:noWrap w:val="0"/>
            <w:vAlign w:val="center"/>
          </w:tcPr>
          <w:p>
            <w:pPr>
              <w:spacing w:line="360" w:lineRule="exact"/>
              <w:rPr>
                <w:rFonts w:ascii="宋体" w:hAnsi="宋体"/>
                <w:szCs w:val="21"/>
              </w:rPr>
            </w:pPr>
          </w:p>
        </w:tc>
        <w:tc>
          <w:tcPr>
            <w:tcW w:w="3278" w:type="pct"/>
            <w:noWrap w:val="0"/>
            <w:vAlign w:val="center"/>
          </w:tcPr>
          <w:p>
            <w:pPr>
              <w:spacing w:line="360" w:lineRule="exact"/>
              <w:rPr>
                <w:rFonts w:ascii="宋体" w:hAnsi="宋体"/>
                <w:bCs/>
                <w:szCs w:val="21"/>
              </w:rPr>
            </w:pPr>
            <w:r>
              <w:rPr>
                <w:rFonts w:hint="eastAsia" w:ascii="宋体" w:hAnsi="宋体"/>
                <w:bCs/>
                <w:szCs w:val="21"/>
              </w:rPr>
              <w:t>3.5有</w:t>
            </w:r>
            <w:r>
              <w:rPr>
                <w:rFonts w:hint="eastAsia" w:ascii="宋体" w:hAnsi="宋体"/>
                <w:szCs w:val="21"/>
              </w:rPr>
              <w:t>专业培训师负责机旁操作培训，直至用户熟练使用为止。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000" w:type="pct"/>
            <w:gridSpan w:val="3"/>
            <w:noWrap w:val="0"/>
            <w:vAlign w:val="top"/>
          </w:tcPr>
          <w:p>
            <w:pPr>
              <w:spacing w:line="360" w:lineRule="exact"/>
              <w:rPr>
                <w:rFonts w:ascii="宋体" w:hAnsi="宋体"/>
                <w:b/>
                <w:szCs w:val="21"/>
              </w:rPr>
            </w:pPr>
            <w:r>
              <w:rPr>
                <w:rFonts w:hint="eastAsia" w:ascii="宋体" w:hAnsi="宋体"/>
                <w:b/>
                <w:szCs w:val="21"/>
              </w:rPr>
              <w:t>（二）免费保修期外售后服务要求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53" w:type="pct"/>
            <w:noWrap w:val="0"/>
            <w:vAlign w:val="center"/>
          </w:tcPr>
          <w:p>
            <w:pPr>
              <w:spacing w:line="360" w:lineRule="exact"/>
              <w:jc w:val="center"/>
              <w:rPr>
                <w:rFonts w:ascii="宋体" w:hAnsi="宋体"/>
                <w:b/>
                <w:szCs w:val="21"/>
              </w:rPr>
            </w:pPr>
            <w:r>
              <w:rPr>
                <w:rFonts w:hint="eastAsia" w:ascii="宋体" w:hAnsi="宋体"/>
                <w:b/>
                <w:szCs w:val="21"/>
              </w:rPr>
              <w:t>1</w:t>
            </w:r>
          </w:p>
        </w:tc>
        <w:tc>
          <w:tcPr>
            <w:tcW w:w="968" w:type="pct"/>
            <w:noWrap w:val="0"/>
            <w:vAlign w:val="center"/>
          </w:tcPr>
          <w:p>
            <w:pPr>
              <w:spacing w:line="360" w:lineRule="exact"/>
              <w:jc w:val="center"/>
              <w:rPr>
                <w:rFonts w:ascii="宋体" w:hAnsi="宋体"/>
                <w:szCs w:val="21"/>
              </w:rPr>
            </w:pPr>
            <w:r>
              <w:rPr>
                <w:rFonts w:hint="eastAsia" w:ascii="宋体" w:hAnsi="宋体"/>
                <w:szCs w:val="21"/>
              </w:rPr>
              <w:t>软件升级</w:t>
            </w:r>
          </w:p>
        </w:tc>
        <w:tc>
          <w:tcPr>
            <w:tcW w:w="3278" w:type="pct"/>
            <w:noWrap w:val="0"/>
            <w:vAlign w:val="top"/>
          </w:tcPr>
          <w:p>
            <w:pPr>
              <w:spacing w:line="360" w:lineRule="exact"/>
              <w:rPr>
                <w:rFonts w:ascii="宋体" w:hAnsi="宋体"/>
                <w:b/>
                <w:szCs w:val="21"/>
              </w:rPr>
            </w:pPr>
            <w:r>
              <w:rPr>
                <w:rFonts w:hint="eastAsia" w:ascii="宋体" w:hAnsi="宋体"/>
                <w:szCs w:val="21"/>
              </w:rPr>
              <w:t>1终身</w:t>
            </w:r>
            <w:r>
              <w:rPr>
                <w:rFonts w:ascii="宋体" w:hAnsi="宋体"/>
                <w:szCs w:val="21"/>
              </w:rPr>
              <w:t>免费提供用户软件升级</w:t>
            </w:r>
            <w:r>
              <w:rPr>
                <w:rFonts w:hint="eastAsia" w:ascii="宋体" w:hAnsi="宋体"/>
                <w:szCs w:val="21"/>
              </w:rPr>
              <w:t>，并免费提供升级所需的硬件。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53" w:type="pct"/>
            <w:noWrap w:val="0"/>
            <w:vAlign w:val="center"/>
          </w:tcPr>
          <w:p>
            <w:pPr>
              <w:spacing w:line="360" w:lineRule="exact"/>
              <w:jc w:val="center"/>
              <w:rPr>
                <w:rFonts w:ascii="宋体" w:hAnsi="宋体"/>
                <w:b/>
                <w:szCs w:val="21"/>
              </w:rPr>
            </w:pPr>
            <w:r>
              <w:rPr>
                <w:rFonts w:hint="eastAsia" w:ascii="宋体" w:hAnsi="宋体"/>
                <w:b/>
                <w:szCs w:val="21"/>
              </w:rPr>
              <w:t>2</w:t>
            </w:r>
          </w:p>
        </w:tc>
        <w:tc>
          <w:tcPr>
            <w:tcW w:w="968" w:type="pct"/>
            <w:noWrap w:val="0"/>
            <w:vAlign w:val="center"/>
          </w:tcPr>
          <w:p>
            <w:pPr>
              <w:spacing w:line="360" w:lineRule="exact"/>
              <w:jc w:val="center"/>
              <w:rPr>
                <w:rFonts w:ascii="宋体" w:hAnsi="宋体"/>
                <w:b/>
                <w:szCs w:val="21"/>
              </w:rPr>
            </w:pPr>
            <w:r>
              <w:rPr>
                <w:rFonts w:hint="eastAsia" w:ascii="宋体" w:hAnsi="宋体"/>
                <w:szCs w:val="21"/>
              </w:rPr>
              <w:t>软件合法性</w:t>
            </w:r>
          </w:p>
        </w:tc>
        <w:tc>
          <w:tcPr>
            <w:tcW w:w="3278" w:type="pct"/>
            <w:noWrap w:val="0"/>
            <w:vAlign w:val="top"/>
          </w:tcPr>
          <w:p>
            <w:pPr>
              <w:spacing w:line="360" w:lineRule="exact"/>
              <w:rPr>
                <w:rFonts w:ascii="宋体" w:hAnsi="宋体"/>
                <w:b/>
                <w:szCs w:val="21"/>
              </w:rPr>
            </w:pPr>
            <w:r>
              <w:rPr>
                <w:rFonts w:hint="eastAsia" w:ascii="宋体" w:hAnsi="宋体"/>
                <w:szCs w:val="21"/>
              </w:rPr>
              <w:t>2软件终身免费使用，供应商保证所使用软件的合法性，任何知识产权纠纷与采购人无关，造成任何损失由供应商负责。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53" w:type="pct"/>
            <w:noWrap w:val="0"/>
            <w:vAlign w:val="center"/>
          </w:tcPr>
          <w:p>
            <w:pPr>
              <w:spacing w:line="360" w:lineRule="exact"/>
              <w:jc w:val="center"/>
              <w:rPr>
                <w:rFonts w:ascii="宋体" w:hAnsi="宋体"/>
                <w:b/>
                <w:szCs w:val="21"/>
              </w:rPr>
            </w:pPr>
            <w:r>
              <w:rPr>
                <w:rFonts w:hint="eastAsia" w:ascii="宋体" w:hAnsi="宋体"/>
                <w:b/>
                <w:szCs w:val="21"/>
              </w:rPr>
              <w:t>3</w:t>
            </w:r>
          </w:p>
        </w:tc>
        <w:tc>
          <w:tcPr>
            <w:tcW w:w="968" w:type="pct"/>
            <w:noWrap w:val="0"/>
            <w:vAlign w:val="center"/>
          </w:tcPr>
          <w:p>
            <w:pPr>
              <w:spacing w:line="360" w:lineRule="exact"/>
              <w:jc w:val="center"/>
              <w:rPr>
                <w:rFonts w:ascii="宋体" w:hAnsi="宋体"/>
                <w:b/>
                <w:szCs w:val="21"/>
              </w:rPr>
            </w:pPr>
            <w:r>
              <w:rPr>
                <w:rFonts w:hint="eastAsia" w:ascii="宋体" w:hAnsi="宋体"/>
                <w:szCs w:val="21"/>
              </w:rPr>
              <w:t>培训</w:t>
            </w:r>
          </w:p>
        </w:tc>
        <w:tc>
          <w:tcPr>
            <w:tcW w:w="3278" w:type="pct"/>
            <w:noWrap w:val="0"/>
            <w:vAlign w:val="top"/>
          </w:tcPr>
          <w:p>
            <w:pPr>
              <w:spacing w:line="360" w:lineRule="exact"/>
              <w:rPr>
                <w:rFonts w:ascii="宋体" w:hAnsi="宋体"/>
                <w:b/>
                <w:szCs w:val="21"/>
              </w:rPr>
            </w:pPr>
            <w:r>
              <w:rPr>
                <w:rFonts w:hint="eastAsia" w:ascii="宋体" w:hAnsi="宋体"/>
                <w:szCs w:val="21"/>
              </w:rPr>
              <w:t>3有专业人员对用户使用人员进行设备的基本结构、性能，日常的使用保养方法，紧急情况处理等相关内容的培训，并对院方维修工程师进行工作原理，操作使用、维修维护、常见故障排除方法培训。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53" w:type="pct"/>
            <w:noWrap w:val="0"/>
            <w:vAlign w:val="center"/>
          </w:tcPr>
          <w:p>
            <w:pPr>
              <w:spacing w:line="360" w:lineRule="exact"/>
              <w:jc w:val="center"/>
              <w:rPr>
                <w:rFonts w:ascii="宋体" w:hAnsi="宋体"/>
                <w:b/>
                <w:szCs w:val="21"/>
              </w:rPr>
            </w:pPr>
            <w:r>
              <w:rPr>
                <w:rFonts w:hint="eastAsia" w:ascii="宋体" w:hAnsi="宋体"/>
                <w:b/>
                <w:szCs w:val="21"/>
              </w:rPr>
              <w:t>4</w:t>
            </w:r>
          </w:p>
        </w:tc>
        <w:tc>
          <w:tcPr>
            <w:tcW w:w="968" w:type="pct"/>
            <w:noWrap w:val="0"/>
            <w:vAlign w:val="center"/>
          </w:tcPr>
          <w:p>
            <w:pPr>
              <w:spacing w:line="360" w:lineRule="exact"/>
              <w:jc w:val="center"/>
              <w:rPr>
                <w:rFonts w:ascii="宋体" w:hAnsi="宋体"/>
                <w:szCs w:val="21"/>
              </w:rPr>
            </w:pPr>
            <w:r>
              <w:rPr>
                <w:rFonts w:hint="eastAsia" w:ascii="宋体" w:hAnsi="宋体"/>
                <w:szCs w:val="21"/>
              </w:rPr>
              <w:t>售后服务</w:t>
            </w:r>
          </w:p>
        </w:tc>
        <w:tc>
          <w:tcPr>
            <w:tcW w:w="3278" w:type="pct"/>
            <w:noWrap w:val="0"/>
            <w:vAlign w:val="top"/>
          </w:tcPr>
          <w:p>
            <w:pPr>
              <w:spacing w:line="360" w:lineRule="exact"/>
              <w:rPr>
                <w:rFonts w:ascii="宋体" w:hAnsi="宋体"/>
                <w:szCs w:val="21"/>
              </w:rPr>
            </w:pPr>
            <w:r>
              <w:rPr>
                <w:rFonts w:hint="eastAsia" w:ascii="宋体" w:hAnsi="宋体"/>
                <w:szCs w:val="21"/>
              </w:rPr>
              <w:t>4保修期满后供方保证响应需方要求免差旅费，先上门检修，并保证设备终身的维修零配件的供应及价格优惠。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000" w:type="pct"/>
            <w:gridSpan w:val="3"/>
            <w:noWrap w:val="0"/>
            <w:vAlign w:val="top"/>
          </w:tcPr>
          <w:p>
            <w:pPr>
              <w:spacing w:line="360" w:lineRule="exact"/>
              <w:rPr>
                <w:rFonts w:ascii="宋体" w:hAnsi="宋体"/>
                <w:b/>
                <w:szCs w:val="21"/>
              </w:rPr>
            </w:pPr>
            <w:r>
              <w:rPr>
                <w:rFonts w:hint="eastAsia" w:ascii="宋体" w:hAnsi="宋体"/>
                <w:b/>
                <w:szCs w:val="21"/>
              </w:rPr>
              <w:t>（三）其他商务要求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53" w:type="pct"/>
            <w:vMerge w:val="restart"/>
            <w:noWrap w:val="0"/>
            <w:vAlign w:val="center"/>
          </w:tcPr>
          <w:p>
            <w:pPr>
              <w:spacing w:line="360" w:lineRule="exact"/>
              <w:jc w:val="center"/>
              <w:rPr>
                <w:rFonts w:ascii="宋体" w:hAnsi="宋体"/>
                <w:b/>
                <w:szCs w:val="21"/>
              </w:rPr>
            </w:pPr>
            <w:r>
              <w:rPr>
                <w:rFonts w:hint="eastAsia" w:ascii="宋体" w:hAnsi="宋体"/>
                <w:b/>
                <w:szCs w:val="21"/>
              </w:rPr>
              <w:t>1</w:t>
            </w:r>
          </w:p>
        </w:tc>
        <w:tc>
          <w:tcPr>
            <w:tcW w:w="968" w:type="pct"/>
            <w:vMerge w:val="restart"/>
            <w:noWrap w:val="0"/>
            <w:vAlign w:val="center"/>
          </w:tcPr>
          <w:p>
            <w:pPr>
              <w:spacing w:line="360" w:lineRule="exact"/>
              <w:jc w:val="center"/>
              <w:rPr>
                <w:rFonts w:ascii="宋体" w:hAnsi="宋体"/>
                <w:szCs w:val="21"/>
              </w:rPr>
            </w:pPr>
            <w:r>
              <w:rPr>
                <w:rFonts w:hint="eastAsia" w:ascii="宋体" w:hAnsi="宋体"/>
                <w:szCs w:val="21"/>
              </w:rPr>
              <w:t>关于交货</w:t>
            </w:r>
          </w:p>
        </w:tc>
        <w:tc>
          <w:tcPr>
            <w:tcW w:w="3278" w:type="pct"/>
            <w:noWrap w:val="0"/>
            <w:vAlign w:val="top"/>
          </w:tcPr>
          <w:p>
            <w:pPr>
              <w:spacing w:line="360" w:lineRule="exact"/>
              <w:rPr>
                <w:rFonts w:ascii="宋体" w:hAnsi="宋体"/>
                <w:b/>
                <w:szCs w:val="21"/>
              </w:rPr>
            </w:pPr>
            <w:r>
              <w:rPr>
                <w:rFonts w:ascii="宋体" w:hAnsi="宋体"/>
                <w:b/>
                <w:bCs/>
                <w:szCs w:val="21"/>
              </w:rPr>
              <w:t>1.1</w:t>
            </w:r>
            <w:r>
              <w:rPr>
                <w:rFonts w:hint="eastAsia" w:ascii="宋体" w:hAnsi="宋体"/>
                <w:b/>
                <w:bCs/>
                <w:szCs w:val="21"/>
              </w:rPr>
              <w:t>交货期：签订合同之日起30日历天内交货、安装、调试、验收完毕并交付使用。安装标准:符合我国国家有关技术规范和技术标准；验收标准：应与投标文件技术标准一致 ,并符合我国有关技术规范和技术标准。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53" w:type="pct"/>
            <w:vMerge w:val="continue"/>
            <w:noWrap w:val="0"/>
            <w:vAlign w:val="center"/>
          </w:tcPr>
          <w:p>
            <w:pPr>
              <w:spacing w:line="360" w:lineRule="exact"/>
              <w:jc w:val="center"/>
              <w:rPr>
                <w:rFonts w:ascii="宋体" w:hAnsi="宋体"/>
                <w:b/>
                <w:szCs w:val="21"/>
              </w:rPr>
            </w:pPr>
          </w:p>
        </w:tc>
        <w:tc>
          <w:tcPr>
            <w:tcW w:w="968" w:type="pct"/>
            <w:vMerge w:val="continue"/>
            <w:noWrap w:val="0"/>
            <w:vAlign w:val="center"/>
          </w:tcPr>
          <w:p>
            <w:pPr>
              <w:spacing w:line="360" w:lineRule="exact"/>
              <w:jc w:val="center"/>
              <w:rPr>
                <w:rFonts w:ascii="宋体" w:hAnsi="宋体"/>
                <w:szCs w:val="21"/>
              </w:rPr>
            </w:pPr>
          </w:p>
        </w:tc>
        <w:tc>
          <w:tcPr>
            <w:tcW w:w="3278" w:type="pct"/>
            <w:noWrap w:val="0"/>
            <w:vAlign w:val="top"/>
          </w:tcPr>
          <w:p>
            <w:pPr>
              <w:spacing w:line="360" w:lineRule="exact"/>
              <w:rPr>
                <w:rFonts w:ascii="宋体" w:hAnsi="宋体"/>
                <w:bCs/>
                <w:szCs w:val="21"/>
              </w:rPr>
            </w:pPr>
            <w:r>
              <w:rPr>
                <w:rFonts w:hint="eastAsia" w:ascii="宋体" w:hAnsi="宋体"/>
                <w:bCs/>
                <w:szCs w:val="21"/>
              </w:rPr>
              <w:t>1.2投标人必须承担的设备运输、安装调试、验收检测和提供设备操作说明书、维修手册、图纸等其他类似的义务。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53" w:type="pct"/>
            <w:vMerge w:val="restart"/>
            <w:noWrap w:val="0"/>
            <w:vAlign w:val="center"/>
          </w:tcPr>
          <w:p>
            <w:pPr>
              <w:spacing w:line="360" w:lineRule="exact"/>
              <w:jc w:val="center"/>
              <w:rPr>
                <w:rFonts w:ascii="宋体" w:hAnsi="宋体"/>
                <w:b/>
                <w:szCs w:val="21"/>
              </w:rPr>
            </w:pPr>
            <w:r>
              <w:rPr>
                <w:rFonts w:hint="eastAsia" w:ascii="宋体" w:hAnsi="宋体"/>
                <w:b/>
                <w:szCs w:val="21"/>
              </w:rPr>
              <w:t>2</w:t>
            </w:r>
          </w:p>
        </w:tc>
        <w:tc>
          <w:tcPr>
            <w:tcW w:w="968" w:type="pct"/>
            <w:vMerge w:val="restart"/>
            <w:noWrap w:val="0"/>
            <w:vAlign w:val="center"/>
          </w:tcPr>
          <w:p>
            <w:pPr>
              <w:spacing w:line="360" w:lineRule="exact"/>
              <w:jc w:val="center"/>
              <w:rPr>
                <w:rFonts w:ascii="宋体" w:hAnsi="宋体"/>
                <w:szCs w:val="21"/>
              </w:rPr>
            </w:pPr>
            <w:r>
              <w:rPr>
                <w:rFonts w:hint="eastAsia" w:ascii="宋体" w:hAnsi="宋体"/>
                <w:szCs w:val="21"/>
              </w:rPr>
              <w:t>报价</w:t>
            </w:r>
          </w:p>
        </w:tc>
        <w:tc>
          <w:tcPr>
            <w:tcW w:w="3278" w:type="pct"/>
            <w:noWrap w:val="0"/>
            <w:vAlign w:val="top"/>
          </w:tcPr>
          <w:p>
            <w:pPr>
              <w:spacing w:line="360" w:lineRule="exact"/>
              <w:rPr>
                <w:rFonts w:ascii="宋体" w:hAnsi="宋体"/>
                <w:bCs/>
                <w:szCs w:val="21"/>
              </w:rPr>
            </w:pPr>
            <w:r>
              <w:rPr>
                <w:rFonts w:hint="eastAsia" w:ascii="宋体" w:hAnsi="宋体"/>
                <w:bCs/>
                <w:szCs w:val="21"/>
              </w:rPr>
              <w:t>2.1投标人的投标总报价高于财政控制金额为无效投标。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53" w:type="pct"/>
            <w:vMerge w:val="continue"/>
            <w:noWrap w:val="0"/>
            <w:vAlign w:val="center"/>
          </w:tcPr>
          <w:p>
            <w:pPr>
              <w:spacing w:line="360" w:lineRule="exact"/>
              <w:jc w:val="center"/>
              <w:rPr>
                <w:rFonts w:ascii="宋体" w:hAnsi="宋体"/>
                <w:b/>
                <w:szCs w:val="21"/>
              </w:rPr>
            </w:pPr>
          </w:p>
        </w:tc>
        <w:tc>
          <w:tcPr>
            <w:tcW w:w="968" w:type="pct"/>
            <w:vMerge w:val="continue"/>
            <w:noWrap w:val="0"/>
            <w:vAlign w:val="center"/>
          </w:tcPr>
          <w:p>
            <w:pPr>
              <w:spacing w:line="360" w:lineRule="exact"/>
              <w:jc w:val="center"/>
              <w:rPr>
                <w:rFonts w:ascii="宋体" w:hAnsi="宋体"/>
                <w:szCs w:val="21"/>
              </w:rPr>
            </w:pPr>
          </w:p>
        </w:tc>
        <w:tc>
          <w:tcPr>
            <w:tcW w:w="3278" w:type="pct"/>
            <w:noWrap w:val="0"/>
            <w:vAlign w:val="top"/>
          </w:tcPr>
          <w:p>
            <w:pPr>
              <w:spacing w:line="360" w:lineRule="exact"/>
              <w:rPr>
                <w:rFonts w:ascii="宋体" w:hAnsi="宋体"/>
                <w:bCs/>
                <w:szCs w:val="21"/>
              </w:rPr>
            </w:pPr>
            <w:r>
              <w:rPr>
                <w:rFonts w:hint="eastAsia" w:ascii="宋体" w:hAnsi="宋体"/>
                <w:bCs/>
                <w:szCs w:val="21"/>
              </w:rPr>
              <w:t>2.2以人民币为结算货币，投标报价包含完成项目所需的一切费用，即：设备费、软件费、税费、运输费、装卸费、安装费、调试费、培训费、计量及技术服务费、机房改造费和一切不可预见费等一切费用，项目结算时不做任何单价或费用的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53" w:type="pct"/>
            <w:vMerge w:val="restart"/>
            <w:noWrap w:val="0"/>
            <w:vAlign w:val="center"/>
          </w:tcPr>
          <w:p>
            <w:pPr>
              <w:spacing w:line="360" w:lineRule="exact"/>
              <w:jc w:val="center"/>
              <w:rPr>
                <w:rFonts w:ascii="宋体" w:hAnsi="宋体"/>
                <w:b/>
                <w:szCs w:val="21"/>
              </w:rPr>
            </w:pPr>
            <w:r>
              <w:rPr>
                <w:rFonts w:hint="eastAsia" w:ascii="宋体" w:hAnsi="宋体"/>
                <w:b/>
                <w:szCs w:val="21"/>
              </w:rPr>
              <w:t>3</w:t>
            </w:r>
          </w:p>
        </w:tc>
        <w:tc>
          <w:tcPr>
            <w:tcW w:w="968" w:type="pct"/>
            <w:vMerge w:val="restart"/>
            <w:noWrap w:val="0"/>
            <w:vAlign w:val="center"/>
          </w:tcPr>
          <w:p>
            <w:pPr>
              <w:spacing w:line="360" w:lineRule="exact"/>
              <w:jc w:val="center"/>
              <w:rPr>
                <w:rFonts w:ascii="宋体" w:hAnsi="宋体"/>
                <w:szCs w:val="21"/>
              </w:rPr>
            </w:pPr>
            <w:r>
              <w:rPr>
                <w:rFonts w:hint="eastAsia" w:ascii="宋体" w:hAnsi="宋体"/>
                <w:szCs w:val="21"/>
              </w:rPr>
              <w:t>关于验收</w:t>
            </w:r>
          </w:p>
        </w:tc>
        <w:tc>
          <w:tcPr>
            <w:tcW w:w="3278" w:type="pct"/>
            <w:noWrap w:val="0"/>
            <w:vAlign w:val="top"/>
          </w:tcPr>
          <w:p>
            <w:pPr>
              <w:spacing w:line="360" w:lineRule="exact"/>
              <w:rPr>
                <w:rFonts w:ascii="宋体" w:hAnsi="宋体"/>
                <w:bCs/>
                <w:szCs w:val="21"/>
              </w:rPr>
            </w:pPr>
            <w:r>
              <w:rPr>
                <w:rFonts w:hint="eastAsia" w:ascii="宋体" w:hAnsi="宋体"/>
                <w:bCs/>
                <w:szCs w:val="21"/>
              </w:rPr>
              <w:t>3.1投标人货物经过双方检验认可后，签署验收报告，产品保修期自验收合格之日起算，由投标人提供产品保修文件。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53" w:type="pct"/>
            <w:vMerge w:val="continue"/>
            <w:noWrap w:val="0"/>
            <w:vAlign w:val="center"/>
          </w:tcPr>
          <w:p>
            <w:pPr>
              <w:spacing w:line="360" w:lineRule="exact"/>
              <w:jc w:val="center"/>
              <w:rPr>
                <w:rFonts w:ascii="宋体" w:hAnsi="宋体"/>
                <w:b/>
                <w:szCs w:val="21"/>
              </w:rPr>
            </w:pPr>
          </w:p>
        </w:tc>
        <w:tc>
          <w:tcPr>
            <w:tcW w:w="968" w:type="pct"/>
            <w:vMerge w:val="continue"/>
            <w:noWrap w:val="0"/>
            <w:vAlign w:val="top"/>
          </w:tcPr>
          <w:p>
            <w:pPr>
              <w:spacing w:line="360" w:lineRule="exact"/>
              <w:rPr>
                <w:rFonts w:ascii="宋体" w:hAnsi="宋体"/>
                <w:b/>
                <w:szCs w:val="21"/>
              </w:rPr>
            </w:pPr>
          </w:p>
        </w:tc>
        <w:tc>
          <w:tcPr>
            <w:tcW w:w="3278" w:type="pct"/>
            <w:noWrap w:val="0"/>
            <w:vAlign w:val="top"/>
          </w:tcPr>
          <w:p>
            <w:pPr>
              <w:spacing w:line="360" w:lineRule="exact"/>
              <w:rPr>
                <w:rFonts w:ascii="宋体" w:hAnsi="宋体"/>
                <w:bCs/>
                <w:szCs w:val="21"/>
              </w:rPr>
            </w:pPr>
            <w:r>
              <w:rPr>
                <w:rFonts w:hint="eastAsia" w:ascii="宋体" w:hAnsi="宋体"/>
                <w:bCs/>
                <w:szCs w:val="21"/>
              </w:rPr>
              <w:t>3.2当满足以下条件时，采购人才签货物验收报告：</w:t>
            </w:r>
          </w:p>
          <w:p>
            <w:pPr>
              <w:tabs>
                <w:tab w:val="left" w:pos="1260"/>
              </w:tabs>
              <w:spacing w:line="360" w:lineRule="exact"/>
              <w:rPr>
                <w:rFonts w:ascii="宋体" w:hAnsi="宋体"/>
                <w:bCs/>
                <w:szCs w:val="21"/>
              </w:rPr>
            </w:pPr>
            <w:r>
              <w:rPr>
                <w:rFonts w:ascii="宋体" w:hAnsi="宋体"/>
                <w:bCs/>
                <w:szCs w:val="21"/>
              </w:rPr>
              <w:t>a</w:t>
            </w:r>
            <w:r>
              <w:rPr>
                <w:rFonts w:hint="eastAsia" w:ascii="宋体" w:hAnsi="宋体"/>
                <w:bCs/>
                <w:szCs w:val="21"/>
              </w:rPr>
              <w:t>、中标人已按照合同规定提供了全部产品及完整的技术资料。</w:t>
            </w:r>
          </w:p>
          <w:p>
            <w:pPr>
              <w:tabs>
                <w:tab w:val="left" w:pos="1260"/>
              </w:tabs>
              <w:spacing w:line="360" w:lineRule="exact"/>
              <w:rPr>
                <w:rFonts w:ascii="宋体" w:hAnsi="宋体"/>
                <w:bCs/>
                <w:szCs w:val="21"/>
              </w:rPr>
            </w:pPr>
            <w:r>
              <w:rPr>
                <w:rFonts w:ascii="宋体" w:hAnsi="宋体"/>
                <w:bCs/>
                <w:szCs w:val="21"/>
              </w:rPr>
              <w:t>b</w:t>
            </w:r>
            <w:r>
              <w:rPr>
                <w:rFonts w:hint="eastAsia" w:ascii="宋体" w:hAnsi="宋体"/>
                <w:bCs/>
                <w:szCs w:val="21"/>
              </w:rPr>
              <w:t>、货物符合招标文件技术规格书的要求，性能满足要求。</w:t>
            </w:r>
          </w:p>
          <w:p>
            <w:pPr>
              <w:tabs>
                <w:tab w:val="left" w:pos="1260"/>
              </w:tabs>
              <w:spacing w:line="360" w:lineRule="exact"/>
              <w:rPr>
                <w:rFonts w:ascii="宋体" w:hAnsi="宋体"/>
                <w:bCs/>
                <w:szCs w:val="21"/>
              </w:rPr>
            </w:pPr>
            <w:r>
              <w:rPr>
                <w:rFonts w:ascii="宋体" w:hAnsi="宋体"/>
                <w:bCs/>
                <w:szCs w:val="21"/>
              </w:rPr>
              <w:t>c</w:t>
            </w:r>
            <w:r>
              <w:rPr>
                <w:rFonts w:hint="eastAsia" w:ascii="宋体" w:hAnsi="宋体"/>
                <w:bCs/>
                <w:szCs w:val="21"/>
              </w:rPr>
              <w:t>、货物为国产产品，须提供产品合格证。</w:t>
            </w:r>
          </w:p>
          <w:p>
            <w:pPr>
              <w:tabs>
                <w:tab w:val="left" w:pos="1260"/>
              </w:tabs>
              <w:spacing w:line="360" w:lineRule="exact"/>
              <w:rPr>
                <w:rFonts w:ascii="宋体" w:hAnsi="宋体"/>
                <w:bCs/>
                <w:szCs w:val="21"/>
              </w:rPr>
            </w:pPr>
            <w:r>
              <w:rPr>
                <w:rFonts w:hint="eastAsia" w:ascii="宋体" w:hAnsi="宋体"/>
                <w:bCs/>
                <w:szCs w:val="21"/>
              </w:rPr>
              <w:t>d、货物为进口产品，须提供相关报关资料。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53" w:type="pct"/>
            <w:vMerge w:val="continue"/>
            <w:noWrap w:val="0"/>
            <w:vAlign w:val="center"/>
          </w:tcPr>
          <w:p>
            <w:pPr>
              <w:spacing w:line="360" w:lineRule="exact"/>
              <w:jc w:val="center"/>
              <w:rPr>
                <w:rFonts w:ascii="宋体" w:hAnsi="宋体"/>
                <w:b/>
                <w:szCs w:val="21"/>
              </w:rPr>
            </w:pPr>
          </w:p>
        </w:tc>
        <w:tc>
          <w:tcPr>
            <w:tcW w:w="968" w:type="pct"/>
            <w:vMerge w:val="continue"/>
            <w:noWrap w:val="0"/>
            <w:vAlign w:val="top"/>
          </w:tcPr>
          <w:p>
            <w:pPr>
              <w:spacing w:line="360" w:lineRule="exact"/>
              <w:rPr>
                <w:rFonts w:ascii="宋体" w:hAnsi="宋体"/>
                <w:b/>
                <w:szCs w:val="21"/>
              </w:rPr>
            </w:pPr>
          </w:p>
        </w:tc>
        <w:tc>
          <w:tcPr>
            <w:tcW w:w="3278" w:type="pct"/>
            <w:noWrap w:val="0"/>
            <w:vAlign w:val="top"/>
          </w:tcPr>
          <w:p>
            <w:pPr>
              <w:spacing w:line="360" w:lineRule="exact"/>
              <w:rPr>
                <w:rFonts w:ascii="宋体" w:hAnsi="宋体"/>
                <w:bCs/>
                <w:szCs w:val="21"/>
              </w:rPr>
            </w:pPr>
            <w:r>
              <w:rPr>
                <w:rFonts w:hint="eastAsia" w:ascii="宋体" w:hAnsi="宋体"/>
                <w:bCs/>
                <w:szCs w:val="21"/>
              </w:rPr>
              <w:t>3.3凡属于国家规定强制检测的设备项目，都必须具备计量质检部门的检测合格证。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53" w:type="pct"/>
            <w:vMerge w:val="restart"/>
            <w:noWrap w:val="0"/>
            <w:vAlign w:val="center"/>
          </w:tcPr>
          <w:p>
            <w:pPr>
              <w:spacing w:line="360" w:lineRule="exact"/>
              <w:jc w:val="center"/>
              <w:rPr>
                <w:rFonts w:ascii="宋体" w:hAnsi="宋体"/>
                <w:b/>
                <w:szCs w:val="21"/>
              </w:rPr>
            </w:pPr>
            <w:r>
              <w:rPr>
                <w:rFonts w:hint="eastAsia" w:ascii="宋体" w:hAnsi="宋体"/>
                <w:b/>
                <w:szCs w:val="21"/>
              </w:rPr>
              <w:t>4</w:t>
            </w:r>
          </w:p>
        </w:tc>
        <w:tc>
          <w:tcPr>
            <w:tcW w:w="968" w:type="pct"/>
            <w:vMerge w:val="restart"/>
            <w:noWrap w:val="0"/>
            <w:vAlign w:val="center"/>
          </w:tcPr>
          <w:p>
            <w:pPr>
              <w:spacing w:line="360" w:lineRule="exact"/>
              <w:jc w:val="center"/>
              <w:rPr>
                <w:rFonts w:ascii="宋体" w:hAnsi="宋体"/>
                <w:b/>
                <w:szCs w:val="21"/>
              </w:rPr>
            </w:pPr>
            <w:r>
              <w:rPr>
                <w:rFonts w:hint="eastAsia" w:ascii="宋体" w:hAnsi="宋体"/>
                <w:szCs w:val="21"/>
              </w:rPr>
              <w:t>付款方式</w:t>
            </w:r>
          </w:p>
        </w:tc>
        <w:tc>
          <w:tcPr>
            <w:tcW w:w="3278" w:type="pct"/>
            <w:noWrap w:val="0"/>
            <w:vAlign w:val="top"/>
          </w:tcPr>
          <w:p>
            <w:pPr>
              <w:spacing w:line="360" w:lineRule="exact"/>
              <w:rPr>
                <w:rFonts w:ascii="宋体" w:hAnsi="宋体"/>
                <w:b/>
                <w:szCs w:val="21"/>
              </w:rPr>
            </w:pPr>
            <w:r>
              <w:rPr>
                <w:rFonts w:hint="eastAsia" w:ascii="宋体" w:hAnsi="宋体"/>
                <w:szCs w:val="21"/>
              </w:rPr>
              <w:t>4.1货到安装验收合格并提供全额发票后付款95%，5%余款保修期满一年后付清。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53" w:type="pct"/>
            <w:vMerge w:val="continue"/>
            <w:noWrap w:val="0"/>
            <w:vAlign w:val="center"/>
          </w:tcPr>
          <w:p>
            <w:pPr>
              <w:spacing w:line="360" w:lineRule="exact"/>
              <w:jc w:val="center"/>
              <w:rPr>
                <w:rFonts w:ascii="宋体" w:hAnsi="宋体"/>
                <w:szCs w:val="21"/>
              </w:rPr>
            </w:pPr>
          </w:p>
        </w:tc>
        <w:tc>
          <w:tcPr>
            <w:tcW w:w="968" w:type="pct"/>
            <w:vMerge w:val="continue"/>
            <w:noWrap w:val="0"/>
            <w:vAlign w:val="top"/>
          </w:tcPr>
          <w:p>
            <w:pPr>
              <w:spacing w:line="360" w:lineRule="exact"/>
              <w:rPr>
                <w:rFonts w:ascii="宋体" w:hAnsi="宋体"/>
                <w:b/>
                <w:szCs w:val="21"/>
              </w:rPr>
            </w:pPr>
          </w:p>
        </w:tc>
        <w:tc>
          <w:tcPr>
            <w:tcW w:w="3278" w:type="pct"/>
            <w:noWrap w:val="0"/>
            <w:vAlign w:val="top"/>
          </w:tcPr>
          <w:p>
            <w:pPr>
              <w:spacing w:line="360" w:lineRule="exact"/>
              <w:rPr>
                <w:rFonts w:ascii="宋体" w:hAnsi="宋体"/>
                <w:b/>
                <w:szCs w:val="21"/>
              </w:rPr>
            </w:pPr>
            <w:r>
              <w:rPr>
                <w:rFonts w:hint="eastAsia" w:ascii="宋体" w:hAnsi="宋体"/>
                <w:szCs w:val="21"/>
              </w:rPr>
              <w:t>4.2由于供应商的原因未能按时供货的，每迟一天罚款合同总额的0.5%；如超过供货期10日历天，将终止合同并通过法律程序对供应商进行索赔。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53" w:type="pct"/>
            <w:vMerge w:val="continue"/>
            <w:noWrap w:val="0"/>
            <w:vAlign w:val="center"/>
          </w:tcPr>
          <w:p>
            <w:pPr>
              <w:spacing w:line="360" w:lineRule="exact"/>
              <w:jc w:val="center"/>
              <w:rPr>
                <w:rFonts w:ascii="宋体" w:hAnsi="宋体"/>
                <w:szCs w:val="21"/>
              </w:rPr>
            </w:pPr>
          </w:p>
        </w:tc>
        <w:tc>
          <w:tcPr>
            <w:tcW w:w="968" w:type="pct"/>
            <w:vMerge w:val="continue"/>
            <w:noWrap w:val="0"/>
            <w:vAlign w:val="top"/>
          </w:tcPr>
          <w:p>
            <w:pPr>
              <w:spacing w:line="360" w:lineRule="exact"/>
              <w:rPr>
                <w:rFonts w:ascii="宋体" w:hAnsi="宋体"/>
                <w:b/>
                <w:szCs w:val="21"/>
              </w:rPr>
            </w:pPr>
          </w:p>
        </w:tc>
        <w:tc>
          <w:tcPr>
            <w:tcW w:w="3278" w:type="pct"/>
            <w:noWrap w:val="0"/>
            <w:vAlign w:val="top"/>
          </w:tcPr>
          <w:p>
            <w:pPr>
              <w:spacing w:line="360" w:lineRule="exact"/>
              <w:rPr>
                <w:rFonts w:ascii="宋体" w:hAnsi="宋体"/>
                <w:b/>
                <w:szCs w:val="21"/>
              </w:rPr>
            </w:pPr>
            <w:r>
              <w:rPr>
                <w:rFonts w:hint="eastAsia" w:ascii="宋体" w:hAnsi="宋体"/>
                <w:szCs w:val="21"/>
              </w:rPr>
              <w:t>4.3由于供应商的原因，在货到10日历天内未进行安装调试，或安装调试时间超过正常要求，按每超过一天罚款合同总额的0.5%或按实际损失罚款。情节严重者，将依法律程序对供应商进行索赔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53" w:type="pct"/>
            <w:noWrap w:val="0"/>
            <w:vAlign w:val="center"/>
          </w:tcPr>
          <w:p>
            <w:pPr>
              <w:spacing w:line="360" w:lineRule="exact"/>
              <w:jc w:val="center"/>
              <w:rPr>
                <w:rFonts w:ascii="宋体" w:hAnsi="宋体"/>
                <w:b/>
                <w:szCs w:val="21"/>
              </w:rPr>
            </w:pPr>
            <w:r>
              <w:rPr>
                <w:rFonts w:hint="eastAsia" w:ascii="宋体" w:hAnsi="宋体"/>
                <w:b/>
                <w:bCs/>
                <w:szCs w:val="21"/>
              </w:rPr>
              <w:t>★</w:t>
            </w:r>
            <w:r>
              <w:rPr>
                <w:rFonts w:hint="eastAsia" w:ascii="宋体" w:hAnsi="宋体"/>
                <w:b/>
                <w:szCs w:val="21"/>
              </w:rPr>
              <w:t>5</w:t>
            </w:r>
          </w:p>
        </w:tc>
        <w:tc>
          <w:tcPr>
            <w:tcW w:w="968" w:type="pct"/>
            <w:noWrap w:val="0"/>
            <w:vAlign w:val="center"/>
          </w:tcPr>
          <w:p>
            <w:pPr>
              <w:spacing w:line="360" w:lineRule="exact"/>
              <w:jc w:val="center"/>
              <w:rPr>
                <w:rFonts w:ascii="宋体" w:hAnsi="宋体"/>
                <w:b/>
                <w:szCs w:val="21"/>
              </w:rPr>
            </w:pPr>
            <w:r>
              <w:rPr>
                <w:rFonts w:hint="eastAsia" w:ascii="宋体" w:hAnsi="宋体"/>
                <w:b/>
                <w:szCs w:val="21"/>
              </w:rPr>
              <w:t>项目(产品)要求</w:t>
            </w:r>
          </w:p>
        </w:tc>
        <w:tc>
          <w:tcPr>
            <w:tcW w:w="3278" w:type="pct"/>
            <w:noWrap w:val="0"/>
            <w:vAlign w:val="top"/>
          </w:tcPr>
          <w:p>
            <w:pPr>
              <w:spacing w:line="360" w:lineRule="exact"/>
              <w:rPr>
                <w:rFonts w:ascii="宋体" w:hAnsi="宋体"/>
                <w:szCs w:val="21"/>
              </w:rPr>
            </w:pPr>
            <w:r>
              <w:rPr>
                <w:rFonts w:hint="eastAsia" w:ascii="宋体" w:hAnsi="宋体"/>
                <w:szCs w:val="21"/>
              </w:rPr>
              <w:t>5.1若所投产品（荧光原位杂交成像系统）为进口产品，则投标人必须为提供所投产品（荧光原位杂交成像系统）的制造商或合法代理商或合法授权供应商（提供相关证明）；若所投产品（荧光原位杂交成像系统）是国内产品（非进口产品），则投标人不需要提供其为所投产品的制造商或合法代理商或合法授权供应商的证明；</w:t>
            </w:r>
          </w:p>
          <w:p>
            <w:pPr>
              <w:spacing w:line="360" w:lineRule="exact"/>
              <w:rPr>
                <w:rFonts w:hint="eastAsia" w:ascii="宋体" w:hAnsi="宋体"/>
                <w:szCs w:val="21"/>
              </w:rPr>
            </w:pPr>
            <w:r>
              <w:rPr>
                <w:rFonts w:hint="eastAsia" w:ascii="宋体" w:hAnsi="宋体"/>
                <w:szCs w:val="21"/>
              </w:rPr>
              <w:t>5.2投标人提供针对所投产品的（生物显微镜）《医疗器械注册证》；</w:t>
            </w:r>
          </w:p>
        </w:tc>
      </w:tr>
    </w:tbl>
    <w:p>
      <w:pPr>
        <w:spacing w:line="350" w:lineRule="exact"/>
        <w:ind w:firstLine="420" w:firstLineChars="200"/>
        <w:rPr>
          <w:rFonts w:ascii="宋体" w:hAnsi="宋体"/>
          <w:szCs w:val="21"/>
        </w:rPr>
      </w:pPr>
    </w:p>
    <w:p>
      <w:pPr>
        <w:jc w:val="center"/>
        <w:outlineLvl w:val="1"/>
        <w:rPr>
          <w:rFonts w:ascii="黑体" w:eastAsia="黑体"/>
          <w:caps/>
          <w:sz w:val="24"/>
          <w:szCs w:val="24"/>
        </w:rPr>
      </w:pPr>
      <w:bookmarkStart w:id="4" w:name="_Toc333420706"/>
      <w:bookmarkStart w:id="5" w:name="_Toc23315192"/>
      <w:r>
        <w:rPr>
          <w:rFonts w:hint="eastAsia" w:ascii="黑体" w:eastAsia="黑体"/>
          <w:caps/>
          <w:sz w:val="24"/>
          <w:szCs w:val="24"/>
        </w:rPr>
        <w:t>第五节  投标文件否决性条款摘要</w:t>
      </w:r>
      <w:bookmarkEnd w:id="4"/>
      <w:bookmarkEnd w:id="5"/>
    </w:p>
    <w:p>
      <w:pPr>
        <w:spacing w:line="360" w:lineRule="exact"/>
        <w:ind w:firstLine="422" w:firstLineChars="200"/>
        <w:rPr>
          <w:rFonts w:ascii="宋体" w:hAnsi="宋体"/>
          <w:b/>
          <w:szCs w:val="21"/>
        </w:rPr>
      </w:pPr>
      <w:r>
        <w:rPr>
          <w:rFonts w:ascii="宋体" w:hAnsi="宋体"/>
          <w:b/>
        </w:rPr>
        <w:t>1、</w:t>
      </w:r>
      <w:r>
        <w:rPr>
          <w:rFonts w:ascii="宋体" w:hAnsi="宋体"/>
          <w:b/>
          <w:szCs w:val="21"/>
        </w:rPr>
        <w:t>投标文件有下列情形之一的，不予受理：</w:t>
      </w:r>
    </w:p>
    <w:p>
      <w:pPr>
        <w:spacing w:line="360" w:lineRule="exact"/>
        <w:ind w:firstLine="420" w:firstLineChars="200"/>
        <w:rPr>
          <w:rFonts w:ascii="宋体" w:hAnsi="宋体"/>
          <w:szCs w:val="21"/>
        </w:rPr>
      </w:pPr>
      <w:r>
        <w:rPr>
          <w:rFonts w:ascii="宋体" w:hAnsi="宋体"/>
        </w:rPr>
        <w:t xml:space="preserve">1.1  </w:t>
      </w:r>
      <w:r>
        <w:rPr>
          <w:rFonts w:ascii="宋体" w:hAnsi="宋体"/>
          <w:szCs w:val="21"/>
        </w:rPr>
        <w:t>在投标截止时间以后送达的，或者未送达指定地点的；</w:t>
      </w:r>
    </w:p>
    <w:p>
      <w:pPr>
        <w:spacing w:line="360" w:lineRule="exact"/>
        <w:ind w:firstLine="420" w:firstLineChars="200"/>
        <w:rPr>
          <w:rFonts w:hint="eastAsia" w:ascii="宋体" w:hAnsi="宋体"/>
        </w:rPr>
      </w:pPr>
      <w:r>
        <w:rPr>
          <w:rFonts w:ascii="宋体" w:hAnsi="宋体"/>
        </w:rPr>
        <w:t xml:space="preserve">1.2  </w:t>
      </w:r>
      <w:r>
        <w:rPr>
          <w:rFonts w:hint="eastAsia" w:ascii="宋体" w:hAnsi="宋体"/>
        </w:rPr>
        <w:t>投标文件未密封的；</w:t>
      </w:r>
    </w:p>
    <w:p>
      <w:pPr>
        <w:spacing w:line="360" w:lineRule="exact"/>
        <w:ind w:firstLine="420" w:firstLineChars="200"/>
        <w:rPr>
          <w:rFonts w:ascii="宋体" w:hAnsi="宋体"/>
          <w:b/>
          <w:szCs w:val="21"/>
        </w:rPr>
      </w:pPr>
      <w:r>
        <w:rPr>
          <w:rFonts w:hint="eastAsia" w:ascii="宋体" w:hAnsi="宋体"/>
        </w:rPr>
        <w:t xml:space="preserve">1.3  </w:t>
      </w:r>
      <w:r>
        <w:rPr>
          <w:rFonts w:ascii="宋体" w:hAnsi="宋体"/>
          <w:szCs w:val="21"/>
        </w:rPr>
        <w:t>投标人的名称与</w:t>
      </w:r>
      <w:bookmarkStart w:id="6" w:name="_Toc76871384"/>
      <w:r>
        <w:rPr>
          <w:rFonts w:ascii="宋体" w:hAnsi="宋体"/>
          <w:szCs w:val="21"/>
        </w:rPr>
        <w:t>购买招标文件时登记</w:t>
      </w:r>
      <w:bookmarkEnd w:id="6"/>
      <w:r>
        <w:rPr>
          <w:rFonts w:ascii="宋体" w:hAnsi="宋体"/>
          <w:szCs w:val="21"/>
        </w:rPr>
        <w:t>的不一致的。</w:t>
      </w:r>
    </w:p>
    <w:p>
      <w:pPr>
        <w:spacing w:line="360" w:lineRule="exact"/>
        <w:ind w:firstLine="422" w:firstLineChars="200"/>
        <w:rPr>
          <w:rFonts w:hint="eastAsia" w:ascii="宋体" w:hAnsi="宋体"/>
          <w:b/>
          <w:szCs w:val="21"/>
        </w:rPr>
      </w:pPr>
      <w:r>
        <w:rPr>
          <w:rFonts w:ascii="宋体" w:hAnsi="宋体"/>
          <w:b/>
        </w:rPr>
        <w:t>2</w:t>
      </w:r>
      <w:r>
        <w:rPr>
          <w:rFonts w:hint="eastAsia" w:ascii="宋体" w:hAnsi="宋体"/>
          <w:b/>
        </w:rPr>
        <w:t>、</w:t>
      </w:r>
      <w:r>
        <w:rPr>
          <w:rFonts w:ascii="宋体" w:hAnsi="宋体"/>
          <w:b/>
          <w:szCs w:val="21"/>
        </w:rPr>
        <w:t>投标文件有下列</w:t>
      </w:r>
      <w:r>
        <w:rPr>
          <w:rFonts w:hint="eastAsia" w:ascii="宋体" w:hAnsi="宋体"/>
          <w:b/>
          <w:szCs w:val="21"/>
        </w:rPr>
        <w:t>情形之一的，按无效标处理：</w:t>
      </w:r>
    </w:p>
    <w:p>
      <w:pPr>
        <w:spacing w:line="360" w:lineRule="exact"/>
        <w:ind w:firstLine="420" w:firstLineChars="200"/>
        <w:rPr>
          <w:rFonts w:ascii="宋体" w:hAnsi="宋体"/>
          <w:szCs w:val="21"/>
        </w:rPr>
      </w:pPr>
      <w:r>
        <w:rPr>
          <w:rFonts w:hint="eastAsia" w:ascii="宋体" w:hAnsi="宋体"/>
        </w:rPr>
        <w:t xml:space="preserve">2.1  </w:t>
      </w:r>
      <w:r>
        <w:rPr>
          <w:rFonts w:hint="eastAsia" w:ascii="宋体" w:hAnsi="宋体"/>
          <w:szCs w:val="21"/>
        </w:rPr>
        <w:t>投标人未按照招标文件的要求提供投标保证金的；</w:t>
      </w:r>
      <w:r>
        <w:rPr>
          <w:rFonts w:ascii="宋体" w:hAnsi="宋体"/>
          <w:szCs w:val="21"/>
        </w:rPr>
        <w:t xml:space="preserve"> </w:t>
      </w:r>
    </w:p>
    <w:p>
      <w:pPr>
        <w:spacing w:line="360" w:lineRule="exact"/>
        <w:ind w:firstLine="420" w:firstLineChars="200"/>
        <w:rPr>
          <w:rFonts w:ascii="宋体" w:hAnsi="宋体"/>
          <w:szCs w:val="21"/>
        </w:rPr>
      </w:pPr>
      <w:r>
        <w:rPr>
          <w:rFonts w:hint="eastAsia" w:ascii="宋体" w:hAnsi="宋体"/>
          <w:szCs w:val="21"/>
        </w:rPr>
        <w:t>2.2  投标文件无法定代表人签字或盖章，或签字人无法定代表人有效授权委托书原件的；</w:t>
      </w:r>
    </w:p>
    <w:p>
      <w:pPr>
        <w:spacing w:line="360" w:lineRule="exact"/>
        <w:ind w:firstLine="420" w:firstLineChars="200"/>
        <w:rPr>
          <w:rFonts w:hint="eastAsia" w:ascii="宋体" w:hAnsi="宋体"/>
          <w:szCs w:val="21"/>
        </w:rPr>
      </w:pPr>
      <w:r>
        <w:rPr>
          <w:rFonts w:hint="eastAsia" w:ascii="宋体" w:hAnsi="宋体"/>
          <w:szCs w:val="21"/>
        </w:rPr>
        <w:t>2.3  投标人资格条件不符合国家有关规定和招标文件要求；</w:t>
      </w:r>
    </w:p>
    <w:p>
      <w:pPr>
        <w:spacing w:line="360" w:lineRule="exact"/>
        <w:ind w:firstLine="420" w:firstLineChars="200"/>
        <w:rPr>
          <w:rFonts w:ascii="宋体" w:hAnsi="宋体"/>
          <w:szCs w:val="21"/>
        </w:rPr>
      </w:pPr>
      <w:r>
        <w:rPr>
          <w:rFonts w:hint="eastAsia" w:ascii="宋体" w:hAnsi="宋体"/>
          <w:szCs w:val="21"/>
        </w:rPr>
        <w:t>2.4  投标总价或分项报价超过预算控制金额的；</w:t>
      </w:r>
      <w:r>
        <w:rPr>
          <w:rFonts w:ascii="宋体" w:hAnsi="宋体"/>
          <w:szCs w:val="21"/>
        </w:rPr>
        <w:t xml:space="preserve"> </w:t>
      </w:r>
    </w:p>
    <w:p>
      <w:pPr>
        <w:spacing w:line="360" w:lineRule="exact"/>
        <w:ind w:firstLine="420" w:firstLineChars="200"/>
        <w:rPr>
          <w:rFonts w:ascii="宋体" w:hAnsi="宋体"/>
          <w:szCs w:val="21"/>
        </w:rPr>
      </w:pPr>
      <w:r>
        <w:rPr>
          <w:rFonts w:hint="eastAsia" w:ascii="宋体" w:hAnsi="宋体"/>
          <w:szCs w:val="21"/>
        </w:rPr>
        <w:t>2.5  开标一览表出现无报价或报价为零或有选择性报价的；</w:t>
      </w:r>
    </w:p>
    <w:p>
      <w:pPr>
        <w:spacing w:line="360" w:lineRule="exact"/>
        <w:ind w:firstLine="420" w:firstLineChars="200"/>
        <w:rPr>
          <w:rFonts w:hint="eastAsia" w:ascii="宋体" w:hAnsi="宋体"/>
          <w:szCs w:val="21"/>
        </w:rPr>
      </w:pPr>
      <w:r>
        <w:rPr>
          <w:rFonts w:hint="eastAsia" w:ascii="宋体" w:hAnsi="宋体"/>
          <w:szCs w:val="21"/>
        </w:rPr>
        <w:t xml:space="preserve">2.6  </w:t>
      </w:r>
      <w:r>
        <w:rPr>
          <w:rFonts w:hint="eastAsia" w:ascii="宋体" w:hAnsi="宋体"/>
          <w:spacing w:val="-2"/>
          <w:szCs w:val="21"/>
        </w:rPr>
        <w:t>投标人以他人的名义投标、串通投标、以行贿手段谋取中标或者以其他弄虚作假方式投标；</w:t>
      </w:r>
    </w:p>
    <w:p>
      <w:pPr>
        <w:spacing w:line="360" w:lineRule="exact"/>
        <w:ind w:firstLine="420" w:firstLineChars="200"/>
        <w:rPr>
          <w:rFonts w:hint="eastAsia" w:ascii="宋体" w:hAnsi="宋体"/>
          <w:szCs w:val="21"/>
        </w:rPr>
      </w:pPr>
      <w:r>
        <w:rPr>
          <w:rFonts w:hint="eastAsia" w:ascii="宋体" w:hAnsi="宋体"/>
          <w:szCs w:val="21"/>
        </w:rPr>
        <w:t xml:space="preserve">2.7  </w:t>
      </w:r>
      <w:r>
        <w:rPr>
          <w:rFonts w:hint="eastAsia" w:ascii="宋体" w:hAnsi="宋体"/>
          <w:spacing w:val="-2"/>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2.8  投标人拒不按照要求对投标文件进行澄清、说明或者补正的；</w:t>
      </w:r>
    </w:p>
    <w:p>
      <w:pPr>
        <w:spacing w:line="360" w:lineRule="exact"/>
        <w:ind w:firstLine="420" w:firstLineChars="200"/>
        <w:rPr>
          <w:rFonts w:hint="eastAsia" w:ascii="宋体" w:hAnsi="宋体"/>
          <w:szCs w:val="21"/>
        </w:rPr>
      </w:pPr>
      <w:r>
        <w:rPr>
          <w:rFonts w:hint="eastAsia" w:ascii="宋体" w:hAnsi="宋体"/>
          <w:szCs w:val="21"/>
        </w:rPr>
        <w:t>2.9  文件的关键内容字迹模糊、无法辨认的；</w:t>
      </w:r>
    </w:p>
    <w:p>
      <w:pPr>
        <w:spacing w:line="360" w:lineRule="exact"/>
        <w:ind w:firstLine="420" w:firstLineChars="200"/>
        <w:rPr>
          <w:rFonts w:hint="eastAsia" w:ascii="宋体" w:hAnsi="宋体"/>
          <w:szCs w:val="21"/>
        </w:rPr>
      </w:pPr>
      <w:r>
        <w:rPr>
          <w:rFonts w:hint="eastAsia" w:ascii="宋体" w:hAnsi="宋体"/>
          <w:szCs w:val="21"/>
        </w:rPr>
        <w:t>2.10  投标函未按规定填写的；</w:t>
      </w:r>
    </w:p>
    <w:p>
      <w:pPr>
        <w:spacing w:line="360" w:lineRule="exact"/>
        <w:ind w:firstLine="420" w:firstLineChars="200"/>
        <w:rPr>
          <w:rFonts w:hint="eastAsia" w:ascii="宋体" w:hAnsi="宋体"/>
          <w:szCs w:val="21"/>
        </w:rPr>
      </w:pPr>
      <w:r>
        <w:rPr>
          <w:rFonts w:hint="eastAsia" w:ascii="宋体" w:hAnsi="宋体"/>
          <w:szCs w:val="21"/>
        </w:rPr>
        <w:t>2.11  投标有效期不足的；</w:t>
      </w:r>
    </w:p>
    <w:p>
      <w:pPr>
        <w:spacing w:line="360" w:lineRule="exact"/>
        <w:ind w:firstLine="420" w:firstLineChars="200"/>
        <w:rPr>
          <w:rFonts w:ascii="宋体" w:hAnsi="宋体"/>
          <w:szCs w:val="21"/>
        </w:rPr>
      </w:pPr>
      <w:r>
        <w:rPr>
          <w:rFonts w:hint="eastAsia" w:ascii="宋体" w:hAnsi="宋体"/>
          <w:szCs w:val="21"/>
        </w:rPr>
        <w:t xml:space="preserve">2.12  </w:t>
      </w:r>
      <w:r>
        <w:rPr>
          <w:rFonts w:hint="eastAsia" w:ascii="宋体" w:hAnsi="宋体"/>
          <w:spacing w:val="-6"/>
          <w:szCs w:val="21"/>
        </w:rPr>
        <w:t>投标人的投标未能在实质上响应招标文件提出的所有实质性要求和条件（不可偏离条款）的；</w:t>
      </w:r>
    </w:p>
    <w:p>
      <w:pPr>
        <w:spacing w:line="360" w:lineRule="exact"/>
        <w:ind w:firstLine="420" w:firstLineChars="200"/>
        <w:rPr>
          <w:rFonts w:hint="eastAsia" w:ascii="宋体" w:hAnsi="宋体"/>
          <w:szCs w:val="21"/>
        </w:rPr>
      </w:pPr>
      <w:r>
        <w:rPr>
          <w:rFonts w:hint="eastAsia" w:ascii="宋体" w:hAnsi="宋体"/>
          <w:szCs w:val="21"/>
        </w:rPr>
        <w:t xml:space="preserve">2.13  </w:t>
      </w:r>
      <w:r>
        <w:rPr>
          <w:rFonts w:ascii="宋体" w:hAnsi="宋体"/>
          <w:szCs w:val="21"/>
        </w:rPr>
        <w:t>投标报价有严重缺漏项目的</w:t>
      </w:r>
      <w:r>
        <w:rPr>
          <w:rFonts w:hint="eastAsia" w:ascii="宋体" w:hAnsi="宋体"/>
          <w:szCs w:val="21"/>
        </w:rPr>
        <w:t>；</w:t>
      </w:r>
    </w:p>
    <w:p>
      <w:pPr>
        <w:spacing w:line="360" w:lineRule="exact"/>
        <w:ind w:firstLine="420" w:firstLineChars="200"/>
        <w:rPr>
          <w:rFonts w:ascii="宋体" w:hAnsi="宋体"/>
          <w:szCs w:val="21"/>
        </w:rPr>
      </w:pPr>
      <w:r>
        <w:rPr>
          <w:rFonts w:hint="eastAsia" w:ascii="宋体" w:hAnsi="宋体"/>
          <w:szCs w:val="21"/>
        </w:rPr>
        <w:t>2.14  联合体投标未附联合体各方共同投标协议的；联合体成员</w:t>
      </w:r>
      <w:r>
        <w:rPr>
          <w:rFonts w:ascii="宋体" w:hAnsi="宋体"/>
          <w:szCs w:val="21"/>
        </w:rPr>
        <w:t>再以自己名义单独投标，</w:t>
      </w:r>
      <w:r>
        <w:rPr>
          <w:rFonts w:hint="eastAsia" w:ascii="宋体" w:hAnsi="宋体"/>
          <w:szCs w:val="21"/>
        </w:rPr>
        <w:t>及</w:t>
      </w:r>
      <w:r>
        <w:rPr>
          <w:rFonts w:ascii="宋体" w:hAnsi="宋体"/>
          <w:szCs w:val="21"/>
        </w:rPr>
        <w:t>组成或参加其他联合体在同一项目中投标</w:t>
      </w:r>
      <w:r>
        <w:rPr>
          <w:rFonts w:hint="eastAsia" w:ascii="宋体" w:hAnsi="宋体"/>
          <w:szCs w:val="21"/>
        </w:rPr>
        <w:t>的；</w:t>
      </w:r>
    </w:p>
    <w:p>
      <w:pPr>
        <w:spacing w:line="360" w:lineRule="exact"/>
        <w:ind w:firstLine="420" w:firstLineChars="200"/>
        <w:rPr>
          <w:rFonts w:ascii="宋体" w:hAnsi="宋体"/>
          <w:szCs w:val="21"/>
        </w:rPr>
      </w:pPr>
      <w:r>
        <w:rPr>
          <w:rFonts w:hint="eastAsia" w:ascii="宋体" w:hAnsi="宋体"/>
          <w:szCs w:val="21"/>
        </w:rPr>
        <w:t xml:space="preserve">2.15  </w:t>
      </w:r>
      <w:r>
        <w:rPr>
          <w:rFonts w:ascii="宋体" w:hAnsi="宋体"/>
          <w:szCs w:val="21"/>
        </w:rPr>
        <w:t>投标人递交两份或多份内容不同</w:t>
      </w:r>
      <w:r>
        <w:rPr>
          <w:rFonts w:hint="eastAsia" w:ascii="宋体" w:hAnsi="宋体"/>
          <w:szCs w:val="21"/>
        </w:rPr>
        <w:t>投标方案（</w:t>
      </w:r>
      <w:r>
        <w:rPr>
          <w:rFonts w:ascii="宋体" w:hAnsi="宋体"/>
          <w:szCs w:val="21"/>
        </w:rPr>
        <w:t>招标文件规定提交备选投标方案的除外</w:t>
      </w:r>
      <w:r>
        <w:rPr>
          <w:rFonts w:hint="eastAsia" w:ascii="宋体" w:hAnsi="宋体"/>
          <w:szCs w:val="21"/>
        </w:rPr>
        <w:t>）</w:t>
      </w:r>
      <w:r>
        <w:rPr>
          <w:rFonts w:ascii="宋体" w:hAnsi="宋体"/>
          <w:szCs w:val="21"/>
        </w:rPr>
        <w:t>；</w:t>
      </w:r>
    </w:p>
    <w:p>
      <w:pPr>
        <w:spacing w:line="360" w:lineRule="exact"/>
        <w:ind w:firstLine="420" w:firstLineChars="200"/>
        <w:rPr>
          <w:rFonts w:ascii="宋体" w:hAnsi="宋体"/>
          <w:szCs w:val="21"/>
        </w:rPr>
      </w:pPr>
      <w:r>
        <w:rPr>
          <w:rFonts w:hint="eastAsia" w:ascii="宋体" w:hAnsi="宋体"/>
          <w:szCs w:val="21"/>
        </w:rPr>
        <w:t>2.16  投标文件只对</w:t>
      </w:r>
      <w:r>
        <w:rPr>
          <w:rFonts w:ascii="宋体" w:hAnsi="宋体"/>
          <w:szCs w:val="21"/>
        </w:rPr>
        <w:t>同一</w:t>
      </w:r>
      <w:r>
        <w:rPr>
          <w:rFonts w:hint="eastAsia" w:ascii="宋体" w:hAnsi="宋体"/>
          <w:szCs w:val="21"/>
        </w:rPr>
        <w:t>项目</w:t>
      </w:r>
      <w:r>
        <w:rPr>
          <w:rFonts w:ascii="宋体" w:hAnsi="宋体"/>
          <w:szCs w:val="21"/>
        </w:rPr>
        <w:t>包中的</w:t>
      </w:r>
      <w:r>
        <w:rPr>
          <w:rFonts w:hint="eastAsia" w:ascii="宋体" w:hAnsi="宋体"/>
          <w:szCs w:val="21"/>
        </w:rPr>
        <w:t>部分</w:t>
      </w:r>
      <w:r>
        <w:rPr>
          <w:rFonts w:ascii="宋体" w:hAnsi="宋体"/>
          <w:szCs w:val="21"/>
        </w:rPr>
        <w:t>内容</w:t>
      </w:r>
      <w:r>
        <w:rPr>
          <w:rFonts w:hint="eastAsia" w:ascii="宋体" w:hAnsi="宋体"/>
          <w:szCs w:val="21"/>
        </w:rPr>
        <w:t>投标，或把</w:t>
      </w:r>
      <w:r>
        <w:rPr>
          <w:rFonts w:ascii="宋体" w:hAnsi="宋体"/>
          <w:szCs w:val="21"/>
        </w:rPr>
        <w:t>同一</w:t>
      </w:r>
      <w:r>
        <w:rPr>
          <w:rFonts w:hint="eastAsia" w:ascii="宋体" w:hAnsi="宋体"/>
          <w:szCs w:val="21"/>
        </w:rPr>
        <w:t>项目</w:t>
      </w:r>
      <w:r>
        <w:rPr>
          <w:rFonts w:ascii="宋体" w:hAnsi="宋体"/>
          <w:szCs w:val="21"/>
        </w:rPr>
        <w:t>包中</w:t>
      </w:r>
      <w:r>
        <w:rPr>
          <w:rFonts w:hint="eastAsia" w:ascii="宋体" w:hAnsi="宋体"/>
          <w:szCs w:val="21"/>
        </w:rPr>
        <w:t>的内容拆开的投标；</w:t>
      </w:r>
    </w:p>
    <w:p>
      <w:pPr>
        <w:spacing w:line="360" w:lineRule="exact"/>
        <w:ind w:firstLine="420" w:firstLineChars="200"/>
        <w:rPr>
          <w:rFonts w:ascii="宋体" w:hAnsi="宋体"/>
          <w:szCs w:val="21"/>
        </w:rPr>
      </w:pPr>
      <w:r>
        <w:rPr>
          <w:rFonts w:hint="eastAsia" w:ascii="宋体" w:hAnsi="宋体"/>
          <w:szCs w:val="21"/>
        </w:rPr>
        <w:t>2.17  评标委员会根据招标文件的规定对投标文件的计算错误进行修正，投标人不接受修正后的投标报价的；</w:t>
      </w:r>
    </w:p>
    <w:p>
      <w:pPr>
        <w:spacing w:line="360" w:lineRule="exact"/>
        <w:ind w:firstLine="420" w:firstLineChars="200"/>
        <w:rPr>
          <w:rFonts w:hint="eastAsia" w:ascii="宋体" w:hAnsi="宋体"/>
          <w:szCs w:val="21"/>
        </w:rPr>
      </w:pPr>
      <w:r>
        <w:rPr>
          <w:rFonts w:hint="eastAsia" w:ascii="宋体" w:hAnsi="宋体"/>
          <w:szCs w:val="21"/>
        </w:rPr>
        <w:t>2.18  投标文件符合法律、法规及</w:t>
      </w:r>
      <w:r>
        <w:rPr>
          <w:rFonts w:hint="eastAsia" w:ascii="宋体" w:hAnsi="宋体"/>
        </w:rPr>
        <w:t>招标文件中规定的其他否决因素的。</w:t>
      </w:r>
    </w:p>
    <w:p>
      <w:pPr>
        <w:spacing w:line="340" w:lineRule="exact"/>
        <w:ind w:firstLine="422" w:firstLineChars="200"/>
        <w:rPr>
          <w:rFonts w:ascii="宋体" w:hAnsi="宋体"/>
          <w:b/>
          <w:bCs/>
          <w:szCs w:val="21"/>
        </w:rPr>
      </w:pPr>
    </w:p>
    <w:p>
      <w:pPr>
        <w:jc w:val="center"/>
        <w:outlineLvl w:val="1"/>
        <w:rPr>
          <w:rFonts w:ascii="黑体" w:hAnsi="宋体" w:eastAsia="黑体"/>
          <w:bCs/>
          <w:sz w:val="24"/>
          <w:szCs w:val="24"/>
        </w:rPr>
      </w:pPr>
      <w:bookmarkStart w:id="7" w:name="_Toc23315193"/>
      <w:r>
        <w:rPr>
          <w:rFonts w:hint="eastAsia" w:ascii="黑体" w:hAnsi="宋体" w:eastAsia="黑体"/>
          <w:bCs/>
          <w:sz w:val="24"/>
          <w:szCs w:val="24"/>
        </w:rPr>
        <w:t>第六节  评标方法及程序</w:t>
      </w:r>
      <w:bookmarkEnd w:id="7"/>
    </w:p>
    <w:p>
      <w:pPr>
        <w:spacing w:line="360" w:lineRule="exact"/>
        <w:ind w:firstLine="422" w:firstLineChars="200"/>
        <w:rPr>
          <w:rFonts w:ascii="宋体" w:hAnsi="宋体"/>
          <w:b/>
          <w:bCs/>
          <w:szCs w:val="21"/>
        </w:rPr>
      </w:pPr>
      <w:r>
        <w:rPr>
          <w:rFonts w:hint="eastAsia" w:ascii="宋体" w:hAnsi="宋体"/>
          <w:b/>
          <w:bCs/>
          <w:szCs w:val="21"/>
        </w:rPr>
        <w:t>一、本项目评标及定标方法</w:t>
      </w:r>
    </w:p>
    <w:tbl>
      <w:tblPr>
        <w:tblStyle w:val="31"/>
        <w:tblW w:w="490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2"/>
        <w:gridCol w:w="1605"/>
        <w:gridCol w:w="60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blHeader/>
          <w:jc w:val="center"/>
        </w:trPr>
        <w:tc>
          <w:tcPr>
            <w:tcW w:w="426" w:type="pct"/>
            <w:noWrap w:val="0"/>
            <w:vAlign w:val="center"/>
          </w:tcPr>
          <w:p>
            <w:pPr>
              <w:jc w:val="center"/>
              <w:rPr>
                <w:rFonts w:hint="eastAsia" w:ascii="宋体" w:hAnsi="宋体"/>
                <w:b/>
                <w:bCs/>
                <w:szCs w:val="21"/>
              </w:rPr>
            </w:pPr>
            <w:r>
              <w:rPr>
                <w:rFonts w:hint="eastAsia" w:ascii="宋体" w:hAnsi="宋体"/>
                <w:b/>
                <w:bCs/>
                <w:szCs w:val="21"/>
              </w:rPr>
              <w:t>序号</w:t>
            </w:r>
          </w:p>
        </w:tc>
        <w:tc>
          <w:tcPr>
            <w:tcW w:w="960" w:type="pct"/>
            <w:noWrap w:val="0"/>
            <w:vAlign w:val="center"/>
          </w:tcPr>
          <w:p>
            <w:pPr>
              <w:jc w:val="center"/>
              <w:rPr>
                <w:rFonts w:hint="eastAsia" w:ascii="宋体" w:hAnsi="宋体"/>
                <w:b/>
                <w:bCs/>
                <w:szCs w:val="21"/>
              </w:rPr>
            </w:pPr>
            <w:r>
              <w:rPr>
                <w:rFonts w:hint="eastAsia" w:ascii="宋体" w:hAnsi="宋体"/>
                <w:b/>
                <w:bCs/>
                <w:szCs w:val="21"/>
              </w:rPr>
              <w:t>项目</w:t>
            </w:r>
          </w:p>
        </w:tc>
        <w:tc>
          <w:tcPr>
            <w:tcW w:w="3614" w:type="pct"/>
            <w:noWrap w:val="0"/>
            <w:vAlign w:val="center"/>
          </w:tcPr>
          <w:p>
            <w:pPr>
              <w:jc w:val="center"/>
              <w:rPr>
                <w:rFonts w:hint="eastAsia" w:ascii="宋体" w:hAnsi="宋体"/>
                <w:b/>
                <w:bCs/>
                <w:szCs w:val="21"/>
              </w:rPr>
            </w:pPr>
            <w:r>
              <w:rPr>
                <w:rFonts w:hint="eastAsia" w:ascii="宋体" w:hAnsi="宋体"/>
                <w:b/>
                <w:bCs/>
                <w:szCs w:val="21"/>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26" w:type="pct"/>
            <w:noWrap w:val="0"/>
            <w:vAlign w:val="center"/>
          </w:tcPr>
          <w:p>
            <w:pPr>
              <w:jc w:val="center"/>
              <w:rPr>
                <w:rFonts w:hint="eastAsia" w:ascii="宋体" w:hAnsi="宋体"/>
                <w:bCs/>
                <w:szCs w:val="21"/>
              </w:rPr>
            </w:pPr>
            <w:r>
              <w:rPr>
                <w:rFonts w:hint="eastAsia" w:ascii="宋体" w:hAnsi="宋体"/>
                <w:bCs/>
                <w:szCs w:val="21"/>
              </w:rPr>
              <w:t>1</w:t>
            </w:r>
          </w:p>
        </w:tc>
        <w:tc>
          <w:tcPr>
            <w:tcW w:w="960" w:type="pct"/>
            <w:noWrap w:val="0"/>
            <w:vAlign w:val="center"/>
          </w:tcPr>
          <w:p>
            <w:pPr>
              <w:rPr>
                <w:rFonts w:hint="eastAsia" w:ascii="宋体" w:hAnsi="宋体"/>
                <w:bCs/>
                <w:szCs w:val="21"/>
              </w:rPr>
            </w:pPr>
            <w:r>
              <w:rPr>
                <w:rFonts w:hint="eastAsia" w:ascii="宋体" w:hAnsi="宋体"/>
                <w:bCs/>
                <w:szCs w:val="21"/>
              </w:rPr>
              <w:t>定标方式</w:t>
            </w:r>
          </w:p>
        </w:tc>
        <w:tc>
          <w:tcPr>
            <w:tcW w:w="3614" w:type="pct"/>
            <w:noWrap w:val="0"/>
            <w:vAlign w:val="center"/>
          </w:tcPr>
          <w:p>
            <w:pPr>
              <w:rPr>
                <w:rFonts w:hint="eastAsia" w:ascii="宋体" w:hAnsi="宋体"/>
                <w:b/>
                <w:bCs/>
                <w:szCs w:val="21"/>
              </w:rPr>
            </w:pPr>
            <w:r>
              <w:rPr>
                <w:rFonts w:hint="eastAsia" w:ascii="MS Mincho" w:hAnsi="MS Mincho" w:cs="MS Mincho"/>
                <w:snapToGrid w:val="0"/>
                <w:kern w:val="0"/>
                <w:szCs w:val="21"/>
              </w:rPr>
              <w:t>□</w:t>
            </w:r>
            <w:r>
              <w:rPr>
                <w:rFonts w:hint="eastAsia" w:ascii="宋体" w:hAnsi="宋体"/>
                <w:szCs w:val="21"/>
              </w:rPr>
              <w:t xml:space="preserve">授权评标委员会确定中标单位    </w:t>
            </w:r>
            <w:r>
              <w:rPr>
                <w:rFonts w:hint="eastAsia" w:ascii="宋体" w:hAnsi="宋体"/>
                <w:snapToGrid w:val="0"/>
                <w:kern w:val="0"/>
                <w:szCs w:val="21"/>
              </w:rPr>
              <w:t xml:space="preserve">■ </w:t>
            </w:r>
            <w:r>
              <w:rPr>
                <w:rFonts w:hint="eastAsia"/>
              </w:rPr>
              <w:t>评标和定标分离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26" w:type="pct"/>
            <w:noWrap w:val="0"/>
            <w:vAlign w:val="center"/>
          </w:tcPr>
          <w:p>
            <w:pPr>
              <w:jc w:val="center"/>
              <w:rPr>
                <w:rFonts w:hint="eastAsia" w:ascii="宋体" w:hAnsi="宋体"/>
                <w:bCs/>
                <w:szCs w:val="21"/>
              </w:rPr>
            </w:pPr>
            <w:r>
              <w:rPr>
                <w:rFonts w:hint="eastAsia" w:ascii="宋体" w:hAnsi="宋体"/>
                <w:bCs/>
                <w:szCs w:val="21"/>
              </w:rPr>
              <w:t>2</w:t>
            </w:r>
          </w:p>
        </w:tc>
        <w:tc>
          <w:tcPr>
            <w:tcW w:w="960" w:type="pct"/>
            <w:noWrap w:val="0"/>
            <w:vAlign w:val="center"/>
          </w:tcPr>
          <w:p>
            <w:pPr>
              <w:rPr>
                <w:rFonts w:hint="eastAsia" w:ascii="宋体" w:hAnsi="宋体"/>
                <w:bCs/>
                <w:szCs w:val="21"/>
              </w:rPr>
            </w:pPr>
            <w:r>
              <w:rPr>
                <w:rFonts w:hint="eastAsia" w:ascii="宋体" w:hAnsi="宋体"/>
                <w:bCs/>
                <w:szCs w:val="21"/>
              </w:rPr>
              <w:t>评标方法</w:t>
            </w:r>
          </w:p>
        </w:tc>
        <w:tc>
          <w:tcPr>
            <w:tcW w:w="3614" w:type="pct"/>
            <w:noWrap w:val="0"/>
            <w:vAlign w:val="center"/>
          </w:tcPr>
          <w:p>
            <w:pPr>
              <w:rPr>
                <w:rFonts w:hint="eastAsia" w:ascii="宋体" w:hAnsi="宋体"/>
                <w:b/>
                <w:bCs/>
                <w:szCs w:val="21"/>
              </w:rPr>
            </w:pPr>
            <w:bookmarkStart w:id="8" w:name="OLE_LINK164"/>
            <w:bookmarkStart w:id="9" w:name="OLE_LINK165"/>
            <w:r>
              <w:rPr>
                <w:rFonts w:hint="eastAsia" w:ascii="MS Mincho" w:hAnsi="MS Mincho" w:cs="MS Mincho"/>
                <w:snapToGrid w:val="0"/>
                <w:kern w:val="0"/>
                <w:szCs w:val="21"/>
              </w:rPr>
              <w:t>■</w:t>
            </w:r>
            <w:bookmarkEnd w:id="8"/>
            <w:bookmarkEnd w:id="9"/>
            <w:r>
              <w:rPr>
                <w:rFonts w:hint="eastAsia" w:ascii="MS Mincho" w:hAnsi="MS Mincho" w:cs="MS Mincho"/>
                <w:snapToGrid w:val="0"/>
                <w:kern w:val="0"/>
                <w:szCs w:val="21"/>
              </w:rPr>
              <w:t xml:space="preserve"> </w:t>
            </w:r>
            <w:r>
              <w:rPr>
                <w:rFonts w:hint="eastAsia" w:ascii="宋体" w:hAnsi="宋体"/>
                <w:szCs w:val="21"/>
              </w:rPr>
              <w:t xml:space="preserve">综合评分法    </w:t>
            </w:r>
            <w:bookmarkStart w:id="10" w:name="OLE_LINK167"/>
            <w:bookmarkStart w:id="11" w:name="OLE_LINK166"/>
            <w:r>
              <w:rPr>
                <w:rFonts w:hint="eastAsia" w:ascii="宋体" w:hAnsi="宋体"/>
                <w:snapToGrid w:val="0"/>
                <w:kern w:val="0"/>
                <w:szCs w:val="21"/>
              </w:rPr>
              <w:t>□</w:t>
            </w:r>
            <w:bookmarkEnd w:id="10"/>
            <w:bookmarkEnd w:id="11"/>
            <w:r>
              <w:rPr>
                <w:rFonts w:hint="eastAsia" w:ascii="宋体" w:hAnsi="宋体"/>
                <w:snapToGrid w:val="0"/>
                <w:kern w:val="0"/>
                <w:szCs w:val="21"/>
              </w:rPr>
              <w:t xml:space="preserve"> </w:t>
            </w:r>
            <w:r>
              <w:rPr>
                <w:rFonts w:hint="eastAsia" w:ascii="Calibri" w:hAnsi="Calibri"/>
                <w:szCs w:val="21"/>
              </w:rPr>
              <w:t>最低价法</w:t>
            </w:r>
            <w:r>
              <w:rPr>
                <w:rFonts w:ascii="Calibri" w:hAnsi="Calibri"/>
                <w:szCs w:val="21"/>
              </w:rPr>
              <w:t xml:space="preserve">  </w:t>
            </w:r>
            <w:r>
              <w:rPr>
                <w:rFonts w:hint="eastAsia" w:ascii="Calibri" w:hAnsi="Calibri"/>
                <w:szCs w:val="21"/>
              </w:rPr>
              <w:t xml:space="preserve">  </w:t>
            </w:r>
            <w:r>
              <w:rPr>
                <w:rFonts w:hint="eastAsia" w:ascii="宋体" w:hAnsi="宋体"/>
                <w:snapToGrid w:val="0"/>
                <w:kern w:val="0"/>
                <w:szCs w:val="21"/>
              </w:rPr>
              <w:t xml:space="preserve">□ </w:t>
            </w:r>
            <w:r>
              <w:rPr>
                <w:rFonts w:hint="eastAsia" w:ascii="宋体" w:hAnsi="宋体"/>
                <w:szCs w:val="21"/>
              </w:rPr>
              <w:t>定性评审法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26" w:type="pct"/>
            <w:noWrap w:val="0"/>
            <w:vAlign w:val="center"/>
          </w:tcPr>
          <w:p>
            <w:pPr>
              <w:jc w:val="center"/>
              <w:rPr>
                <w:rFonts w:hint="eastAsia" w:ascii="宋体" w:hAnsi="宋体"/>
                <w:bCs/>
                <w:szCs w:val="21"/>
              </w:rPr>
            </w:pPr>
            <w:r>
              <w:rPr>
                <w:rFonts w:hint="eastAsia" w:ascii="宋体" w:hAnsi="宋体"/>
                <w:bCs/>
                <w:szCs w:val="21"/>
              </w:rPr>
              <w:t>3</w:t>
            </w:r>
          </w:p>
        </w:tc>
        <w:tc>
          <w:tcPr>
            <w:tcW w:w="960" w:type="pct"/>
            <w:noWrap w:val="0"/>
            <w:vAlign w:val="center"/>
          </w:tcPr>
          <w:p>
            <w:pPr>
              <w:rPr>
                <w:rFonts w:hint="eastAsia" w:ascii="宋体" w:hAnsi="宋体"/>
                <w:bCs/>
                <w:szCs w:val="21"/>
              </w:rPr>
            </w:pPr>
            <w:r>
              <w:rPr>
                <w:rFonts w:hint="eastAsia" w:ascii="宋体" w:hAnsi="宋体"/>
                <w:bCs/>
                <w:szCs w:val="21"/>
              </w:rPr>
              <w:t>定标方法</w:t>
            </w:r>
          </w:p>
        </w:tc>
        <w:tc>
          <w:tcPr>
            <w:tcW w:w="3614" w:type="pct"/>
            <w:noWrap w:val="0"/>
            <w:vAlign w:val="center"/>
          </w:tcPr>
          <w:p>
            <w:pPr>
              <w:rPr>
                <w:rFonts w:hint="eastAsia" w:ascii="宋体" w:hAnsi="宋体"/>
                <w:bCs/>
                <w:szCs w:val="21"/>
              </w:rPr>
            </w:pPr>
            <w:r>
              <w:rPr>
                <w:rFonts w:hint="eastAsia" w:ascii="宋体" w:hAnsi="宋体"/>
                <w:snapToGrid w:val="0"/>
                <w:kern w:val="0"/>
                <w:szCs w:val="21"/>
              </w:rPr>
              <w:t xml:space="preserve">■ </w:t>
            </w:r>
            <w:r>
              <w:rPr>
                <w:rFonts w:hint="eastAsia" w:ascii="宋体" w:hAnsi="宋体"/>
                <w:bCs/>
                <w:szCs w:val="21"/>
              </w:rPr>
              <w:t xml:space="preserve">自定法        </w:t>
            </w:r>
            <w:r>
              <w:rPr>
                <w:rFonts w:hint="eastAsia" w:ascii="宋体" w:hAnsi="宋体"/>
                <w:snapToGrid w:val="0"/>
                <w:kern w:val="0"/>
                <w:szCs w:val="21"/>
              </w:rPr>
              <w:t xml:space="preserve">□ </w:t>
            </w:r>
            <w:r>
              <w:rPr>
                <w:rFonts w:hint="eastAsia" w:ascii="宋体" w:hAnsi="宋体"/>
                <w:bCs/>
                <w:szCs w:val="21"/>
              </w:rPr>
              <w:t xml:space="preserve">抽签法      </w:t>
            </w:r>
            <w:r>
              <w:rPr>
                <w:rFonts w:hint="eastAsia" w:ascii="宋体" w:hAnsi="宋体"/>
                <w:snapToGrid w:val="0"/>
                <w:kern w:val="0"/>
                <w:szCs w:val="21"/>
              </w:rPr>
              <w:t xml:space="preserve">□ </w:t>
            </w:r>
            <w:r>
              <w:rPr>
                <w:rFonts w:hint="eastAsia" w:ascii="宋体" w:hAnsi="宋体"/>
                <w:bCs/>
                <w:szCs w:val="21"/>
              </w:rPr>
              <w:t>竞价法</w:t>
            </w:r>
          </w:p>
          <w:p>
            <w:pPr>
              <w:rPr>
                <w:rFonts w:hint="eastAsia" w:ascii="宋体" w:hAnsi="宋体"/>
                <w:b/>
                <w:bCs/>
                <w:szCs w:val="21"/>
              </w:rPr>
            </w:pPr>
            <w:r>
              <w:rPr>
                <w:rFonts w:hint="eastAsia" w:ascii="宋体" w:hAnsi="宋体"/>
                <w:b/>
                <w:bCs/>
                <w:szCs w:val="21"/>
              </w:rPr>
              <w:t>注：</w:t>
            </w:r>
            <w:r>
              <w:rPr>
                <w:rFonts w:hint="eastAsia" w:ascii="宋体" w:hAnsi="宋体"/>
                <w:bCs/>
                <w:szCs w:val="21"/>
              </w:rPr>
              <w:t>本选项仅在定标方式选择“</w:t>
            </w:r>
            <w:r>
              <w:rPr>
                <w:rFonts w:hint="eastAsia"/>
              </w:rPr>
              <w:t>评标和定标分离</w:t>
            </w:r>
            <w:r>
              <w:rPr>
                <w:rFonts w:hint="eastAsia" w:ascii="宋体" w:hAnsi="宋体"/>
                <w:bCs/>
                <w:szCs w:val="21"/>
              </w:rPr>
              <w:t>”时适用。</w:t>
            </w:r>
          </w:p>
        </w:tc>
      </w:tr>
    </w:tbl>
    <w:p>
      <w:pPr>
        <w:spacing w:line="360" w:lineRule="exact"/>
        <w:ind w:firstLine="422" w:firstLineChars="200"/>
        <w:rPr>
          <w:rFonts w:hint="eastAsia" w:ascii="宋体" w:hAnsi="宋体"/>
          <w:b/>
          <w:bCs/>
          <w:szCs w:val="21"/>
        </w:rPr>
      </w:pPr>
      <w:r>
        <w:rPr>
          <w:rFonts w:hint="eastAsia" w:ascii="宋体" w:hAnsi="宋体"/>
          <w:b/>
          <w:bCs/>
          <w:szCs w:val="21"/>
        </w:rPr>
        <w:t>备注：</w:t>
      </w:r>
      <w:r>
        <w:rPr>
          <w:rFonts w:hint="eastAsia" w:ascii="宋体" w:hAnsi="宋体"/>
          <w:snapToGrid w:val="0"/>
          <w:kern w:val="0"/>
          <w:szCs w:val="21"/>
        </w:rPr>
        <w:t>用“</w:t>
      </w:r>
      <w:r>
        <w:rPr>
          <w:rFonts w:hint="eastAsia" w:ascii="MS Mincho" w:hAnsi="MS Mincho" w:cs="MS Mincho"/>
          <w:snapToGrid w:val="0"/>
          <w:kern w:val="0"/>
          <w:szCs w:val="21"/>
        </w:rPr>
        <w:t>■</w:t>
      </w:r>
      <w:r>
        <w:rPr>
          <w:rFonts w:hint="eastAsia" w:ascii="宋体" w:hAnsi="宋体"/>
          <w:snapToGrid w:val="0"/>
          <w:kern w:val="0"/>
          <w:szCs w:val="21"/>
        </w:rPr>
        <w:t>”标识时表明该选项被采购人选用，用“□”标识时表明该选项未被采购人选用。</w:t>
      </w:r>
    </w:p>
    <w:p>
      <w:pPr>
        <w:spacing w:line="360" w:lineRule="exact"/>
        <w:ind w:firstLine="422" w:firstLineChars="200"/>
        <w:rPr>
          <w:rFonts w:ascii="宋体" w:hAnsi="宋体"/>
          <w:b/>
          <w:bCs/>
          <w:szCs w:val="21"/>
        </w:rPr>
      </w:pPr>
      <w:r>
        <w:rPr>
          <w:rFonts w:hint="eastAsia" w:ascii="宋体" w:hAnsi="宋体"/>
          <w:b/>
          <w:bCs/>
          <w:szCs w:val="21"/>
        </w:rPr>
        <w:t>二、本项目评标信息</w:t>
      </w:r>
    </w:p>
    <w:p>
      <w:pPr>
        <w:spacing w:line="340" w:lineRule="exact"/>
        <w:ind w:firstLine="422" w:firstLineChars="200"/>
        <w:rPr>
          <w:rFonts w:ascii="宋体" w:hAnsi="宋体"/>
          <w:b/>
          <w:bCs/>
          <w:szCs w:val="21"/>
        </w:rPr>
      </w:pPr>
      <w:r>
        <w:rPr>
          <w:rFonts w:hint="eastAsia" w:ascii="宋体" w:hAnsi="宋体"/>
          <w:b/>
          <w:bCs/>
          <w:szCs w:val="21"/>
        </w:rPr>
        <w:t>1、</w:t>
      </w:r>
      <w:r>
        <w:rPr>
          <w:rFonts w:ascii="宋体" w:hAnsi="宋体"/>
          <w:b/>
          <w:bCs/>
          <w:szCs w:val="21"/>
        </w:rPr>
        <w:t>符合性检查表</w:t>
      </w:r>
    </w:p>
    <w:tbl>
      <w:tblPr>
        <w:tblStyle w:val="31"/>
        <w:tblW w:w="48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
        <w:gridCol w:w="5482"/>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0" w:type="pct"/>
            <w:noWrap w:val="0"/>
            <w:vAlign w:val="center"/>
          </w:tcPr>
          <w:p>
            <w:pPr>
              <w:jc w:val="center"/>
              <w:rPr>
                <w:rFonts w:ascii="宋体" w:hAnsi="宋体"/>
                <w:b/>
              </w:rPr>
            </w:pPr>
            <w:r>
              <w:rPr>
                <w:rFonts w:ascii="宋体" w:hAnsi="宋体"/>
                <w:b/>
              </w:rPr>
              <w:t>序号</w:t>
            </w:r>
          </w:p>
        </w:tc>
        <w:tc>
          <w:tcPr>
            <w:tcW w:w="3320" w:type="pct"/>
            <w:noWrap w:val="0"/>
            <w:vAlign w:val="center"/>
          </w:tcPr>
          <w:p>
            <w:pPr>
              <w:ind w:left="-828" w:firstLine="828"/>
              <w:jc w:val="center"/>
              <w:rPr>
                <w:rFonts w:ascii="宋体" w:hAnsi="宋体"/>
                <w:b/>
                <w:sz w:val="24"/>
              </w:rPr>
            </w:pPr>
            <w:r>
              <w:rPr>
                <w:rFonts w:ascii="宋体" w:hAnsi="宋体"/>
                <w:b/>
              </w:rPr>
              <w:t>评议内容</w:t>
            </w:r>
          </w:p>
        </w:tc>
        <w:tc>
          <w:tcPr>
            <w:tcW w:w="1050" w:type="pct"/>
            <w:noWrap w:val="0"/>
            <w:vAlign w:val="center"/>
          </w:tcPr>
          <w:p>
            <w:pPr>
              <w:ind w:left="44" w:hanging="44"/>
              <w:jc w:val="center"/>
              <w:rPr>
                <w:rFonts w:ascii="宋体" w:hAnsi="宋体"/>
                <w:b/>
                <w:sz w:val="24"/>
              </w:rPr>
            </w:pPr>
            <w:r>
              <w:rPr>
                <w:rFonts w:ascii="宋体" w:hAnsi="宋体"/>
                <w:b/>
              </w:rPr>
              <w:t>评议结果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0" w:type="pct"/>
            <w:noWrap w:val="0"/>
            <w:vAlign w:val="center"/>
          </w:tcPr>
          <w:p>
            <w:pPr>
              <w:ind w:left="57"/>
              <w:jc w:val="center"/>
              <w:rPr>
                <w:rFonts w:ascii="宋体" w:hAnsi="宋体"/>
              </w:rPr>
            </w:pPr>
            <w:r>
              <w:rPr>
                <w:rFonts w:hint="eastAsia" w:ascii="宋体" w:hAnsi="宋体"/>
              </w:rPr>
              <w:t>1</w:t>
            </w:r>
          </w:p>
        </w:tc>
        <w:tc>
          <w:tcPr>
            <w:tcW w:w="3320" w:type="pct"/>
            <w:noWrap w:val="0"/>
            <w:vAlign w:val="center"/>
          </w:tcPr>
          <w:p>
            <w:pPr>
              <w:rPr>
                <w:rFonts w:ascii="宋体" w:hAnsi="宋体"/>
                <w:sz w:val="24"/>
              </w:rPr>
            </w:pPr>
            <w:r>
              <w:rPr>
                <w:rFonts w:hint="eastAsia" w:hAnsi="宋体"/>
                <w:szCs w:val="21"/>
              </w:rPr>
              <w:t>按照招标文件的格式详细填写“投标函”</w:t>
            </w:r>
          </w:p>
        </w:tc>
        <w:tc>
          <w:tcPr>
            <w:tcW w:w="1050" w:type="pct"/>
            <w:noWrap w:val="0"/>
            <w:vAlign w:val="center"/>
          </w:tcPr>
          <w:p>
            <w:pPr>
              <w:jc w:val="center"/>
              <w:rPr>
                <w:rFonts w:ascii="宋体" w:hAnsi="宋体"/>
                <w:szCs w:val="21"/>
              </w:rPr>
            </w:pPr>
            <w:r>
              <w:rPr>
                <w:rFonts w:ascii="宋体" w:hAnsi="宋体"/>
                <w:szCs w:val="21"/>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0" w:type="pct"/>
            <w:noWrap w:val="0"/>
            <w:vAlign w:val="center"/>
          </w:tcPr>
          <w:p>
            <w:pPr>
              <w:ind w:left="57"/>
              <w:jc w:val="center"/>
              <w:rPr>
                <w:rFonts w:ascii="宋体" w:hAnsi="宋体"/>
              </w:rPr>
            </w:pPr>
            <w:r>
              <w:rPr>
                <w:rFonts w:hint="eastAsia" w:ascii="宋体" w:hAnsi="宋体"/>
              </w:rPr>
              <w:t>2</w:t>
            </w:r>
          </w:p>
        </w:tc>
        <w:tc>
          <w:tcPr>
            <w:tcW w:w="3320" w:type="pct"/>
            <w:noWrap w:val="0"/>
            <w:vAlign w:val="center"/>
          </w:tcPr>
          <w:p>
            <w:pPr>
              <w:rPr>
                <w:rFonts w:ascii="宋体" w:hAnsi="宋体"/>
              </w:rPr>
            </w:pPr>
            <w:r>
              <w:rPr>
                <w:rFonts w:hint="eastAsia" w:hAnsi="宋体"/>
                <w:szCs w:val="21"/>
              </w:rPr>
              <w:t>按照招标文件的格式详细填写“</w:t>
            </w:r>
            <w:r>
              <w:rPr>
                <w:rFonts w:hint="eastAsia" w:ascii="宋体" w:hAnsi="宋体"/>
              </w:rPr>
              <w:t>政府采购投标及履约承诺函</w:t>
            </w:r>
            <w:r>
              <w:rPr>
                <w:rFonts w:hint="eastAsia" w:hAnsi="宋体"/>
                <w:szCs w:val="21"/>
              </w:rPr>
              <w:t>”</w:t>
            </w:r>
          </w:p>
        </w:tc>
        <w:tc>
          <w:tcPr>
            <w:tcW w:w="1050" w:type="pct"/>
            <w:noWrap w:val="0"/>
            <w:vAlign w:val="center"/>
          </w:tcPr>
          <w:p>
            <w:pPr>
              <w:jc w:val="center"/>
              <w:rPr>
                <w:rFonts w:ascii="宋体" w:hAnsi="宋体"/>
                <w:szCs w:val="21"/>
              </w:rPr>
            </w:pPr>
            <w:r>
              <w:rPr>
                <w:rFonts w:ascii="宋体" w:hAnsi="宋体"/>
                <w:szCs w:val="21"/>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0" w:type="pct"/>
            <w:noWrap w:val="0"/>
            <w:vAlign w:val="center"/>
          </w:tcPr>
          <w:p>
            <w:pPr>
              <w:ind w:left="57"/>
              <w:jc w:val="center"/>
              <w:rPr>
                <w:rFonts w:ascii="宋体" w:hAnsi="宋体"/>
              </w:rPr>
            </w:pPr>
            <w:r>
              <w:rPr>
                <w:rFonts w:hint="eastAsia" w:ascii="宋体" w:hAnsi="宋体"/>
              </w:rPr>
              <w:t>3</w:t>
            </w:r>
          </w:p>
        </w:tc>
        <w:tc>
          <w:tcPr>
            <w:tcW w:w="3320" w:type="pct"/>
            <w:noWrap w:val="0"/>
            <w:vAlign w:val="center"/>
          </w:tcPr>
          <w:p>
            <w:pPr>
              <w:rPr>
                <w:rFonts w:ascii="宋体" w:hAnsi="宋体"/>
              </w:rPr>
            </w:pPr>
            <w:r>
              <w:rPr>
                <w:rFonts w:hint="eastAsia" w:ascii="宋体" w:hAnsi="宋体"/>
              </w:rPr>
              <w:t>开标一览表未出现无报价、报价为零或有选择性报价的</w:t>
            </w:r>
          </w:p>
        </w:tc>
        <w:tc>
          <w:tcPr>
            <w:tcW w:w="1050" w:type="pct"/>
            <w:noWrap w:val="0"/>
            <w:vAlign w:val="center"/>
          </w:tcPr>
          <w:p>
            <w:pPr>
              <w:jc w:val="center"/>
              <w:rPr>
                <w:rFonts w:ascii="宋体" w:hAnsi="宋体"/>
                <w:szCs w:val="21"/>
              </w:rPr>
            </w:pPr>
            <w:r>
              <w:rPr>
                <w:rFonts w:ascii="宋体" w:hAnsi="宋体"/>
                <w:szCs w:val="21"/>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0" w:type="pct"/>
            <w:noWrap w:val="0"/>
            <w:vAlign w:val="center"/>
          </w:tcPr>
          <w:p>
            <w:pPr>
              <w:ind w:left="57"/>
              <w:jc w:val="center"/>
              <w:rPr>
                <w:rFonts w:ascii="宋体" w:hAnsi="宋体"/>
              </w:rPr>
            </w:pPr>
            <w:r>
              <w:rPr>
                <w:rFonts w:hint="eastAsia" w:ascii="宋体" w:hAnsi="宋体"/>
              </w:rPr>
              <w:t>4</w:t>
            </w:r>
          </w:p>
        </w:tc>
        <w:tc>
          <w:tcPr>
            <w:tcW w:w="3320" w:type="pct"/>
            <w:noWrap w:val="0"/>
            <w:vAlign w:val="center"/>
          </w:tcPr>
          <w:p>
            <w:pPr>
              <w:rPr>
                <w:rFonts w:ascii="宋体" w:hAnsi="宋体"/>
              </w:rPr>
            </w:pPr>
            <w:r>
              <w:rPr>
                <w:rFonts w:hint="eastAsia" w:ascii="宋体" w:hAnsi="宋体"/>
              </w:rPr>
              <w:t>投标总价</w:t>
            </w:r>
            <w:r>
              <w:rPr>
                <w:rFonts w:hint="eastAsia" w:ascii="宋体" w:hAnsi="宋体"/>
                <w:szCs w:val="21"/>
              </w:rPr>
              <w:t>或分项报价</w:t>
            </w:r>
            <w:r>
              <w:rPr>
                <w:rFonts w:hint="eastAsia" w:ascii="宋体" w:hAnsi="宋体"/>
              </w:rPr>
              <w:t>未超过预算控制金额</w:t>
            </w:r>
          </w:p>
        </w:tc>
        <w:tc>
          <w:tcPr>
            <w:tcW w:w="1050" w:type="pct"/>
            <w:noWrap w:val="0"/>
            <w:vAlign w:val="center"/>
          </w:tcPr>
          <w:p>
            <w:pPr>
              <w:jc w:val="center"/>
              <w:rPr>
                <w:rFonts w:ascii="宋体" w:hAnsi="宋体"/>
                <w:szCs w:val="21"/>
              </w:rPr>
            </w:pPr>
            <w:r>
              <w:rPr>
                <w:rFonts w:ascii="宋体" w:hAnsi="宋体"/>
                <w:szCs w:val="21"/>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0" w:type="pct"/>
            <w:noWrap w:val="0"/>
            <w:vAlign w:val="center"/>
          </w:tcPr>
          <w:p>
            <w:pPr>
              <w:ind w:left="57"/>
              <w:jc w:val="center"/>
              <w:rPr>
                <w:rFonts w:ascii="宋体" w:hAnsi="宋体"/>
              </w:rPr>
            </w:pPr>
            <w:r>
              <w:rPr>
                <w:rFonts w:hint="eastAsia" w:ascii="宋体" w:hAnsi="宋体"/>
              </w:rPr>
              <w:t>5</w:t>
            </w:r>
          </w:p>
        </w:tc>
        <w:tc>
          <w:tcPr>
            <w:tcW w:w="3320" w:type="pct"/>
            <w:noWrap w:val="0"/>
            <w:vAlign w:val="center"/>
          </w:tcPr>
          <w:p>
            <w:pPr>
              <w:rPr>
                <w:rFonts w:ascii="宋体" w:hAnsi="宋体"/>
              </w:rPr>
            </w:pPr>
            <w:r>
              <w:rPr>
                <w:szCs w:val="21"/>
              </w:rPr>
              <w:t>实质性满足招标文件要求</w:t>
            </w:r>
            <w:r>
              <w:rPr>
                <w:rFonts w:hint="eastAsia"/>
                <w:szCs w:val="21"/>
              </w:rPr>
              <w:t>和条件</w:t>
            </w:r>
            <w:r>
              <w:rPr>
                <w:szCs w:val="21"/>
              </w:rPr>
              <w:t>（</w:t>
            </w:r>
            <w:r>
              <w:rPr>
                <w:rFonts w:hint="eastAsia" w:ascii="宋体" w:hAnsi="宋体"/>
              </w:rPr>
              <w:t>不可偏离项检查</w:t>
            </w:r>
            <w:r>
              <w:rPr>
                <w:szCs w:val="21"/>
              </w:rPr>
              <w:t>）</w:t>
            </w:r>
          </w:p>
        </w:tc>
        <w:tc>
          <w:tcPr>
            <w:tcW w:w="1050" w:type="pct"/>
            <w:noWrap w:val="0"/>
            <w:vAlign w:val="center"/>
          </w:tcPr>
          <w:p>
            <w:pPr>
              <w:jc w:val="center"/>
              <w:rPr>
                <w:rFonts w:ascii="宋体" w:hAnsi="宋体"/>
                <w:szCs w:val="21"/>
              </w:rPr>
            </w:pPr>
            <w:r>
              <w:rPr>
                <w:rFonts w:ascii="宋体" w:hAnsi="宋体"/>
                <w:szCs w:val="21"/>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0" w:type="pct"/>
            <w:noWrap w:val="0"/>
            <w:vAlign w:val="center"/>
          </w:tcPr>
          <w:p>
            <w:pPr>
              <w:ind w:left="57"/>
              <w:jc w:val="center"/>
              <w:rPr>
                <w:rFonts w:ascii="宋体" w:hAnsi="宋体"/>
              </w:rPr>
            </w:pPr>
            <w:r>
              <w:rPr>
                <w:rFonts w:hint="eastAsia" w:ascii="宋体" w:hAnsi="宋体"/>
              </w:rPr>
              <w:t>6</w:t>
            </w:r>
          </w:p>
        </w:tc>
        <w:tc>
          <w:tcPr>
            <w:tcW w:w="3320" w:type="pct"/>
            <w:noWrap w:val="0"/>
            <w:vAlign w:val="center"/>
          </w:tcPr>
          <w:p>
            <w:pPr>
              <w:rPr>
                <w:rFonts w:ascii="宋体" w:hAnsi="宋体"/>
              </w:rPr>
            </w:pPr>
            <w:r>
              <w:rPr>
                <w:szCs w:val="21"/>
              </w:rPr>
              <w:t>投标文件载明的招标项目完成期限</w:t>
            </w:r>
            <w:r>
              <w:rPr>
                <w:rFonts w:hint="eastAsia"/>
                <w:szCs w:val="21"/>
              </w:rPr>
              <w:t>未</w:t>
            </w:r>
            <w:r>
              <w:rPr>
                <w:szCs w:val="21"/>
              </w:rPr>
              <w:t>超过招标文件规定的期限</w:t>
            </w:r>
            <w:r>
              <w:rPr>
                <w:rFonts w:hint="eastAsia" w:hAnsi="宋体"/>
                <w:szCs w:val="21"/>
              </w:rPr>
              <w:t>（以开标一览表为准）</w:t>
            </w:r>
          </w:p>
        </w:tc>
        <w:tc>
          <w:tcPr>
            <w:tcW w:w="1050" w:type="pct"/>
            <w:noWrap w:val="0"/>
            <w:vAlign w:val="center"/>
          </w:tcPr>
          <w:p>
            <w:pPr>
              <w:jc w:val="center"/>
              <w:rPr>
                <w:rFonts w:ascii="宋体" w:hAnsi="宋体"/>
                <w:szCs w:val="21"/>
              </w:rPr>
            </w:pPr>
            <w:r>
              <w:rPr>
                <w:rFonts w:ascii="宋体" w:hAnsi="宋体"/>
                <w:szCs w:val="21"/>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0" w:type="pct"/>
            <w:noWrap w:val="0"/>
            <w:vAlign w:val="center"/>
          </w:tcPr>
          <w:p>
            <w:pPr>
              <w:ind w:left="57"/>
              <w:jc w:val="center"/>
              <w:rPr>
                <w:rFonts w:ascii="宋体" w:hAnsi="宋体"/>
              </w:rPr>
            </w:pPr>
            <w:r>
              <w:rPr>
                <w:rFonts w:hint="eastAsia" w:ascii="宋体" w:hAnsi="宋体"/>
              </w:rPr>
              <w:t>7</w:t>
            </w:r>
          </w:p>
        </w:tc>
        <w:tc>
          <w:tcPr>
            <w:tcW w:w="3320" w:type="pct"/>
            <w:noWrap w:val="0"/>
            <w:vAlign w:val="center"/>
          </w:tcPr>
          <w:p>
            <w:pPr>
              <w:jc w:val="left"/>
              <w:rPr>
                <w:rFonts w:ascii="宋体" w:hAnsi="宋体"/>
              </w:rPr>
            </w:pPr>
            <w:r>
              <w:rPr>
                <w:rFonts w:hint="eastAsia" w:ascii="宋体" w:hAnsi="宋体"/>
              </w:rPr>
              <w:t>投标文件载明的免费保修期不低于招标文件规定的期限</w:t>
            </w:r>
          </w:p>
        </w:tc>
        <w:tc>
          <w:tcPr>
            <w:tcW w:w="1050" w:type="pct"/>
            <w:noWrap w:val="0"/>
            <w:vAlign w:val="center"/>
          </w:tcPr>
          <w:p>
            <w:pPr>
              <w:ind w:left="57"/>
              <w:jc w:val="center"/>
              <w:rPr>
                <w:rFonts w:ascii="宋体" w:hAnsi="宋体"/>
              </w:rPr>
            </w:pPr>
            <w:r>
              <w:rPr>
                <w:rFonts w:ascii="宋体" w:hAnsi="宋体"/>
                <w:szCs w:val="21"/>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0" w:type="pct"/>
            <w:noWrap w:val="0"/>
            <w:vAlign w:val="center"/>
          </w:tcPr>
          <w:p>
            <w:pPr>
              <w:ind w:left="57"/>
              <w:jc w:val="center"/>
              <w:rPr>
                <w:rFonts w:ascii="宋体" w:hAnsi="宋体"/>
              </w:rPr>
            </w:pPr>
            <w:r>
              <w:rPr>
                <w:rFonts w:hint="eastAsia" w:ascii="宋体" w:hAnsi="宋体"/>
              </w:rPr>
              <w:t>8</w:t>
            </w:r>
          </w:p>
        </w:tc>
        <w:tc>
          <w:tcPr>
            <w:tcW w:w="3320" w:type="pct"/>
            <w:noWrap w:val="0"/>
            <w:vAlign w:val="center"/>
          </w:tcPr>
          <w:p>
            <w:pPr>
              <w:jc w:val="left"/>
              <w:rPr>
                <w:rFonts w:hint="eastAsia" w:ascii="宋体" w:hAnsi="宋体"/>
              </w:rPr>
            </w:pPr>
            <w:r>
              <w:rPr>
                <w:rFonts w:hint="eastAsia" w:hAnsi="宋体"/>
                <w:szCs w:val="21"/>
              </w:rPr>
              <w:t>按招标文件的要求填报所投产品具体完整的品牌、型号、产地</w:t>
            </w:r>
          </w:p>
        </w:tc>
        <w:tc>
          <w:tcPr>
            <w:tcW w:w="1050" w:type="pct"/>
            <w:noWrap w:val="0"/>
            <w:vAlign w:val="center"/>
          </w:tcPr>
          <w:p>
            <w:pPr>
              <w:ind w:left="57"/>
              <w:jc w:val="center"/>
              <w:rPr>
                <w:rFonts w:ascii="宋体" w:hAnsi="宋体"/>
                <w:szCs w:val="21"/>
              </w:rPr>
            </w:pPr>
            <w:r>
              <w:rPr>
                <w:rFonts w:ascii="宋体" w:hAnsi="宋体"/>
                <w:szCs w:val="21"/>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0" w:type="pct"/>
            <w:noWrap w:val="0"/>
            <w:vAlign w:val="center"/>
          </w:tcPr>
          <w:p>
            <w:pPr>
              <w:ind w:left="57"/>
              <w:jc w:val="center"/>
              <w:rPr>
                <w:rFonts w:ascii="宋体" w:hAnsi="宋体"/>
              </w:rPr>
            </w:pPr>
            <w:r>
              <w:rPr>
                <w:rFonts w:hint="eastAsia" w:ascii="宋体" w:hAnsi="宋体"/>
              </w:rPr>
              <w:t>9</w:t>
            </w:r>
          </w:p>
        </w:tc>
        <w:tc>
          <w:tcPr>
            <w:tcW w:w="3320" w:type="pct"/>
            <w:noWrap w:val="0"/>
            <w:vAlign w:val="center"/>
          </w:tcPr>
          <w:p>
            <w:pPr>
              <w:jc w:val="left"/>
              <w:rPr>
                <w:rFonts w:hint="eastAsia" w:ascii="宋体" w:hAnsi="宋体"/>
              </w:rPr>
            </w:pPr>
            <w:r>
              <w:rPr>
                <w:rFonts w:hint="eastAsia" w:hAnsi="宋体"/>
                <w:szCs w:val="21"/>
              </w:rPr>
              <w:t>《技术偏离表》和《商务偏离表》已提交</w:t>
            </w:r>
          </w:p>
        </w:tc>
        <w:tc>
          <w:tcPr>
            <w:tcW w:w="1050" w:type="pct"/>
            <w:noWrap w:val="0"/>
            <w:vAlign w:val="center"/>
          </w:tcPr>
          <w:p>
            <w:pPr>
              <w:ind w:left="57"/>
              <w:jc w:val="center"/>
              <w:rPr>
                <w:rFonts w:ascii="宋体" w:hAnsi="宋体"/>
                <w:szCs w:val="21"/>
              </w:rPr>
            </w:pPr>
            <w:r>
              <w:rPr>
                <w:rFonts w:ascii="宋体" w:hAnsi="宋体"/>
                <w:szCs w:val="21"/>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0" w:type="pct"/>
            <w:noWrap w:val="0"/>
            <w:vAlign w:val="center"/>
          </w:tcPr>
          <w:p>
            <w:pPr>
              <w:ind w:left="57"/>
              <w:jc w:val="center"/>
              <w:rPr>
                <w:rFonts w:ascii="宋体" w:hAnsi="宋体"/>
              </w:rPr>
            </w:pPr>
            <w:r>
              <w:rPr>
                <w:rFonts w:hint="eastAsia" w:ascii="宋体" w:hAnsi="宋体"/>
              </w:rPr>
              <w:t>10</w:t>
            </w:r>
          </w:p>
        </w:tc>
        <w:tc>
          <w:tcPr>
            <w:tcW w:w="3320" w:type="pct"/>
            <w:noWrap w:val="0"/>
            <w:vAlign w:val="center"/>
          </w:tcPr>
          <w:p>
            <w:pPr>
              <w:rPr>
                <w:rFonts w:ascii="宋体" w:hAnsi="宋体"/>
              </w:rPr>
            </w:pPr>
            <w:r>
              <w:rPr>
                <w:rFonts w:hint="eastAsia" w:ascii="宋体" w:hAnsi="宋体"/>
              </w:rPr>
              <w:t>“否决性条款”列明的其他情况</w:t>
            </w:r>
          </w:p>
        </w:tc>
        <w:tc>
          <w:tcPr>
            <w:tcW w:w="1050" w:type="pct"/>
            <w:noWrap w:val="0"/>
            <w:vAlign w:val="center"/>
          </w:tcPr>
          <w:p>
            <w:pPr>
              <w:jc w:val="center"/>
              <w:rPr>
                <w:rFonts w:ascii="宋体" w:hAnsi="宋体"/>
                <w:szCs w:val="21"/>
              </w:rPr>
            </w:pPr>
            <w:r>
              <w:rPr>
                <w:rFonts w:ascii="宋体" w:hAnsi="宋体"/>
                <w:szCs w:val="21"/>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0" w:type="pct"/>
            <w:noWrap w:val="0"/>
            <w:vAlign w:val="center"/>
          </w:tcPr>
          <w:p>
            <w:pPr>
              <w:ind w:left="57"/>
              <w:jc w:val="center"/>
              <w:rPr>
                <w:rFonts w:ascii="宋体" w:hAnsi="宋体"/>
              </w:rPr>
            </w:pPr>
            <w:r>
              <w:rPr>
                <w:rFonts w:hint="eastAsia" w:ascii="宋体" w:hAnsi="宋体"/>
              </w:rPr>
              <w:t>11</w:t>
            </w:r>
          </w:p>
        </w:tc>
        <w:tc>
          <w:tcPr>
            <w:tcW w:w="3320" w:type="pct"/>
            <w:noWrap w:val="0"/>
            <w:vAlign w:val="center"/>
          </w:tcPr>
          <w:p>
            <w:pPr>
              <w:rPr>
                <w:rFonts w:ascii="宋体" w:hAnsi="宋体"/>
                <w:szCs w:val="21"/>
              </w:rPr>
            </w:pPr>
            <w:r>
              <w:rPr>
                <w:rFonts w:ascii="宋体" w:hAnsi="宋体"/>
                <w:szCs w:val="21"/>
              </w:rPr>
              <w:t>结论</w:t>
            </w:r>
          </w:p>
        </w:tc>
        <w:tc>
          <w:tcPr>
            <w:tcW w:w="1050" w:type="pct"/>
            <w:noWrap w:val="0"/>
            <w:vAlign w:val="center"/>
          </w:tcPr>
          <w:p>
            <w:pPr>
              <w:jc w:val="center"/>
              <w:rPr>
                <w:rFonts w:ascii="宋体" w:hAnsi="宋体"/>
                <w:szCs w:val="21"/>
              </w:rPr>
            </w:pPr>
            <w:r>
              <w:rPr>
                <w:rFonts w:ascii="宋体" w:hAnsi="宋体"/>
                <w:szCs w:val="21"/>
              </w:rPr>
              <w:t>通过/不通过</w:t>
            </w:r>
          </w:p>
        </w:tc>
      </w:tr>
    </w:tbl>
    <w:p>
      <w:pPr>
        <w:tabs>
          <w:tab w:val="left" w:pos="2250"/>
        </w:tabs>
        <w:spacing w:line="340" w:lineRule="exact"/>
        <w:ind w:firstLine="422" w:firstLineChars="200"/>
        <w:rPr>
          <w:rFonts w:hint="eastAsia" w:ascii="宋体" w:hAnsi="宋体"/>
          <w:b/>
          <w:szCs w:val="21"/>
        </w:rPr>
      </w:pPr>
      <w:r>
        <w:rPr>
          <w:rFonts w:hint="eastAsia" w:ascii="宋体" w:hAnsi="宋体"/>
          <w:b/>
          <w:szCs w:val="21"/>
        </w:rPr>
        <w:t>2、评分表</w:t>
      </w:r>
    </w:p>
    <w:tbl>
      <w:tblPr>
        <w:tblStyle w:val="31"/>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20" w:type="dxa"/>
          <w:left w:w="108" w:type="dxa"/>
          <w:bottom w:w="20" w:type="dxa"/>
          <w:right w:w="108" w:type="dxa"/>
        </w:tblCellMar>
      </w:tblPr>
      <w:tblGrid>
        <w:gridCol w:w="689"/>
        <w:gridCol w:w="691"/>
        <w:gridCol w:w="1825"/>
        <w:gridCol w:w="863"/>
        <w:gridCol w:w="51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0" w:type="dxa"/>
            <w:left w:w="108" w:type="dxa"/>
            <w:bottom w:w="20" w:type="dxa"/>
            <w:right w:w="108" w:type="dxa"/>
          </w:tblCellMar>
        </w:tblPrEx>
        <w:trPr>
          <w:trHeight w:val="284" w:hRule="atLeast"/>
          <w:jc w:val="center"/>
        </w:trPr>
        <w:tc>
          <w:tcPr>
            <w:tcW w:w="689" w:type="dxa"/>
            <w:shd w:val="clear" w:color="auto" w:fill="E6EFFA"/>
            <w:noWrap w:val="0"/>
            <w:vAlign w:val="center"/>
          </w:tcPr>
          <w:p>
            <w:pPr>
              <w:wordWrap w:val="0"/>
              <w:jc w:val="center"/>
              <w:rPr>
                <w:rFonts w:ascii="宋体" w:hAnsi="宋体" w:cs="宋体"/>
                <w:b/>
                <w:bCs/>
                <w:sz w:val="24"/>
              </w:rPr>
            </w:pPr>
            <w:r>
              <w:rPr>
                <w:rFonts w:ascii="宋体" w:hAnsi="宋体"/>
                <w:b/>
                <w:bCs/>
              </w:rPr>
              <w:t>序号</w:t>
            </w:r>
          </w:p>
        </w:tc>
        <w:tc>
          <w:tcPr>
            <w:tcW w:w="3379" w:type="dxa"/>
            <w:gridSpan w:val="3"/>
            <w:shd w:val="clear" w:color="auto" w:fill="E6EFFA"/>
            <w:noWrap w:val="0"/>
            <w:vAlign w:val="center"/>
          </w:tcPr>
          <w:p>
            <w:pPr>
              <w:wordWrap w:val="0"/>
              <w:jc w:val="center"/>
              <w:rPr>
                <w:rFonts w:ascii="宋体" w:hAnsi="宋体" w:cs="宋体"/>
                <w:b/>
                <w:bCs/>
                <w:sz w:val="24"/>
              </w:rPr>
            </w:pPr>
            <w:r>
              <w:rPr>
                <w:rFonts w:ascii="宋体" w:hAnsi="宋体"/>
                <w:b/>
                <w:bCs/>
              </w:rPr>
              <w:t>评分项</w:t>
            </w:r>
          </w:p>
        </w:tc>
        <w:tc>
          <w:tcPr>
            <w:tcW w:w="5147" w:type="dxa"/>
            <w:shd w:val="clear" w:color="auto" w:fill="E6EFFA"/>
            <w:noWrap w:val="0"/>
            <w:vAlign w:val="center"/>
          </w:tcPr>
          <w:p>
            <w:pPr>
              <w:wordWrap w:val="0"/>
              <w:jc w:val="center"/>
              <w:rPr>
                <w:rFonts w:ascii="宋体" w:hAnsi="宋体" w:cs="宋体"/>
                <w:b/>
                <w:bCs/>
                <w:sz w:val="24"/>
              </w:rPr>
            </w:pPr>
            <w:r>
              <w:rPr>
                <w:rFonts w:ascii="宋体" w:hAnsi="宋体"/>
                <w:b/>
                <w:bCs/>
              </w:rPr>
              <w:t>权重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0" w:type="dxa"/>
            <w:left w:w="108" w:type="dxa"/>
            <w:bottom w:w="20" w:type="dxa"/>
            <w:right w:w="108" w:type="dxa"/>
          </w:tblCellMar>
        </w:tblPrEx>
        <w:trPr>
          <w:trHeight w:val="284" w:hRule="atLeast"/>
          <w:jc w:val="center"/>
        </w:trPr>
        <w:tc>
          <w:tcPr>
            <w:tcW w:w="689" w:type="dxa"/>
            <w:vMerge w:val="restart"/>
            <w:noWrap w:val="0"/>
            <w:vAlign w:val="top"/>
          </w:tcPr>
          <w:p>
            <w:pPr>
              <w:wordWrap w:val="0"/>
              <w:jc w:val="center"/>
              <w:rPr>
                <w:rFonts w:ascii="宋体" w:hAnsi="宋体" w:cs="宋体"/>
                <w:b/>
                <w:bCs/>
                <w:sz w:val="24"/>
              </w:rPr>
            </w:pPr>
            <w:r>
              <w:rPr>
                <w:rFonts w:hint="eastAsia" w:ascii="宋体" w:hAnsi="宋体"/>
                <w:b/>
                <w:bCs/>
              </w:rPr>
              <w:t>1</w:t>
            </w:r>
          </w:p>
        </w:tc>
        <w:tc>
          <w:tcPr>
            <w:tcW w:w="3379" w:type="dxa"/>
            <w:gridSpan w:val="3"/>
            <w:noWrap w:val="0"/>
            <w:vAlign w:val="top"/>
          </w:tcPr>
          <w:p>
            <w:pPr>
              <w:wordWrap w:val="0"/>
              <w:jc w:val="center"/>
              <w:rPr>
                <w:rFonts w:ascii="宋体" w:hAnsi="宋体" w:cs="宋体"/>
                <w:b/>
                <w:bCs/>
                <w:sz w:val="24"/>
              </w:rPr>
            </w:pPr>
            <w:r>
              <w:rPr>
                <w:rFonts w:ascii="宋体" w:hAnsi="宋体"/>
                <w:b/>
                <w:bCs/>
              </w:rPr>
              <w:t>价格</w:t>
            </w:r>
          </w:p>
        </w:tc>
        <w:tc>
          <w:tcPr>
            <w:tcW w:w="5147" w:type="dxa"/>
            <w:noWrap w:val="0"/>
            <w:vAlign w:val="top"/>
          </w:tcPr>
          <w:p>
            <w:pPr>
              <w:wordWrap w:val="0"/>
              <w:jc w:val="center"/>
              <w:rPr>
                <w:rFonts w:ascii="宋体" w:hAnsi="宋体" w:cs="宋体"/>
                <w:b/>
                <w:bCs/>
                <w:sz w:val="24"/>
              </w:rPr>
            </w:pPr>
            <w:r>
              <w:rPr>
                <w:rFonts w:ascii="宋体" w:hAnsi="宋体"/>
                <w:b/>
                <w:bCs/>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0" w:type="dxa"/>
            <w:left w:w="108" w:type="dxa"/>
            <w:bottom w:w="20" w:type="dxa"/>
            <w:right w:w="108" w:type="dxa"/>
          </w:tblCellMar>
        </w:tblPrEx>
        <w:trPr>
          <w:trHeight w:val="284" w:hRule="atLeast"/>
          <w:jc w:val="center"/>
        </w:trPr>
        <w:tc>
          <w:tcPr>
            <w:tcW w:w="689" w:type="dxa"/>
            <w:vMerge w:val="continue"/>
            <w:noWrap w:val="0"/>
            <w:vAlign w:val="center"/>
          </w:tcPr>
          <w:p>
            <w:pPr>
              <w:rPr>
                <w:rFonts w:ascii="宋体" w:hAnsi="宋体" w:cs="宋体"/>
                <w:b/>
                <w:bCs/>
                <w:sz w:val="24"/>
              </w:rPr>
            </w:pPr>
          </w:p>
        </w:tc>
        <w:tc>
          <w:tcPr>
            <w:tcW w:w="8526" w:type="dxa"/>
            <w:gridSpan w:val="4"/>
            <w:noWrap w:val="0"/>
            <w:vAlign w:val="top"/>
          </w:tcPr>
          <w:p>
            <w:pPr>
              <w:rPr>
                <w:rFonts w:ascii="宋体" w:hAnsi="宋体"/>
                <w:szCs w:val="21"/>
              </w:rPr>
            </w:pPr>
            <w:r>
              <w:rPr>
                <w:rFonts w:hint="eastAsia" w:ascii="宋体" w:hAnsi="宋体"/>
                <w:szCs w:val="21"/>
              </w:rPr>
              <w:t>投标报价价格分=（评标基准价/投标报价）</w:t>
            </w:r>
            <w:r>
              <w:rPr>
                <w:rFonts w:ascii="宋体" w:hAnsi="宋体"/>
                <w:szCs w:val="21"/>
              </w:rPr>
              <w:t>×价格权重×100</w:t>
            </w:r>
          </w:p>
          <w:p>
            <w:pPr>
              <w:rPr>
                <w:rFonts w:ascii="宋体" w:hAnsi="宋体" w:cs="宋体"/>
                <w:szCs w:val="21"/>
              </w:rPr>
            </w:pPr>
            <w:r>
              <w:rPr>
                <w:rFonts w:hint="eastAsia" w:ascii="宋体" w:hAnsi="宋体"/>
                <w:szCs w:val="21"/>
              </w:rPr>
              <w:t>评标基准价为满足招标文件要求且投标价格最低的投标报价</w:t>
            </w:r>
            <w:r>
              <w:rPr>
                <w:rFonts w:hint="eastAsia" w:ascii="宋体" w:hAnsi="宋体" w:cs="宋体"/>
                <w:kern w:val="0"/>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0" w:type="dxa"/>
            <w:left w:w="108" w:type="dxa"/>
            <w:bottom w:w="20" w:type="dxa"/>
            <w:right w:w="108" w:type="dxa"/>
          </w:tblCellMar>
        </w:tblPrEx>
        <w:trPr>
          <w:trHeight w:val="284" w:hRule="atLeast"/>
          <w:jc w:val="center"/>
        </w:trPr>
        <w:tc>
          <w:tcPr>
            <w:tcW w:w="689" w:type="dxa"/>
            <w:vMerge w:val="restart"/>
            <w:noWrap w:val="0"/>
            <w:vAlign w:val="top"/>
          </w:tcPr>
          <w:p>
            <w:pPr>
              <w:wordWrap w:val="0"/>
              <w:jc w:val="center"/>
              <w:rPr>
                <w:rFonts w:ascii="宋体" w:hAnsi="宋体" w:cs="宋体"/>
                <w:b/>
                <w:bCs/>
                <w:sz w:val="24"/>
              </w:rPr>
            </w:pPr>
            <w:r>
              <w:rPr>
                <w:rFonts w:ascii="宋体" w:hAnsi="宋体"/>
                <w:b/>
                <w:bCs/>
              </w:rPr>
              <w:t>2</w:t>
            </w:r>
          </w:p>
        </w:tc>
        <w:tc>
          <w:tcPr>
            <w:tcW w:w="3379" w:type="dxa"/>
            <w:gridSpan w:val="3"/>
            <w:noWrap w:val="0"/>
            <w:vAlign w:val="top"/>
          </w:tcPr>
          <w:p>
            <w:pPr>
              <w:wordWrap w:val="0"/>
              <w:jc w:val="center"/>
              <w:rPr>
                <w:rFonts w:ascii="宋体" w:hAnsi="宋体" w:cs="宋体"/>
                <w:b/>
                <w:bCs/>
                <w:sz w:val="24"/>
              </w:rPr>
            </w:pPr>
            <w:r>
              <w:rPr>
                <w:rFonts w:ascii="宋体" w:hAnsi="宋体"/>
                <w:b/>
                <w:bCs/>
              </w:rPr>
              <w:t>技术部分</w:t>
            </w:r>
          </w:p>
        </w:tc>
        <w:tc>
          <w:tcPr>
            <w:tcW w:w="5147" w:type="dxa"/>
            <w:noWrap w:val="0"/>
            <w:vAlign w:val="top"/>
          </w:tcPr>
          <w:p>
            <w:pPr>
              <w:wordWrap w:val="0"/>
              <w:jc w:val="center"/>
              <w:rPr>
                <w:rFonts w:ascii="宋体" w:hAnsi="宋体" w:cs="宋体"/>
                <w:b/>
                <w:bCs/>
                <w:sz w:val="24"/>
              </w:rPr>
            </w:pPr>
            <w:r>
              <w:rPr>
                <w:rFonts w:ascii="宋体" w:hAnsi="宋体"/>
                <w:b/>
                <w:bCs/>
              </w:rPr>
              <w:t>4</w:t>
            </w:r>
            <w:r>
              <w:rPr>
                <w:rFonts w:hint="eastAsia" w:ascii="宋体" w:hAnsi="宋体"/>
                <w:b/>
                <w:bCs/>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0" w:type="dxa"/>
            <w:left w:w="108" w:type="dxa"/>
            <w:bottom w:w="20" w:type="dxa"/>
            <w:right w:w="108" w:type="dxa"/>
          </w:tblCellMar>
        </w:tblPrEx>
        <w:trPr>
          <w:trHeight w:val="284" w:hRule="atLeast"/>
          <w:jc w:val="center"/>
        </w:trPr>
        <w:tc>
          <w:tcPr>
            <w:tcW w:w="689" w:type="dxa"/>
            <w:vMerge w:val="continue"/>
            <w:shd w:val="clear" w:color="auto" w:fill="E6EFFA"/>
            <w:noWrap w:val="0"/>
            <w:vAlign w:val="center"/>
          </w:tcPr>
          <w:p>
            <w:pPr>
              <w:rPr>
                <w:rFonts w:ascii="宋体" w:hAnsi="宋体" w:cs="宋体"/>
                <w:b/>
                <w:bCs/>
                <w:sz w:val="24"/>
              </w:rPr>
            </w:pPr>
          </w:p>
        </w:tc>
        <w:tc>
          <w:tcPr>
            <w:tcW w:w="691" w:type="dxa"/>
            <w:shd w:val="clear" w:color="auto" w:fill="E6EFFA"/>
            <w:noWrap w:val="0"/>
            <w:vAlign w:val="center"/>
          </w:tcPr>
          <w:p>
            <w:pPr>
              <w:wordWrap w:val="0"/>
              <w:jc w:val="center"/>
              <w:rPr>
                <w:rFonts w:ascii="宋体" w:hAnsi="宋体" w:cs="宋体"/>
                <w:szCs w:val="21"/>
              </w:rPr>
            </w:pPr>
            <w:r>
              <w:rPr>
                <w:rFonts w:ascii="宋体" w:hAnsi="宋体"/>
                <w:szCs w:val="21"/>
              </w:rPr>
              <w:t>序号</w:t>
            </w:r>
          </w:p>
        </w:tc>
        <w:tc>
          <w:tcPr>
            <w:tcW w:w="1825" w:type="dxa"/>
            <w:shd w:val="clear" w:color="auto" w:fill="E6EFFA"/>
            <w:noWrap w:val="0"/>
            <w:vAlign w:val="center"/>
          </w:tcPr>
          <w:p>
            <w:pPr>
              <w:wordWrap w:val="0"/>
              <w:jc w:val="center"/>
              <w:rPr>
                <w:rFonts w:ascii="宋体" w:hAnsi="宋体" w:cs="宋体"/>
                <w:szCs w:val="21"/>
              </w:rPr>
            </w:pPr>
            <w:r>
              <w:rPr>
                <w:rFonts w:ascii="宋体" w:hAnsi="宋体"/>
                <w:szCs w:val="21"/>
              </w:rPr>
              <w:t>评分因素</w:t>
            </w:r>
          </w:p>
        </w:tc>
        <w:tc>
          <w:tcPr>
            <w:tcW w:w="863" w:type="dxa"/>
            <w:shd w:val="clear" w:color="auto" w:fill="E6EFFA"/>
            <w:noWrap w:val="0"/>
            <w:vAlign w:val="center"/>
          </w:tcPr>
          <w:p>
            <w:pPr>
              <w:wordWrap w:val="0"/>
              <w:jc w:val="center"/>
              <w:rPr>
                <w:rFonts w:ascii="宋体" w:hAnsi="宋体" w:cs="宋体"/>
                <w:szCs w:val="21"/>
              </w:rPr>
            </w:pPr>
            <w:r>
              <w:rPr>
                <w:rFonts w:ascii="宋体" w:hAnsi="宋体"/>
                <w:szCs w:val="21"/>
              </w:rPr>
              <w:t>权重</w:t>
            </w:r>
          </w:p>
        </w:tc>
        <w:tc>
          <w:tcPr>
            <w:tcW w:w="5147" w:type="dxa"/>
            <w:shd w:val="clear" w:color="auto" w:fill="E6EFFA"/>
            <w:noWrap w:val="0"/>
            <w:vAlign w:val="center"/>
          </w:tcPr>
          <w:p>
            <w:pPr>
              <w:wordWrap w:val="0"/>
              <w:jc w:val="center"/>
              <w:rPr>
                <w:rFonts w:ascii="宋体" w:hAnsi="宋体" w:cs="宋体"/>
                <w:szCs w:val="21"/>
              </w:rPr>
            </w:pPr>
            <w:r>
              <w:rPr>
                <w:rFonts w:ascii="宋体" w:hAnsi="宋体"/>
                <w:szCs w:val="21"/>
              </w:rPr>
              <w:t>评分准则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0" w:type="dxa"/>
            <w:left w:w="108" w:type="dxa"/>
            <w:bottom w:w="20" w:type="dxa"/>
            <w:right w:w="108" w:type="dxa"/>
          </w:tblCellMar>
        </w:tblPrEx>
        <w:trPr>
          <w:trHeight w:val="284" w:hRule="atLeast"/>
          <w:jc w:val="center"/>
        </w:trPr>
        <w:tc>
          <w:tcPr>
            <w:tcW w:w="689" w:type="dxa"/>
            <w:vMerge w:val="continue"/>
            <w:noWrap w:val="0"/>
            <w:vAlign w:val="center"/>
          </w:tcPr>
          <w:p>
            <w:pPr>
              <w:rPr>
                <w:rFonts w:ascii="宋体" w:hAnsi="宋体" w:cs="宋体"/>
                <w:b/>
                <w:bCs/>
                <w:sz w:val="24"/>
              </w:rPr>
            </w:pPr>
          </w:p>
        </w:tc>
        <w:tc>
          <w:tcPr>
            <w:tcW w:w="691" w:type="dxa"/>
            <w:noWrap w:val="0"/>
            <w:vAlign w:val="center"/>
          </w:tcPr>
          <w:p>
            <w:pPr>
              <w:wordWrap w:val="0"/>
              <w:jc w:val="center"/>
              <w:rPr>
                <w:rFonts w:ascii="宋体" w:hAnsi="宋体" w:cs="宋体"/>
                <w:szCs w:val="21"/>
              </w:rPr>
            </w:pPr>
            <w:r>
              <w:rPr>
                <w:rFonts w:ascii="宋体" w:hAnsi="宋体"/>
                <w:szCs w:val="21"/>
              </w:rPr>
              <w:t>1</w:t>
            </w:r>
          </w:p>
        </w:tc>
        <w:tc>
          <w:tcPr>
            <w:tcW w:w="1825" w:type="dxa"/>
            <w:noWrap w:val="0"/>
            <w:vAlign w:val="center"/>
          </w:tcPr>
          <w:p>
            <w:pPr>
              <w:wordWrap w:val="0"/>
              <w:jc w:val="center"/>
              <w:rPr>
                <w:rFonts w:ascii="宋体" w:hAnsi="宋体" w:cs="宋体"/>
                <w:szCs w:val="21"/>
              </w:rPr>
            </w:pPr>
            <w:r>
              <w:rPr>
                <w:szCs w:val="21"/>
              </w:rPr>
              <w:t>产品设计的科学性、合理性和先进性评价</w:t>
            </w:r>
          </w:p>
        </w:tc>
        <w:tc>
          <w:tcPr>
            <w:tcW w:w="863" w:type="dxa"/>
            <w:noWrap w:val="0"/>
            <w:vAlign w:val="center"/>
          </w:tcPr>
          <w:p>
            <w:pPr>
              <w:wordWrap w:val="0"/>
              <w:jc w:val="center"/>
              <w:rPr>
                <w:rFonts w:ascii="宋体" w:hAnsi="宋体" w:cs="宋体"/>
                <w:szCs w:val="21"/>
              </w:rPr>
            </w:pPr>
            <w:r>
              <w:rPr>
                <w:szCs w:val="21"/>
              </w:rPr>
              <w:t>3</w:t>
            </w:r>
          </w:p>
        </w:tc>
        <w:tc>
          <w:tcPr>
            <w:tcW w:w="5147" w:type="dxa"/>
            <w:noWrap w:val="0"/>
            <w:vAlign w:val="top"/>
          </w:tcPr>
          <w:p>
            <w:pPr>
              <w:wordWrap w:val="0"/>
              <w:rPr>
                <w:rFonts w:ascii="宋体" w:hAnsi="宋体" w:cs="宋体"/>
                <w:szCs w:val="21"/>
              </w:rPr>
            </w:pPr>
            <w:r>
              <w:rPr>
                <w:szCs w:val="21"/>
              </w:rPr>
              <w:t>按所投产品设计的科学性、合理性和先进性进行评价： 1、具有发明专利的得60</w:t>
            </w:r>
            <w:r>
              <w:rPr>
                <w:rFonts w:hint="eastAsia"/>
                <w:szCs w:val="21"/>
              </w:rPr>
              <w:t>%</w:t>
            </w:r>
            <w:r>
              <w:rPr>
                <w:szCs w:val="21"/>
              </w:rPr>
              <w:t>； 2、具有实用新型专利的得30</w:t>
            </w:r>
            <w:r>
              <w:rPr>
                <w:rFonts w:hint="eastAsia"/>
                <w:szCs w:val="21"/>
              </w:rPr>
              <w:t>%</w:t>
            </w:r>
            <w:r>
              <w:rPr>
                <w:szCs w:val="21"/>
              </w:rPr>
              <w:t>； 3、具有外观设计专利的得10</w:t>
            </w:r>
            <w:r>
              <w:rPr>
                <w:rFonts w:hint="eastAsia"/>
                <w:szCs w:val="21"/>
              </w:rPr>
              <w:t>%</w:t>
            </w:r>
            <w:r>
              <w:rPr>
                <w:szCs w:val="21"/>
              </w:rPr>
              <w:t>。以上1、2、3项得分累计，最高得100</w:t>
            </w:r>
            <w:r>
              <w:rPr>
                <w:rFonts w:hint="eastAsia"/>
                <w:szCs w:val="21"/>
              </w:rPr>
              <w:t>%</w:t>
            </w:r>
            <w:r>
              <w:rPr>
                <w:szCs w:val="21"/>
              </w:rPr>
              <w:t>，未提供的得0分。</w:t>
            </w:r>
            <w:r>
              <w:rPr>
                <w:rFonts w:hint="eastAsia"/>
                <w:szCs w:val="21"/>
              </w:rPr>
              <w:t>（</w:t>
            </w:r>
            <w:r>
              <w:rPr>
                <w:szCs w:val="21"/>
              </w:rPr>
              <w:t>提供相关证书的扫描件</w:t>
            </w:r>
            <w:r>
              <w:rPr>
                <w:rFonts w:hint="eastAsia"/>
                <w:szCs w:val="21"/>
              </w:rPr>
              <w:t>或复印件。）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0" w:type="dxa"/>
            <w:left w:w="108" w:type="dxa"/>
            <w:bottom w:w="20" w:type="dxa"/>
            <w:right w:w="108" w:type="dxa"/>
          </w:tblCellMar>
        </w:tblPrEx>
        <w:trPr>
          <w:trHeight w:val="284" w:hRule="atLeast"/>
          <w:jc w:val="center"/>
        </w:trPr>
        <w:tc>
          <w:tcPr>
            <w:tcW w:w="689" w:type="dxa"/>
            <w:vMerge w:val="continue"/>
            <w:noWrap w:val="0"/>
            <w:vAlign w:val="center"/>
          </w:tcPr>
          <w:p>
            <w:pPr>
              <w:rPr>
                <w:rFonts w:ascii="宋体" w:hAnsi="宋体" w:cs="宋体"/>
                <w:b/>
                <w:bCs/>
                <w:sz w:val="24"/>
              </w:rPr>
            </w:pPr>
          </w:p>
        </w:tc>
        <w:tc>
          <w:tcPr>
            <w:tcW w:w="691" w:type="dxa"/>
            <w:noWrap w:val="0"/>
            <w:vAlign w:val="center"/>
          </w:tcPr>
          <w:p>
            <w:pPr>
              <w:wordWrap w:val="0"/>
              <w:jc w:val="center"/>
              <w:rPr>
                <w:rFonts w:ascii="宋体" w:hAnsi="宋体" w:cs="宋体"/>
                <w:szCs w:val="21"/>
              </w:rPr>
            </w:pPr>
            <w:r>
              <w:rPr>
                <w:rFonts w:ascii="宋体" w:hAnsi="宋体"/>
                <w:szCs w:val="21"/>
              </w:rPr>
              <w:t>2</w:t>
            </w:r>
          </w:p>
        </w:tc>
        <w:tc>
          <w:tcPr>
            <w:tcW w:w="1825" w:type="dxa"/>
            <w:noWrap w:val="0"/>
            <w:vAlign w:val="center"/>
          </w:tcPr>
          <w:p>
            <w:pPr>
              <w:wordWrap w:val="0"/>
              <w:jc w:val="center"/>
              <w:rPr>
                <w:rFonts w:ascii="宋体" w:hAnsi="宋体" w:cs="宋体"/>
                <w:szCs w:val="21"/>
              </w:rPr>
            </w:pPr>
            <w:r>
              <w:rPr>
                <w:szCs w:val="21"/>
              </w:rPr>
              <w:t>产品的质量和安全性评价</w:t>
            </w:r>
          </w:p>
        </w:tc>
        <w:tc>
          <w:tcPr>
            <w:tcW w:w="863" w:type="dxa"/>
            <w:noWrap w:val="0"/>
            <w:vAlign w:val="center"/>
          </w:tcPr>
          <w:p>
            <w:pPr>
              <w:wordWrap w:val="0"/>
              <w:jc w:val="center"/>
              <w:rPr>
                <w:rFonts w:ascii="宋体" w:hAnsi="宋体" w:cs="宋体"/>
                <w:szCs w:val="21"/>
              </w:rPr>
            </w:pPr>
            <w:r>
              <w:rPr>
                <w:szCs w:val="21"/>
              </w:rPr>
              <w:t>3</w:t>
            </w:r>
          </w:p>
        </w:tc>
        <w:tc>
          <w:tcPr>
            <w:tcW w:w="5147" w:type="dxa"/>
            <w:noWrap w:val="0"/>
            <w:vAlign w:val="top"/>
          </w:tcPr>
          <w:p>
            <w:pPr>
              <w:wordWrap w:val="0"/>
              <w:rPr>
                <w:rFonts w:ascii="宋体" w:hAnsi="宋体" w:cs="宋体"/>
                <w:szCs w:val="21"/>
              </w:rPr>
            </w:pPr>
            <w:r>
              <w:rPr>
                <w:szCs w:val="21"/>
              </w:rPr>
              <w:t>按所投产品的质量和安全性进行评价： 所投产品具有国家认可的产品质量认证机构出具的产品质量认证证明或合格检测（检验）报告的得100</w:t>
            </w:r>
            <w:r>
              <w:rPr>
                <w:rFonts w:hint="eastAsia"/>
                <w:szCs w:val="21"/>
              </w:rPr>
              <w:t>%</w:t>
            </w:r>
            <w:r>
              <w:rPr>
                <w:szCs w:val="21"/>
              </w:rPr>
              <w:t>，不符合招标文件要求的得0分。（提供相关证明材料扫描件</w:t>
            </w:r>
            <w:r>
              <w:rPr>
                <w:rFonts w:hint="eastAsia"/>
                <w:szCs w:val="21"/>
              </w:rPr>
              <w:t>或复印件</w:t>
            </w:r>
            <w:r>
              <w:rPr>
                <w:szCs w:val="21"/>
              </w:rPr>
              <w:t>，原件备查）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0" w:type="dxa"/>
            <w:left w:w="108" w:type="dxa"/>
            <w:bottom w:w="20" w:type="dxa"/>
            <w:right w:w="108" w:type="dxa"/>
          </w:tblCellMar>
        </w:tblPrEx>
        <w:trPr>
          <w:trHeight w:val="284" w:hRule="atLeast"/>
          <w:jc w:val="center"/>
        </w:trPr>
        <w:tc>
          <w:tcPr>
            <w:tcW w:w="689" w:type="dxa"/>
            <w:vMerge w:val="continue"/>
            <w:noWrap w:val="0"/>
            <w:vAlign w:val="center"/>
          </w:tcPr>
          <w:p>
            <w:pPr>
              <w:rPr>
                <w:rFonts w:ascii="宋体" w:hAnsi="宋体" w:cs="宋体"/>
                <w:b/>
                <w:bCs/>
                <w:sz w:val="24"/>
              </w:rPr>
            </w:pPr>
          </w:p>
        </w:tc>
        <w:tc>
          <w:tcPr>
            <w:tcW w:w="691" w:type="dxa"/>
            <w:noWrap w:val="0"/>
            <w:vAlign w:val="center"/>
          </w:tcPr>
          <w:p>
            <w:pPr>
              <w:wordWrap w:val="0"/>
              <w:jc w:val="center"/>
              <w:rPr>
                <w:rFonts w:ascii="宋体" w:hAnsi="宋体"/>
                <w:szCs w:val="21"/>
              </w:rPr>
            </w:pPr>
            <w:r>
              <w:rPr>
                <w:rFonts w:hint="eastAsia" w:ascii="宋体" w:hAnsi="宋体"/>
                <w:szCs w:val="21"/>
              </w:rPr>
              <w:t>3</w:t>
            </w:r>
          </w:p>
        </w:tc>
        <w:tc>
          <w:tcPr>
            <w:tcW w:w="1825" w:type="dxa"/>
            <w:noWrap w:val="0"/>
            <w:vAlign w:val="center"/>
          </w:tcPr>
          <w:p>
            <w:pPr>
              <w:wordWrap w:val="0"/>
              <w:jc w:val="center"/>
              <w:rPr>
                <w:rFonts w:ascii="宋体" w:hAnsi="宋体" w:cs="宋体"/>
                <w:szCs w:val="21"/>
              </w:rPr>
            </w:pPr>
            <w:r>
              <w:rPr>
                <w:szCs w:val="21"/>
              </w:rPr>
              <w:t>投标文件编制质量评价</w:t>
            </w:r>
          </w:p>
        </w:tc>
        <w:tc>
          <w:tcPr>
            <w:tcW w:w="863" w:type="dxa"/>
            <w:noWrap w:val="0"/>
            <w:vAlign w:val="center"/>
          </w:tcPr>
          <w:p>
            <w:pPr>
              <w:wordWrap w:val="0"/>
              <w:jc w:val="center"/>
              <w:rPr>
                <w:rFonts w:ascii="宋体" w:hAnsi="宋体" w:cs="宋体"/>
                <w:szCs w:val="21"/>
              </w:rPr>
            </w:pPr>
            <w:r>
              <w:rPr>
                <w:szCs w:val="21"/>
              </w:rPr>
              <w:t>2</w:t>
            </w:r>
          </w:p>
        </w:tc>
        <w:tc>
          <w:tcPr>
            <w:tcW w:w="5147" w:type="dxa"/>
            <w:noWrap w:val="0"/>
            <w:vAlign w:val="top"/>
          </w:tcPr>
          <w:p>
            <w:pPr>
              <w:wordWrap w:val="0"/>
              <w:rPr>
                <w:rFonts w:ascii="宋体" w:hAnsi="宋体" w:cs="宋体"/>
                <w:szCs w:val="21"/>
              </w:rPr>
            </w:pPr>
            <w:r>
              <w:rPr>
                <w:szCs w:val="21"/>
              </w:rPr>
              <w:t>根据投标人投标文件编制情况</w:t>
            </w:r>
            <w:r>
              <w:rPr>
                <w:rFonts w:hint="eastAsia"/>
                <w:szCs w:val="21"/>
              </w:rPr>
              <w:t>进行</w:t>
            </w:r>
            <w:r>
              <w:rPr>
                <w:szCs w:val="21"/>
              </w:rPr>
              <w:t>横向比较，</w:t>
            </w:r>
            <w:r>
              <w:rPr>
                <w:rFonts w:hint="eastAsia" w:ascii="宋体" w:hAnsi="宋体" w:cs="宋体"/>
                <w:szCs w:val="21"/>
              </w:rPr>
              <w:t>排序打分：第一名得</w:t>
            </w:r>
            <w:r>
              <w:rPr>
                <w:rFonts w:ascii="宋体" w:hAnsi="宋体" w:cs="宋体"/>
                <w:szCs w:val="21"/>
              </w:rPr>
              <w:t>100</w:t>
            </w:r>
            <w:r>
              <w:rPr>
                <w:rFonts w:hint="eastAsia" w:ascii="宋体" w:hAnsi="宋体" w:cs="宋体"/>
                <w:szCs w:val="21"/>
              </w:rPr>
              <w:t>%，第二名得</w:t>
            </w:r>
            <w:r>
              <w:rPr>
                <w:rFonts w:ascii="宋体" w:hAnsi="宋体" w:cs="宋体"/>
                <w:szCs w:val="21"/>
              </w:rPr>
              <w:t>80</w:t>
            </w:r>
            <w:r>
              <w:rPr>
                <w:rFonts w:hint="eastAsia" w:ascii="宋体" w:hAnsi="宋体" w:cs="宋体"/>
                <w:szCs w:val="21"/>
              </w:rPr>
              <w:t>%，第三名得</w:t>
            </w:r>
            <w:r>
              <w:rPr>
                <w:rFonts w:ascii="宋体" w:hAnsi="宋体" w:cs="宋体"/>
                <w:szCs w:val="21"/>
              </w:rPr>
              <w:t>60</w:t>
            </w:r>
            <w:r>
              <w:rPr>
                <w:rFonts w:hint="eastAsia" w:ascii="宋体" w:hAnsi="宋体" w:cs="宋体"/>
                <w:szCs w:val="21"/>
              </w:rPr>
              <w:t>%，第四名得40%，其他排名或未提供得</w:t>
            </w:r>
            <w:r>
              <w:rPr>
                <w:rFonts w:ascii="宋体" w:hAnsi="宋体" w:cs="宋体"/>
                <w:szCs w:val="21"/>
              </w:rPr>
              <w:t>0</w:t>
            </w:r>
            <w:r>
              <w:rPr>
                <w:rFonts w:hint="eastAsia" w:ascii="宋体" w:hAnsi="宋体" w:cs="宋体"/>
                <w:szCs w:val="21"/>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0" w:type="dxa"/>
            <w:left w:w="108" w:type="dxa"/>
            <w:bottom w:w="20" w:type="dxa"/>
            <w:right w:w="108" w:type="dxa"/>
          </w:tblCellMar>
        </w:tblPrEx>
        <w:trPr>
          <w:trHeight w:val="284" w:hRule="atLeast"/>
          <w:jc w:val="center"/>
        </w:trPr>
        <w:tc>
          <w:tcPr>
            <w:tcW w:w="689" w:type="dxa"/>
            <w:vMerge w:val="continue"/>
            <w:noWrap w:val="0"/>
            <w:vAlign w:val="center"/>
          </w:tcPr>
          <w:p>
            <w:pPr>
              <w:rPr>
                <w:rFonts w:ascii="宋体" w:hAnsi="宋体" w:cs="宋体"/>
                <w:b/>
                <w:bCs/>
                <w:sz w:val="24"/>
              </w:rPr>
            </w:pPr>
          </w:p>
        </w:tc>
        <w:tc>
          <w:tcPr>
            <w:tcW w:w="691" w:type="dxa"/>
            <w:noWrap w:val="0"/>
            <w:vAlign w:val="center"/>
          </w:tcPr>
          <w:p>
            <w:pPr>
              <w:wordWrap w:val="0"/>
              <w:jc w:val="center"/>
              <w:rPr>
                <w:rFonts w:ascii="宋体" w:hAnsi="宋体" w:cs="宋体"/>
                <w:szCs w:val="21"/>
              </w:rPr>
            </w:pPr>
            <w:r>
              <w:rPr>
                <w:rFonts w:hint="eastAsia" w:ascii="宋体" w:hAnsi="宋体"/>
                <w:szCs w:val="21"/>
              </w:rPr>
              <w:t>4</w:t>
            </w:r>
          </w:p>
        </w:tc>
        <w:tc>
          <w:tcPr>
            <w:tcW w:w="1825" w:type="dxa"/>
            <w:noWrap w:val="0"/>
            <w:vAlign w:val="center"/>
          </w:tcPr>
          <w:p>
            <w:pPr>
              <w:wordWrap w:val="0"/>
              <w:jc w:val="center"/>
              <w:rPr>
                <w:rFonts w:ascii="宋体" w:hAnsi="宋体" w:cs="宋体"/>
                <w:szCs w:val="21"/>
              </w:rPr>
            </w:pPr>
            <w:r>
              <w:rPr>
                <w:szCs w:val="21"/>
              </w:rPr>
              <w:t>产品技术指标符合程度评价</w:t>
            </w:r>
          </w:p>
        </w:tc>
        <w:tc>
          <w:tcPr>
            <w:tcW w:w="863" w:type="dxa"/>
            <w:noWrap w:val="0"/>
            <w:vAlign w:val="center"/>
          </w:tcPr>
          <w:p>
            <w:pPr>
              <w:wordWrap w:val="0"/>
              <w:jc w:val="center"/>
              <w:rPr>
                <w:rFonts w:ascii="宋体" w:hAnsi="宋体" w:cs="宋体"/>
                <w:szCs w:val="21"/>
              </w:rPr>
            </w:pPr>
            <w:r>
              <w:rPr>
                <w:szCs w:val="21"/>
              </w:rPr>
              <w:t>29</w:t>
            </w:r>
          </w:p>
        </w:tc>
        <w:tc>
          <w:tcPr>
            <w:tcW w:w="5147" w:type="dxa"/>
            <w:noWrap w:val="0"/>
            <w:vAlign w:val="top"/>
          </w:tcPr>
          <w:p>
            <w:pPr>
              <w:wordWrap w:val="0"/>
              <w:rPr>
                <w:rFonts w:ascii="宋体" w:hAnsi="宋体" w:cs="宋体"/>
                <w:szCs w:val="21"/>
              </w:rPr>
            </w:pPr>
            <w:r>
              <w:rPr>
                <w:szCs w:val="21"/>
              </w:rPr>
              <w:t>根据项目需求中产品技术指标的满足程度进行评价，评审委员会以投标文件《技术规格偏离表》响应情况进行打分：</w:t>
            </w:r>
            <w:r>
              <w:rPr>
                <w:rFonts w:hint="eastAsia"/>
                <w:szCs w:val="21"/>
              </w:rPr>
              <w:t>参数每负偏离一项扣10%，扣完为止。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0" w:type="dxa"/>
            <w:left w:w="108" w:type="dxa"/>
            <w:bottom w:w="20" w:type="dxa"/>
            <w:right w:w="108" w:type="dxa"/>
          </w:tblCellMar>
        </w:tblPrEx>
        <w:trPr>
          <w:trHeight w:val="284" w:hRule="atLeast"/>
          <w:jc w:val="center"/>
        </w:trPr>
        <w:tc>
          <w:tcPr>
            <w:tcW w:w="689" w:type="dxa"/>
            <w:vMerge w:val="continue"/>
            <w:noWrap w:val="0"/>
            <w:vAlign w:val="center"/>
          </w:tcPr>
          <w:p>
            <w:pPr>
              <w:rPr>
                <w:rFonts w:ascii="宋体" w:hAnsi="宋体" w:cs="宋体"/>
                <w:b/>
                <w:bCs/>
                <w:sz w:val="24"/>
              </w:rPr>
            </w:pPr>
          </w:p>
        </w:tc>
        <w:tc>
          <w:tcPr>
            <w:tcW w:w="691" w:type="dxa"/>
            <w:noWrap w:val="0"/>
            <w:vAlign w:val="center"/>
          </w:tcPr>
          <w:p>
            <w:pPr>
              <w:wordWrap w:val="0"/>
              <w:jc w:val="center"/>
              <w:rPr>
                <w:rFonts w:ascii="宋体" w:hAnsi="宋体" w:cs="宋体"/>
                <w:szCs w:val="21"/>
              </w:rPr>
            </w:pPr>
            <w:r>
              <w:rPr>
                <w:rFonts w:hint="eastAsia" w:ascii="宋体" w:hAnsi="宋体"/>
                <w:szCs w:val="21"/>
              </w:rPr>
              <w:t>5</w:t>
            </w:r>
          </w:p>
        </w:tc>
        <w:tc>
          <w:tcPr>
            <w:tcW w:w="1825" w:type="dxa"/>
            <w:noWrap w:val="0"/>
            <w:vAlign w:val="center"/>
          </w:tcPr>
          <w:p>
            <w:pPr>
              <w:wordWrap w:val="0"/>
              <w:jc w:val="center"/>
              <w:rPr>
                <w:rFonts w:ascii="宋体" w:hAnsi="宋体" w:cs="宋体"/>
                <w:szCs w:val="21"/>
              </w:rPr>
            </w:pPr>
            <w:r>
              <w:rPr>
                <w:szCs w:val="21"/>
              </w:rPr>
              <w:t>扶持小微企业产品</w:t>
            </w:r>
          </w:p>
        </w:tc>
        <w:tc>
          <w:tcPr>
            <w:tcW w:w="863" w:type="dxa"/>
            <w:noWrap w:val="0"/>
            <w:vAlign w:val="center"/>
          </w:tcPr>
          <w:p>
            <w:pPr>
              <w:wordWrap w:val="0"/>
              <w:jc w:val="center"/>
              <w:rPr>
                <w:rFonts w:ascii="宋体" w:hAnsi="宋体" w:cs="宋体"/>
                <w:szCs w:val="21"/>
              </w:rPr>
            </w:pPr>
            <w:r>
              <w:rPr>
                <w:rFonts w:hint="eastAsia" w:ascii="宋体" w:hAnsi="宋体"/>
                <w:szCs w:val="21"/>
              </w:rPr>
              <w:t>3</w:t>
            </w:r>
          </w:p>
        </w:tc>
        <w:tc>
          <w:tcPr>
            <w:tcW w:w="5147" w:type="dxa"/>
            <w:noWrap w:val="0"/>
            <w:vAlign w:val="top"/>
          </w:tcPr>
          <w:p>
            <w:pPr>
              <w:wordWrap w:val="0"/>
              <w:rPr>
                <w:rFonts w:ascii="宋体" w:hAnsi="宋体" w:cs="宋体"/>
                <w:szCs w:val="21"/>
              </w:rPr>
            </w:pPr>
            <w:r>
              <w:rPr>
                <w:szCs w:val="21"/>
              </w:rPr>
              <w:t>1、投标人为小型或微型企业，且提供本企业制造的货物、承担的工程或者服务的得100</w:t>
            </w:r>
            <w:r>
              <w:rPr>
                <w:rFonts w:hint="eastAsia"/>
                <w:szCs w:val="21"/>
              </w:rPr>
              <w:t>%</w:t>
            </w:r>
            <w:r>
              <w:rPr>
                <w:szCs w:val="21"/>
              </w:rPr>
              <w:t>； 2、投标人提供其他小型或微型企业制造货物的得100</w:t>
            </w:r>
            <w:r>
              <w:rPr>
                <w:rFonts w:hint="eastAsia"/>
                <w:szCs w:val="21"/>
              </w:rPr>
              <w:t>%</w:t>
            </w:r>
            <w:r>
              <w:rPr>
                <w:szCs w:val="21"/>
              </w:rPr>
              <w:t>。以提供投标人出具且加盖投标人公章的《中小企业声明函》内容为准，未提供的或提供内容不符合招标文件要求的得0分。（提供加盖投标人公章的声明函扫描件，原件备查）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0" w:type="dxa"/>
            <w:left w:w="108" w:type="dxa"/>
            <w:bottom w:w="20" w:type="dxa"/>
            <w:right w:w="108" w:type="dxa"/>
          </w:tblCellMar>
        </w:tblPrEx>
        <w:trPr>
          <w:trHeight w:val="284" w:hRule="atLeast"/>
          <w:jc w:val="center"/>
        </w:trPr>
        <w:tc>
          <w:tcPr>
            <w:tcW w:w="689" w:type="dxa"/>
            <w:vMerge w:val="continue"/>
            <w:noWrap w:val="0"/>
            <w:vAlign w:val="center"/>
          </w:tcPr>
          <w:p>
            <w:pPr>
              <w:rPr>
                <w:rFonts w:ascii="宋体" w:hAnsi="宋体" w:cs="宋体"/>
                <w:b/>
                <w:bCs/>
                <w:sz w:val="24"/>
              </w:rPr>
            </w:pPr>
          </w:p>
        </w:tc>
        <w:tc>
          <w:tcPr>
            <w:tcW w:w="691" w:type="dxa"/>
            <w:noWrap w:val="0"/>
            <w:vAlign w:val="center"/>
          </w:tcPr>
          <w:p>
            <w:pPr>
              <w:wordWrap w:val="0"/>
              <w:jc w:val="center"/>
              <w:rPr>
                <w:rFonts w:hint="eastAsia" w:ascii="宋体" w:hAnsi="宋体"/>
                <w:szCs w:val="21"/>
              </w:rPr>
            </w:pPr>
            <w:r>
              <w:rPr>
                <w:rFonts w:hint="eastAsia" w:ascii="宋体" w:hAnsi="宋体"/>
                <w:szCs w:val="21"/>
              </w:rPr>
              <w:t>6</w:t>
            </w:r>
          </w:p>
        </w:tc>
        <w:tc>
          <w:tcPr>
            <w:tcW w:w="1825" w:type="dxa"/>
            <w:noWrap w:val="0"/>
            <w:vAlign w:val="center"/>
          </w:tcPr>
          <w:p>
            <w:pPr>
              <w:wordWrap w:val="0"/>
              <w:jc w:val="center"/>
              <w:rPr>
                <w:rFonts w:ascii="宋体" w:hAnsi="宋体" w:cs="宋体"/>
                <w:szCs w:val="21"/>
              </w:rPr>
            </w:pPr>
            <w:r>
              <w:rPr>
                <w:szCs w:val="21"/>
              </w:rPr>
              <w:t>节能和环保产品</w:t>
            </w:r>
          </w:p>
        </w:tc>
        <w:tc>
          <w:tcPr>
            <w:tcW w:w="863" w:type="dxa"/>
            <w:noWrap w:val="0"/>
            <w:vAlign w:val="center"/>
          </w:tcPr>
          <w:p>
            <w:pPr>
              <w:wordWrap w:val="0"/>
              <w:jc w:val="center"/>
              <w:rPr>
                <w:rFonts w:hint="eastAsia" w:ascii="宋体" w:hAnsi="宋体"/>
                <w:szCs w:val="21"/>
              </w:rPr>
            </w:pPr>
            <w:r>
              <w:rPr>
                <w:rFonts w:hint="eastAsia" w:ascii="宋体" w:hAnsi="宋体"/>
                <w:szCs w:val="21"/>
              </w:rPr>
              <w:t>5</w:t>
            </w:r>
          </w:p>
        </w:tc>
        <w:tc>
          <w:tcPr>
            <w:tcW w:w="5147" w:type="dxa"/>
            <w:noWrap w:val="0"/>
            <w:vAlign w:val="top"/>
          </w:tcPr>
          <w:p>
            <w:pPr>
              <w:wordWrap w:val="0"/>
              <w:rPr>
                <w:rFonts w:ascii="宋体" w:hAnsi="宋体" w:cs="宋体"/>
                <w:szCs w:val="21"/>
              </w:rPr>
            </w:pPr>
            <w:r>
              <w:rPr>
                <w:szCs w:val="21"/>
              </w:rPr>
              <w:t>所投产品已列入财政部、国家发展和改革委员会制定的《节能产品政府采购清单》或财政部、环境保护部制定的《环境标志产品政府采购清单》或市水务局、市市场监管局、市住房建设局共同制定的《深圳市节水型工艺、设备、器具名录》的得100</w:t>
            </w:r>
            <w:r>
              <w:rPr>
                <w:rFonts w:hint="eastAsia"/>
                <w:szCs w:val="21"/>
              </w:rPr>
              <w:t>%</w:t>
            </w:r>
            <w:r>
              <w:rPr>
                <w:szCs w:val="21"/>
              </w:rPr>
              <w:t>；其它节能和环保产品的相应打分；非节能和非环保产品的得0。（以相关部门认定资料为准，提供扫描件，原件备查）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0" w:type="dxa"/>
            <w:left w:w="108" w:type="dxa"/>
            <w:bottom w:w="20" w:type="dxa"/>
            <w:right w:w="108" w:type="dxa"/>
          </w:tblCellMar>
        </w:tblPrEx>
        <w:trPr>
          <w:trHeight w:val="284" w:hRule="atLeast"/>
          <w:jc w:val="center"/>
        </w:trPr>
        <w:tc>
          <w:tcPr>
            <w:tcW w:w="689" w:type="dxa"/>
            <w:vMerge w:val="continue"/>
            <w:noWrap w:val="0"/>
            <w:vAlign w:val="center"/>
          </w:tcPr>
          <w:p>
            <w:pPr>
              <w:rPr>
                <w:rFonts w:ascii="宋体" w:hAnsi="宋体" w:cs="宋体"/>
                <w:b/>
                <w:bCs/>
                <w:sz w:val="24"/>
              </w:rPr>
            </w:pPr>
          </w:p>
        </w:tc>
        <w:tc>
          <w:tcPr>
            <w:tcW w:w="691" w:type="dxa"/>
            <w:noWrap w:val="0"/>
            <w:vAlign w:val="center"/>
          </w:tcPr>
          <w:p>
            <w:pPr>
              <w:wordWrap w:val="0"/>
              <w:jc w:val="center"/>
              <w:rPr>
                <w:rFonts w:ascii="宋体" w:hAnsi="宋体" w:cs="宋体"/>
                <w:szCs w:val="21"/>
              </w:rPr>
            </w:pPr>
            <w:r>
              <w:rPr>
                <w:rFonts w:hint="eastAsia" w:ascii="宋体" w:hAnsi="宋体"/>
                <w:szCs w:val="21"/>
              </w:rPr>
              <w:t>7</w:t>
            </w:r>
          </w:p>
        </w:tc>
        <w:tc>
          <w:tcPr>
            <w:tcW w:w="1825" w:type="dxa"/>
            <w:noWrap w:val="0"/>
            <w:vAlign w:val="center"/>
          </w:tcPr>
          <w:p>
            <w:pPr>
              <w:wordWrap w:val="0"/>
              <w:jc w:val="center"/>
              <w:rPr>
                <w:rFonts w:ascii="宋体" w:hAnsi="宋体" w:cs="宋体"/>
                <w:szCs w:val="21"/>
              </w:rPr>
            </w:pPr>
            <w:r>
              <w:rPr>
                <w:szCs w:val="21"/>
              </w:rPr>
              <w:t>转让技术进口产品</w:t>
            </w:r>
          </w:p>
        </w:tc>
        <w:tc>
          <w:tcPr>
            <w:tcW w:w="863" w:type="dxa"/>
            <w:noWrap w:val="0"/>
            <w:vAlign w:val="center"/>
          </w:tcPr>
          <w:p>
            <w:pPr>
              <w:wordWrap w:val="0"/>
              <w:jc w:val="center"/>
              <w:rPr>
                <w:rFonts w:ascii="宋体" w:hAnsi="宋体" w:cs="宋体"/>
                <w:szCs w:val="21"/>
              </w:rPr>
            </w:pPr>
            <w:r>
              <w:rPr>
                <w:rFonts w:hint="eastAsia"/>
                <w:szCs w:val="21"/>
              </w:rPr>
              <w:t>3</w:t>
            </w:r>
          </w:p>
        </w:tc>
        <w:tc>
          <w:tcPr>
            <w:tcW w:w="5147" w:type="dxa"/>
            <w:noWrap w:val="0"/>
            <w:vAlign w:val="top"/>
          </w:tcPr>
          <w:p>
            <w:pPr>
              <w:wordWrap w:val="0"/>
              <w:rPr>
                <w:rFonts w:ascii="宋体" w:hAnsi="宋体" w:cs="宋体"/>
                <w:szCs w:val="21"/>
              </w:rPr>
            </w:pPr>
            <w:r>
              <w:rPr>
                <w:szCs w:val="21"/>
              </w:rPr>
              <w:t>属于向我国企业转让技术，与我国企业签订消化吸收再创新方案的供应商进口产品的得100</w:t>
            </w:r>
            <w:r>
              <w:rPr>
                <w:rFonts w:hint="eastAsia"/>
                <w:szCs w:val="21"/>
              </w:rPr>
              <w:t>%</w:t>
            </w:r>
            <w:r>
              <w:rPr>
                <w:szCs w:val="21"/>
              </w:rPr>
              <w:t>，不符合招标文件要求的得0分。（提供相关证明的扫描件，原件备查）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0" w:type="dxa"/>
            <w:left w:w="108" w:type="dxa"/>
            <w:bottom w:w="20" w:type="dxa"/>
            <w:right w:w="108" w:type="dxa"/>
          </w:tblCellMar>
        </w:tblPrEx>
        <w:trPr>
          <w:trHeight w:val="284" w:hRule="atLeast"/>
          <w:jc w:val="center"/>
        </w:trPr>
        <w:tc>
          <w:tcPr>
            <w:tcW w:w="689" w:type="dxa"/>
            <w:vMerge w:val="restart"/>
            <w:noWrap w:val="0"/>
            <w:vAlign w:val="top"/>
          </w:tcPr>
          <w:p>
            <w:pPr>
              <w:wordWrap w:val="0"/>
              <w:jc w:val="center"/>
              <w:rPr>
                <w:rFonts w:ascii="宋体" w:hAnsi="宋体" w:cs="宋体"/>
                <w:b/>
                <w:bCs/>
                <w:sz w:val="24"/>
              </w:rPr>
            </w:pPr>
            <w:r>
              <w:rPr>
                <w:rFonts w:ascii="宋体" w:hAnsi="宋体"/>
                <w:b/>
                <w:bCs/>
              </w:rPr>
              <w:t>3</w:t>
            </w:r>
          </w:p>
        </w:tc>
        <w:tc>
          <w:tcPr>
            <w:tcW w:w="3379" w:type="dxa"/>
            <w:gridSpan w:val="3"/>
            <w:noWrap w:val="0"/>
            <w:vAlign w:val="top"/>
          </w:tcPr>
          <w:p>
            <w:pPr>
              <w:wordWrap w:val="0"/>
              <w:jc w:val="center"/>
              <w:rPr>
                <w:rFonts w:ascii="宋体" w:hAnsi="宋体" w:cs="宋体"/>
                <w:b/>
                <w:bCs/>
                <w:sz w:val="24"/>
              </w:rPr>
            </w:pPr>
            <w:r>
              <w:rPr>
                <w:rFonts w:hint="eastAsia" w:ascii="宋体" w:hAnsi="宋体"/>
                <w:b/>
                <w:bCs/>
              </w:rPr>
              <w:t>商务</w:t>
            </w:r>
            <w:r>
              <w:rPr>
                <w:rFonts w:ascii="宋体" w:hAnsi="宋体"/>
                <w:b/>
                <w:bCs/>
              </w:rPr>
              <w:t>部分</w:t>
            </w:r>
          </w:p>
        </w:tc>
        <w:tc>
          <w:tcPr>
            <w:tcW w:w="5147" w:type="dxa"/>
            <w:noWrap w:val="0"/>
            <w:vAlign w:val="top"/>
          </w:tcPr>
          <w:p>
            <w:pPr>
              <w:wordWrap w:val="0"/>
              <w:jc w:val="center"/>
              <w:rPr>
                <w:rFonts w:ascii="宋体" w:hAnsi="宋体" w:cs="宋体"/>
                <w:b/>
                <w:bCs/>
                <w:sz w:val="24"/>
              </w:rPr>
            </w:pPr>
            <w:r>
              <w:rPr>
                <w:rFonts w:hint="eastAsia" w:ascii="宋体" w:hAnsi="宋体"/>
                <w:b/>
                <w:bCs/>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0" w:type="dxa"/>
            <w:left w:w="108" w:type="dxa"/>
            <w:bottom w:w="20" w:type="dxa"/>
            <w:right w:w="108" w:type="dxa"/>
          </w:tblCellMar>
        </w:tblPrEx>
        <w:trPr>
          <w:trHeight w:val="284" w:hRule="atLeast"/>
          <w:jc w:val="center"/>
        </w:trPr>
        <w:tc>
          <w:tcPr>
            <w:tcW w:w="689" w:type="dxa"/>
            <w:vMerge w:val="continue"/>
            <w:shd w:val="clear" w:color="auto" w:fill="E6EFFA"/>
            <w:noWrap w:val="0"/>
            <w:vAlign w:val="center"/>
          </w:tcPr>
          <w:p>
            <w:pPr>
              <w:rPr>
                <w:rFonts w:ascii="宋体" w:hAnsi="宋体" w:cs="宋体"/>
                <w:b/>
                <w:bCs/>
                <w:sz w:val="24"/>
              </w:rPr>
            </w:pPr>
          </w:p>
        </w:tc>
        <w:tc>
          <w:tcPr>
            <w:tcW w:w="691" w:type="dxa"/>
            <w:shd w:val="clear" w:color="auto" w:fill="E6EFFA"/>
            <w:noWrap w:val="0"/>
            <w:vAlign w:val="center"/>
          </w:tcPr>
          <w:p>
            <w:pPr>
              <w:wordWrap w:val="0"/>
              <w:jc w:val="center"/>
              <w:rPr>
                <w:rFonts w:ascii="宋体" w:hAnsi="宋体" w:cs="宋体"/>
                <w:szCs w:val="21"/>
              </w:rPr>
            </w:pPr>
            <w:r>
              <w:rPr>
                <w:rFonts w:ascii="宋体" w:hAnsi="宋体"/>
                <w:szCs w:val="21"/>
              </w:rPr>
              <w:t>序号</w:t>
            </w:r>
          </w:p>
        </w:tc>
        <w:tc>
          <w:tcPr>
            <w:tcW w:w="1825" w:type="dxa"/>
            <w:shd w:val="clear" w:color="auto" w:fill="E6EFFA"/>
            <w:noWrap w:val="0"/>
            <w:vAlign w:val="center"/>
          </w:tcPr>
          <w:p>
            <w:pPr>
              <w:wordWrap w:val="0"/>
              <w:jc w:val="center"/>
              <w:rPr>
                <w:rFonts w:ascii="宋体" w:hAnsi="宋体" w:cs="宋体"/>
                <w:szCs w:val="21"/>
              </w:rPr>
            </w:pPr>
            <w:r>
              <w:rPr>
                <w:rFonts w:ascii="宋体" w:hAnsi="宋体"/>
                <w:szCs w:val="21"/>
              </w:rPr>
              <w:t>评分因素</w:t>
            </w:r>
          </w:p>
        </w:tc>
        <w:tc>
          <w:tcPr>
            <w:tcW w:w="863" w:type="dxa"/>
            <w:shd w:val="clear" w:color="auto" w:fill="E6EFFA"/>
            <w:noWrap w:val="0"/>
            <w:vAlign w:val="center"/>
          </w:tcPr>
          <w:p>
            <w:pPr>
              <w:wordWrap w:val="0"/>
              <w:jc w:val="center"/>
              <w:rPr>
                <w:rFonts w:ascii="宋体" w:hAnsi="宋体" w:cs="宋体"/>
                <w:szCs w:val="21"/>
              </w:rPr>
            </w:pPr>
            <w:r>
              <w:rPr>
                <w:rFonts w:ascii="宋体" w:hAnsi="宋体"/>
                <w:szCs w:val="21"/>
              </w:rPr>
              <w:t>权重</w:t>
            </w:r>
          </w:p>
        </w:tc>
        <w:tc>
          <w:tcPr>
            <w:tcW w:w="5147" w:type="dxa"/>
            <w:shd w:val="clear" w:color="auto" w:fill="E6EFFA"/>
            <w:noWrap w:val="0"/>
            <w:vAlign w:val="center"/>
          </w:tcPr>
          <w:p>
            <w:pPr>
              <w:wordWrap w:val="0"/>
              <w:jc w:val="center"/>
              <w:rPr>
                <w:rFonts w:ascii="宋体" w:hAnsi="宋体" w:cs="宋体"/>
                <w:szCs w:val="21"/>
              </w:rPr>
            </w:pPr>
            <w:r>
              <w:rPr>
                <w:rFonts w:ascii="宋体" w:hAnsi="宋体"/>
                <w:szCs w:val="21"/>
              </w:rPr>
              <w:t>评分准则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0" w:type="dxa"/>
            <w:left w:w="108" w:type="dxa"/>
            <w:bottom w:w="20" w:type="dxa"/>
            <w:right w:w="108" w:type="dxa"/>
          </w:tblCellMar>
        </w:tblPrEx>
        <w:trPr>
          <w:trHeight w:val="284" w:hRule="atLeast"/>
          <w:jc w:val="center"/>
        </w:trPr>
        <w:tc>
          <w:tcPr>
            <w:tcW w:w="689" w:type="dxa"/>
            <w:vMerge w:val="continue"/>
            <w:noWrap w:val="0"/>
            <w:vAlign w:val="center"/>
          </w:tcPr>
          <w:p>
            <w:pPr>
              <w:rPr>
                <w:rFonts w:ascii="宋体" w:hAnsi="宋体" w:cs="宋体"/>
                <w:b/>
                <w:bCs/>
                <w:sz w:val="24"/>
              </w:rPr>
            </w:pPr>
          </w:p>
        </w:tc>
        <w:tc>
          <w:tcPr>
            <w:tcW w:w="691" w:type="dxa"/>
            <w:noWrap w:val="0"/>
            <w:vAlign w:val="center"/>
          </w:tcPr>
          <w:p>
            <w:pPr>
              <w:wordWrap w:val="0"/>
              <w:jc w:val="center"/>
              <w:rPr>
                <w:rFonts w:ascii="宋体" w:hAnsi="宋体" w:cs="宋体"/>
                <w:szCs w:val="21"/>
              </w:rPr>
            </w:pPr>
            <w:r>
              <w:rPr>
                <w:rFonts w:ascii="宋体" w:hAnsi="宋体"/>
                <w:szCs w:val="21"/>
              </w:rPr>
              <w:t>1</w:t>
            </w:r>
          </w:p>
        </w:tc>
        <w:tc>
          <w:tcPr>
            <w:tcW w:w="1825" w:type="dxa"/>
            <w:noWrap w:val="0"/>
            <w:vAlign w:val="center"/>
          </w:tcPr>
          <w:p>
            <w:pPr>
              <w:wordWrap w:val="0"/>
              <w:jc w:val="center"/>
              <w:rPr>
                <w:rFonts w:ascii="宋体" w:hAnsi="宋体" w:cs="宋体"/>
                <w:szCs w:val="21"/>
              </w:rPr>
            </w:pPr>
            <w:r>
              <w:rPr>
                <w:szCs w:val="21"/>
              </w:rPr>
              <w:t>免费保修期</w:t>
            </w:r>
          </w:p>
        </w:tc>
        <w:tc>
          <w:tcPr>
            <w:tcW w:w="863" w:type="dxa"/>
            <w:noWrap w:val="0"/>
            <w:vAlign w:val="center"/>
          </w:tcPr>
          <w:p>
            <w:pPr>
              <w:wordWrap w:val="0"/>
              <w:jc w:val="center"/>
              <w:rPr>
                <w:rFonts w:ascii="宋体" w:hAnsi="宋体" w:cs="宋体"/>
                <w:szCs w:val="21"/>
              </w:rPr>
            </w:pPr>
            <w:r>
              <w:rPr>
                <w:szCs w:val="21"/>
              </w:rPr>
              <w:t>5</w:t>
            </w:r>
          </w:p>
        </w:tc>
        <w:tc>
          <w:tcPr>
            <w:tcW w:w="5147" w:type="dxa"/>
            <w:noWrap w:val="0"/>
            <w:vAlign w:val="top"/>
          </w:tcPr>
          <w:p>
            <w:pPr>
              <w:wordWrap w:val="0"/>
              <w:rPr>
                <w:rFonts w:ascii="宋体" w:hAnsi="宋体" w:cs="宋体"/>
                <w:szCs w:val="21"/>
              </w:rPr>
            </w:pPr>
            <w:r>
              <w:rPr>
                <w:szCs w:val="21"/>
              </w:rPr>
              <w:t>在满足招标文件免费保修期要求的前提下，整体每延长一年免费保修期的得50</w:t>
            </w:r>
            <w:r>
              <w:rPr>
                <w:rFonts w:hint="eastAsia"/>
                <w:szCs w:val="21"/>
              </w:rPr>
              <w:t>%</w:t>
            </w:r>
            <w:r>
              <w:rPr>
                <w:szCs w:val="21"/>
              </w:rPr>
              <w:t>，最高100</w:t>
            </w:r>
            <w:r>
              <w:rPr>
                <w:rFonts w:hint="eastAsia"/>
                <w:szCs w:val="21"/>
              </w:rPr>
              <w:t>%</w:t>
            </w:r>
            <w:r>
              <w:rPr>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0" w:type="dxa"/>
            <w:left w:w="108" w:type="dxa"/>
            <w:bottom w:w="20" w:type="dxa"/>
            <w:right w:w="108" w:type="dxa"/>
          </w:tblCellMar>
        </w:tblPrEx>
        <w:trPr>
          <w:trHeight w:val="284" w:hRule="atLeast"/>
          <w:jc w:val="center"/>
        </w:trPr>
        <w:tc>
          <w:tcPr>
            <w:tcW w:w="689" w:type="dxa"/>
            <w:vMerge w:val="continue"/>
            <w:noWrap w:val="0"/>
            <w:vAlign w:val="center"/>
          </w:tcPr>
          <w:p>
            <w:pPr>
              <w:rPr>
                <w:rFonts w:ascii="宋体" w:hAnsi="宋体" w:cs="宋体"/>
                <w:b/>
                <w:bCs/>
                <w:sz w:val="24"/>
              </w:rPr>
            </w:pPr>
          </w:p>
        </w:tc>
        <w:tc>
          <w:tcPr>
            <w:tcW w:w="691" w:type="dxa"/>
            <w:noWrap w:val="0"/>
            <w:vAlign w:val="center"/>
          </w:tcPr>
          <w:p>
            <w:pPr>
              <w:wordWrap w:val="0"/>
              <w:jc w:val="center"/>
              <w:rPr>
                <w:rFonts w:ascii="宋体" w:hAnsi="宋体" w:cs="宋体"/>
                <w:szCs w:val="21"/>
              </w:rPr>
            </w:pPr>
            <w:r>
              <w:rPr>
                <w:rFonts w:ascii="宋体" w:hAnsi="宋体"/>
                <w:szCs w:val="21"/>
              </w:rPr>
              <w:t>2</w:t>
            </w:r>
          </w:p>
        </w:tc>
        <w:tc>
          <w:tcPr>
            <w:tcW w:w="1825" w:type="dxa"/>
            <w:noWrap w:val="0"/>
            <w:vAlign w:val="center"/>
          </w:tcPr>
          <w:p>
            <w:pPr>
              <w:wordWrap w:val="0"/>
              <w:jc w:val="center"/>
              <w:rPr>
                <w:rFonts w:ascii="宋体" w:hAnsi="宋体" w:cs="宋体"/>
                <w:szCs w:val="21"/>
              </w:rPr>
            </w:pPr>
            <w:r>
              <w:rPr>
                <w:szCs w:val="21"/>
              </w:rPr>
              <w:t>备品备件及耗材供应</w:t>
            </w:r>
          </w:p>
        </w:tc>
        <w:tc>
          <w:tcPr>
            <w:tcW w:w="863" w:type="dxa"/>
            <w:noWrap w:val="0"/>
            <w:vAlign w:val="center"/>
          </w:tcPr>
          <w:p>
            <w:pPr>
              <w:wordWrap w:val="0"/>
              <w:jc w:val="center"/>
              <w:rPr>
                <w:rFonts w:ascii="宋体" w:hAnsi="宋体" w:cs="宋体"/>
                <w:szCs w:val="21"/>
              </w:rPr>
            </w:pPr>
            <w:r>
              <w:rPr>
                <w:rFonts w:hint="eastAsia"/>
                <w:szCs w:val="21"/>
              </w:rPr>
              <w:t>2</w:t>
            </w:r>
          </w:p>
        </w:tc>
        <w:tc>
          <w:tcPr>
            <w:tcW w:w="5147" w:type="dxa"/>
            <w:noWrap w:val="0"/>
            <w:vAlign w:val="top"/>
          </w:tcPr>
          <w:p>
            <w:pPr>
              <w:wordWrap w:val="0"/>
              <w:rPr>
                <w:rFonts w:ascii="宋体" w:hAnsi="宋体" w:cs="宋体"/>
                <w:szCs w:val="21"/>
              </w:rPr>
            </w:pPr>
            <w:r>
              <w:rPr>
                <w:szCs w:val="21"/>
              </w:rPr>
              <w:t>备品备件及耗材在不高于市场价格的前提下，按优惠情况进行横向比较</w:t>
            </w:r>
            <w:r>
              <w:rPr>
                <w:rFonts w:hint="eastAsia"/>
                <w:szCs w:val="21"/>
              </w:rPr>
              <w:t>，</w:t>
            </w:r>
            <w:r>
              <w:rPr>
                <w:rFonts w:hint="eastAsia" w:ascii="宋体" w:hAnsi="宋体" w:cs="宋体"/>
                <w:szCs w:val="21"/>
              </w:rPr>
              <w:t>排序打分：第一名得</w:t>
            </w:r>
            <w:r>
              <w:rPr>
                <w:rFonts w:ascii="宋体" w:hAnsi="宋体" w:cs="宋体"/>
                <w:szCs w:val="21"/>
              </w:rPr>
              <w:t>100</w:t>
            </w:r>
            <w:r>
              <w:rPr>
                <w:rFonts w:hint="eastAsia" w:ascii="宋体" w:hAnsi="宋体" w:cs="宋体"/>
                <w:szCs w:val="21"/>
              </w:rPr>
              <w:t>%，第二名得</w:t>
            </w:r>
            <w:r>
              <w:rPr>
                <w:rFonts w:ascii="宋体" w:hAnsi="宋体" w:cs="宋体"/>
                <w:szCs w:val="21"/>
              </w:rPr>
              <w:t>80</w:t>
            </w:r>
            <w:r>
              <w:rPr>
                <w:rFonts w:hint="eastAsia" w:ascii="宋体" w:hAnsi="宋体" w:cs="宋体"/>
                <w:szCs w:val="21"/>
              </w:rPr>
              <w:t>%，第三名得</w:t>
            </w:r>
            <w:r>
              <w:rPr>
                <w:rFonts w:ascii="宋体" w:hAnsi="宋体" w:cs="宋体"/>
                <w:szCs w:val="21"/>
              </w:rPr>
              <w:t>60</w:t>
            </w:r>
            <w:r>
              <w:rPr>
                <w:rFonts w:hint="eastAsia" w:ascii="宋体" w:hAnsi="宋体" w:cs="宋体"/>
                <w:szCs w:val="21"/>
              </w:rPr>
              <w:t>%，第四名得40%，其他排名或未提供得</w:t>
            </w:r>
            <w:r>
              <w:rPr>
                <w:rFonts w:ascii="宋体" w:hAnsi="宋体" w:cs="宋体"/>
                <w:szCs w:val="21"/>
              </w:rPr>
              <w:t>0</w:t>
            </w:r>
            <w:r>
              <w:rPr>
                <w:rFonts w:hint="eastAsia" w:ascii="宋体" w:hAnsi="宋体" w:cs="宋体"/>
                <w:szCs w:val="21"/>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0" w:type="dxa"/>
            <w:left w:w="108" w:type="dxa"/>
            <w:bottom w:w="20" w:type="dxa"/>
            <w:right w:w="108" w:type="dxa"/>
          </w:tblCellMar>
        </w:tblPrEx>
        <w:trPr>
          <w:trHeight w:val="284" w:hRule="atLeast"/>
          <w:jc w:val="center"/>
        </w:trPr>
        <w:tc>
          <w:tcPr>
            <w:tcW w:w="689" w:type="dxa"/>
            <w:vMerge w:val="continue"/>
            <w:noWrap w:val="0"/>
            <w:vAlign w:val="center"/>
          </w:tcPr>
          <w:p>
            <w:pPr>
              <w:rPr>
                <w:rFonts w:ascii="宋体" w:hAnsi="宋体" w:cs="宋体"/>
                <w:b/>
                <w:bCs/>
                <w:sz w:val="24"/>
              </w:rPr>
            </w:pPr>
          </w:p>
        </w:tc>
        <w:tc>
          <w:tcPr>
            <w:tcW w:w="691" w:type="dxa"/>
            <w:noWrap w:val="0"/>
            <w:vAlign w:val="center"/>
          </w:tcPr>
          <w:p>
            <w:pPr>
              <w:wordWrap w:val="0"/>
              <w:jc w:val="center"/>
              <w:rPr>
                <w:rFonts w:ascii="宋体" w:hAnsi="宋体" w:cs="宋体"/>
                <w:szCs w:val="21"/>
              </w:rPr>
            </w:pPr>
            <w:r>
              <w:rPr>
                <w:rFonts w:ascii="宋体" w:hAnsi="宋体"/>
                <w:szCs w:val="21"/>
              </w:rPr>
              <w:t>3</w:t>
            </w:r>
          </w:p>
        </w:tc>
        <w:tc>
          <w:tcPr>
            <w:tcW w:w="1825" w:type="dxa"/>
            <w:noWrap w:val="0"/>
            <w:vAlign w:val="center"/>
          </w:tcPr>
          <w:p>
            <w:pPr>
              <w:wordWrap w:val="0"/>
              <w:jc w:val="center"/>
              <w:rPr>
                <w:rFonts w:ascii="宋体" w:hAnsi="宋体" w:cs="宋体"/>
                <w:szCs w:val="21"/>
              </w:rPr>
            </w:pPr>
            <w:r>
              <w:rPr>
                <w:rFonts w:hint="eastAsia" w:ascii="宋体" w:hAnsi="宋体"/>
                <w:szCs w:val="21"/>
              </w:rPr>
              <w:t>商务条款偏离情况</w:t>
            </w:r>
          </w:p>
        </w:tc>
        <w:tc>
          <w:tcPr>
            <w:tcW w:w="863" w:type="dxa"/>
            <w:noWrap w:val="0"/>
            <w:vAlign w:val="center"/>
          </w:tcPr>
          <w:p>
            <w:pPr>
              <w:wordWrap w:val="0"/>
              <w:jc w:val="center"/>
              <w:rPr>
                <w:rFonts w:ascii="宋体" w:hAnsi="宋体"/>
                <w:szCs w:val="21"/>
              </w:rPr>
            </w:pPr>
            <w:r>
              <w:rPr>
                <w:rFonts w:hint="eastAsia" w:ascii="宋体" w:hAnsi="宋体"/>
                <w:szCs w:val="21"/>
              </w:rPr>
              <w:t>3</w:t>
            </w:r>
          </w:p>
        </w:tc>
        <w:tc>
          <w:tcPr>
            <w:tcW w:w="5147" w:type="dxa"/>
            <w:noWrap w:val="0"/>
            <w:vAlign w:val="top"/>
          </w:tcPr>
          <w:p>
            <w:pPr>
              <w:wordWrap w:val="0"/>
              <w:rPr>
                <w:rFonts w:ascii="宋体" w:hAnsi="宋体" w:cs="宋体"/>
                <w:szCs w:val="21"/>
              </w:rPr>
            </w:pPr>
            <w:r>
              <w:rPr>
                <w:rFonts w:hint="eastAsia" w:ascii="宋体" w:hAnsi="宋体" w:cs="宋体"/>
                <w:szCs w:val="21"/>
              </w:rPr>
              <w:t>投标人应如实填写</w:t>
            </w:r>
            <w:r>
              <w:rPr>
                <w:szCs w:val="21"/>
              </w:rPr>
              <w:t>《商务</w:t>
            </w:r>
            <w:r>
              <w:rPr>
                <w:rFonts w:hint="eastAsia"/>
                <w:szCs w:val="21"/>
              </w:rPr>
              <w:t>需求</w:t>
            </w:r>
            <w:r>
              <w:rPr>
                <w:szCs w:val="21"/>
              </w:rPr>
              <w:t>偏离表》，评审委员会</w:t>
            </w:r>
            <w:r>
              <w:rPr>
                <w:rFonts w:hint="eastAsia"/>
                <w:szCs w:val="21"/>
              </w:rPr>
              <w:t>根据</w:t>
            </w:r>
            <w:r>
              <w:rPr>
                <w:szCs w:val="21"/>
              </w:rPr>
              <w:t>投标文件响应情况进行横向比较</w:t>
            </w:r>
            <w:r>
              <w:rPr>
                <w:rFonts w:hint="eastAsia"/>
                <w:szCs w:val="21"/>
              </w:rPr>
              <w:t>，</w:t>
            </w:r>
            <w:r>
              <w:rPr>
                <w:rFonts w:hint="eastAsia" w:ascii="宋体" w:hAnsi="宋体" w:cs="宋体"/>
                <w:szCs w:val="21"/>
              </w:rPr>
              <w:t>排序打分：第一名得</w:t>
            </w:r>
            <w:r>
              <w:rPr>
                <w:rFonts w:ascii="宋体" w:hAnsi="宋体" w:cs="宋体"/>
                <w:szCs w:val="21"/>
              </w:rPr>
              <w:t>100</w:t>
            </w:r>
            <w:r>
              <w:rPr>
                <w:rFonts w:hint="eastAsia" w:ascii="宋体" w:hAnsi="宋体" w:cs="宋体"/>
                <w:szCs w:val="21"/>
              </w:rPr>
              <w:t>%，第二名得</w:t>
            </w:r>
            <w:r>
              <w:rPr>
                <w:rFonts w:ascii="宋体" w:hAnsi="宋体" w:cs="宋体"/>
                <w:szCs w:val="21"/>
              </w:rPr>
              <w:t>80</w:t>
            </w:r>
            <w:r>
              <w:rPr>
                <w:rFonts w:hint="eastAsia" w:ascii="宋体" w:hAnsi="宋体" w:cs="宋体"/>
                <w:szCs w:val="21"/>
              </w:rPr>
              <w:t>%，第三名得</w:t>
            </w:r>
            <w:r>
              <w:rPr>
                <w:rFonts w:ascii="宋体" w:hAnsi="宋体" w:cs="宋体"/>
                <w:szCs w:val="21"/>
              </w:rPr>
              <w:t>60</w:t>
            </w:r>
            <w:r>
              <w:rPr>
                <w:rFonts w:hint="eastAsia" w:ascii="宋体" w:hAnsi="宋体" w:cs="宋体"/>
                <w:szCs w:val="21"/>
              </w:rPr>
              <w:t>%，第四名得40%，其他排名或未提供得</w:t>
            </w:r>
            <w:r>
              <w:rPr>
                <w:rFonts w:ascii="宋体" w:hAnsi="宋体" w:cs="宋体"/>
                <w:szCs w:val="21"/>
              </w:rPr>
              <w:t>0</w:t>
            </w:r>
            <w:r>
              <w:rPr>
                <w:rFonts w:hint="eastAsia" w:ascii="宋体" w:hAnsi="宋体" w:cs="宋体"/>
                <w:szCs w:val="21"/>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0" w:type="dxa"/>
            <w:left w:w="108" w:type="dxa"/>
            <w:bottom w:w="20" w:type="dxa"/>
            <w:right w:w="108" w:type="dxa"/>
          </w:tblCellMar>
        </w:tblPrEx>
        <w:trPr>
          <w:trHeight w:val="284" w:hRule="atLeast"/>
          <w:jc w:val="center"/>
        </w:trPr>
        <w:tc>
          <w:tcPr>
            <w:tcW w:w="689" w:type="dxa"/>
            <w:vMerge w:val="restart"/>
            <w:noWrap w:val="0"/>
            <w:vAlign w:val="top"/>
          </w:tcPr>
          <w:p>
            <w:pPr>
              <w:wordWrap w:val="0"/>
              <w:jc w:val="center"/>
              <w:rPr>
                <w:rFonts w:ascii="宋体" w:hAnsi="宋体" w:cs="宋体"/>
                <w:b/>
                <w:bCs/>
                <w:sz w:val="24"/>
              </w:rPr>
            </w:pPr>
            <w:r>
              <w:rPr>
                <w:rFonts w:ascii="宋体" w:hAnsi="宋体"/>
                <w:b/>
                <w:bCs/>
              </w:rPr>
              <w:t>4</w:t>
            </w:r>
          </w:p>
        </w:tc>
        <w:tc>
          <w:tcPr>
            <w:tcW w:w="3379" w:type="dxa"/>
            <w:gridSpan w:val="3"/>
            <w:noWrap w:val="0"/>
            <w:vAlign w:val="top"/>
          </w:tcPr>
          <w:p>
            <w:pPr>
              <w:wordWrap w:val="0"/>
              <w:jc w:val="center"/>
              <w:rPr>
                <w:rFonts w:ascii="宋体" w:hAnsi="宋体" w:cs="宋体"/>
                <w:b/>
                <w:bCs/>
                <w:sz w:val="24"/>
              </w:rPr>
            </w:pPr>
            <w:r>
              <w:rPr>
                <w:rFonts w:hint="eastAsia" w:ascii="宋体" w:hAnsi="宋体"/>
                <w:b/>
                <w:bCs/>
              </w:rPr>
              <w:t>综合实力</w:t>
            </w:r>
            <w:r>
              <w:rPr>
                <w:rFonts w:ascii="宋体" w:hAnsi="宋体"/>
                <w:b/>
                <w:bCs/>
              </w:rPr>
              <w:t>部分</w:t>
            </w:r>
          </w:p>
        </w:tc>
        <w:tc>
          <w:tcPr>
            <w:tcW w:w="5147" w:type="dxa"/>
            <w:noWrap w:val="0"/>
            <w:vAlign w:val="top"/>
          </w:tcPr>
          <w:p>
            <w:pPr>
              <w:wordWrap w:val="0"/>
              <w:jc w:val="center"/>
              <w:rPr>
                <w:rFonts w:ascii="宋体" w:hAnsi="宋体" w:cs="宋体"/>
                <w:b/>
                <w:bCs/>
                <w:sz w:val="24"/>
              </w:rPr>
            </w:pPr>
            <w:r>
              <w:rPr>
                <w:rFonts w:hint="eastAsia" w:ascii="宋体" w:hAnsi="宋体"/>
                <w:b/>
                <w:bCs/>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0" w:type="dxa"/>
            <w:left w:w="108" w:type="dxa"/>
            <w:bottom w:w="20" w:type="dxa"/>
            <w:right w:w="108" w:type="dxa"/>
          </w:tblCellMar>
        </w:tblPrEx>
        <w:trPr>
          <w:trHeight w:val="284" w:hRule="atLeast"/>
          <w:jc w:val="center"/>
        </w:trPr>
        <w:tc>
          <w:tcPr>
            <w:tcW w:w="689" w:type="dxa"/>
            <w:vMerge w:val="continue"/>
            <w:shd w:val="clear" w:color="auto" w:fill="E6EFFA"/>
            <w:noWrap w:val="0"/>
            <w:vAlign w:val="center"/>
          </w:tcPr>
          <w:p>
            <w:pPr>
              <w:rPr>
                <w:rFonts w:ascii="宋体" w:hAnsi="宋体" w:cs="宋体"/>
                <w:b/>
                <w:bCs/>
                <w:sz w:val="24"/>
              </w:rPr>
            </w:pPr>
          </w:p>
        </w:tc>
        <w:tc>
          <w:tcPr>
            <w:tcW w:w="691" w:type="dxa"/>
            <w:shd w:val="clear" w:color="auto" w:fill="E6EFFA"/>
            <w:noWrap w:val="0"/>
            <w:vAlign w:val="center"/>
          </w:tcPr>
          <w:p>
            <w:pPr>
              <w:wordWrap w:val="0"/>
              <w:jc w:val="center"/>
              <w:rPr>
                <w:rFonts w:ascii="宋体" w:hAnsi="宋体" w:cs="宋体"/>
                <w:szCs w:val="21"/>
              </w:rPr>
            </w:pPr>
            <w:r>
              <w:rPr>
                <w:rFonts w:ascii="宋体" w:hAnsi="宋体"/>
                <w:szCs w:val="21"/>
              </w:rPr>
              <w:t>序号</w:t>
            </w:r>
          </w:p>
        </w:tc>
        <w:tc>
          <w:tcPr>
            <w:tcW w:w="1825" w:type="dxa"/>
            <w:shd w:val="clear" w:color="auto" w:fill="E6EFFA"/>
            <w:noWrap w:val="0"/>
            <w:vAlign w:val="center"/>
          </w:tcPr>
          <w:p>
            <w:pPr>
              <w:wordWrap w:val="0"/>
              <w:jc w:val="center"/>
              <w:rPr>
                <w:rFonts w:ascii="宋体" w:hAnsi="宋体" w:cs="宋体"/>
                <w:szCs w:val="21"/>
              </w:rPr>
            </w:pPr>
            <w:r>
              <w:rPr>
                <w:rFonts w:ascii="宋体" w:hAnsi="宋体"/>
                <w:szCs w:val="21"/>
              </w:rPr>
              <w:t>评分因素</w:t>
            </w:r>
          </w:p>
        </w:tc>
        <w:tc>
          <w:tcPr>
            <w:tcW w:w="863" w:type="dxa"/>
            <w:shd w:val="clear" w:color="auto" w:fill="E6EFFA"/>
            <w:noWrap w:val="0"/>
            <w:vAlign w:val="center"/>
          </w:tcPr>
          <w:p>
            <w:pPr>
              <w:wordWrap w:val="0"/>
              <w:jc w:val="center"/>
              <w:rPr>
                <w:rFonts w:ascii="宋体" w:hAnsi="宋体" w:cs="宋体"/>
                <w:szCs w:val="21"/>
              </w:rPr>
            </w:pPr>
            <w:r>
              <w:rPr>
                <w:rFonts w:ascii="宋体" w:hAnsi="宋体"/>
                <w:szCs w:val="21"/>
              </w:rPr>
              <w:t>权重</w:t>
            </w:r>
          </w:p>
        </w:tc>
        <w:tc>
          <w:tcPr>
            <w:tcW w:w="5147" w:type="dxa"/>
            <w:shd w:val="clear" w:color="auto" w:fill="E6EFFA"/>
            <w:noWrap w:val="0"/>
            <w:vAlign w:val="center"/>
          </w:tcPr>
          <w:p>
            <w:pPr>
              <w:wordWrap w:val="0"/>
              <w:jc w:val="center"/>
              <w:rPr>
                <w:rFonts w:ascii="宋体" w:hAnsi="宋体" w:cs="宋体"/>
                <w:szCs w:val="21"/>
              </w:rPr>
            </w:pPr>
            <w:r>
              <w:rPr>
                <w:rFonts w:ascii="宋体" w:hAnsi="宋体"/>
                <w:szCs w:val="21"/>
              </w:rPr>
              <w:t>评分准则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0" w:type="dxa"/>
            <w:left w:w="108" w:type="dxa"/>
            <w:bottom w:w="20" w:type="dxa"/>
            <w:right w:w="108" w:type="dxa"/>
          </w:tblCellMar>
        </w:tblPrEx>
        <w:trPr>
          <w:trHeight w:val="284" w:hRule="atLeast"/>
          <w:jc w:val="center"/>
        </w:trPr>
        <w:tc>
          <w:tcPr>
            <w:tcW w:w="689" w:type="dxa"/>
            <w:vMerge w:val="continue"/>
            <w:noWrap w:val="0"/>
            <w:vAlign w:val="center"/>
          </w:tcPr>
          <w:p>
            <w:pPr>
              <w:rPr>
                <w:rFonts w:ascii="宋体" w:hAnsi="宋体" w:cs="宋体"/>
                <w:b/>
                <w:bCs/>
                <w:sz w:val="24"/>
              </w:rPr>
            </w:pPr>
          </w:p>
        </w:tc>
        <w:tc>
          <w:tcPr>
            <w:tcW w:w="691" w:type="dxa"/>
            <w:noWrap w:val="0"/>
            <w:vAlign w:val="center"/>
          </w:tcPr>
          <w:p>
            <w:pPr>
              <w:wordWrap w:val="0"/>
              <w:jc w:val="center"/>
              <w:rPr>
                <w:rFonts w:ascii="宋体" w:hAnsi="宋体" w:cs="宋体"/>
                <w:szCs w:val="21"/>
              </w:rPr>
            </w:pPr>
            <w:r>
              <w:rPr>
                <w:rFonts w:hint="eastAsia" w:ascii="宋体" w:hAnsi="宋体"/>
                <w:szCs w:val="21"/>
              </w:rPr>
              <w:t>1</w:t>
            </w:r>
          </w:p>
        </w:tc>
        <w:tc>
          <w:tcPr>
            <w:tcW w:w="1825" w:type="dxa"/>
            <w:noWrap w:val="0"/>
            <w:vAlign w:val="center"/>
          </w:tcPr>
          <w:p>
            <w:pPr>
              <w:wordWrap w:val="0"/>
              <w:jc w:val="center"/>
              <w:rPr>
                <w:rFonts w:ascii="宋体" w:hAnsi="宋体" w:cs="宋体"/>
                <w:szCs w:val="21"/>
              </w:rPr>
            </w:pPr>
            <w:r>
              <w:rPr>
                <w:szCs w:val="21"/>
              </w:rPr>
              <w:t>类似项目业绩</w:t>
            </w:r>
          </w:p>
        </w:tc>
        <w:tc>
          <w:tcPr>
            <w:tcW w:w="863" w:type="dxa"/>
            <w:noWrap w:val="0"/>
            <w:vAlign w:val="center"/>
          </w:tcPr>
          <w:p>
            <w:pPr>
              <w:wordWrap w:val="0"/>
              <w:jc w:val="center"/>
              <w:rPr>
                <w:rFonts w:ascii="宋体" w:hAnsi="宋体" w:cs="宋体"/>
                <w:szCs w:val="21"/>
              </w:rPr>
            </w:pPr>
            <w:r>
              <w:rPr>
                <w:szCs w:val="21"/>
              </w:rPr>
              <w:t>5</w:t>
            </w:r>
          </w:p>
        </w:tc>
        <w:tc>
          <w:tcPr>
            <w:tcW w:w="5147" w:type="dxa"/>
            <w:noWrap w:val="0"/>
            <w:vAlign w:val="top"/>
          </w:tcPr>
          <w:p>
            <w:pPr>
              <w:wordWrap w:val="0"/>
              <w:rPr>
                <w:rFonts w:ascii="宋体" w:hAnsi="宋体" w:cs="宋体"/>
                <w:szCs w:val="21"/>
              </w:rPr>
            </w:pPr>
            <w:r>
              <w:rPr>
                <w:szCs w:val="21"/>
              </w:rPr>
              <w:t>提供近三年内（201</w:t>
            </w:r>
            <w:r>
              <w:rPr>
                <w:rFonts w:hint="eastAsia"/>
                <w:szCs w:val="21"/>
              </w:rPr>
              <w:t>6</w:t>
            </w:r>
            <w:r>
              <w:rPr>
                <w:szCs w:val="21"/>
              </w:rPr>
              <w:t>年3月至2019年</w:t>
            </w:r>
            <w:r>
              <w:rPr>
                <w:rFonts w:hint="eastAsia"/>
                <w:szCs w:val="21"/>
              </w:rPr>
              <w:t>3</w:t>
            </w:r>
            <w:r>
              <w:rPr>
                <w:szCs w:val="21"/>
              </w:rPr>
              <w:t>月，以合同签订日期为准）类似项目成功案例，每提供1宗</w:t>
            </w:r>
            <w:r>
              <w:rPr>
                <w:rFonts w:hint="eastAsia"/>
                <w:szCs w:val="21"/>
              </w:rPr>
              <w:t>类似</w:t>
            </w:r>
            <w:r>
              <w:rPr>
                <w:szCs w:val="21"/>
              </w:rPr>
              <w:t>项目业绩得20</w:t>
            </w:r>
            <w:r>
              <w:rPr>
                <w:rFonts w:hint="eastAsia"/>
                <w:szCs w:val="21"/>
              </w:rPr>
              <w:t>%</w:t>
            </w:r>
            <w:r>
              <w:rPr>
                <w:szCs w:val="21"/>
              </w:rPr>
              <w:t>，最高</w:t>
            </w:r>
            <w:r>
              <w:rPr>
                <w:rFonts w:hint="eastAsia"/>
                <w:szCs w:val="21"/>
              </w:rPr>
              <w:t>得满分</w:t>
            </w:r>
            <w:r>
              <w:rPr>
                <w:szCs w:val="21"/>
              </w:rPr>
              <w:t>。[以提供合同关键页和验收结果为合格（或相当于合格的同等评价）及以上的验收报告的扫描件，原件备查。如未按要求提供证明材料，或所提供的证明材料未能体现上述评分内容的，视为该证明材料无效。]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0" w:type="dxa"/>
            <w:left w:w="108" w:type="dxa"/>
            <w:bottom w:w="20" w:type="dxa"/>
            <w:right w:w="108" w:type="dxa"/>
          </w:tblCellMar>
        </w:tblPrEx>
        <w:trPr>
          <w:trHeight w:val="284" w:hRule="atLeast"/>
          <w:jc w:val="center"/>
        </w:trPr>
        <w:tc>
          <w:tcPr>
            <w:tcW w:w="689" w:type="dxa"/>
            <w:vMerge w:val="continue"/>
            <w:noWrap w:val="0"/>
            <w:vAlign w:val="center"/>
          </w:tcPr>
          <w:p>
            <w:pPr>
              <w:rPr>
                <w:rFonts w:ascii="宋体" w:hAnsi="宋体" w:cs="宋体"/>
                <w:b/>
                <w:bCs/>
                <w:sz w:val="24"/>
              </w:rPr>
            </w:pPr>
          </w:p>
        </w:tc>
        <w:tc>
          <w:tcPr>
            <w:tcW w:w="691" w:type="dxa"/>
            <w:noWrap w:val="0"/>
            <w:vAlign w:val="center"/>
          </w:tcPr>
          <w:p>
            <w:pPr>
              <w:wordWrap w:val="0"/>
              <w:jc w:val="center"/>
              <w:rPr>
                <w:rFonts w:ascii="宋体" w:hAnsi="宋体"/>
                <w:szCs w:val="21"/>
              </w:rPr>
            </w:pPr>
            <w:r>
              <w:rPr>
                <w:rFonts w:hint="eastAsia" w:ascii="宋体" w:hAnsi="宋体"/>
                <w:szCs w:val="21"/>
              </w:rPr>
              <w:t>2</w:t>
            </w:r>
          </w:p>
        </w:tc>
        <w:tc>
          <w:tcPr>
            <w:tcW w:w="1825" w:type="dxa"/>
            <w:noWrap w:val="0"/>
            <w:vAlign w:val="center"/>
          </w:tcPr>
          <w:p>
            <w:pPr>
              <w:wordWrap w:val="0"/>
              <w:jc w:val="center"/>
              <w:rPr>
                <w:rFonts w:ascii="宋体" w:hAnsi="宋体" w:cs="宋体"/>
                <w:szCs w:val="21"/>
              </w:rPr>
            </w:pPr>
            <w:r>
              <w:rPr>
                <w:szCs w:val="21"/>
              </w:rPr>
              <w:t>企业荣誉</w:t>
            </w:r>
          </w:p>
        </w:tc>
        <w:tc>
          <w:tcPr>
            <w:tcW w:w="863" w:type="dxa"/>
            <w:noWrap w:val="0"/>
            <w:vAlign w:val="center"/>
          </w:tcPr>
          <w:p>
            <w:pPr>
              <w:wordWrap w:val="0"/>
              <w:jc w:val="center"/>
              <w:rPr>
                <w:rFonts w:ascii="宋体" w:hAnsi="宋体" w:cs="宋体"/>
                <w:szCs w:val="21"/>
              </w:rPr>
            </w:pPr>
            <w:r>
              <w:rPr>
                <w:rFonts w:hint="eastAsia"/>
                <w:szCs w:val="21"/>
              </w:rPr>
              <w:t>2</w:t>
            </w:r>
          </w:p>
        </w:tc>
        <w:tc>
          <w:tcPr>
            <w:tcW w:w="5147" w:type="dxa"/>
            <w:noWrap w:val="0"/>
            <w:vAlign w:val="top"/>
          </w:tcPr>
          <w:p>
            <w:pPr>
              <w:wordWrap w:val="0"/>
              <w:rPr>
                <w:rFonts w:ascii="宋体" w:hAnsi="宋体" w:cs="宋体"/>
                <w:szCs w:val="21"/>
              </w:rPr>
            </w:pPr>
            <w:r>
              <w:rPr>
                <w:szCs w:val="21"/>
              </w:rPr>
              <w:t>投标人或所投产品制造商获得过县（区）级或以上政府质量奖的得100</w:t>
            </w:r>
            <w:r>
              <w:rPr>
                <w:rFonts w:hint="eastAsia"/>
                <w:szCs w:val="21"/>
              </w:rPr>
              <w:t>%</w:t>
            </w:r>
            <w:r>
              <w:rPr>
                <w:szCs w:val="21"/>
              </w:rPr>
              <w:t>，没有的得0分。（提供相关证明扫描件</w:t>
            </w:r>
            <w:r>
              <w:rPr>
                <w:rFonts w:hint="eastAsia"/>
                <w:szCs w:val="21"/>
              </w:rPr>
              <w:t>或复印件</w:t>
            </w:r>
            <w:r>
              <w:rPr>
                <w:szCs w:val="21"/>
              </w:rPr>
              <w:t>，原件备查）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0" w:type="dxa"/>
            <w:left w:w="108" w:type="dxa"/>
            <w:bottom w:w="20" w:type="dxa"/>
            <w:right w:w="108" w:type="dxa"/>
          </w:tblCellMar>
        </w:tblPrEx>
        <w:trPr>
          <w:trHeight w:val="284" w:hRule="atLeast"/>
          <w:jc w:val="center"/>
        </w:trPr>
        <w:tc>
          <w:tcPr>
            <w:tcW w:w="689" w:type="dxa"/>
            <w:vMerge w:val="continue"/>
            <w:noWrap w:val="0"/>
            <w:vAlign w:val="center"/>
          </w:tcPr>
          <w:p>
            <w:pPr>
              <w:rPr>
                <w:rFonts w:ascii="宋体" w:hAnsi="宋体" w:cs="宋体"/>
                <w:b/>
                <w:bCs/>
                <w:sz w:val="24"/>
              </w:rPr>
            </w:pPr>
          </w:p>
        </w:tc>
        <w:tc>
          <w:tcPr>
            <w:tcW w:w="691" w:type="dxa"/>
            <w:noWrap w:val="0"/>
            <w:vAlign w:val="center"/>
          </w:tcPr>
          <w:p>
            <w:pPr>
              <w:wordWrap w:val="0"/>
              <w:jc w:val="center"/>
              <w:rPr>
                <w:rFonts w:ascii="宋体" w:hAnsi="宋体"/>
                <w:szCs w:val="21"/>
              </w:rPr>
            </w:pPr>
            <w:r>
              <w:rPr>
                <w:rFonts w:hint="eastAsia" w:ascii="宋体" w:hAnsi="宋体"/>
                <w:szCs w:val="21"/>
              </w:rPr>
              <w:t>3</w:t>
            </w:r>
          </w:p>
        </w:tc>
        <w:tc>
          <w:tcPr>
            <w:tcW w:w="1825" w:type="dxa"/>
            <w:noWrap w:val="0"/>
            <w:vAlign w:val="center"/>
          </w:tcPr>
          <w:p>
            <w:pPr>
              <w:wordWrap w:val="0"/>
              <w:jc w:val="center"/>
              <w:rPr>
                <w:rFonts w:ascii="宋体" w:hAnsi="宋体"/>
                <w:szCs w:val="21"/>
              </w:rPr>
            </w:pPr>
            <w:r>
              <w:rPr>
                <w:rFonts w:ascii="宋体" w:hAnsi="宋体"/>
                <w:szCs w:val="21"/>
              </w:rPr>
              <w:t>诚信加分</w:t>
            </w:r>
          </w:p>
        </w:tc>
        <w:tc>
          <w:tcPr>
            <w:tcW w:w="863" w:type="dxa"/>
            <w:noWrap w:val="0"/>
            <w:vAlign w:val="center"/>
          </w:tcPr>
          <w:p>
            <w:pPr>
              <w:wordWrap w:val="0"/>
              <w:jc w:val="center"/>
              <w:rPr>
                <w:rFonts w:ascii="宋体" w:hAnsi="宋体"/>
                <w:szCs w:val="21"/>
              </w:rPr>
            </w:pPr>
            <w:r>
              <w:rPr>
                <w:rFonts w:hint="eastAsia" w:ascii="宋体" w:hAnsi="宋体"/>
                <w:szCs w:val="21"/>
              </w:rPr>
              <w:t>5</w:t>
            </w:r>
          </w:p>
        </w:tc>
        <w:tc>
          <w:tcPr>
            <w:tcW w:w="5147" w:type="dxa"/>
            <w:noWrap w:val="0"/>
            <w:vAlign w:val="top"/>
          </w:tcPr>
          <w:p>
            <w:pPr>
              <w:wordWrap w:val="0"/>
              <w:rPr>
                <w:rFonts w:ascii="宋体" w:hAnsi="宋体"/>
                <w:szCs w:val="21"/>
              </w:rPr>
            </w:pPr>
            <w:r>
              <w:rPr>
                <w:rFonts w:ascii="宋体" w:hAnsi="宋体"/>
                <w:szCs w:val="21"/>
              </w:rPr>
              <w:t>根据《深圳市财政委员会关于加强招投标评审环节诚信管理的通知》（深财购[2013]27号）</w:t>
            </w:r>
            <w:r>
              <w:rPr>
                <w:rFonts w:hint="eastAsia" w:ascii="宋体" w:hAnsi="宋体" w:cs="宋体"/>
                <w:szCs w:val="21"/>
              </w:rPr>
              <w:t>和《深圳市财政委员会关于印发&lt;深圳市政府采购供应商诚信管理暂行办法操作细则&gt;的通知》(深财购[2017]42号)</w:t>
            </w:r>
            <w:r>
              <w:rPr>
                <w:rFonts w:ascii="宋体" w:hAnsi="宋体"/>
                <w:szCs w:val="21"/>
              </w:rPr>
              <w:t>的要求，投标人在参与政府采购活动中存在诚信相关问题且在主管部门相关处理措施实施期限内的，本项不得分，否则得满分。投标人无需提供任何证明材料，由本项目评</w:t>
            </w:r>
            <w:r>
              <w:rPr>
                <w:rFonts w:hint="eastAsia" w:ascii="宋体" w:hAnsi="宋体"/>
                <w:szCs w:val="21"/>
              </w:rPr>
              <w:t>审</w:t>
            </w:r>
            <w:r>
              <w:rPr>
                <w:rFonts w:ascii="宋体" w:hAnsi="宋体"/>
                <w:szCs w:val="21"/>
              </w:rPr>
              <w:t>委员会在评标时通过深圳市政府采购网系统查询。</w:t>
            </w:r>
          </w:p>
        </w:tc>
      </w:tr>
    </w:tbl>
    <w:p>
      <w:pPr>
        <w:spacing w:line="340" w:lineRule="exact"/>
        <w:ind w:firstLine="422" w:firstLineChars="200"/>
        <w:rPr>
          <w:rFonts w:hint="eastAsia" w:ascii="宋体" w:hAnsi="宋体"/>
          <w:szCs w:val="21"/>
        </w:rPr>
      </w:pPr>
      <w:r>
        <w:rPr>
          <w:rFonts w:hint="eastAsia" w:ascii="宋体" w:hAnsi="宋体"/>
          <w:b/>
          <w:szCs w:val="21"/>
        </w:rPr>
        <w:t>说明：</w:t>
      </w:r>
      <w:r>
        <w:rPr>
          <w:rFonts w:hint="eastAsia" w:ascii="宋体" w:hAnsi="宋体"/>
          <w:szCs w:val="21"/>
        </w:rPr>
        <w:t>1、本评分表中每一栏的得分最高不得超过该项评审指标的分值。2、表中要求提供相关计分证明文件的内容，投标文件中须明确加以说明，未按要求提供相关文件或说明不清楚的按不符合要求处理。</w:t>
      </w:r>
    </w:p>
    <w:p>
      <w:pPr>
        <w:spacing w:line="360" w:lineRule="exact"/>
        <w:ind w:firstLine="422" w:firstLineChars="200"/>
        <w:rPr>
          <w:rFonts w:ascii="宋体" w:hAnsi="宋体"/>
          <w:b/>
          <w:szCs w:val="21"/>
        </w:rPr>
      </w:pPr>
      <w:r>
        <w:rPr>
          <w:rFonts w:hint="eastAsia" w:ascii="宋体" w:hAnsi="宋体"/>
          <w:b/>
          <w:szCs w:val="21"/>
        </w:rPr>
        <w:t>三、评标及定标程序</w:t>
      </w:r>
    </w:p>
    <w:p>
      <w:pPr>
        <w:spacing w:line="360" w:lineRule="exact"/>
        <w:ind w:firstLine="422" w:firstLineChars="200"/>
        <w:rPr>
          <w:rFonts w:ascii="宋体" w:hAnsi="宋体"/>
          <w:b/>
          <w:szCs w:val="21"/>
        </w:rPr>
      </w:pPr>
      <w:r>
        <w:rPr>
          <w:rFonts w:hint="eastAsia" w:ascii="宋体" w:hAnsi="宋体"/>
          <w:b/>
          <w:szCs w:val="21"/>
        </w:rPr>
        <w:t>（一）授权评标委员会确定中标单位的方式</w:t>
      </w:r>
    </w:p>
    <w:p>
      <w:pPr>
        <w:widowControl w:val="0"/>
        <w:numPr>
          <w:ilvl w:val="0"/>
          <w:numId w:val="1"/>
        </w:numPr>
        <w:spacing w:line="360" w:lineRule="exact"/>
        <w:ind w:left="842" w:hanging="420" w:firstLineChars="0"/>
        <w:jc w:val="both"/>
        <w:rPr>
          <w:rFonts w:ascii="宋体" w:hAnsi="宋体" w:eastAsia="宋体" w:cs="Times New Roman"/>
          <w:b/>
          <w:kern w:val="2"/>
          <w:sz w:val="21"/>
          <w:szCs w:val="21"/>
          <w:lang w:val="en-US" w:eastAsia="zh-CN" w:bidi="ar-SA"/>
        </w:rPr>
      </w:pPr>
      <w:r>
        <w:rPr>
          <w:rFonts w:ascii="宋体" w:hAnsi="宋体" w:eastAsia="宋体" w:cs="Times New Roman"/>
          <w:b/>
          <w:kern w:val="2"/>
          <w:sz w:val="21"/>
          <w:szCs w:val="21"/>
          <w:lang w:val="en-US" w:eastAsia="zh-CN" w:bidi="ar-SA"/>
        </w:rPr>
        <w:t>综合评分法</w:t>
      </w:r>
    </w:p>
    <w:p>
      <w:pPr>
        <w:spacing w:line="360" w:lineRule="exact"/>
        <w:ind w:firstLine="422" w:firstLineChars="200"/>
        <w:rPr>
          <w:rFonts w:ascii="Calibri" w:hAnsi="Calibri"/>
          <w:b/>
          <w:szCs w:val="21"/>
        </w:rPr>
      </w:pPr>
      <w:r>
        <w:rPr>
          <w:rFonts w:hint="eastAsia" w:ascii="宋体" w:hAnsi="宋体"/>
          <w:b/>
          <w:szCs w:val="21"/>
        </w:rPr>
        <w:t>1、</w:t>
      </w:r>
      <w:r>
        <w:rPr>
          <w:rFonts w:ascii="Calibri" w:hAnsi="宋体"/>
          <w:b/>
          <w:szCs w:val="21"/>
        </w:rPr>
        <w:t>符合性检查</w:t>
      </w:r>
    </w:p>
    <w:p>
      <w:pPr>
        <w:spacing w:line="360" w:lineRule="exact"/>
        <w:ind w:firstLine="420" w:firstLineChars="200"/>
        <w:rPr>
          <w:rFonts w:ascii="宋体" w:hAnsi="宋体"/>
          <w:bCs/>
          <w:szCs w:val="21"/>
        </w:rPr>
      </w:pPr>
      <w:r>
        <w:rPr>
          <w:rFonts w:hint="eastAsia" w:ascii="宋体" w:hAnsi="宋体"/>
          <w:bCs/>
          <w:szCs w:val="21"/>
        </w:rPr>
        <w:t>（1）</w:t>
      </w:r>
      <w:r>
        <w:rPr>
          <w:rFonts w:ascii="宋体" w:hAnsi="宋体"/>
          <w:bCs/>
          <w:szCs w:val="21"/>
        </w:rPr>
        <w:t>评标委员会根据</w:t>
      </w:r>
      <w:r>
        <w:rPr>
          <w:rFonts w:hint="eastAsia" w:ascii="宋体" w:hAnsi="宋体"/>
          <w:bCs/>
          <w:szCs w:val="21"/>
        </w:rPr>
        <w:t>《</w:t>
      </w:r>
      <w:r>
        <w:rPr>
          <w:rFonts w:ascii="宋体" w:hAnsi="宋体"/>
          <w:bCs/>
          <w:szCs w:val="21"/>
        </w:rPr>
        <w:t>符合性检查表》的内容和标准，对所有</w:t>
      </w:r>
      <w:r>
        <w:rPr>
          <w:rFonts w:hint="eastAsia" w:ascii="宋体" w:hAnsi="宋体"/>
          <w:bCs/>
          <w:szCs w:val="21"/>
        </w:rPr>
        <w:t>通过资格性核查的</w:t>
      </w:r>
      <w:r>
        <w:rPr>
          <w:rFonts w:ascii="宋体" w:hAnsi="宋体"/>
          <w:bCs/>
          <w:szCs w:val="21"/>
        </w:rPr>
        <w:t>投标</w:t>
      </w:r>
      <w:r>
        <w:rPr>
          <w:rFonts w:hint="eastAsia" w:ascii="宋体" w:hAnsi="宋体"/>
          <w:bCs/>
          <w:szCs w:val="21"/>
        </w:rPr>
        <w:t>文件</w:t>
      </w:r>
      <w:r>
        <w:rPr>
          <w:rFonts w:ascii="宋体" w:hAnsi="宋体"/>
          <w:bCs/>
          <w:szCs w:val="21"/>
        </w:rPr>
        <w:t>进行</w:t>
      </w:r>
      <w:r>
        <w:rPr>
          <w:rFonts w:hint="eastAsia" w:ascii="宋体" w:hAnsi="宋体"/>
          <w:bCs/>
          <w:szCs w:val="21"/>
        </w:rPr>
        <w:t>审</w:t>
      </w:r>
      <w:r>
        <w:rPr>
          <w:rFonts w:ascii="宋体" w:hAnsi="宋体"/>
          <w:bCs/>
          <w:szCs w:val="21"/>
        </w:rPr>
        <w:t>查。</w:t>
      </w:r>
    </w:p>
    <w:p>
      <w:pPr>
        <w:spacing w:line="360" w:lineRule="exact"/>
        <w:ind w:firstLine="420" w:firstLineChars="200"/>
        <w:rPr>
          <w:rFonts w:ascii="宋体" w:hAnsi="宋体"/>
          <w:bCs/>
          <w:szCs w:val="21"/>
        </w:rPr>
      </w:pPr>
      <w:r>
        <w:rPr>
          <w:rFonts w:hint="eastAsia" w:ascii="宋体" w:hAnsi="宋体"/>
          <w:bCs/>
          <w:szCs w:val="21"/>
        </w:rPr>
        <w:t>（2）</w:t>
      </w:r>
      <w:r>
        <w:rPr>
          <w:rFonts w:ascii="宋体" w:hAnsi="宋体"/>
          <w:bCs/>
          <w:szCs w:val="21"/>
        </w:rPr>
        <w:t>符合性检查的对象是投标人提交的投标文件，评标委员会只就投标文件中所载明的情况进行</w:t>
      </w:r>
      <w:r>
        <w:rPr>
          <w:rFonts w:hint="eastAsia" w:ascii="宋体" w:hAnsi="宋体"/>
          <w:bCs/>
          <w:szCs w:val="21"/>
        </w:rPr>
        <w:t>审</w:t>
      </w:r>
      <w:r>
        <w:rPr>
          <w:rFonts w:ascii="宋体" w:hAnsi="宋体"/>
          <w:bCs/>
          <w:szCs w:val="21"/>
        </w:rPr>
        <w:t>查。</w:t>
      </w:r>
    </w:p>
    <w:p>
      <w:pPr>
        <w:spacing w:line="360" w:lineRule="exact"/>
        <w:ind w:firstLine="420" w:firstLineChars="200"/>
        <w:rPr>
          <w:rFonts w:ascii="Calibri" w:hAnsi="Calibri"/>
          <w:szCs w:val="21"/>
        </w:rPr>
      </w:pPr>
      <w:r>
        <w:rPr>
          <w:rFonts w:hint="eastAsia" w:ascii="宋体" w:hAnsi="宋体"/>
          <w:bCs/>
          <w:szCs w:val="21"/>
        </w:rPr>
        <w:t>（3）</w:t>
      </w:r>
      <w:r>
        <w:rPr>
          <w:rFonts w:ascii="宋体" w:hAnsi="宋体"/>
          <w:bCs/>
          <w:szCs w:val="21"/>
        </w:rPr>
        <w:t>符</w:t>
      </w:r>
      <w:r>
        <w:rPr>
          <w:rFonts w:ascii="Calibri" w:hAnsi="宋体"/>
          <w:szCs w:val="21"/>
        </w:rPr>
        <w:t>合性检查的结果是</w:t>
      </w:r>
      <w:r>
        <w:rPr>
          <w:rFonts w:ascii="Calibri" w:hAnsi="Calibri"/>
          <w:szCs w:val="21"/>
        </w:rPr>
        <w:t>“</w:t>
      </w:r>
      <w:r>
        <w:rPr>
          <w:rFonts w:ascii="Calibri" w:hAnsi="宋体"/>
          <w:szCs w:val="21"/>
        </w:rPr>
        <w:t>通过</w:t>
      </w:r>
      <w:r>
        <w:rPr>
          <w:rFonts w:ascii="Calibri" w:hAnsi="Calibri"/>
          <w:szCs w:val="21"/>
        </w:rPr>
        <w:t>”</w:t>
      </w:r>
      <w:r>
        <w:rPr>
          <w:rFonts w:ascii="Calibri" w:hAnsi="宋体"/>
          <w:szCs w:val="21"/>
        </w:rPr>
        <w:t>或</w:t>
      </w:r>
      <w:r>
        <w:rPr>
          <w:rFonts w:ascii="Calibri" w:hAnsi="Calibri"/>
          <w:szCs w:val="21"/>
        </w:rPr>
        <w:t>“</w:t>
      </w:r>
      <w:r>
        <w:rPr>
          <w:rFonts w:ascii="Calibri" w:hAnsi="宋体"/>
          <w:szCs w:val="21"/>
        </w:rPr>
        <w:t>不通过</w:t>
      </w:r>
      <w:r>
        <w:rPr>
          <w:rFonts w:ascii="Calibri" w:hAnsi="Calibri"/>
          <w:szCs w:val="21"/>
        </w:rPr>
        <w:t>”</w:t>
      </w:r>
      <w:r>
        <w:rPr>
          <w:rFonts w:ascii="Calibri" w:hAnsi="宋体"/>
          <w:szCs w:val="21"/>
        </w:rPr>
        <w:t>，只有逐条通过</w:t>
      </w:r>
      <w:r>
        <w:rPr>
          <w:rFonts w:ascii="宋体" w:hAnsi="宋体"/>
          <w:bCs/>
          <w:szCs w:val="21"/>
        </w:rPr>
        <w:t>《符合性检查表》</w:t>
      </w:r>
      <w:r>
        <w:rPr>
          <w:rFonts w:ascii="Calibri" w:hAnsi="宋体"/>
          <w:szCs w:val="21"/>
        </w:rPr>
        <w:t>各项检查的投标方能进入下一阶段的评标，否则将导致其投标被废标。</w:t>
      </w:r>
    </w:p>
    <w:p>
      <w:pPr>
        <w:spacing w:line="360" w:lineRule="exact"/>
        <w:ind w:firstLine="422" w:firstLineChars="200"/>
        <w:rPr>
          <w:rFonts w:ascii="宋体" w:hAnsi="宋体"/>
          <w:b/>
          <w:szCs w:val="21"/>
        </w:rPr>
      </w:pPr>
      <w:r>
        <w:rPr>
          <w:rFonts w:hint="eastAsia" w:ascii="宋体" w:hAnsi="宋体"/>
          <w:b/>
          <w:szCs w:val="21"/>
        </w:rPr>
        <w:t>2、</w:t>
      </w:r>
      <w:r>
        <w:rPr>
          <w:rFonts w:ascii="宋体" w:hAnsi="宋体"/>
          <w:b/>
          <w:szCs w:val="21"/>
        </w:rPr>
        <w:t>商务</w:t>
      </w:r>
      <w:r>
        <w:rPr>
          <w:rFonts w:hint="eastAsia" w:ascii="宋体" w:hAnsi="宋体"/>
          <w:b/>
          <w:szCs w:val="21"/>
        </w:rPr>
        <w:t>、</w:t>
      </w:r>
      <w:r>
        <w:rPr>
          <w:rFonts w:ascii="宋体" w:hAnsi="宋体"/>
          <w:b/>
          <w:szCs w:val="21"/>
        </w:rPr>
        <w:t>技术及价格评议</w:t>
      </w:r>
    </w:p>
    <w:p>
      <w:pPr>
        <w:spacing w:line="360" w:lineRule="exact"/>
        <w:ind w:firstLine="420" w:firstLineChars="200"/>
        <w:rPr>
          <w:rFonts w:ascii="宋体" w:hAnsi="宋体"/>
          <w:szCs w:val="21"/>
        </w:rPr>
      </w:pPr>
      <w:r>
        <w:rPr>
          <w:rFonts w:hint="eastAsia" w:ascii="宋体" w:hAnsi="宋体"/>
          <w:szCs w:val="21"/>
        </w:rPr>
        <w:t>（1）</w:t>
      </w:r>
      <w:r>
        <w:rPr>
          <w:rFonts w:ascii="宋体" w:hAnsi="宋体"/>
          <w:szCs w:val="21"/>
        </w:rPr>
        <w:t>评标委员会根据《</w:t>
      </w:r>
      <w:r>
        <w:rPr>
          <w:rFonts w:hint="eastAsia" w:ascii="宋体" w:hAnsi="宋体"/>
          <w:szCs w:val="21"/>
        </w:rPr>
        <w:t>评分表</w:t>
      </w:r>
      <w:r>
        <w:rPr>
          <w:rFonts w:ascii="宋体" w:hAnsi="宋体"/>
          <w:szCs w:val="21"/>
        </w:rPr>
        <w:t>》的内容和标准，对通过</w:t>
      </w:r>
      <w:r>
        <w:rPr>
          <w:rFonts w:hint="eastAsia" w:ascii="宋体" w:hAnsi="宋体"/>
          <w:bCs/>
          <w:szCs w:val="21"/>
        </w:rPr>
        <w:t>资格性和</w:t>
      </w:r>
      <w:r>
        <w:rPr>
          <w:rFonts w:ascii="宋体" w:hAnsi="宋体"/>
          <w:bCs/>
          <w:szCs w:val="21"/>
        </w:rPr>
        <w:t>符合性</w:t>
      </w:r>
      <w:r>
        <w:rPr>
          <w:rFonts w:ascii="宋体" w:hAnsi="宋体"/>
          <w:szCs w:val="21"/>
        </w:rPr>
        <w:t>检查的投标进行商务</w:t>
      </w:r>
      <w:r>
        <w:rPr>
          <w:rFonts w:hint="eastAsia" w:ascii="宋体" w:hAnsi="宋体"/>
          <w:szCs w:val="21"/>
        </w:rPr>
        <w:t>、</w:t>
      </w:r>
      <w:r>
        <w:rPr>
          <w:rFonts w:ascii="宋体" w:hAnsi="宋体"/>
          <w:szCs w:val="21"/>
        </w:rPr>
        <w:t>技术</w:t>
      </w:r>
      <w:r>
        <w:rPr>
          <w:rFonts w:hint="eastAsia" w:ascii="宋体" w:hAnsi="宋体"/>
          <w:szCs w:val="21"/>
        </w:rPr>
        <w:t>及价格</w:t>
      </w:r>
      <w:r>
        <w:rPr>
          <w:rFonts w:ascii="宋体" w:hAnsi="宋体"/>
          <w:szCs w:val="21"/>
        </w:rPr>
        <w:t>评议。</w:t>
      </w:r>
    </w:p>
    <w:p>
      <w:pPr>
        <w:spacing w:line="360" w:lineRule="exact"/>
        <w:ind w:firstLine="420" w:firstLineChars="200"/>
        <w:rPr>
          <w:rFonts w:ascii="Calibri" w:hAnsi="Calibri"/>
          <w:szCs w:val="21"/>
        </w:rPr>
      </w:pPr>
      <w:r>
        <w:rPr>
          <w:rFonts w:hint="eastAsia" w:ascii="宋体" w:hAnsi="宋体"/>
          <w:szCs w:val="21"/>
        </w:rPr>
        <w:t>（2）</w:t>
      </w:r>
      <w:r>
        <w:rPr>
          <w:rFonts w:ascii="宋体" w:hAnsi="宋体"/>
          <w:szCs w:val="21"/>
        </w:rPr>
        <w:t>评</w:t>
      </w:r>
      <w:r>
        <w:rPr>
          <w:rFonts w:ascii="Calibri" w:hAnsi="宋体"/>
          <w:szCs w:val="21"/>
        </w:rPr>
        <w:t>标委员会将对照招标文件中的商务、技术需求条款和投标文件中的商务、技术条款响应进行评议。评标委员会成员将按照《</w:t>
      </w:r>
      <w:r>
        <w:rPr>
          <w:rFonts w:hint="eastAsia" w:ascii="Calibri" w:hAnsi="宋体"/>
          <w:szCs w:val="21"/>
        </w:rPr>
        <w:t>评分表</w:t>
      </w:r>
      <w:r>
        <w:rPr>
          <w:rFonts w:ascii="Calibri" w:hAnsi="宋体"/>
          <w:szCs w:val="21"/>
        </w:rPr>
        <w:t>》确定的</w:t>
      </w:r>
      <w:r>
        <w:rPr>
          <w:rFonts w:hint="eastAsia" w:ascii="Calibri" w:hAnsi="宋体"/>
          <w:szCs w:val="21"/>
        </w:rPr>
        <w:t>分值</w:t>
      </w:r>
      <w:r>
        <w:rPr>
          <w:rFonts w:ascii="Calibri" w:hAnsi="宋体"/>
          <w:szCs w:val="21"/>
        </w:rPr>
        <w:t>独立对每个投标的商务</w:t>
      </w:r>
      <w:r>
        <w:rPr>
          <w:rFonts w:hint="eastAsia" w:ascii="Calibri" w:hAnsi="宋体"/>
          <w:szCs w:val="21"/>
        </w:rPr>
        <w:t>、</w:t>
      </w:r>
      <w:r>
        <w:rPr>
          <w:rFonts w:ascii="Calibri" w:hAnsi="宋体"/>
          <w:szCs w:val="21"/>
        </w:rPr>
        <w:t>技术</w:t>
      </w:r>
      <w:r>
        <w:rPr>
          <w:rFonts w:hint="eastAsia" w:ascii="Calibri" w:hAnsi="宋体"/>
          <w:szCs w:val="21"/>
        </w:rPr>
        <w:t>及价格</w:t>
      </w:r>
      <w:r>
        <w:rPr>
          <w:rFonts w:ascii="Calibri" w:hAnsi="宋体"/>
          <w:szCs w:val="21"/>
        </w:rPr>
        <w:t>部分以打分的方式进行评议。</w:t>
      </w:r>
    </w:p>
    <w:p>
      <w:pPr>
        <w:spacing w:line="360" w:lineRule="exact"/>
        <w:ind w:firstLine="422" w:firstLineChars="200"/>
        <w:rPr>
          <w:rFonts w:ascii="Calibri" w:hAnsi="Calibri"/>
          <w:b/>
          <w:szCs w:val="21"/>
        </w:rPr>
      </w:pPr>
      <w:r>
        <w:rPr>
          <w:rFonts w:hint="eastAsia" w:ascii="宋体" w:hAnsi="宋体"/>
          <w:b/>
          <w:szCs w:val="21"/>
        </w:rPr>
        <w:t>3、</w:t>
      </w:r>
      <w:r>
        <w:rPr>
          <w:rFonts w:ascii="Calibri" w:hAnsi="宋体"/>
          <w:b/>
          <w:szCs w:val="21"/>
        </w:rPr>
        <w:t>中标人的确定</w:t>
      </w:r>
    </w:p>
    <w:p>
      <w:pPr>
        <w:spacing w:line="360" w:lineRule="exact"/>
        <w:ind w:firstLine="420" w:firstLineChars="200"/>
        <w:rPr>
          <w:rFonts w:ascii="Calibri" w:hAnsi="Calibri"/>
          <w:szCs w:val="21"/>
        </w:rPr>
      </w:pPr>
      <w:r>
        <w:rPr>
          <w:rFonts w:hint="eastAsia" w:ascii="宋体" w:hAnsi="宋体"/>
          <w:bCs/>
          <w:szCs w:val="21"/>
        </w:rPr>
        <w:t>（1）采购方授权评标委员会确定中标单位，每个投标单位的评标总得分以</w:t>
      </w:r>
      <w:r>
        <w:rPr>
          <w:rFonts w:ascii="宋体" w:hAnsi="宋体"/>
          <w:szCs w:val="21"/>
        </w:rPr>
        <w:t>所有评标委员会成员的独立评分</w:t>
      </w:r>
      <w:r>
        <w:rPr>
          <w:rFonts w:hint="eastAsia" w:ascii="宋体" w:hAnsi="宋体"/>
          <w:szCs w:val="21"/>
        </w:rPr>
        <w:t>汇总</w:t>
      </w:r>
      <w:r>
        <w:rPr>
          <w:rFonts w:hint="eastAsia" w:ascii="宋体" w:hAnsi="宋体"/>
          <w:bCs/>
          <w:szCs w:val="21"/>
        </w:rPr>
        <w:t>后确定，以评标总得分最高的投标人为中标人。</w:t>
      </w:r>
    </w:p>
    <w:p>
      <w:pPr>
        <w:spacing w:line="360" w:lineRule="exact"/>
        <w:ind w:firstLine="420"/>
        <w:rPr>
          <w:rFonts w:ascii="宋体" w:hAnsi="宋体"/>
          <w:b/>
          <w:bCs/>
          <w:szCs w:val="21"/>
        </w:rPr>
      </w:pPr>
      <w:r>
        <w:rPr>
          <w:rFonts w:hint="eastAsia" w:ascii="宋体" w:hAnsi="宋体"/>
          <w:szCs w:val="21"/>
        </w:rPr>
        <w:t>（2）</w:t>
      </w:r>
      <w:r>
        <w:rPr>
          <w:rFonts w:ascii="Calibri" w:hAnsi="宋体"/>
          <w:szCs w:val="21"/>
        </w:rPr>
        <w:t>评标总得分相同的，按投标报价由低到高顺序排列；评标总得分且投标报价相同的，按技术指标</w:t>
      </w:r>
      <w:r>
        <w:rPr>
          <w:rFonts w:hint="eastAsia" w:ascii="Calibri" w:hAnsi="宋体"/>
          <w:szCs w:val="21"/>
        </w:rPr>
        <w:t>（技术部分）</w:t>
      </w:r>
      <w:r>
        <w:rPr>
          <w:rFonts w:ascii="Calibri" w:hAnsi="宋体"/>
          <w:szCs w:val="21"/>
        </w:rPr>
        <w:t>得分优劣顺序排列</w:t>
      </w:r>
      <w:r>
        <w:rPr>
          <w:rFonts w:hint="eastAsia" w:ascii="Calibri" w:hAnsi="宋体"/>
          <w:szCs w:val="21"/>
        </w:rPr>
        <w:t>；如</w:t>
      </w:r>
      <w:r>
        <w:rPr>
          <w:rFonts w:ascii="Calibri" w:hAnsi="宋体"/>
          <w:szCs w:val="21"/>
        </w:rPr>
        <w:t>技术指标</w:t>
      </w:r>
      <w:r>
        <w:rPr>
          <w:rFonts w:hint="eastAsia" w:ascii="Calibri" w:hAnsi="宋体"/>
          <w:szCs w:val="21"/>
        </w:rPr>
        <w:t>（技术部分）</w:t>
      </w:r>
      <w:r>
        <w:rPr>
          <w:rFonts w:ascii="Calibri" w:hAnsi="宋体"/>
          <w:szCs w:val="21"/>
        </w:rPr>
        <w:t>得分</w:t>
      </w:r>
      <w:r>
        <w:rPr>
          <w:rFonts w:hint="eastAsia" w:ascii="Calibri" w:hAnsi="宋体"/>
          <w:szCs w:val="21"/>
        </w:rPr>
        <w:t>仍然相同的，则采用抽签方式确定排序</w:t>
      </w:r>
      <w:r>
        <w:rPr>
          <w:rFonts w:ascii="Calibri" w:hAnsi="宋体"/>
          <w:szCs w:val="21"/>
        </w:rPr>
        <w:t>。</w:t>
      </w:r>
    </w:p>
    <w:p>
      <w:pPr>
        <w:widowControl w:val="0"/>
        <w:numPr>
          <w:ilvl w:val="0"/>
          <w:numId w:val="1"/>
        </w:numPr>
        <w:spacing w:line="360" w:lineRule="exact"/>
        <w:ind w:left="842" w:hanging="420" w:firstLineChars="0"/>
        <w:jc w:val="both"/>
        <w:rPr>
          <w:rFonts w:ascii="宋体" w:hAnsi="宋体" w:eastAsia="宋体" w:cs="Times New Roman"/>
          <w:b/>
          <w:kern w:val="2"/>
          <w:sz w:val="21"/>
          <w:szCs w:val="21"/>
          <w:lang w:val="en-US" w:eastAsia="zh-CN" w:bidi="ar-SA"/>
        </w:rPr>
      </w:pPr>
      <w:r>
        <w:rPr>
          <w:rFonts w:ascii="Times New Roman" w:hAnsi="Times New Roman" w:eastAsia="宋体" w:cs="Times New Roman"/>
          <w:b/>
          <w:kern w:val="2"/>
          <w:sz w:val="21"/>
          <w:szCs w:val="21"/>
          <w:lang w:val="en-US" w:eastAsia="zh-CN" w:bidi="ar-SA"/>
        </w:rPr>
        <w:t>最低价法</w:t>
      </w:r>
    </w:p>
    <w:p>
      <w:pPr>
        <w:spacing w:line="360" w:lineRule="exact"/>
        <w:ind w:firstLine="422" w:firstLineChars="200"/>
        <w:rPr>
          <w:rFonts w:ascii="宋体" w:hAnsi="宋体"/>
          <w:b/>
          <w:szCs w:val="21"/>
        </w:rPr>
      </w:pPr>
      <w:r>
        <w:rPr>
          <w:rFonts w:hint="eastAsia" w:ascii="宋体" w:hAnsi="宋体"/>
          <w:b/>
          <w:szCs w:val="21"/>
        </w:rPr>
        <w:t>1、</w:t>
      </w:r>
      <w:r>
        <w:rPr>
          <w:rFonts w:ascii="宋体" w:hAnsi="宋体"/>
          <w:b/>
          <w:szCs w:val="21"/>
        </w:rPr>
        <w:t>符合性检查</w:t>
      </w:r>
    </w:p>
    <w:p>
      <w:pPr>
        <w:spacing w:line="360" w:lineRule="exact"/>
        <w:ind w:firstLine="420" w:firstLineChars="200"/>
        <w:rPr>
          <w:rFonts w:ascii="宋体" w:hAnsi="宋体"/>
          <w:bCs/>
          <w:szCs w:val="21"/>
        </w:rPr>
      </w:pPr>
      <w:r>
        <w:rPr>
          <w:rFonts w:hint="eastAsia" w:ascii="宋体" w:hAnsi="宋体"/>
          <w:bCs/>
          <w:szCs w:val="21"/>
        </w:rPr>
        <w:t>（1）</w:t>
      </w:r>
      <w:r>
        <w:rPr>
          <w:rFonts w:ascii="宋体" w:hAnsi="宋体"/>
          <w:bCs/>
          <w:szCs w:val="21"/>
        </w:rPr>
        <w:t>评标委员会根据</w:t>
      </w:r>
      <w:r>
        <w:rPr>
          <w:rFonts w:hint="eastAsia" w:ascii="宋体" w:hAnsi="宋体"/>
          <w:bCs/>
          <w:szCs w:val="21"/>
        </w:rPr>
        <w:t>《</w:t>
      </w:r>
      <w:r>
        <w:rPr>
          <w:rFonts w:ascii="宋体" w:hAnsi="宋体"/>
          <w:bCs/>
          <w:szCs w:val="21"/>
        </w:rPr>
        <w:t>符合性检查表》的内容和标准，对所有</w:t>
      </w:r>
      <w:r>
        <w:rPr>
          <w:rFonts w:hint="eastAsia" w:ascii="宋体" w:hAnsi="宋体"/>
          <w:bCs/>
          <w:szCs w:val="21"/>
        </w:rPr>
        <w:t>通过资格性核查的</w:t>
      </w:r>
      <w:r>
        <w:rPr>
          <w:rFonts w:ascii="宋体" w:hAnsi="宋体"/>
          <w:bCs/>
          <w:szCs w:val="21"/>
        </w:rPr>
        <w:t>投标</w:t>
      </w:r>
      <w:r>
        <w:rPr>
          <w:rFonts w:hint="eastAsia" w:ascii="宋体" w:hAnsi="宋体"/>
          <w:bCs/>
          <w:szCs w:val="21"/>
        </w:rPr>
        <w:t>文件</w:t>
      </w:r>
      <w:r>
        <w:rPr>
          <w:rFonts w:ascii="宋体" w:hAnsi="宋体"/>
          <w:bCs/>
          <w:szCs w:val="21"/>
        </w:rPr>
        <w:t>进行</w:t>
      </w:r>
      <w:r>
        <w:rPr>
          <w:rFonts w:hint="eastAsia" w:ascii="宋体" w:hAnsi="宋体"/>
          <w:bCs/>
          <w:szCs w:val="21"/>
        </w:rPr>
        <w:t>审</w:t>
      </w:r>
      <w:r>
        <w:rPr>
          <w:rFonts w:ascii="宋体" w:hAnsi="宋体"/>
          <w:bCs/>
          <w:szCs w:val="21"/>
        </w:rPr>
        <w:t>查。</w:t>
      </w:r>
    </w:p>
    <w:p>
      <w:pPr>
        <w:spacing w:line="360" w:lineRule="exact"/>
        <w:ind w:firstLine="420" w:firstLineChars="200"/>
        <w:rPr>
          <w:rFonts w:ascii="宋体" w:hAnsi="宋体"/>
          <w:bCs/>
          <w:szCs w:val="21"/>
        </w:rPr>
      </w:pPr>
      <w:r>
        <w:rPr>
          <w:rFonts w:hint="eastAsia" w:ascii="宋体" w:hAnsi="宋体"/>
          <w:bCs/>
          <w:szCs w:val="21"/>
        </w:rPr>
        <w:t>（2）</w:t>
      </w:r>
      <w:r>
        <w:rPr>
          <w:rFonts w:ascii="宋体" w:hAnsi="宋体"/>
          <w:bCs/>
          <w:szCs w:val="21"/>
        </w:rPr>
        <w:t>符合性检查的对象是投标人提交的投标文件，评标委员会只就投标文件中所载明的情况进行</w:t>
      </w:r>
      <w:r>
        <w:rPr>
          <w:rFonts w:hint="eastAsia" w:ascii="宋体" w:hAnsi="宋体"/>
          <w:bCs/>
          <w:szCs w:val="21"/>
        </w:rPr>
        <w:t>审</w:t>
      </w:r>
      <w:r>
        <w:rPr>
          <w:rFonts w:ascii="宋体" w:hAnsi="宋体"/>
          <w:bCs/>
          <w:szCs w:val="21"/>
        </w:rPr>
        <w:t>查。</w:t>
      </w:r>
    </w:p>
    <w:p>
      <w:pPr>
        <w:spacing w:line="360" w:lineRule="exact"/>
        <w:ind w:firstLine="420" w:firstLineChars="200"/>
        <w:rPr>
          <w:rFonts w:ascii="Calibri" w:hAnsi="Calibri"/>
          <w:szCs w:val="21"/>
        </w:rPr>
      </w:pPr>
      <w:bookmarkStart w:id="12" w:name="_GoBack"/>
      <w:bookmarkEnd w:id="12"/>
      <w:r>
        <w:rPr>
          <w:rFonts w:hint="eastAsia" w:ascii="宋体" w:hAnsi="宋体"/>
          <w:bCs/>
          <w:szCs w:val="21"/>
        </w:rPr>
        <w:t>（3）</w:t>
      </w:r>
      <w:r>
        <w:rPr>
          <w:rFonts w:ascii="宋体" w:hAnsi="宋体"/>
          <w:bCs/>
          <w:szCs w:val="21"/>
        </w:rPr>
        <w:t>符</w:t>
      </w:r>
      <w:r>
        <w:rPr>
          <w:rFonts w:ascii="Calibri" w:hAnsi="宋体"/>
          <w:szCs w:val="21"/>
        </w:rPr>
        <w:t>合性检查的结果是</w:t>
      </w:r>
      <w:r>
        <w:rPr>
          <w:rFonts w:ascii="Calibri" w:hAnsi="Calibri"/>
          <w:szCs w:val="21"/>
        </w:rPr>
        <w:t>“</w:t>
      </w:r>
      <w:r>
        <w:rPr>
          <w:rFonts w:ascii="Calibri" w:hAnsi="宋体"/>
          <w:szCs w:val="21"/>
        </w:rPr>
        <w:t>通过</w:t>
      </w:r>
      <w:r>
        <w:rPr>
          <w:rFonts w:ascii="Calibri" w:hAnsi="Calibri"/>
          <w:szCs w:val="21"/>
        </w:rPr>
        <w:t>”</w:t>
      </w:r>
      <w:r>
        <w:rPr>
          <w:rFonts w:ascii="Calibri" w:hAnsi="宋体"/>
          <w:szCs w:val="21"/>
        </w:rPr>
        <w:t>或</w:t>
      </w:r>
      <w:r>
        <w:rPr>
          <w:rFonts w:ascii="Calibri" w:hAnsi="Calibri"/>
          <w:szCs w:val="21"/>
        </w:rPr>
        <w:t>“</w:t>
      </w:r>
      <w:r>
        <w:rPr>
          <w:rFonts w:ascii="Calibri" w:hAnsi="宋体"/>
          <w:szCs w:val="21"/>
        </w:rPr>
        <w:t>不通过</w:t>
      </w:r>
      <w:r>
        <w:rPr>
          <w:rFonts w:ascii="Calibri" w:hAnsi="Calibri"/>
          <w:szCs w:val="21"/>
        </w:rPr>
        <w:t>”</w:t>
      </w:r>
      <w:r>
        <w:rPr>
          <w:rFonts w:ascii="Calibri" w:hAnsi="宋体"/>
          <w:szCs w:val="21"/>
        </w:rPr>
        <w:t>，只有逐条通过</w:t>
      </w:r>
      <w:r>
        <w:rPr>
          <w:rFonts w:ascii="宋体" w:hAnsi="宋体"/>
          <w:bCs/>
          <w:szCs w:val="21"/>
        </w:rPr>
        <w:t>《符合性检查表》</w:t>
      </w:r>
      <w:r>
        <w:rPr>
          <w:rFonts w:ascii="Calibri" w:hAnsi="宋体"/>
          <w:szCs w:val="21"/>
        </w:rPr>
        <w:t>各项检查的投标方能进入下一阶段的评标，否则将导致其投标被废标。</w:t>
      </w:r>
    </w:p>
    <w:p>
      <w:pPr>
        <w:spacing w:line="360" w:lineRule="exact"/>
        <w:ind w:firstLine="422" w:firstLineChars="200"/>
        <w:rPr>
          <w:rFonts w:ascii="Calibri" w:hAnsi="Calibri"/>
          <w:b/>
          <w:szCs w:val="21"/>
        </w:rPr>
      </w:pPr>
      <w:r>
        <w:rPr>
          <w:rFonts w:hint="eastAsia" w:ascii="宋体" w:hAnsi="宋体"/>
          <w:b/>
          <w:szCs w:val="21"/>
        </w:rPr>
        <w:t>2、</w:t>
      </w:r>
      <w:r>
        <w:rPr>
          <w:rFonts w:ascii="Calibri" w:hAnsi="宋体"/>
          <w:b/>
          <w:szCs w:val="21"/>
        </w:rPr>
        <w:t>中标人的确定</w:t>
      </w:r>
    </w:p>
    <w:p>
      <w:pPr>
        <w:spacing w:line="360" w:lineRule="exact"/>
        <w:ind w:firstLine="435"/>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采购方授权评标委员会确定中标单位，评标委员会对通过上述检查且最终报价不超过预算控制金额</w:t>
      </w:r>
      <w:r>
        <w:rPr>
          <w:rFonts w:hint="eastAsia" w:ascii="宋体" w:hAnsi="宋体"/>
          <w:szCs w:val="21"/>
        </w:rPr>
        <w:t>的投标单位进行审查，确定</w:t>
      </w:r>
      <w:r>
        <w:rPr>
          <w:rFonts w:ascii="宋体" w:hAnsi="宋体"/>
          <w:szCs w:val="21"/>
        </w:rPr>
        <w:t>满足招标文件实质性要求</w:t>
      </w:r>
      <w:r>
        <w:rPr>
          <w:rFonts w:hint="eastAsia" w:ascii="宋体" w:hAnsi="宋体"/>
          <w:szCs w:val="21"/>
        </w:rPr>
        <w:t>、且</w:t>
      </w:r>
      <w:r>
        <w:rPr>
          <w:rFonts w:ascii="宋体" w:hAnsi="宋体"/>
          <w:szCs w:val="21"/>
        </w:rPr>
        <w:t>投标的价格最低的投标供应商为中标人</w:t>
      </w:r>
      <w:r>
        <w:rPr>
          <w:rFonts w:hint="eastAsia" w:ascii="宋体" w:hAnsi="宋体"/>
          <w:szCs w:val="21"/>
        </w:rPr>
        <w:t>。</w:t>
      </w:r>
    </w:p>
    <w:p>
      <w:pPr>
        <w:spacing w:line="360" w:lineRule="exact"/>
        <w:ind w:firstLine="435"/>
        <w:rPr>
          <w:rFonts w:ascii="宋体" w:hAnsi="宋体"/>
          <w:b/>
          <w:bCs/>
          <w:szCs w:val="21"/>
        </w:rPr>
      </w:pPr>
      <w:r>
        <w:rPr>
          <w:rFonts w:hint="eastAsia" w:ascii="宋体" w:hAnsi="宋体"/>
          <w:szCs w:val="21"/>
        </w:rPr>
        <w:t>（2）</w:t>
      </w:r>
      <w:r>
        <w:rPr>
          <w:rFonts w:ascii="宋体" w:hAnsi="宋体"/>
          <w:szCs w:val="21"/>
        </w:rPr>
        <w:t>确</w:t>
      </w:r>
      <w:r>
        <w:rPr>
          <w:rFonts w:ascii="Calibri" w:hAnsi="宋体"/>
          <w:szCs w:val="21"/>
        </w:rPr>
        <w:t>定中标人按投标报价由低到高顺序排列</w:t>
      </w:r>
      <w:r>
        <w:rPr>
          <w:rFonts w:hint="eastAsia" w:ascii="Calibri" w:hAnsi="宋体"/>
          <w:szCs w:val="21"/>
        </w:rPr>
        <w:t>。</w:t>
      </w:r>
      <w:r>
        <w:rPr>
          <w:rFonts w:ascii="Calibri" w:hAnsi="宋体"/>
          <w:szCs w:val="21"/>
        </w:rPr>
        <w:t>投标报价相同的，按技术指标优劣顺序排列</w:t>
      </w:r>
      <w:r>
        <w:rPr>
          <w:rFonts w:hint="eastAsia" w:ascii="Calibri" w:hAnsi="宋体"/>
          <w:szCs w:val="21"/>
        </w:rPr>
        <w:t>；技术指标仍然相同的，则采用抽签方式确定排序</w:t>
      </w:r>
      <w:r>
        <w:rPr>
          <w:rFonts w:ascii="Calibri" w:hAnsi="宋体"/>
          <w:szCs w:val="21"/>
        </w:rPr>
        <w:t>。</w:t>
      </w:r>
      <w:r>
        <w:rPr>
          <w:rFonts w:hint="eastAsia" w:ascii="Calibri" w:hAnsi="宋体"/>
          <w:szCs w:val="21"/>
        </w:rPr>
        <w:t>评标委员会认为排在前面的供应商的最低投标报价或者某些分项报价明显不合理或者低于成本，有可能影响商品质量和不能诚信履约的，应当要求其在规定的期限内提供书面文件予以解释说明，并提交相关证明材料；否则，评标委员会可以取消该投标供应商的中标资格，按顺序由排在后面的供应商递补，以次类推。对是否满足实质性要求或报价是否合理或是否低于成本，评标委员会意见不一致时，按少数服从多数原则作出决定。</w:t>
      </w:r>
      <w:r>
        <w:rPr>
          <w:rFonts w:hint="eastAsia" w:ascii="宋体" w:hAnsi="宋体"/>
          <w:b/>
          <w:bCs/>
          <w:szCs w:val="21"/>
        </w:rPr>
        <w:t>根据《深圳市财政委员会关于加强招投标评审环节诚信管理的通知》(深财购[2013]27号)及《深圳市财政委员会关于印发&lt;深圳市政府采购供应商诚信管理暂行办法操作细则&gt;的通知(深财购[2017]42号)》文的要求，投标人在参与政府采购活动中存在诚信相关问题且在主管部门相关处理措施实施期限内的，在该企业投标报价的基础上上浮10%后参与价格评比。投标人无需提供任何证明材料，由本项目评审委员会在评标时通过深圳市政府采购网系统查询。</w:t>
      </w:r>
    </w:p>
    <w:p>
      <w:pPr>
        <w:spacing w:line="360" w:lineRule="exact"/>
        <w:rPr>
          <w:b/>
        </w:rPr>
      </w:pPr>
      <w:r>
        <w:rPr>
          <w:rFonts w:hint="eastAsia"/>
          <w:b/>
        </w:rPr>
        <w:t xml:space="preserve">    （二）评标和定标分离的方式</w:t>
      </w:r>
    </w:p>
    <w:p>
      <w:pPr>
        <w:spacing w:line="360" w:lineRule="exact"/>
        <w:ind w:firstLine="422" w:firstLineChars="200"/>
        <w:rPr>
          <w:rFonts w:ascii="宋体" w:hAnsi="宋体"/>
          <w:b/>
          <w:szCs w:val="21"/>
        </w:rPr>
      </w:pPr>
      <w:r>
        <w:rPr>
          <w:rFonts w:hint="eastAsia" w:ascii="宋体" w:hAnsi="宋体"/>
          <w:b/>
          <w:szCs w:val="21"/>
        </w:rPr>
        <w:t>1、</w:t>
      </w:r>
      <w:r>
        <w:rPr>
          <w:rFonts w:ascii="宋体" w:hAnsi="宋体"/>
          <w:b/>
          <w:szCs w:val="21"/>
        </w:rPr>
        <w:t>符合性检查</w:t>
      </w:r>
    </w:p>
    <w:p>
      <w:pPr>
        <w:spacing w:line="360" w:lineRule="exact"/>
        <w:ind w:firstLine="420" w:firstLineChars="200"/>
        <w:rPr>
          <w:rFonts w:ascii="宋体" w:hAnsi="宋体"/>
          <w:bCs/>
          <w:szCs w:val="21"/>
        </w:rPr>
      </w:pPr>
      <w:r>
        <w:rPr>
          <w:rFonts w:hint="eastAsia" w:ascii="宋体" w:hAnsi="宋体"/>
          <w:bCs/>
          <w:szCs w:val="21"/>
        </w:rPr>
        <w:t>（1）</w:t>
      </w:r>
      <w:r>
        <w:rPr>
          <w:rFonts w:ascii="宋体" w:hAnsi="宋体"/>
          <w:bCs/>
          <w:szCs w:val="21"/>
        </w:rPr>
        <w:t>评标委员会根据</w:t>
      </w:r>
      <w:r>
        <w:rPr>
          <w:rFonts w:hint="eastAsia" w:ascii="宋体" w:hAnsi="宋体"/>
          <w:bCs/>
          <w:szCs w:val="21"/>
        </w:rPr>
        <w:t>《</w:t>
      </w:r>
      <w:r>
        <w:rPr>
          <w:rFonts w:ascii="宋体" w:hAnsi="宋体"/>
          <w:bCs/>
          <w:szCs w:val="21"/>
        </w:rPr>
        <w:t>符合性检查表》的内容和标准，对所有</w:t>
      </w:r>
      <w:r>
        <w:rPr>
          <w:rFonts w:hint="eastAsia" w:ascii="宋体" w:hAnsi="宋体"/>
          <w:bCs/>
          <w:szCs w:val="21"/>
        </w:rPr>
        <w:t>通过资格性核查的</w:t>
      </w:r>
      <w:r>
        <w:rPr>
          <w:rFonts w:ascii="宋体" w:hAnsi="宋体"/>
          <w:bCs/>
          <w:szCs w:val="21"/>
        </w:rPr>
        <w:t>投标</w:t>
      </w:r>
      <w:r>
        <w:rPr>
          <w:rFonts w:hint="eastAsia" w:ascii="宋体" w:hAnsi="宋体"/>
          <w:bCs/>
          <w:szCs w:val="21"/>
        </w:rPr>
        <w:t>文件</w:t>
      </w:r>
      <w:r>
        <w:rPr>
          <w:rFonts w:ascii="宋体" w:hAnsi="宋体"/>
          <w:bCs/>
          <w:szCs w:val="21"/>
        </w:rPr>
        <w:t>进行</w:t>
      </w:r>
      <w:r>
        <w:rPr>
          <w:rFonts w:hint="eastAsia" w:ascii="宋体" w:hAnsi="宋体"/>
          <w:bCs/>
          <w:szCs w:val="21"/>
        </w:rPr>
        <w:t>审</w:t>
      </w:r>
      <w:r>
        <w:rPr>
          <w:rFonts w:ascii="宋体" w:hAnsi="宋体"/>
          <w:bCs/>
          <w:szCs w:val="21"/>
        </w:rPr>
        <w:t>查。</w:t>
      </w:r>
    </w:p>
    <w:p>
      <w:pPr>
        <w:spacing w:line="360" w:lineRule="exact"/>
        <w:ind w:firstLine="420" w:firstLineChars="200"/>
        <w:rPr>
          <w:rFonts w:ascii="宋体" w:hAnsi="宋体"/>
          <w:bCs/>
          <w:szCs w:val="21"/>
        </w:rPr>
      </w:pPr>
      <w:r>
        <w:rPr>
          <w:rFonts w:hint="eastAsia" w:ascii="宋体" w:hAnsi="宋体"/>
          <w:bCs/>
          <w:szCs w:val="21"/>
        </w:rPr>
        <w:t>（2）</w:t>
      </w:r>
      <w:r>
        <w:rPr>
          <w:rFonts w:ascii="宋体" w:hAnsi="宋体"/>
          <w:bCs/>
          <w:szCs w:val="21"/>
        </w:rPr>
        <w:t>符合性检查的对象是投标人提交的投标文件，评标委员会只就投标文件中所载明的情况进行</w:t>
      </w:r>
      <w:r>
        <w:rPr>
          <w:rFonts w:hint="eastAsia" w:ascii="宋体" w:hAnsi="宋体"/>
          <w:bCs/>
          <w:szCs w:val="21"/>
        </w:rPr>
        <w:t>审</w:t>
      </w:r>
      <w:r>
        <w:rPr>
          <w:rFonts w:ascii="宋体" w:hAnsi="宋体"/>
          <w:bCs/>
          <w:szCs w:val="21"/>
        </w:rPr>
        <w:t>查。</w:t>
      </w:r>
    </w:p>
    <w:p>
      <w:pPr>
        <w:spacing w:line="360" w:lineRule="exact"/>
        <w:ind w:firstLine="420" w:firstLineChars="200"/>
        <w:rPr>
          <w:rFonts w:ascii="Calibri" w:hAnsi="Calibri"/>
          <w:szCs w:val="21"/>
        </w:rPr>
      </w:pPr>
      <w:r>
        <w:rPr>
          <w:rFonts w:hint="eastAsia" w:ascii="宋体" w:hAnsi="宋体"/>
          <w:bCs/>
          <w:szCs w:val="21"/>
        </w:rPr>
        <w:t>（3）</w:t>
      </w:r>
      <w:r>
        <w:rPr>
          <w:rFonts w:ascii="宋体" w:hAnsi="宋体"/>
          <w:bCs/>
          <w:szCs w:val="21"/>
        </w:rPr>
        <w:t>符</w:t>
      </w:r>
      <w:r>
        <w:rPr>
          <w:rFonts w:ascii="Calibri" w:hAnsi="宋体"/>
          <w:szCs w:val="21"/>
        </w:rPr>
        <w:t>合性检查的结果是</w:t>
      </w:r>
      <w:r>
        <w:rPr>
          <w:rFonts w:ascii="Calibri" w:hAnsi="Calibri"/>
          <w:szCs w:val="21"/>
        </w:rPr>
        <w:t>“</w:t>
      </w:r>
      <w:r>
        <w:rPr>
          <w:rFonts w:ascii="Calibri" w:hAnsi="宋体"/>
          <w:szCs w:val="21"/>
        </w:rPr>
        <w:t>通过</w:t>
      </w:r>
      <w:r>
        <w:rPr>
          <w:rFonts w:ascii="Calibri" w:hAnsi="Calibri"/>
          <w:szCs w:val="21"/>
        </w:rPr>
        <w:t>”</w:t>
      </w:r>
      <w:r>
        <w:rPr>
          <w:rFonts w:ascii="Calibri" w:hAnsi="宋体"/>
          <w:szCs w:val="21"/>
        </w:rPr>
        <w:t>或</w:t>
      </w:r>
      <w:r>
        <w:rPr>
          <w:rFonts w:ascii="Calibri" w:hAnsi="Calibri"/>
          <w:szCs w:val="21"/>
        </w:rPr>
        <w:t>“</w:t>
      </w:r>
      <w:r>
        <w:rPr>
          <w:rFonts w:ascii="Calibri" w:hAnsi="宋体"/>
          <w:szCs w:val="21"/>
        </w:rPr>
        <w:t>不通过</w:t>
      </w:r>
      <w:r>
        <w:rPr>
          <w:rFonts w:ascii="Calibri" w:hAnsi="Calibri"/>
          <w:szCs w:val="21"/>
        </w:rPr>
        <w:t>”</w:t>
      </w:r>
      <w:r>
        <w:rPr>
          <w:rFonts w:ascii="Calibri" w:hAnsi="宋体"/>
          <w:szCs w:val="21"/>
        </w:rPr>
        <w:t>，只有逐条通过</w:t>
      </w:r>
      <w:r>
        <w:rPr>
          <w:rFonts w:ascii="宋体" w:hAnsi="宋体"/>
          <w:bCs/>
          <w:szCs w:val="21"/>
        </w:rPr>
        <w:t>《符合性检查表》</w:t>
      </w:r>
      <w:r>
        <w:rPr>
          <w:rFonts w:ascii="Calibri" w:hAnsi="宋体"/>
          <w:szCs w:val="21"/>
        </w:rPr>
        <w:t>各项检查的投标方能进入下一阶段的评标，否则将导致其投标被废标。</w:t>
      </w:r>
    </w:p>
    <w:p>
      <w:pPr>
        <w:spacing w:line="360" w:lineRule="exact"/>
        <w:ind w:firstLine="422" w:firstLineChars="200"/>
        <w:rPr>
          <w:rFonts w:ascii="宋体" w:hAnsi="宋体"/>
          <w:b/>
          <w:szCs w:val="21"/>
        </w:rPr>
      </w:pPr>
      <w:r>
        <w:rPr>
          <w:rFonts w:hint="eastAsia" w:ascii="宋体" w:hAnsi="宋体"/>
          <w:b/>
          <w:szCs w:val="21"/>
        </w:rPr>
        <w:t>2、</w:t>
      </w:r>
      <w:r>
        <w:rPr>
          <w:rFonts w:ascii="宋体" w:hAnsi="宋体"/>
          <w:b/>
          <w:szCs w:val="21"/>
        </w:rPr>
        <w:t>商务</w:t>
      </w:r>
      <w:r>
        <w:rPr>
          <w:rFonts w:hint="eastAsia" w:ascii="宋体" w:hAnsi="宋体"/>
          <w:b/>
          <w:szCs w:val="21"/>
        </w:rPr>
        <w:t>、</w:t>
      </w:r>
      <w:r>
        <w:rPr>
          <w:rFonts w:ascii="宋体" w:hAnsi="宋体"/>
          <w:b/>
          <w:szCs w:val="21"/>
        </w:rPr>
        <w:t>技术及价格评议</w:t>
      </w:r>
    </w:p>
    <w:p>
      <w:pPr>
        <w:widowControl w:val="0"/>
        <w:numPr>
          <w:ilvl w:val="0"/>
          <w:numId w:val="1"/>
        </w:numPr>
        <w:spacing w:line="360" w:lineRule="exact"/>
        <w:ind w:left="0" w:firstLine="422" w:firstLineChars="0"/>
        <w:jc w:val="both"/>
        <w:rPr>
          <w:rFonts w:ascii="宋体" w:hAnsi="宋体" w:eastAsia="宋体" w:cs="Times New Roman"/>
          <w:bCs/>
          <w:kern w:val="2"/>
          <w:sz w:val="21"/>
          <w:szCs w:val="21"/>
          <w:lang w:val="en-US" w:eastAsia="zh-CN" w:bidi="ar-SA"/>
        </w:rPr>
      </w:pPr>
      <w:r>
        <w:rPr>
          <w:rFonts w:hint="eastAsia" w:ascii="宋体" w:hAnsi="宋体" w:eastAsia="宋体" w:cs="Times New Roman"/>
          <w:b/>
          <w:kern w:val="2"/>
          <w:sz w:val="21"/>
          <w:szCs w:val="21"/>
          <w:lang w:val="en-US" w:eastAsia="zh-CN" w:bidi="ar-SA"/>
        </w:rPr>
        <w:t>综合评分法：</w:t>
      </w:r>
      <w:r>
        <w:rPr>
          <w:rFonts w:ascii="宋体" w:hAnsi="宋体" w:eastAsia="宋体" w:cs="Times New Roman"/>
          <w:bCs/>
          <w:kern w:val="2"/>
          <w:sz w:val="21"/>
          <w:szCs w:val="21"/>
          <w:lang w:val="en-US" w:eastAsia="zh-CN" w:bidi="ar-SA"/>
        </w:rPr>
        <w:t>评标委员会根据《</w:t>
      </w:r>
      <w:r>
        <w:rPr>
          <w:rFonts w:hint="eastAsia" w:ascii="宋体" w:hAnsi="宋体" w:eastAsia="宋体" w:cs="Times New Roman"/>
          <w:bCs/>
          <w:kern w:val="2"/>
          <w:sz w:val="21"/>
          <w:szCs w:val="21"/>
          <w:lang w:val="en-US" w:eastAsia="zh-CN" w:bidi="ar-SA"/>
        </w:rPr>
        <w:t>评分表</w:t>
      </w:r>
      <w:r>
        <w:rPr>
          <w:rFonts w:ascii="宋体" w:hAnsi="宋体" w:eastAsia="宋体" w:cs="Times New Roman"/>
          <w:bCs/>
          <w:kern w:val="2"/>
          <w:sz w:val="21"/>
          <w:szCs w:val="21"/>
          <w:lang w:val="en-US" w:eastAsia="zh-CN" w:bidi="ar-SA"/>
        </w:rPr>
        <w:t>》的内容和标准，对通过</w:t>
      </w:r>
      <w:r>
        <w:rPr>
          <w:rFonts w:hint="eastAsia" w:ascii="宋体" w:hAnsi="宋体" w:eastAsia="宋体" w:cs="Times New Roman"/>
          <w:bCs/>
          <w:kern w:val="2"/>
          <w:sz w:val="21"/>
          <w:szCs w:val="21"/>
          <w:lang w:val="en-US" w:eastAsia="zh-CN" w:bidi="ar-SA"/>
        </w:rPr>
        <w:t>资格性和</w:t>
      </w:r>
      <w:r>
        <w:rPr>
          <w:rFonts w:ascii="宋体" w:hAnsi="宋体" w:eastAsia="宋体" w:cs="Times New Roman"/>
          <w:bCs/>
          <w:kern w:val="2"/>
          <w:sz w:val="21"/>
          <w:szCs w:val="21"/>
          <w:lang w:val="en-US" w:eastAsia="zh-CN" w:bidi="ar-SA"/>
        </w:rPr>
        <w:t>符合性检查的投标进行商务</w:t>
      </w:r>
      <w:r>
        <w:rPr>
          <w:rFonts w:hint="eastAsia" w:ascii="宋体" w:hAnsi="宋体" w:eastAsia="宋体" w:cs="Times New Roman"/>
          <w:bCs/>
          <w:kern w:val="2"/>
          <w:sz w:val="21"/>
          <w:szCs w:val="21"/>
          <w:lang w:val="en-US" w:eastAsia="zh-CN" w:bidi="ar-SA"/>
        </w:rPr>
        <w:t>、</w:t>
      </w:r>
      <w:r>
        <w:rPr>
          <w:rFonts w:ascii="宋体" w:hAnsi="宋体" w:eastAsia="宋体" w:cs="Times New Roman"/>
          <w:bCs/>
          <w:kern w:val="2"/>
          <w:sz w:val="21"/>
          <w:szCs w:val="21"/>
          <w:lang w:val="en-US" w:eastAsia="zh-CN" w:bidi="ar-SA"/>
        </w:rPr>
        <w:t>技术</w:t>
      </w:r>
      <w:r>
        <w:rPr>
          <w:rFonts w:hint="eastAsia" w:ascii="宋体" w:hAnsi="宋体" w:eastAsia="宋体" w:cs="Times New Roman"/>
          <w:bCs/>
          <w:kern w:val="2"/>
          <w:sz w:val="21"/>
          <w:szCs w:val="21"/>
          <w:lang w:val="en-US" w:eastAsia="zh-CN" w:bidi="ar-SA"/>
        </w:rPr>
        <w:t>及价格</w:t>
      </w:r>
      <w:r>
        <w:rPr>
          <w:rFonts w:ascii="宋体" w:hAnsi="宋体" w:eastAsia="宋体" w:cs="Times New Roman"/>
          <w:bCs/>
          <w:kern w:val="2"/>
          <w:sz w:val="21"/>
          <w:szCs w:val="21"/>
          <w:lang w:val="en-US" w:eastAsia="zh-CN" w:bidi="ar-SA"/>
        </w:rPr>
        <w:t>评议</w:t>
      </w:r>
      <w:r>
        <w:rPr>
          <w:rFonts w:hint="eastAsia" w:ascii="宋体" w:hAnsi="宋体" w:eastAsia="宋体" w:cs="Times New Roman"/>
          <w:bCs/>
          <w:kern w:val="2"/>
          <w:sz w:val="21"/>
          <w:szCs w:val="21"/>
          <w:lang w:val="en-US" w:eastAsia="zh-CN" w:bidi="ar-SA"/>
        </w:rPr>
        <w:t>，</w:t>
      </w:r>
      <w:r>
        <w:rPr>
          <w:rFonts w:ascii="宋体" w:hAnsi="宋体" w:eastAsia="宋体" w:cs="Times New Roman"/>
          <w:bCs/>
          <w:kern w:val="2"/>
          <w:sz w:val="21"/>
          <w:szCs w:val="21"/>
          <w:lang w:val="en-US" w:eastAsia="zh-CN" w:bidi="ar-SA"/>
        </w:rPr>
        <w:t>对照招标文件中的商务、技术需求条款和投标文件中的商务、技术条款响应进行评议。评标委员会成员将按照《</w:t>
      </w:r>
      <w:r>
        <w:rPr>
          <w:rFonts w:hint="eastAsia" w:ascii="宋体" w:hAnsi="宋体" w:eastAsia="宋体" w:cs="Times New Roman"/>
          <w:bCs/>
          <w:kern w:val="2"/>
          <w:sz w:val="21"/>
          <w:szCs w:val="21"/>
          <w:lang w:val="en-US" w:eastAsia="zh-CN" w:bidi="ar-SA"/>
        </w:rPr>
        <w:t>评分表</w:t>
      </w:r>
      <w:r>
        <w:rPr>
          <w:rFonts w:ascii="宋体" w:hAnsi="宋体" w:eastAsia="宋体" w:cs="Times New Roman"/>
          <w:bCs/>
          <w:kern w:val="2"/>
          <w:sz w:val="21"/>
          <w:szCs w:val="21"/>
          <w:lang w:val="en-US" w:eastAsia="zh-CN" w:bidi="ar-SA"/>
        </w:rPr>
        <w:t>》确定的</w:t>
      </w:r>
      <w:r>
        <w:rPr>
          <w:rFonts w:hint="eastAsia" w:ascii="宋体" w:hAnsi="宋体" w:eastAsia="宋体" w:cs="Times New Roman"/>
          <w:bCs/>
          <w:kern w:val="2"/>
          <w:sz w:val="21"/>
          <w:szCs w:val="21"/>
          <w:lang w:val="en-US" w:eastAsia="zh-CN" w:bidi="ar-SA"/>
        </w:rPr>
        <w:t>分值</w:t>
      </w:r>
      <w:r>
        <w:rPr>
          <w:rFonts w:ascii="宋体" w:hAnsi="宋体" w:eastAsia="宋体" w:cs="Times New Roman"/>
          <w:bCs/>
          <w:kern w:val="2"/>
          <w:sz w:val="21"/>
          <w:szCs w:val="21"/>
          <w:lang w:val="en-US" w:eastAsia="zh-CN" w:bidi="ar-SA"/>
        </w:rPr>
        <w:t>独立对每个投标的商务</w:t>
      </w:r>
      <w:r>
        <w:rPr>
          <w:rFonts w:hint="eastAsia" w:ascii="宋体" w:hAnsi="宋体" w:eastAsia="宋体" w:cs="Times New Roman"/>
          <w:bCs/>
          <w:kern w:val="2"/>
          <w:sz w:val="21"/>
          <w:szCs w:val="21"/>
          <w:lang w:val="en-US" w:eastAsia="zh-CN" w:bidi="ar-SA"/>
        </w:rPr>
        <w:t>、</w:t>
      </w:r>
      <w:r>
        <w:rPr>
          <w:rFonts w:ascii="宋体" w:hAnsi="宋体" w:eastAsia="宋体" w:cs="Times New Roman"/>
          <w:bCs/>
          <w:kern w:val="2"/>
          <w:sz w:val="21"/>
          <w:szCs w:val="21"/>
          <w:lang w:val="en-US" w:eastAsia="zh-CN" w:bidi="ar-SA"/>
        </w:rPr>
        <w:t>技术</w:t>
      </w:r>
      <w:r>
        <w:rPr>
          <w:rFonts w:hint="eastAsia" w:ascii="宋体" w:hAnsi="宋体" w:eastAsia="宋体" w:cs="Times New Roman"/>
          <w:bCs/>
          <w:kern w:val="2"/>
          <w:sz w:val="21"/>
          <w:szCs w:val="21"/>
          <w:lang w:val="en-US" w:eastAsia="zh-CN" w:bidi="ar-SA"/>
        </w:rPr>
        <w:t>及价格</w:t>
      </w:r>
      <w:r>
        <w:rPr>
          <w:rFonts w:ascii="宋体" w:hAnsi="宋体" w:eastAsia="宋体" w:cs="Times New Roman"/>
          <w:bCs/>
          <w:kern w:val="2"/>
          <w:sz w:val="21"/>
          <w:szCs w:val="21"/>
          <w:lang w:val="en-US" w:eastAsia="zh-CN" w:bidi="ar-SA"/>
        </w:rPr>
        <w:t>部分以打分的方式进行评议。</w:t>
      </w:r>
      <w:r>
        <w:rPr>
          <w:rFonts w:hint="eastAsia" w:ascii="宋体" w:hAnsi="宋体" w:eastAsia="宋体" w:cs="Times New Roman"/>
          <w:b/>
          <w:bCs/>
          <w:kern w:val="2"/>
          <w:sz w:val="21"/>
          <w:szCs w:val="21"/>
          <w:lang w:val="en-US" w:eastAsia="zh-CN" w:bidi="ar-SA"/>
        </w:rPr>
        <w:t>采用竞价法或抽签法定标时，如果通过资格性、符合性检查的有效投标人只有三家，可直接推荐并进入定标程序，不再对投标人进行商务、技术及价格评议</w:t>
      </w:r>
      <w:r>
        <w:rPr>
          <w:rFonts w:hint="eastAsia" w:ascii="宋体" w:hAnsi="宋体" w:eastAsia="宋体" w:cs="Times New Roman"/>
          <w:bCs/>
          <w:kern w:val="2"/>
          <w:sz w:val="21"/>
          <w:szCs w:val="21"/>
          <w:lang w:val="en-US" w:eastAsia="zh-CN" w:bidi="ar-SA"/>
        </w:rPr>
        <w:t>。</w:t>
      </w:r>
    </w:p>
    <w:p>
      <w:pPr>
        <w:widowControl w:val="0"/>
        <w:numPr>
          <w:ilvl w:val="0"/>
          <w:numId w:val="1"/>
        </w:numPr>
        <w:spacing w:line="360" w:lineRule="exact"/>
        <w:ind w:left="0" w:firstLine="422" w:firstLineChars="0"/>
        <w:jc w:val="both"/>
        <w:rPr>
          <w:rFonts w:ascii="宋体" w:hAnsi="宋体" w:eastAsia="宋体" w:cs="Times New Roman"/>
          <w:b/>
          <w:kern w:val="2"/>
          <w:sz w:val="21"/>
          <w:szCs w:val="21"/>
          <w:lang w:val="en-US" w:eastAsia="zh-CN" w:bidi="ar-SA"/>
        </w:rPr>
      </w:pPr>
      <w:r>
        <w:rPr>
          <w:rFonts w:hint="eastAsia" w:ascii="宋体" w:hAnsi="宋体" w:eastAsia="宋体" w:cs="Times New Roman"/>
          <w:b/>
          <w:kern w:val="2"/>
          <w:sz w:val="21"/>
          <w:szCs w:val="21"/>
          <w:lang w:val="en-US" w:eastAsia="zh-CN" w:bidi="ar-SA"/>
        </w:rPr>
        <w:t>定性评审法：</w:t>
      </w:r>
      <w:r>
        <w:rPr>
          <w:rFonts w:ascii="宋体" w:hAnsi="宋体" w:eastAsia="宋体" w:cs="Times New Roman"/>
          <w:bCs/>
          <w:kern w:val="2"/>
          <w:sz w:val="21"/>
          <w:szCs w:val="21"/>
          <w:lang w:val="en-US" w:eastAsia="zh-CN" w:bidi="ar-SA"/>
        </w:rPr>
        <w:t>评标委员会对通过</w:t>
      </w:r>
      <w:r>
        <w:rPr>
          <w:rFonts w:hint="eastAsia" w:ascii="宋体" w:hAnsi="宋体" w:eastAsia="宋体" w:cs="Times New Roman"/>
          <w:bCs/>
          <w:kern w:val="2"/>
          <w:sz w:val="21"/>
          <w:szCs w:val="21"/>
          <w:lang w:val="en-US" w:eastAsia="zh-CN" w:bidi="ar-SA"/>
        </w:rPr>
        <w:t>资格性和</w:t>
      </w:r>
      <w:r>
        <w:rPr>
          <w:rFonts w:ascii="宋体" w:hAnsi="宋体" w:eastAsia="宋体" w:cs="Times New Roman"/>
          <w:bCs/>
          <w:kern w:val="2"/>
          <w:sz w:val="21"/>
          <w:szCs w:val="21"/>
          <w:lang w:val="en-US" w:eastAsia="zh-CN" w:bidi="ar-SA"/>
        </w:rPr>
        <w:t>符合性检查的投标进行商务</w:t>
      </w:r>
      <w:r>
        <w:rPr>
          <w:rFonts w:hint="eastAsia" w:ascii="宋体" w:hAnsi="宋体" w:eastAsia="宋体" w:cs="Times New Roman"/>
          <w:bCs/>
          <w:kern w:val="2"/>
          <w:sz w:val="21"/>
          <w:szCs w:val="21"/>
          <w:lang w:val="en-US" w:eastAsia="zh-CN" w:bidi="ar-SA"/>
        </w:rPr>
        <w:t>、</w:t>
      </w:r>
      <w:r>
        <w:rPr>
          <w:rFonts w:ascii="宋体" w:hAnsi="宋体" w:eastAsia="宋体" w:cs="Times New Roman"/>
          <w:bCs/>
          <w:kern w:val="2"/>
          <w:sz w:val="21"/>
          <w:szCs w:val="21"/>
          <w:lang w:val="en-US" w:eastAsia="zh-CN" w:bidi="ar-SA"/>
        </w:rPr>
        <w:t>技术</w:t>
      </w:r>
      <w:r>
        <w:rPr>
          <w:rFonts w:hint="eastAsia" w:ascii="宋体" w:hAnsi="宋体" w:eastAsia="宋体" w:cs="Times New Roman"/>
          <w:bCs/>
          <w:kern w:val="2"/>
          <w:sz w:val="21"/>
          <w:szCs w:val="21"/>
          <w:lang w:val="en-US" w:eastAsia="zh-CN" w:bidi="ar-SA"/>
        </w:rPr>
        <w:t>及价格</w:t>
      </w:r>
      <w:r>
        <w:rPr>
          <w:rFonts w:ascii="宋体" w:hAnsi="宋体" w:eastAsia="宋体" w:cs="Times New Roman"/>
          <w:bCs/>
          <w:kern w:val="2"/>
          <w:sz w:val="21"/>
          <w:szCs w:val="21"/>
          <w:lang w:val="en-US" w:eastAsia="zh-CN" w:bidi="ar-SA"/>
        </w:rPr>
        <w:t>评议</w:t>
      </w:r>
      <w:r>
        <w:rPr>
          <w:rFonts w:hint="eastAsia" w:ascii="宋体" w:hAnsi="宋体" w:eastAsia="宋体" w:cs="Times New Roman"/>
          <w:bCs/>
          <w:kern w:val="2"/>
          <w:sz w:val="21"/>
          <w:szCs w:val="21"/>
          <w:lang w:val="en-US" w:eastAsia="zh-CN" w:bidi="ar-SA"/>
        </w:rPr>
        <w:t>，</w:t>
      </w:r>
      <w:r>
        <w:rPr>
          <w:rFonts w:ascii="宋体" w:hAnsi="宋体" w:eastAsia="宋体" w:cs="Times New Roman"/>
          <w:bCs/>
          <w:kern w:val="2"/>
          <w:sz w:val="21"/>
          <w:szCs w:val="21"/>
          <w:lang w:val="en-US" w:eastAsia="zh-CN" w:bidi="ar-SA"/>
        </w:rPr>
        <w:t>对照招标文件中的商务、技术需求条款和投标文件中的商务、技术条款响应进行评议</w:t>
      </w:r>
      <w:r>
        <w:rPr>
          <w:rFonts w:hint="eastAsia" w:ascii="宋体" w:hAnsi="宋体" w:eastAsia="宋体" w:cs="Times New Roman"/>
          <w:bCs/>
          <w:kern w:val="2"/>
          <w:sz w:val="21"/>
          <w:szCs w:val="21"/>
          <w:lang w:val="en-US" w:eastAsia="zh-CN" w:bidi="ar-SA"/>
        </w:rPr>
        <w:t>，对各投标文件是否满足招标文件实质性要求提出评审意见</w:t>
      </w:r>
      <w:r>
        <w:rPr>
          <w:rFonts w:ascii="宋体" w:hAnsi="宋体" w:eastAsia="宋体" w:cs="Times New Roman"/>
          <w:bCs/>
          <w:kern w:val="2"/>
          <w:sz w:val="21"/>
          <w:szCs w:val="21"/>
          <w:lang w:val="en-US" w:eastAsia="zh-CN" w:bidi="ar-SA"/>
        </w:rPr>
        <w:t>。</w:t>
      </w:r>
    </w:p>
    <w:p>
      <w:pPr>
        <w:spacing w:line="360" w:lineRule="exact"/>
        <w:ind w:firstLine="422" w:firstLineChars="200"/>
        <w:rPr>
          <w:rFonts w:ascii="Calibri" w:hAnsi="Calibri"/>
          <w:b/>
          <w:szCs w:val="21"/>
        </w:rPr>
      </w:pPr>
      <w:r>
        <w:rPr>
          <w:rFonts w:hint="eastAsia" w:ascii="宋体" w:hAnsi="宋体"/>
          <w:b/>
          <w:szCs w:val="21"/>
        </w:rPr>
        <w:t>3、</w:t>
      </w:r>
      <w:r>
        <w:rPr>
          <w:rFonts w:ascii="Calibri" w:hAnsi="宋体"/>
          <w:b/>
          <w:szCs w:val="21"/>
        </w:rPr>
        <w:t>中标人的确定</w:t>
      </w:r>
    </w:p>
    <w:p>
      <w:pPr>
        <w:spacing w:line="360" w:lineRule="exact"/>
        <w:ind w:firstLine="422" w:firstLineChars="200"/>
        <w:rPr>
          <w:rFonts w:ascii="宋体" w:hAnsi="宋体"/>
          <w:b/>
          <w:szCs w:val="21"/>
        </w:rPr>
      </w:pPr>
      <w:r>
        <w:rPr>
          <w:rFonts w:hint="eastAsia" w:ascii="宋体" w:hAnsi="宋体"/>
          <w:b/>
          <w:szCs w:val="21"/>
        </w:rPr>
        <w:t xml:space="preserve">3.1  </w:t>
      </w:r>
      <w:r>
        <w:rPr>
          <w:rFonts w:hint="eastAsia" w:ascii="宋体" w:hAnsi="宋体"/>
          <w:b/>
          <w:bCs/>
          <w:szCs w:val="21"/>
        </w:rPr>
        <w:t>候选中标供应商推荐</w:t>
      </w:r>
    </w:p>
    <w:p>
      <w:pPr>
        <w:widowControl w:val="0"/>
        <w:numPr>
          <w:ilvl w:val="0"/>
          <w:numId w:val="1"/>
        </w:numPr>
        <w:spacing w:line="360" w:lineRule="exact"/>
        <w:ind w:left="0" w:firstLine="422" w:firstLineChars="0"/>
        <w:jc w:val="both"/>
        <w:rPr>
          <w:rFonts w:ascii="Times New Roman" w:hAnsi="Times New Roman" w:eastAsia="宋体" w:cs="Times New Roman"/>
          <w:kern w:val="2"/>
          <w:sz w:val="21"/>
          <w:szCs w:val="21"/>
          <w:lang w:val="en-US" w:eastAsia="zh-CN" w:bidi="ar-SA"/>
        </w:rPr>
      </w:pPr>
      <w:r>
        <w:rPr>
          <w:rFonts w:hint="eastAsia" w:ascii="宋体" w:hAnsi="宋体" w:eastAsia="宋体" w:cs="Times New Roman"/>
          <w:b/>
          <w:kern w:val="2"/>
          <w:sz w:val="21"/>
          <w:szCs w:val="21"/>
          <w:lang w:val="en-US" w:eastAsia="zh-CN" w:bidi="ar-SA"/>
        </w:rPr>
        <w:t>综合评分法：</w:t>
      </w:r>
      <w:r>
        <w:rPr>
          <w:rFonts w:hint="eastAsia" w:ascii="宋体" w:hAnsi="宋体" w:eastAsia="宋体" w:cs="Times New Roman"/>
          <w:bCs/>
          <w:kern w:val="2"/>
          <w:sz w:val="21"/>
          <w:szCs w:val="21"/>
          <w:lang w:val="en-US" w:eastAsia="zh-CN" w:bidi="ar-SA"/>
        </w:rPr>
        <w:t>每个投标单位的评标总得分以</w:t>
      </w:r>
      <w:r>
        <w:rPr>
          <w:rFonts w:ascii="宋体" w:hAnsi="宋体" w:eastAsia="宋体" w:cs="Times New Roman"/>
          <w:kern w:val="2"/>
          <w:sz w:val="21"/>
          <w:szCs w:val="21"/>
          <w:lang w:val="en-US" w:eastAsia="zh-CN" w:bidi="ar-SA"/>
        </w:rPr>
        <w:t>所有评标委员会成员的独立评分</w:t>
      </w:r>
      <w:r>
        <w:rPr>
          <w:rFonts w:hint="eastAsia" w:ascii="宋体" w:hAnsi="宋体" w:eastAsia="宋体" w:cs="Times New Roman"/>
          <w:kern w:val="2"/>
          <w:sz w:val="21"/>
          <w:szCs w:val="21"/>
          <w:lang w:val="en-US" w:eastAsia="zh-CN" w:bidi="ar-SA"/>
        </w:rPr>
        <w:t>汇总</w:t>
      </w:r>
      <w:r>
        <w:rPr>
          <w:rFonts w:hint="eastAsia" w:ascii="宋体" w:hAnsi="宋体" w:eastAsia="宋体" w:cs="Times New Roman"/>
          <w:bCs/>
          <w:kern w:val="2"/>
          <w:sz w:val="21"/>
          <w:szCs w:val="21"/>
          <w:lang w:val="en-US" w:eastAsia="zh-CN" w:bidi="ar-SA"/>
        </w:rPr>
        <w:t>后确定，</w:t>
      </w:r>
      <w:r>
        <w:rPr>
          <w:rFonts w:ascii="宋体" w:hAnsi="宋体" w:eastAsia="宋体" w:cs="Times New Roman"/>
          <w:bCs/>
          <w:kern w:val="2"/>
          <w:sz w:val="21"/>
          <w:szCs w:val="21"/>
          <w:lang w:val="en-US" w:eastAsia="zh-CN" w:bidi="ar-SA"/>
        </w:rPr>
        <w:t>评标总得分相同的，按投标报价由低到高顺序排列；评标总得分且投标报价相同的，按技术指标</w:t>
      </w:r>
      <w:r>
        <w:rPr>
          <w:rFonts w:hint="eastAsia" w:ascii="宋体" w:hAnsi="宋体" w:eastAsia="宋体" w:cs="Times New Roman"/>
          <w:bCs/>
          <w:kern w:val="2"/>
          <w:sz w:val="21"/>
          <w:szCs w:val="21"/>
          <w:lang w:val="en-US" w:eastAsia="zh-CN" w:bidi="ar-SA"/>
        </w:rPr>
        <w:t>（技术部分）</w:t>
      </w:r>
      <w:r>
        <w:rPr>
          <w:rFonts w:ascii="宋体" w:hAnsi="宋体" w:eastAsia="宋体" w:cs="Times New Roman"/>
          <w:bCs/>
          <w:kern w:val="2"/>
          <w:sz w:val="21"/>
          <w:szCs w:val="21"/>
          <w:lang w:val="en-US" w:eastAsia="zh-CN" w:bidi="ar-SA"/>
        </w:rPr>
        <w:t>得分优劣顺序排列。</w:t>
      </w:r>
      <w:r>
        <w:rPr>
          <w:rFonts w:hint="eastAsia" w:ascii="宋体" w:hAnsi="宋体" w:eastAsia="宋体" w:cs="Times New Roman"/>
          <w:bCs/>
          <w:kern w:val="2"/>
          <w:sz w:val="21"/>
          <w:szCs w:val="21"/>
          <w:lang w:val="en-US" w:eastAsia="zh-CN" w:bidi="ar-SA"/>
        </w:rPr>
        <w:t>评标委员会按照综合评分的排名结果推荐中标候选供应商，评标汇总得分排名前列的三家投标人（当且仅当选取第3家候选中标供应商时，如出现并列排名的情形，该名次的所有投标供应商均作为候选中标供应商），作为推荐的候选中标供应商（排名不分先后）。</w:t>
      </w:r>
    </w:p>
    <w:p>
      <w:pPr>
        <w:widowControl w:val="0"/>
        <w:numPr>
          <w:ilvl w:val="0"/>
          <w:numId w:val="1"/>
        </w:numPr>
        <w:spacing w:line="360" w:lineRule="exact"/>
        <w:ind w:left="0" w:firstLine="422" w:firstLineChars="0"/>
        <w:jc w:val="both"/>
        <w:rPr>
          <w:rFonts w:ascii="宋体" w:hAnsi="宋体" w:eastAsia="宋体" w:cs="Times New Roman"/>
          <w:kern w:val="2"/>
          <w:sz w:val="21"/>
          <w:szCs w:val="21"/>
          <w:lang w:val="en-US" w:eastAsia="zh-CN" w:bidi="ar-SA"/>
        </w:rPr>
      </w:pPr>
      <w:r>
        <w:rPr>
          <w:rFonts w:hint="eastAsia" w:ascii="宋体" w:hAnsi="宋体" w:eastAsia="宋体" w:cs="Times New Roman"/>
          <w:b/>
          <w:kern w:val="2"/>
          <w:sz w:val="21"/>
          <w:szCs w:val="21"/>
          <w:lang w:val="en-US" w:eastAsia="zh-CN" w:bidi="ar-SA"/>
        </w:rPr>
        <w:t>定性评审法：</w:t>
      </w:r>
      <w:r>
        <w:rPr>
          <w:rFonts w:hint="eastAsia" w:ascii="宋体" w:hAnsi="宋体" w:eastAsia="宋体" w:cs="Times New Roman"/>
          <w:bCs/>
          <w:kern w:val="2"/>
          <w:sz w:val="21"/>
          <w:szCs w:val="21"/>
          <w:lang w:val="en-US" w:eastAsia="zh-CN" w:bidi="ar-SA"/>
        </w:rPr>
        <w:t>评标委员会按照定性评审的结果推荐中标候选供应商，所有递交投标文件未被判定为废标或者无效投标的投标人，均推荐为候选中标供应商（排名不分先后）。</w:t>
      </w:r>
    </w:p>
    <w:p>
      <w:pPr>
        <w:widowControl w:val="0"/>
        <w:numPr>
          <w:ilvl w:val="0"/>
          <w:numId w:val="1"/>
        </w:numPr>
        <w:spacing w:line="360" w:lineRule="exact"/>
        <w:ind w:left="0" w:firstLine="422" w:firstLineChars="0"/>
        <w:jc w:val="both"/>
        <w:rPr>
          <w:rFonts w:ascii="宋体" w:hAnsi="宋体" w:eastAsia="宋体" w:cs="Times New Roman"/>
          <w:bCs/>
          <w:i/>
          <w:kern w:val="2"/>
          <w:sz w:val="21"/>
          <w:szCs w:val="21"/>
          <w:lang w:val="en-US" w:eastAsia="zh-CN" w:bidi="ar-SA"/>
        </w:rPr>
      </w:pPr>
      <w:r>
        <w:rPr>
          <w:rFonts w:hint="eastAsia" w:ascii="宋体" w:hAnsi="宋体" w:eastAsia="宋体" w:cs="Times New Roman"/>
          <w:b/>
          <w:kern w:val="2"/>
          <w:sz w:val="21"/>
          <w:szCs w:val="21"/>
          <w:lang w:val="en-US" w:eastAsia="zh-CN" w:bidi="ar-SA"/>
        </w:rPr>
        <w:t>最低价法：</w:t>
      </w:r>
      <w:r>
        <w:rPr>
          <w:rFonts w:hint="eastAsia" w:ascii="宋体" w:hAnsi="宋体" w:eastAsia="宋体" w:cs="Times New Roman"/>
          <w:bCs/>
          <w:kern w:val="2"/>
          <w:sz w:val="21"/>
          <w:szCs w:val="21"/>
          <w:lang w:val="en-US" w:eastAsia="zh-CN" w:bidi="ar-SA"/>
        </w:rPr>
        <w:t>评标委员会按照最低价法评审的结果推荐中标候选供应商，有效投标报价由低到高顺序排列，报价最低的三家投标人（当且仅当选取第3家候选中标供应商时，如出现并列排名的情形，该名次的所有投标供应商均作为候选中标供应商），作为推荐的候选中标供应商（排名不分先后）。</w:t>
      </w:r>
      <w:r>
        <w:rPr>
          <w:rFonts w:hint="eastAsia" w:ascii="宋体" w:hAnsi="宋体" w:eastAsia="宋体" w:cs="Times New Roman"/>
          <w:b/>
          <w:bCs/>
          <w:kern w:val="2"/>
          <w:sz w:val="21"/>
          <w:szCs w:val="21"/>
          <w:lang w:val="en-US" w:eastAsia="zh-CN" w:bidi="ar-SA"/>
        </w:rPr>
        <w:t>根据《深圳市财政委员会关于加强招投标评审环节诚信管理的通知》(深财购[2013]27号)及《深圳市财政委员会关于印发&lt;深圳市政府采购供应商诚信管理暂行办法操作细则&gt;的通知(深财购[2017]42号)》文的要求，投标人在参与政府采购活动中存在诚信相关问题且在主管部门相关处理措施实施期限内的，在该企业投标报价的基础上上浮10%后参与价格评比。投标人无需提供任何证明材料，由本项目评审委员会在评标时通过深圳市政府采购网系统查询。</w:t>
      </w:r>
    </w:p>
    <w:p>
      <w:pPr>
        <w:spacing w:line="360" w:lineRule="exact"/>
        <w:ind w:firstLine="422" w:firstLineChars="200"/>
        <w:rPr>
          <w:rFonts w:ascii="宋体" w:hAnsi="宋体"/>
          <w:b/>
          <w:bCs/>
          <w:szCs w:val="21"/>
        </w:rPr>
      </w:pPr>
      <w:r>
        <w:rPr>
          <w:rFonts w:hint="eastAsia" w:ascii="宋体" w:hAnsi="宋体"/>
          <w:b/>
          <w:bCs/>
          <w:szCs w:val="21"/>
        </w:rPr>
        <w:t>3.2  定标</w:t>
      </w:r>
    </w:p>
    <w:p>
      <w:pPr>
        <w:widowControl w:val="0"/>
        <w:numPr>
          <w:ilvl w:val="0"/>
          <w:numId w:val="1"/>
        </w:numPr>
        <w:spacing w:line="360" w:lineRule="exact"/>
        <w:ind w:left="0" w:firstLine="422" w:firstLineChars="0"/>
        <w:jc w:val="both"/>
        <w:rPr>
          <w:rFonts w:ascii="宋体" w:hAnsi="宋体" w:eastAsia="宋体" w:cs="Times New Roman"/>
          <w:bCs/>
          <w:kern w:val="2"/>
          <w:sz w:val="21"/>
          <w:szCs w:val="21"/>
          <w:lang w:val="en-US" w:eastAsia="zh-CN" w:bidi="ar-SA"/>
        </w:rPr>
      </w:pPr>
      <w:r>
        <w:rPr>
          <w:rFonts w:hint="eastAsia" w:ascii="宋体" w:hAnsi="宋体" w:eastAsia="宋体" w:cs="Times New Roman"/>
          <w:b/>
          <w:bCs/>
          <w:kern w:val="2"/>
          <w:sz w:val="21"/>
          <w:szCs w:val="21"/>
          <w:lang w:val="en-US" w:eastAsia="zh-CN" w:bidi="ar-SA"/>
        </w:rPr>
        <w:t>自定法：</w:t>
      </w:r>
      <w:r>
        <w:rPr>
          <w:rFonts w:hint="eastAsia" w:ascii="宋体" w:hAnsi="宋体" w:eastAsia="宋体" w:cs="Times New Roman"/>
          <w:bCs/>
          <w:kern w:val="2"/>
          <w:sz w:val="21"/>
          <w:szCs w:val="21"/>
          <w:lang w:val="en-US" w:eastAsia="zh-CN" w:bidi="ar-SA"/>
        </w:rPr>
        <w:t>采购单位从评标委员会推荐的中标候选人中自行选择确定1名中标供应商。采购人组成的定标委员会选择直线票决法、集体议事法和累积投票法三种方式之一进行定标，具体操作程序按照《深圳市政府采购评标定标分离管理暂行办法》要求执行。</w:t>
      </w:r>
    </w:p>
    <w:p>
      <w:pPr>
        <w:widowControl w:val="0"/>
        <w:numPr>
          <w:ilvl w:val="0"/>
          <w:numId w:val="1"/>
        </w:numPr>
        <w:spacing w:line="360" w:lineRule="exact"/>
        <w:ind w:left="0" w:firstLine="422" w:firstLineChars="200"/>
        <w:jc w:val="left"/>
        <w:rPr>
          <w:rFonts w:ascii="宋体" w:hAnsi="宋体" w:eastAsia="宋体" w:cs="Times New Roman"/>
          <w:bCs/>
          <w:kern w:val="2"/>
          <w:sz w:val="21"/>
          <w:szCs w:val="21"/>
          <w:lang w:val="en-US" w:eastAsia="zh-CN" w:bidi="ar-SA"/>
        </w:rPr>
      </w:pPr>
      <w:r>
        <w:rPr>
          <w:rFonts w:hint="eastAsia" w:ascii="宋体" w:hAnsi="宋体" w:eastAsia="宋体" w:cs="Times New Roman"/>
          <w:b/>
          <w:kern w:val="2"/>
          <w:sz w:val="21"/>
          <w:szCs w:val="21"/>
          <w:lang w:val="en-US" w:eastAsia="zh-CN" w:bidi="ar-SA"/>
        </w:rPr>
        <w:t>抽签法：</w:t>
      </w:r>
      <w:r>
        <w:rPr>
          <w:rFonts w:hint="eastAsia" w:ascii="Times New Roman" w:hAnsi="宋体" w:eastAsia="宋体" w:cs="Times New Roman"/>
          <w:kern w:val="2"/>
          <w:sz w:val="21"/>
          <w:szCs w:val="21"/>
          <w:lang w:val="en-US" w:eastAsia="zh-CN" w:bidi="ar-SA"/>
        </w:rPr>
        <w:t>由采购人授权代表和项目评审组织人员组成的抽签小组随机抽取中标供应商。</w:t>
      </w:r>
      <w:r>
        <w:rPr>
          <w:rFonts w:hint="eastAsia" w:ascii="宋体" w:hAnsi="宋体" w:eastAsia="宋体" w:cs="Times New Roman"/>
          <w:b/>
          <w:kern w:val="2"/>
          <w:sz w:val="21"/>
          <w:szCs w:val="21"/>
          <w:lang w:val="en-US" w:eastAsia="zh-CN" w:bidi="ar-SA"/>
        </w:rPr>
        <w:t>抽签程序：</w:t>
      </w:r>
      <w:r>
        <w:rPr>
          <w:rFonts w:hint="eastAsia" w:ascii="宋体" w:hAnsi="宋体" w:eastAsia="宋体" w:cs="Times New Roman"/>
          <w:kern w:val="2"/>
          <w:sz w:val="21"/>
          <w:szCs w:val="21"/>
          <w:lang w:val="en-US" w:eastAsia="zh-CN" w:bidi="ar-SA"/>
        </w:rPr>
        <w:t>在项目评审</w:t>
      </w:r>
      <w:r>
        <w:rPr>
          <w:rFonts w:ascii="宋体" w:hAnsi="宋体" w:eastAsia="宋体" w:cs="Times New Roman"/>
          <w:kern w:val="2"/>
          <w:sz w:val="21"/>
          <w:szCs w:val="21"/>
          <w:lang w:val="en-US" w:eastAsia="zh-CN" w:bidi="ar-SA"/>
        </w:rPr>
        <w:t>结束的当日，</w:t>
      </w:r>
      <w:r>
        <w:rPr>
          <w:rFonts w:hint="eastAsia" w:ascii="宋体" w:hAnsi="宋体" w:eastAsia="宋体" w:cs="Times New Roman"/>
          <w:kern w:val="2"/>
          <w:sz w:val="21"/>
          <w:szCs w:val="21"/>
          <w:lang w:val="en-US" w:eastAsia="zh-CN" w:bidi="ar-SA"/>
        </w:rPr>
        <w:t>由采购单位授权代表和</w:t>
      </w:r>
      <w:r>
        <w:rPr>
          <w:rFonts w:hint="eastAsia" w:ascii="宋体" w:hAnsi="宋体" w:eastAsia="宋体" w:cs="Times New Roman"/>
          <w:bCs/>
          <w:kern w:val="2"/>
          <w:sz w:val="21"/>
          <w:szCs w:val="21"/>
          <w:lang w:val="en-US" w:eastAsia="zh-CN" w:bidi="ar-SA"/>
        </w:rPr>
        <w:t>项目评审组织人员</w:t>
      </w:r>
      <w:r>
        <w:rPr>
          <w:rFonts w:hint="eastAsia" w:ascii="宋体" w:hAnsi="宋体" w:eastAsia="宋体" w:cs="Times New Roman"/>
          <w:kern w:val="2"/>
          <w:sz w:val="21"/>
          <w:szCs w:val="21"/>
          <w:lang w:val="en-US" w:eastAsia="zh-CN" w:bidi="ar-SA"/>
        </w:rPr>
        <w:t>组成抽签小组，在评标委员会的监督下，进行抽签定标。本项目抽签按最大号中标原则，根据中标候选供应商的排序，抽中最大号者为中标供应商。程序如下：①采购单位授权代表进行抽签；②按照候选中标供应商签到顺序先后依次进行抽签；③采购单位授权代表按抽签按钮后如果没有抽到号码球，则再按抽签按钮重抽一次，直至抽到号码球为止；④首轮抽签结束后，因候选中标供应商有重号而无法确定中标结果的，重号的候选中标供应商进行下一轮抽签，以决定该重号候选中标供应商的排序，抽签顺序和中标原则不变，直至确定中标结果为止；⑤采购单位授权代表抽签后须对抽签结果进行签字确认。</w:t>
      </w:r>
    </w:p>
    <w:p>
      <w:pPr>
        <w:widowControl w:val="0"/>
        <w:numPr>
          <w:ilvl w:val="0"/>
          <w:numId w:val="1"/>
        </w:numPr>
        <w:spacing w:line="360" w:lineRule="exact"/>
        <w:ind w:left="0" w:firstLine="386" w:firstLineChars="183"/>
        <w:jc w:val="both"/>
        <w:rPr>
          <w:rFonts w:ascii="宋体" w:hAnsi="宋体" w:eastAsia="宋体" w:cs="Times New Roman"/>
          <w:kern w:val="2"/>
          <w:sz w:val="21"/>
          <w:szCs w:val="21"/>
          <w:lang w:val="en-US" w:eastAsia="zh-CN" w:bidi="ar-SA"/>
        </w:rPr>
      </w:pPr>
      <w:r>
        <w:rPr>
          <w:rFonts w:hint="eastAsia" w:ascii="宋体" w:hAnsi="宋体" w:eastAsia="宋体" w:cs="Times New Roman"/>
          <w:b/>
          <w:kern w:val="2"/>
          <w:sz w:val="21"/>
          <w:szCs w:val="21"/>
          <w:lang w:val="en-US" w:eastAsia="zh-CN" w:bidi="ar-SA"/>
        </w:rPr>
        <w:t>竞价法：</w:t>
      </w:r>
      <w:r>
        <w:rPr>
          <w:rFonts w:hint="eastAsia" w:ascii="Times New Roman" w:hAnsi="宋体" w:eastAsia="宋体" w:cs="Times New Roman"/>
          <w:kern w:val="2"/>
          <w:sz w:val="21"/>
          <w:szCs w:val="21"/>
          <w:lang w:val="en-US" w:eastAsia="zh-CN" w:bidi="ar-SA"/>
        </w:rPr>
        <w:t>由采购人授权代表和项目评审组织人员组成的竞价小组，组织候选中标供应商进行二次竞价，最终报价最低的为中标供应商。</w:t>
      </w:r>
      <w:r>
        <w:rPr>
          <w:rFonts w:hint="eastAsia" w:ascii="宋体" w:hAnsi="宋体" w:eastAsia="宋体" w:cs="Times New Roman"/>
          <w:b/>
          <w:kern w:val="2"/>
          <w:sz w:val="21"/>
          <w:szCs w:val="21"/>
          <w:lang w:val="en-US" w:eastAsia="zh-CN" w:bidi="ar-SA"/>
        </w:rPr>
        <w:t>竞价程序：</w:t>
      </w:r>
      <w:r>
        <w:rPr>
          <w:rFonts w:hint="eastAsia" w:ascii="宋体" w:hAnsi="宋体" w:eastAsia="宋体" w:cs="Times New Roman"/>
          <w:kern w:val="2"/>
          <w:sz w:val="21"/>
          <w:szCs w:val="21"/>
          <w:lang w:val="en-US" w:eastAsia="zh-CN" w:bidi="ar-SA"/>
        </w:rPr>
        <w:t>（1）评审结束后首个工作日，由采购人授权代表和项目评审组织人员组成的竞价小组，组织候选中标供应商进行二次竞价；（2）中标候选供应商应派授权代表到场，未在指定时间内到达现场或不到现场的供应商，竞价价格以其投标文件的投标报价为准；（3）供应商授权代表进行书面的二次竞价，每个供应商只有一次报价机会；（4）所有中标候选供应商统一递交二次竞价表；（5）竞价小组成员签字确认竞价结果并现场宣布供应商竞价价格。</w:t>
      </w:r>
    </w:p>
    <w:p>
      <w:pPr>
        <w:spacing w:line="360" w:lineRule="exact"/>
        <w:ind w:firstLine="386" w:firstLineChars="183"/>
        <w:rPr>
          <w:rFonts w:ascii="Calibri" w:hAnsi="宋体"/>
          <w:szCs w:val="21"/>
        </w:rPr>
      </w:pPr>
      <w:r>
        <w:rPr>
          <w:rFonts w:hint="eastAsia" w:ascii="Calibri" w:hAnsi="宋体"/>
          <w:b/>
          <w:szCs w:val="21"/>
        </w:rPr>
        <w:t>备注：</w:t>
      </w:r>
      <w:r>
        <w:rPr>
          <w:rFonts w:hint="eastAsia" w:ascii="Calibri" w:hAnsi="宋体"/>
          <w:szCs w:val="21"/>
        </w:rPr>
        <w:t>①投标人应提前做好准备，按要求准时到达竞价现场；②候选中标供应商竞价的价格不得高于其投标文件中的报价；③二次竞价的价格为投标总价，采购计划条目对应的分项报价按最终报价与原投标报价下浮比例统一下调；④有两家或以上候选中标供应商竞价报价相同且为最低报价时，采用抽签法确定中标供应商。</w:t>
      </w:r>
    </w:p>
    <w:p>
      <w:pPr>
        <w:spacing w:line="360" w:lineRule="exact"/>
        <w:ind w:firstLine="386" w:firstLineChars="183"/>
        <w:rPr>
          <w:rFonts w:hAnsi="宋体"/>
          <w:szCs w:val="21"/>
          <w:shd w:val="pct10" w:color="auto" w:fill="FFFFFF"/>
        </w:rPr>
      </w:pPr>
      <w:r>
        <w:rPr>
          <w:rFonts w:hint="eastAsia" w:ascii="宋体" w:hAnsi="宋体"/>
          <w:b/>
          <w:szCs w:val="21"/>
        </w:rPr>
        <w:t>4、质疑投诉处理：</w:t>
      </w:r>
      <w:r>
        <w:rPr>
          <w:rFonts w:hint="eastAsia" w:ascii="宋体" w:hAnsi="宋体"/>
          <w:szCs w:val="21"/>
        </w:rPr>
        <w:t>确定中标供应商后出现质疑投诉的，按照政府有关规定和程序进行处理：（1）如中标供应商因项目质疑、投诉等问题被取消或放弃中标资格的，则该项目作废标处理重新组织招标；（2）如候选中标供应商因质疑投诉等问题被取消候选中标资格，但符合N+2条件的（N为中标供应商数量），则维持原中标结果；（3）如候选中标供应商因质疑投诉等问题被取消候选中标资格，且不符合N+2条件的（N为中标供应商数量），则该项目作废标处理重新组织招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CF3C52" w:usb2="00000016" w:usb3="00000000" w:csb0="0004001F"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ヒラギノ角ゴ Pro W3">
    <w:altName w:val="MS Gothic"/>
    <w:panose1 w:val="00000000000000000000"/>
    <w:charset w:val="80"/>
    <w:family w:val="auto"/>
    <w:pitch w:val="default"/>
    <w:sig w:usb0="00000000" w:usb1="00000000" w:usb2="07040001" w:usb3="00000000" w:csb0="00020000"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A216A"/>
    <w:multiLevelType w:val="multilevel"/>
    <w:tmpl w:val="2A8A216A"/>
    <w:lvl w:ilvl="0" w:tentative="0">
      <w:start w:val="1"/>
      <w:numFmt w:val="bullet"/>
      <w:lvlText w:val=""/>
      <w:lvlJc w:val="left"/>
      <w:pPr>
        <w:ind w:left="842" w:hanging="420"/>
      </w:pPr>
      <w:rPr>
        <w:rFonts w:hint="default" w:ascii="Wingdings" w:hAnsi="Wingdings"/>
      </w:rPr>
    </w:lvl>
    <w:lvl w:ilvl="1" w:tentative="0">
      <w:start w:val="1"/>
      <w:numFmt w:val="bullet"/>
      <w:lvlText w:val=""/>
      <w:lvlJc w:val="left"/>
      <w:pPr>
        <w:ind w:left="1262" w:hanging="420"/>
      </w:pPr>
      <w:rPr>
        <w:rFonts w:hint="default" w:ascii="Wingdings" w:hAnsi="Wingdings"/>
      </w:rPr>
    </w:lvl>
    <w:lvl w:ilvl="2" w:tentative="0">
      <w:start w:val="1"/>
      <w:numFmt w:val="bullet"/>
      <w:lvlText w:val=""/>
      <w:lvlJc w:val="left"/>
      <w:pPr>
        <w:ind w:left="1682" w:hanging="420"/>
      </w:pPr>
      <w:rPr>
        <w:rFonts w:hint="default" w:ascii="Wingdings" w:hAnsi="Wingdings"/>
      </w:rPr>
    </w:lvl>
    <w:lvl w:ilvl="3" w:tentative="0">
      <w:start w:val="1"/>
      <w:numFmt w:val="bullet"/>
      <w:lvlText w:val=""/>
      <w:lvlJc w:val="left"/>
      <w:pPr>
        <w:ind w:left="2102" w:hanging="420"/>
      </w:pPr>
      <w:rPr>
        <w:rFonts w:hint="default" w:ascii="Wingdings" w:hAnsi="Wingdings"/>
      </w:rPr>
    </w:lvl>
    <w:lvl w:ilvl="4" w:tentative="0">
      <w:start w:val="1"/>
      <w:numFmt w:val="bullet"/>
      <w:lvlText w:val=""/>
      <w:lvlJc w:val="left"/>
      <w:pPr>
        <w:ind w:left="2522" w:hanging="420"/>
      </w:pPr>
      <w:rPr>
        <w:rFonts w:hint="default" w:ascii="Wingdings" w:hAnsi="Wingdings"/>
      </w:rPr>
    </w:lvl>
    <w:lvl w:ilvl="5" w:tentative="0">
      <w:start w:val="1"/>
      <w:numFmt w:val="bullet"/>
      <w:lvlText w:val=""/>
      <w:lvlJc w:val="left"/>
      <w:pPr>
        <w:ind w:left="2942" w:hanging="420"/>
      </w:pPr>
      <w:rPr>
        <w:rFonts w:hint="default" w:ascii="Wingdings" w:hAnsi="Wingdings"/>
      </w:rPr>
    </w:lvl>
    <w:lvl w:ilvl="6" w:tentative="0">
      <w:start w:val="1"/>
      <w:numFmt w:val="bullet"/>
      <w:lvlText w:val=""/>
      <w:lvlJc w:val="left"/>
      <w:pPr>
        <w:ind w:left="3362" w:hanging="420"/>
      </w:pPr>
      <w:rPr>
        <w:rFonts w:hint="default" w:ascii="Wingdings" w:hAnsi="Wingdings"/>
      </w:rPr>
    </w:lvl>
    <w:lvl w:ilvl="7" w:tentative="0">
      <w:start w:val="1"/>
      <w:numFmt w:val="bullet"/>
      <w:lvlText w:val=""/>
      <w:lvlJc w:val="left"/>
      <w:pPr>
        <w:ind w:left="3782" w:hanging="420"/>
      </w:pPr>
      <w:rPr>
        <w:rFonts w:hint="default" w:ascii="Wingdings" w:hAnsi="Wingdings"/>
      </w:rPr>
    </w:lvl>
    <w:lvl w:ilvl="8" w:tentative="0">
      <w:start w:val="1"/>
      <w:numFmt w:val="bullet"/>
      <w:lvlText w:val=""/>
      <w:lvlJc w:val="left"/>
      <w:pPr>
        <w:ind w:left="4202"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B0"/>
    <w:rsid w:val="0000276A"/>
    <w:rsid w:val="000165B3"/>
    <w:rsid w:val="00066A4E"/>
    <w:rsid w:val="00083BE5"/>
    <w:rsid w:val="000C6C98"/>
    <w:rsid w:val="000E42B6"/>
    <w:rsid w:val="00103D7B"/>
    <w:rsid w:val="00114EC5"/>
    <w:rsid w:val="00116631"/>
    <w:rsid w:val="001566D8"/>
    <w:rsid w:val="00174D4C"/>
    <w:rsid w:val="001B4A45"/>
    <w:rsid w:val="001E1D32"/>
    <w:rsid w:val="001E68FB"/>
    <w:rsid w:val="00204B3A"/>
    <w:rsid w:val="00234EA0"/>
    <w:rsid w:val="002630EE"/>
    <w:rsid w:val="002872EA"/>
    <w:rsid w:val="0029591A"/>
    <w:rsid w:val="002A31C7"/>
    <w:rsid w:val="002B6D3A"/>
    <w:rsid w:val="00365342"/>
    <w:rsid w:val="00383E86"/>
    <w:rsid w:val="003A555B"/>
    <w:rsid w:val="003B3CE7"/>
    <w:rsid w:val="003D3740"/>
    <w:rsid w:val="00412BDB"/>
    <w:rsid w:val="00413017"/>
    <w:rsid w:val="00443E7A"/>
    <w:rsid w:val="004671BD"/>
    <w:rsid w:val="004A4470"/>
    <w:rsid w:val="004C589F"/>
    <w:rsid w:val="004F2D63"/>
    <w:rsid w:val="005338E9"/>
    <w:rsid w:val="00562E03"/>
    <w:rsid w:val="005A4785"/>
    <w:rsid w:val="005C35A6"/>
    <w:rsid w:val="00617041"/>
    <w:rsid w:val="00635CC7"/>
    <w:rsid w:val="00647133"/>
    <w:rsid w:val="006A79A7"/>
    <w:rsid w:val="006B446C"/>
    <w:rsid w:val="006D33B0"/>
    <w:rsid w:val="006D5EB1"/>
    <w:rsid w:val="006E18EF"/>
    <w:rsid w:val="00711B36"/>
    <w:rsid w:val="00754159"/>
    <w:rsid w:val="00792C66"/>
    <w:rsid w:val="007E015A"/>
    <w:rsid w:val="007F1AB0"/>
    <w:rsid w:val="00841243"/>
    <w:rsid w:val="00884BA8"/>
    <w:rsid w:val="00890F92"/>
    <w:rsid w:val="0089218F"/>
    <w:rsid w:val="008B510A"/>
    <w:rsid w:val="008C7F37"/>
    <w:rsid w:val="008D1417"/>
    <w:rsid w:val="008D216F"/>
    <w:rsid w:val="008D2519"/>
    <w:rsid w:val="00935575"/>
    <w:rsid w:val="009C529E"/>
    <w:rsid w:val="00A101C4"/>
    <w:rsid w:val="00A6477B"/>
    <w:rsid w:val="00A803CE"/>
    <w:rsid w:val="00A90743"/>
    <w:rsid w:val="00AB189F"/>
    <w:rsid w:val="00AB408F"/>
    <w:rsid w:val="00AB7F57"/>
    <w:rsid w:val="00AF4601"/>
    <w:rsid w:val="00B01EB0"/>
    <w:rsid w:val="00B228C0"/>
    <w:rsid w:val="00B60CE3"/>
    <w:rsid w:val="00B9320A"/>
    <w:rsid w:val="00B94E99"/>
    <w:rsid w:val="00C05D4D"/>
    <w:rsid w:val="00C56BB0"/>
    <w:rsid w:val="00C9413A"/>
    <w:rsid w:val="00C95909"/>
    <w:rsid w:val="00CA1450"/>
    <w:rsid w:val="00CA51E4"/>
    <w:rsid w:val="00CC2050"/>
    <w:rsid w:val="00D250F5"/>
    <w:rsid w:val="00D4511C"/>
    <w:rsid w:val="00D64500"/>
    <w:rsid w:val="00D96F9C"/>
    <w:rsid w:val="00DB1E5B"/>
    <w:rsid w:val="00DD4B84"/>
    <w:rsid w:val="00DE2F33"/>
    <w:rsid w:val="00E0147C"/>
    <w:rsid w:val="00E51B0D"/>
    <w:rsid w:val="00E639FB"/>
    <w:rsid w:val="00E63D51"/>
    <w:rsid w:val="00EA1855"/>
    <w:rsid w:val="00EB4E60"/>
    <w:rsid w:val="00ED24C1"/>
    <w:rsid w:val="00ED5572"/>
    <w:rsid w:val="00EF7F95"/>
    <w:rsid w:val="00F41B66"/>
    <w:rsid w:val="00F43BEE"/>
    <w:rsid w:val="00F57D87"/>
    <w:rsid w:val="00FA75F5"/>
    <w:rsid w:val="00FE0EC1"/>
    <w:rsid w:val="346131C6"/>
    <w:rsid w:val="436C6D1A"/>
    <w:rsid w:val="4B2B1DA0"/>
    <w:rsid w:val="4DA61D6D"/>
    <w:rsid w:val="5C37712C"/>
    <w:rsid w:val="6E43402F"/>
    <w:rsid w:val="74A5233E"/>
    <w:rsid w:val="7C554094"/>
    <w:rsid w:val="7C867B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0"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0"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0"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0"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0"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0"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27"/>
    <w:qFormat/>
    <w:uiPriority w:val="0"/>
    <w:pPr>
      <w:keepNext/>
      <w:keepLines/>
      <w:spacing w:before="340" w:after="330" w:line="578" w:lineRule="auto"/>
      <w:outlineLvl w:val="0"/>
    </w:pPr>
    <w:rPr>
      <w:rFonts w:cs="Calibri"/>
      <w:b/>
      <w:bCs/>
      <w:kern w:val="44"/>
      <w:sz w:val="44"/>
      <w:szCs w:val="44"/>
    </w:rPr>
  </w:style>
  <w:style w:type="paragraph" w:styleId="3">
    <w:name w:val="heading 2"/>
    <w:basedOn w:val="1"/>
    <w:next w:val="1"/>
    <w:link w:val="266"/>
    <w:qFormat/>
    <w:uiPriority w:val="0"/>
    <w:pPr>
      <w:keepNext/>
      <w:keepLines/>
      <w:spacing w:before="260" w:after="260" w:line="415" w:lineRule="auto"/>
      <w:outlineLvl w:val="1"/>
    </w:pPr>
    <w:rPr>
      <w:rFonts w:ascii="Cambria" w:hAnsi="Cambria" w:cs="宋体"/>
      <w:b/>
      <w:bCs/>
      <w:sz w:val="32"/>
      <w:szCs w:val="32"/>
    </w:rPr>
  </w:style>
  <w:style w:type="paragraph" w:styleId="4">
    <w:name w:val="heading 3"/>
    <w:basedOn w:val="1"/>
    <w:next w:val="1"/>
    <w:link w:val="228"/>
    <w:qFormat/>
    <w:uiPriority w:val="0"/>
    <w:pPr>
      <w:widowControl/>
      <w:spacing w:before="100" w:beforeAutospacing="1" w:after="100" w:afterAutospacing="1"/>
      <w:jc w:val="left"/>
      <w:outlineLvl w:val="2"/>
    </w:pPr>
    <w:rPr>
      <w:rFonts w:ascii="宋体" w:hAnsi="宋体" w:cs="宋体"/>
      <w:b/>
      <w:bCs/>
      <w:kern w:val="0"/>
      <w:sz w:val="27"/>
      <w:szCs w:val="27"/>
    </w:rPr>
  </w:style>
  <w:style w:type="paragraph" w:styleId="5">
    <w:name w:val="heading 4"/>
    <w:basedOn w:val="1"/>
    <w:next w:val="1"/>
    <w:link w:val="281"/>
    <w:semiHidden/>
    <w:unhideWhenUsed/>
    <w:qFormat/>
    <w:uiPriority w:val="0"/>
    <w:pPr>
      <w:keepNext/>
      <w:keepLines/>
      <w:spacing w:before="280" w:after="290" w:line="376" w:lineRule="auto"/>
      <w:outlineLvl w:val="3"/>
    </w:pPr>
    <w:rPr>
      <w:rFonts w:ascii="Cambria" w:hAnsi="Cambria"/>
      <w:b/>
      <w:bCs/>
      <w:sz w:val="28"/>
      <w:szCs w:val="28"/>
    </w:rPr>
  </w:style>
  <w:style w:type="character" w:default="1" w:styleId="39">
    <w:name w:val="Default Paragraph Font"/>
    <w:semiHidden/>
    <w:unhideWhenUsed/>
    <w:qFormat/>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6">
    <w:name w:val="toc 7"/>
    <w:basedOn w:val="1"/>
    <w:next w:val="1"/>
    <w:semiHidden/>
    <w:qFormat/>
    <w:uiPriority w:val="0"/>
    <w:pPr>
      <w:ind w:left="1260"/>
      <w:jc w:val="left"/>
    </w:pPr>
    <w:rPr>
      <w:sz w:val="18"/>
      <w:szCs w:val="18"/>
    </w:rPr>
  </w:style>
  <w:style w:type="paragraph" w:styleId="7">
    <w:name w:val="Normal Indent"/>
    <w:basedOn w:val="1"/>
    <w:link w:val="67"/>
    <w:qFormat/>
    <w:uiPriority w:val="0"/>
    <w:pPr>
      <w:ind w:firstLine="420" w:firstLineChars="200"/>
    </w:pPr>
    <w:rPr>
      <w:szCs w:val="24"/>
    </w:rPr>
  </w:style>
  <w:style w:type="paragraph" w:styleId="8">
    <w:name w:val="Document Map"/>
    <w:basedOn w:val="1"/>
    <w:link w:val="47"/>
    <w:unhideWhenUsed/>
    <w:qFormat/>
    <w:uiPriority w:val="0"/>
    <w:rPr>
      <w:rFonts w:ascii="宋体"/>
      <w:sz w:val="18"/>
      <w:szCs w:val="18"/>
    </w:rPr>
  </w:style>
  <w:style w:type="paragraph" w:styleId="9">
    <w:name w:val="annotation text"/>
    <w:basedOn w:val="1"/>
    <w:link w:val="68"/>
    <w:qFormat/>
    <w:uiPriority w:val="0"/>
    <w:pPr>
      <w:jc w:val="left"/>
    </w:pPr>
  </w:style>
  <w:style w:type="paragraph" w:styleId="10">
    <w:name w:val="Body Text 3"/>
    <w:basedOn w:val="1"/>
    <w:link w:val="56"/>
    <w:qFormat/>
    <w:uiPriority w:val="0"/>
    <w:pPr>
      <w:spacing w:line="440" w:lineRule="exact"/>
    </w:pPr>
    <w:rPr>
      <w:rFonts w:eastAsia="仿宋_GB2312"/>
      <w:sz w:val="28"/>
    </w:rPr>
  </w:style>
  <w:style w:type="paragraph" w:styleId="11">
    <w:name w:val="Body Text"/>
    <w:basedOn w:val="1"/>
    <w:link w:val="54"/>
    <w:qFormat/>
    <w:uiPriority w:val="0"/>
    <w:rPr>
      <w:rFonts w:ascii="仿宋_GB2312" w:eastAsia="仿宋_GB2312"/>
      <w:sz w:val="32"/>
    </w:rPr>
  </w:style>
  <w:style w:type="paragraph" w:styleId="12">
    <w:name w:val="Body Text Indent"/>
    <w:basedOn w:val="1"/>
    <w:link w:val="53"/>
    <w:qFormat/>
    <w:uiPriority w:val="0"/>
    <w:pPr>
      <w:spacing w:before="120" w:line="400" w:lineRule="exact"/>
      <w:ind w:firstLine="600"/>
    </w:pPr>
    <w:rPr>
      <w:sz w:val="28"/>
    </w:rPr>
  </w:style>
  <w:style w:type="paragraph" w:styleId="13">
    <w:name w:val="toc 5"/>
    <w:basedOn w:val="1"/>
    <w:next w:val="1"/>
    <w:semiHidden/>
    <w:qFormat/>
    <w:uiPriority w:val="0"/>
    <w:pPr>
      <w:ind w:left="840"/>
      <w:jc w:val="left"/>
    </w:pPr>
    <w:rPr>
      <w:sz w:val="18"/>
      <w:szCs w:val="18"/>
    </w:rPr>
  </w:style>
  <w:style w:type="paragraph" w:styleId="14">
    <w:name w:val="toc 3"/>
    <w:basedOn w:val="1"/>
    <w:next w:val="1"/>
    <w:qFormat/>
    <w:uiPriority w:val="0"/>
    <w:pPr>
      <w:tabs>
        <w:tab w:val="right" w:leader="dot" w:pos="8989"/>
      </w:tabs>
      <w:spacing w:line="440" w:lineRule="exact"/>
      <w:ind w:left="420"/>
      <w:jc w:val="left"/>
    </w:pPr>
    <w:rPr>
      <w:rFonts w:ascii="宋体" w:hAnsi="宋体"/>
      <w:b/>
      <w:bCs/>
      <w:iCs/>
      <w:szCs w:val="21"/>
    </w:rPr>
  </w:style>
  <w:style w:type="paragraph" w:styleId="15">
    <w:name w:val="toc 8"/>
    <w:basedOn w:val="1"/>
    <w:next w:val="1"/>
    <w:semiHidden/>
    <w:qFormat/>
    <w:uiPriority w:val="0"/>
    <w:pPr>
      <w:ind w:left="1470"/>
      <w:jc w:val="left"/>
    </w:pPr>
    <w:rPr>
      <w:sz w:val="18"/>
      <w:szCs w:val="18"/>
    </w:rPr>
  </w:style>
  <w:style w:type="paragraph" w:styleId="16">
    <w:name w:val="Date"/>
    <w:basedOn w:val="1"/>
    <w:next w:val="1"/>
    <w:link w:val="50"/>
    <w:qFormat/>
    <w:uiPriority w:val="0"/>
    <w:pPr>
      <w:adjustRightInd w:val="0"/>
      <w:spacing w:line="312" w:lineRule="atLeast"/>
      <w:jc w:val="right"/>
      <w:textAlignment w:val="baseline"/>
    </w:pPr>
    <w:rPr>
      <w:kern w:val="0"/>
      <w:sz w:val="32"/>
    </w:rPr>
  </w:style>
  <w:style w:type="paragraph" w:styleId="17">
    <w:name w:val="Body Text Indent 2"/>
    <w:basedOn w:val="1"/>
    <w:link w:val="51"/>
    <w:qFormat/>
    <w:uiPriority w:val="0"/>
    <w:pPr>
      <w:autoSpaceDE w:val="0"/>
      <w:autoSpaceDN w:val="0"/>
      <w:adjustRightInd w:val="0"/>
      <w:spacing w:line="360" w:lineRule="auto"/>
      <w:ind w:left="560" w:firstLine="565"/>
      <w:jc w:val="left"/>
      <w:textAlignment w:val="baseline"/>
    </w:pPr>
    <w:rPr>
      <w:rFonts w:ascii="宋体"/>
      <w:kern w:val="0"/>
      <w:sz w:val="28"/>
    </w:rPr>
  </w:style>
  <w:style w:type="paragraph" w:styleId="18">
    <w:name w:val="Balloon Text"/>
    <w:basedOn w:val="1"/>
    <w:link w:val="60"/>
    <w:qFormat/>
    <w:uiPriority w:val="0"/>
    <w:rPr>
      <w:sz w:val="18"/>
      <w:szCs w:val="18"/>
    </w:rPr>
  </w:style>
  <w:style w:type="paragraph" w:styleId="19">
    <w:name w:val="footer"/>
    <w:basedOn w:val="1"/>
    <w:link w:val="46"/>
    <w:unhideWhenUsed/>
    <w:qFormat/>
    <w:uiPriority w:val="0"/>
    <w:pPr>
      <w:tabs>
        <w:tab w:val="center" w:pos="4153"/>
        <w:tab w:val="right" w:pos="8306"/>
      </w:tabs>
      <w:snapToGrid w:val="0"/>
      <w:jc w:val="left"/>
    </w:pPr>
    <w:rPr>
      <w:sz w:val="18"/>
      <w:szCs w:val="18"/>
    </w:rPr>
  </w:style>
  <w:style w:type="paragraph" w:styleId="20">
    <w:name w:val="header"/>
    <w:basedOn w:val="1"/>
    <w:link w:val="45"/>
    <w:unhideWhenUsed/>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0"/>
    <w:pPr>
      <w:tabs>
        <w:tab w:val="right" w:leader="dot" w:pos="8989"/>
      </w:tabs>
      <w:spacing w:line="440" w:lineRule="exact"/>
    </w:pPr>
    <w:rPr>
      <w:rFonts w:ascii="宋体" w:hAnsi="宋体"/>
      <w:b/>
      <w:bCs/>
      <w:caps/>
      <w:szCs w:val="21"/>
    </w:rPr>
  </w:style>
  <w:style w:type="paragraph" w:styleId="22">
    <w:name w:val="toc 4"/>
    <w:basedOn w:val="1"/>
    <w:next w:val="1"/>
    <w:qFormat/>
    <w:uiPriority w:val="0"/>
    <w:pPr>
      <w:ind w:left="630"/>
      <w:jc w:val="left"/>
    </w:pPr>
    <w:rPr>
      <w:sz w:val="18"/>
      <w:szCs w:val="18"/>
    </w:rPr>
  </w:style>
  <w:style w:type="paragraph" w:styleId="23">
    <w:name w:val="toc 6"/>
    <w:basedOn w:val="1"/>
    <w:next w:val="1"/>
    <w:semiHidden/>
    <w:qFormat/>
    <w:uiPriority w:val="0"/>
    <w:pPr>
      <w:ind w:left="1050"/>
      <w:jc w:val="left"/>
    </w:pPr>
    <w:rPr>
      <w:sz w:val="18"/>
      <w:szCs w:val="18"/>
    </w:rPr>
  </w:style>
  <w:style w:type="paragraph" w:styleId="24">
    <w:name w:val="Body Text Indent 3"/>
    <w:basedOn w:val="1"/>
    <w:link w:val="52"/>
    <w:qFormat/>
    <w:uiPriority w:val="0"/>
    <w:pPr>
      <w:autoSpaceDE w:val="0"/>
      <w:autoSpaceDN w:val="0"/>
      <w:adjustRightInd w:val="0"/>
      <w:spacing w:line="360" w:lineRule="auto"/>
      <w:ind w:left="560"/>
      <w:jc w:val="left"/>
      <w:textAlignment w:val="baseline"/>
    </w:pPr>
    <w:rPr>
      <w:rFonts w:ascii="宋体"/>
      <w:kern w:val="0"/>
      <w:sz w:val="28"/>
    </w:rPr>
  </w:style>
  <w:style w:type="paragraph" w:styleId="25">
    <w:name w:val="toc 2"/>
    <w:basedOn w:val="1"/>
    <w:next w:val="1"/>
    <w:qFormat/>
    <w:uiPriority w:val="0"/>
    <w:pPr>
      <w:ind w:left="210"/>
      <w:jc w:val="left"/>
    </w:pPr>
    <w:rPr>
      <w:smallCaps/>
      <w:sz w:val="20"/>
    </w:rPr>
  </w:style>
  <w:style w:type="paragraph" w:styleId="26">
    <w:name w:val="toc 9"/>
    <w:basedOn w:val="1"/>
    <w:next w:val="1"/>
    <w:semiHidden/>
    <w:qFormat/>
    <w:uiPriority w:val="0"/>
    <w:pPr>
      <w:ind w:left="1680"/>
      <w:jc w:val="left"/>
    </w:pPr>
    <w:rPr>
      <w:sz w:val="18"/>
      <w:szCs w:val="18"/>
    </w:rPr>
  </w:style>
  <w:style w:type="paragraph" w:styleId="27">
    <w:name w:val="Body Text 2"/>
    <w:basedOn w:val="1"/>
    <w:link w:val="55"/>
    <w:qFormat/>
    <w:uiPriority w:val="0"/>
    <w:rPr>
      <w:rFonts w:ascii="仿宋_GB2312" w:eastAsia="仿宋_GB2312"/>
      <w:b/>
      <w:bCs/>
      <w:spacing w:val="20"/>
      <w:sz w:val="28"/>
    </w:rPr>
  </w:style>
  <w:style w:type="paragraph" w:styleId="28">
    <w:name w:val="HTML Preformatted"/>
    <w:basedOn w:val="1"/>
    <w:link w:val="248"/>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2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0">
    <w:name w:val="annotation subject"/>
    <w:basedOn w:val="9"/>
    <w:next w:val="9"/>
    <w:link w:val="69"/>
    <w:qFormat/>
    <w:uiPriority w:val="0"/>
    <w:rPr>
      <w:b/>
      <w:bCs/>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3">
    <w:name w:val="Medium Grid 3 Accent 1"/>
    <w:basedOn w:val="31"/>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3DFEE"/>
    </w:tcPr>
    <w:tblStylePr w:type="firstRow">
      <w:rPr>
        <w:b/>
        <w:bCs/>
        <w:i w:val="0"/>
        <w:iCs w:val="0"/>
        <w:color w:val="FFFFF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FFFFFF"/>
      </w:rPr>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FFFFFF"/>
      </w:rPr>
      <w:tblPr/>
      <w:tcPr>
        <w:tcBorders>
          <w:top w:val="nil"/>
          <w:left w:val="single" w:color="CCE8CF" w:sz="24" w:space="0"/>
          <w:bottom w:val="nil"/>
          <w:right w:val="nil"/>
          <w:insideH w:val="nil"/>
          <w:insideV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34">
    <w:name w:val="Medium Grid 3 Accent 2"/>
    <w:basedOn w:val="31"/>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EFD3D2"/>
    </w:tcPr>
    <w:tblStylePr w:type="firstRow">
      <w:rPr>
        <w:b/>
        <w:bCs/>
        <w:i w:val="0"/>
        <w:iCs w:val="0"/>
        <w:color w:val="FFFFF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FFFFFF"/>
      </w:rPr>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FFFFFF"/>
      </w:rPr>
      <w:tblPr/>
      <w:tcPr>
        <w:tcBorders>
          <w:top w:val="nil"/>
          <w:left w:val="single" w:color="CCE8CF" w:sz="24" w:space="0"/>
          <w:bottom w:val="nil"/>
          <w:right w:val="nil"/>
          <w:insideH w:val="nil"/>
          <w:insideV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35">
    <w:name w:val="Medium Grid 3 Accent 3"/>
    <w:basedOn w:val="31"/>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E6EED5"/>
    </w:tcPr>
    <w:tblStylePr w:type="firstRow">
      <w:rPr>
        <w:b/>
        <w:bCs/>
        <w:i w:val="0"/>
        <w:iCs w:val="0"/>
        <w:color w:val="FFFFF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FFFFFF"/>
      </w:rPr>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FFFFFF"/>
      </w:rPr>
      <w:tblPr/>
      <w:tcPr>
        <w:tcBorders>
          <w:top w:val="nil"/>
          <w:left w:val="single" w:color="CCE8CF" w:sz="24" w:space="0"/>
          <w:bottom w:val="nil"/>
          <w:right w:val="nil"/>
          <w:insideH w:val="nil"/>
          <w:insideV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36">
    <w:name w:val="Medium Grid 3 Accent 4"/>
    <w:basedOn w:val="31"/>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FD8E8"/>
    </w:tcPr>
    <w:tblStylePr w:type="firstRow">
      <w:rPr>
        <w:b/>
        <w:bCs/>
        <w:i w:val="0"/>
        <w:iCs w:val="0"/>
        <w:color w:val="FFFFF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FFFFFF"/>
      </w:rPr>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FFFFFF"/>
      </w:rPr>
      <w:tblPr/>
      <w:tcPr>
        <w:tcBorders>
          <w:top w:val="nil"/>
          <w:left w:val="single" w:color="CCE8CF" w:sz="24" w:space="0"/>
          <w:bottom w:val="nil"/>
          <w:right w:val="nil"/>
          <w:insideH w:val="nil"/>
          <w:insideV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37">
    <w:name w:val="Medium Grid 3 Accent 5"/>
    <w:basedOn w:val="31"/>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2EAF1"/>
    </w:tcPr>
    <w:tblStylePr w:type="firstRow">
      <w:rPr>
        <w:b/>
        <w:bCs/>
        <w:i w:val="0"/>
        <w:iCs w:val="0"/>
        <w:color w:val="FFFFF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FFFFFF"/>
      </w:rPr>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FFFFFF"/>
      </w:rPr>
      <w:tblPr/>
      <w:tcPr>
        <w:tcBorders>
          <w:top w:val="nil"/>
          <w:left w:val="single" w:color="CCE8CF" w:sz="24" w:space="0"/>
          <w:bottom w:val="nil"/>
          <w:right w:val="nil"/>
          <w:insideH w:val="nil"/>
          <w:insideV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38">
    <w:name w:val="Medium Grid 3 Accent 6"/>
    <w:basedOn w:val="31"/>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FDE4D0"/>
    </w:tcPr>
    <w:tblStylePr w:type="firstRow">
      <w:rPr>
        <w:b/>
        <w:bCs/>
        <w:i w:val="0"/>
        <w:iCs w:val="0"/>
        <w:color w:val="FFFFF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FFFFFF"/>
      </w:rPr>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FFFFFF"/>
      </w:rPr>
      <w:tblPr/>
      <w:tcPr>
        <w:tcBorders>
          <w:top w:val="nil"/>
          <w:left w:val="single" w:color="CCE8CF" w:sz="24" w:space="0"/>
          <w:bottom w:val="nil"/>
          <w:right w:val="nil"/>
          <w:insideH w:val="nil"/>
          <w:insideV w:val="nil"/>
        </w:tcBorders>
        <w:shd w:val="clear" w:color="auto" w:fill="F7964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 w:type="character" w:styleId="40">
    <w:name w:val="Strong"/>
    <w:basedOn w:val="39"/>
    <w:qFormat/>
    <w:uiPriority w:val="99"/>
    <w:rPr>
      <w:rFonts w:cs="Times New Roman"/>
      <w:b/>
      <w:bCs/>
    </w:rPr>
  </w:style>
  <w:style w:type="character" w:styleId="41">
    <w:name w:val="page number"/>
    <w:basedOn w:val="39"/>
    <w:qFormat/>
    <w:uiPriority w:val="0"/>
  </w:style>
  <w:style w:type="character" w:styleId="42">
    <w:name w:val="FollowedHyperlink"/>
    <w:qFormat/>
    <w:uiPriority w:val="99"/>
    <w:rPr>
      <w:rFonts w:ascii="Calibri" w:hAnsi="Calibri" w:eastAsia="宋体" w:cs="Times New Roman"/>
      <w:color w:val="954F72"/>
      <w:u w:val="single"/>
    </w:rPr>
  </w:style>
  <w:style w:type="character" w:styleId="43">
    <w:name w:val="Hyperlink"/>
    <w:basedOn w:val="39"/>
    <w:qFormat/>
    <w:uiPriority w:val="99"/>
    <w:rPr>
      <w:color w:val="0000FF"/>
      <w:u w:val="none"/>
    </w:rPr>
  </w:style>
  <w:style w:type="character" w:styleId="44">
    <w:name w:val="annotation reference"/>
    <w:basedOn w:val="39"/>
    <w:qFormat/>
    <w:uiPriority w:val="0"/>
    <w:rPr>
      <w:sz w:val="21"/>
      <w:szCs w:val="21"/>
    </w:rPr>
  </w:style>
  <w:style w:type="character" w:customStyle="1" w:styleId="45">
    <w:name w:val="页眉 字符1"/>
    <w:basedOn w:val="39"/>
    <w:link w:val="20"/>
    <w:qFormat/>
    <w:uiPriority w:val="99"/>
    <w:rPr>
      <w:rFonts w:ascii="Times New Roman" w:hAnsi="Times New Roman" w:eastAsia="宋体" w:cs="Times New Roman"/>
      <w:sz w:val="18"/>
      <w:szCs w:val="18"/>
    </w:rPr>
  </w:style>
  <w:style w:type="character" w:customStyle="1" w:styleId="46">
    <w:name w:val="页脚 字符1"/>
    <w:basedOn w:val="39"/>
    <w:link w:val="19"/>
    <w:qFormat/>
    <w:uiPriority w:val="0"/>
    <w:rPr>
      <w:rFonts w:ascii="Times New Roman" w:hAnsi="Times New Roman" w:eastAsia="宋体" w:cs="Times New Roman"/>
      <w:sz w:val="18"/>
      <w:szCs w:val="18"/>
    </w:rPr>
  </w:style>
  <w:style w:type="character" w:customStyle="1" w:styleId="47">
    <w:name w:val="文档结构图 字符"/>
    <w:basedOn w:val="39"/>
    <w:link w:val="8"/>
    <w:qFormat/>
    <w:uiPriority w:val="0"/>
    <w:rPr>
      <w:rFonts w:ascii="宋体" w:hAnsi="Times New Roman" w:eastAsia="宋体" w:cs="Times New Roman"/>
      <w:sz w:val="18"/>
      <w:szCs w:val="18"/>
    </w:rPr>
  </w:style>
  <w:style w:type="table" w:customStyle="1" w:styleId="48">
    <w:name w:val="网格型3"/>
    <w:basedOn w:val="3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
    <w:name w:val="网格型4"/>
    <w:basedOn w:val="3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0">
    <w:name w:val="日期 字符"/>
    <w:basedOn w:val="39"/>
    <w:link w:val="16"/>
    <w:qFormat/>
    <w:uiPriority w:val="0"/>
    <w:rPr>
      <w:rFonts w:ascii="Times New Roman" w:hAnsi="Times New Roman" w:eastAsia="宋体" w:cs="Times New Roman"/>
      <w:kern w:val="0"/>
      <w:sz w:val="32"/>
      <w:szCs w:val="20"/>
    </w:rPr>
  </w:style>
  <w:style w:type="character" w:customStyle="1" w:styleId="51">
    <w:name w:val="正文文本缩进 2 字符"/>
    <w:basedOn w:val="39"/>
    <w:link w:val="17"/>
    <w:qFormat/>
    <w:uiPriority w:val="0"/>
    <w:rPr>
      <w:rFonts w:ascii="宋体" w:hAnsi="Times New Roman" w:eastAsia="宋体" w:cs="Times New Roman"/>
      <w:kern w:val="0"/>
      <w:sz w:val="28"/>
      <w:szCs w:val="20"/>
    </w:rPr>
  </w:style>
  <w:style w:type="character" w:customStyle="1" w:styleId="52">
    <w:name w:val="正文文本缩进 3 字符"/>
    <w:basedOn w:val="39"/>
    <w:link w:val="24"/>
    <w:qFormat/>
    <w:uiPriority w:val="0"/>
    <w:rPr>
      <w:rFonts w:ascii="宋体" w:hAnsi="Times New Roman" w:eastAsia="宋体" w:cs="Times New Roman"/>
      <w:kern w:val="0"/>
      <w:sz w:val="28"/>
      <w:szCs w:val="20"/>
    </w:rPr>
  </w:style>
  <w:style w:type="character" w:customStyle="1" w:styleId="53">
    <w:name w:val="正文文本缩进 字符"/>
    <w:basedOn w:val="39"/>
    <w:link w:val="12"/>
    <w:qFormat/>
    <w:uiPriority w:val="0"/>
    <w:rPr>
      <w:rFonts w:ascii="Times New Roman" w:hAnsi="Times New Roman" w:eastAsia="宋体" w:cs="Times New Roman"/>
      <w:sz w:val="28"/>
      <w:szCs w:val="20"/>
    </w:rPr>
  </w:style>
  <w:style w:type="character" w:customStyle="1" w:styleId="54">
    <w:name w:val="正文文本 字符"/>
    <w:basedOn w:val="39"/>
    <w:link w:val="11"/>
    <w:qFormat/>
    <w:uiPriority w:val="0"/>
    <w:rPr>
      <w:rFonts w:ascii="仿宋_GB2312" w:hAnsi="Times New Roman" w:eastAsia="仿宋_GB2312" w:cs="Times New Roman"/>
      <w:sz w:val="32"/>
      <w:szCs w:val="20"/>
    </w:rPr>
  </w:style>
  <w:style w:type="character" w:customStyle="1" w:styleId="55">
    <w:name w:val="正文文本 2 字符"/>
    <w:basedOn w:val="39"/>
    <w:link w:val="27"/>
    <w:qFormat/>
    <w:uiPriority w:val="0"/>
    <w:rPr>
      <w:rFonts w:ascii="仿宋_GB2312" w:hAnsi="Times New Roman" w:eastAsia="仿宋_GB2312" w:cs="Times New Roman"/>
      <w:b/>
      <w:bCs/>
      <w:spacing w:val="20"/>
      <w:sz w:val="28"/>
      <w:szCs w:val="20"/>
    </w:rPr>
  </w:style>
  <w:style w:type="character" w:customStyle="1" w:styleId="56">
    <w:name w:val="正文文本 3 字符"/>
    <w:basedOn w:val="39"/>
    <w:link w:val="10"/>
    <w:qFormat/>
    <w:uiPriority w:val="0"/>
    <w:rPr>
      <w:rFonts w:ascii="Times New Roman" w:hAnsi="Times New Roman" w:eastAsia="仿宋_GB2312" w:cs="Times New Roman"/>
      <w:sz w:val="28"/>
      <w:szCs w:val="20"/>
    </w:rPr>
  </w:style>
  <w:style w:type="paragraph" w:customStyle="1" w:styleId="57">
    <w:name w:val="Char Char Char Char"/>
    <w:basedOn w:val="1"/>
    <w:qFormat/>
    <w:uiPriority w:val="0"/>
    <w:rPr>
      <w:rFonts w:ascii="Tahoma" w:hAnsi="Tahoma"/>
      <w:sz w:val="24"/>
    </w:rPr>
  </w:style>
  <w:style w:type="paragraph" w:customStyle="1" w:styleId="58">
    <w:name w:val="Char Char Char 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59">
    <w:name w:val="Char"/>
    <w:basedOn w:val="1"/>
    <w:qFormat/>
    <w:uiPriority w:val="0"/>
    <w:pPr>
      <w:widowControl/>
      <w:spacing w:after="160" w:line="240" w:lineRule="exact"/>
      <w:jc w:val="left"/>
    </w:pPr>
    <w:rPr>
      <w:rFonts w:ascii="Verdana" w:hAnsi="Verdana" w:eastAsia="仿宋_GB2312"/>
      <w:kern w:val="0"/>
      <w:sz w:val="24"/>
      <w:lang w:eastAsia="en-US"/>
    </w:rPr>
  </w:style>
  <w:style w:type="character" w:customStyle="1" w:styleId="60">
    <w:name w:val="批注框文本 字符1"/>
    <w:basedOn w:val="39"/>
    <w:link w:val="18"/>
    <w:qFormat/>
    <w:uiPriority w:val="0"/>
    <w:rPr>
      <w:rFonts w:ascii="Times New Roman" w:hAnsi="Times New Roman" w:eastAsia="宋体" w:cs="Times New Roman"/>
      <w:sz w:val="18"/>
      <w:szCs w:val="18"/>
    </w:rPr>
  </w:style>
  <w:style w:type="paragraph" w:customStyle="1" w:styleId="61">
    <w:name w:val="Char1"/>
    <w:basedOn w:val="1"/>
    <w:qFormat/>
    <w:uiPriority w:val="0"/>
    <w:pPr>
      <w:adjustRightInd w:val="0"/>
      <w:spacing w:line="360" w:lineRule="auto"/>
    </w:pPr>
    <w:rPr>
      <w:kern w:val="0"/>
      <w:sz w:val="24"/>
    </w:rPr>
  </w:style>
  <w:style w:type="paragraph" w:customStyle="1" w:styleId="62">
    <w:name w:val="Char Char1"/>
    <w:basedOn w:val="1"/>
    <w:qFormat/>
    <w:uiPriority w:val="0"/>
    <w:rPr>
      <w:rFonts w:ascii="Tahoma" w:hAnsi="Tahoma" w:cs="Tahoma"/>
      <w:sz w:val="24"/>
      <w:szCs w:val="24"/>
    </w:rPr>
  </w:style>
  <w:style w:type="character" w:customStyle="1" w:styleId="63">
    <w:name w:val="headline-content2"/>
    <w:basedOn w:val="39"/>
    <w:qFormat/>
    <w:uiPriority w:val="0"/>
  </w:style>
  <w:style w:type="paragraph" w:customStyle="1" w:styleId="64">
    <w:name w:val="Char Char11"/>
    <w:basedOn w:val="1"/>
    <w:qFormat/>
    <w:uiPriority w:val="0"/>
    <w:rPr>
      <w:rFonts w:ascii="Tahoma" w:hAnsi="Tahoma" w:cs="Tahoma"/>
      <w:sz w:val="24"/>
      <w:szCs w:val="24"/>
    </w:rPr>
  </w:style>
  <w:style w:type="paragraph" w:customStyle="1" w:styleId="65">
    <w:name w:val="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66">
    <w:name w:val="Char Char Char Char Char Char Char1"/>
    <w:basedOn w:val="1"/>
    <w:qFormat/>
    <w:uiPriority w:val="0"/>
    <w:pPr>
      <w:widowControl/>
      <w:spacing w:after="160" w:line="240" w:lineRule="exact"/>
      <w:jc w:val="left"/>
    </w:pPr>
    <w:rPr>
      <w:rFonts w:ascii="Verdana" w:hAnsi="Verdana" w:eastAsia="仿宋_GB2312"/>
      <w:kern w:val="0"/>
      <w:sz w:val="24"/>
      <w:lang w:eastAsia="en-US"/>
    </w:rPr>
  </w:style>
  <w:style w:type="character" w:customStyle="1" w:styleId="67">
    <w:name w:val="正文缩进 字符"/>
    <w:basedOn w:val="39"/>
    <w:link w:val="7"/>
    <w:qFormat/>
    <w:uiPriority w:val="0"/>
    <w:rPr>
      <w:rFonts w:ascii="Times New Roman" w:hAnsi="Times New Roman" w:eastAsia="宋体" w:cs="Times New Roman"/>
      <w:szCs w:val="24"/>
    </w:rPr>
  </w:style>
  <w:style w:type="character" w:customStyle="1" w:styleId="68">
    <w:name w:val="批注文字 字符1"/>
    <w:basedOn w:val="39"/>
    <w:link w:val="9"/>
    <w:qFormat/>
    <w:uiPriority w:val="0"/>
    <w:rPr>
      <w:rFonts w:ascii="Times New Roman" w:hAnsi="Times New Roman" w:eastAsia="宋体" w:cs="Times New Roman"/>
      <w:szCs w:val="20"/>
    </w:rPr>
  </w:style>
  <w:style w:type="character" w:customStyle="1" w:styleId="69">
    <w:name w:val="批注主题 字符1"/>
    <w:basedOn w:val="68"/>
    <w:link w:val="30"/>
    <w:qFormat/>
    <w:uiPriority w:val="0"/>
    <w:rPr>
      <w:rFonts w:ascii="Times New Roman" w:hAnsi="Times New Roman" w:eastAsia="宋体" w:cs="Times New Roman"/>
      <w:b/>
      <w:bCs/>
      <w:szCs w:val="20"/>
    </w:rPr>
  </w:style>
  <w:style w:type="table" w:customStyle="1" w:styleId="70">
    <w:name w:val="网格型1"/>
    <w:basedOn w:val="3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1">
    <w:name w:val="List Paragraph"/>
    <w:basedOn w:val="1"/>
    <w:qFormat/>
    <w:uiPriority w:val="34"/>
    <w:pPr>
      <w:ind w:firstLine="420" w:firstLineChars="200"/>
    </w:pPr>
    <w:rPr>
      <w:rFonts w:ascii="Calibri" w:hAnsi="Calibri"/>
      <w:szCs w:val="22"/>
    </w:rPr>
  </w:style>
  <w:style w:type="paragraph" w:customStyle="1" w:styleId="72">
    <w:name w:val="Default"/>
    <w:qFormat/>
    <w:uiPriority w:val="0"/>
    <w:pPr>
      <w:widowControl w:val="0"/>
      <w:autoSpaceDE w:val="0"/>
      <w:autoSpaceDN w:val="0"/>
      <w:adjustRightInd w:val="0"/>
    </w:pPr>
    <w:rPr>
      <w:rFonts w:ascii="Arial Narrow" w:hAnsi="Arial Narrow" w:eastAsia="宋体" w:cs="Arial Narrow"/>
      <w:color w:val="000000"/>
      <w:sz w:val="24"/>
      <w:szCs w:val="24"/>
      <w:lang w:val="en-US" w:eastAsia="zh-CN" w:bidi="ar-SA"/>
    </w:rPr>
  </w:style>
  <w:style w:type="character" w:customStyle="1" w:styleId="73">
    <w:name w:val="批注文字 Char1"/>
    <w:basedOn w:val="39"/>
    <w:semiHidden/>
    <w:qFormat/>
    <w:uiPriority w:val="99"/>
    <w:rPr>
      <w:kern w:val="2"/>
      <w:sz w:val="21"/>
      <w:szCs w:val="24"/>
    </w:rPr>
  </w:style>
  <w:style w:type="character" w:customStyle="1" w:styleId="74">
    <w:name w:val="font51"/>
    <w:qFormat/>
    <w:uiPriority w:val="0"/>
    <w:rPr>
      <w:rFonts w:hint="eastAsia" w:ascii="宋体" w:hAnsi="宋体" w:eastAsia="宋体" w:cs="宋体"/>
      <w:color w:val="000000"/>
      <w:sz w:val="20"/>
      <w:szCs w:val="20"/>
      <w:u w:val="none"/>
    </w:rPr>
  </w:style>
  <w:style w:type="character" w:customStyle="1" w:styleId="75">
    <w:name w:val="页脚 Char1"/>
    <w:basedOn w:val="39"/>
    <w:semiHidden/>
    <w:qFormat/>
    <w:uiPriority w:val="99"/>
    <w:rPr>
      <w:kern w:val="2"/>
      <w:sz w:val="18"/>
      <w:szCs w:val="18"/>
    </w:rPr>
  </w:style>
  <w:style w:type="character" w:customStyle="1" w:styleId="76">
    <w:name w:val="font21"/>
    <w:qFormat/>
    <w:uiPriority w:val="99"/>
    <w:rPr>
      <w:rFonts w:hint="eastAsia" w:ascii="宋体" w:hAnsi="宋体" w:eastAsia="宋体" w:cs="宋体"/>
      <w:color w:val="000000"/>
      <w:sz w:val="20"/>
      <w:szCs w:val="20"/>
      <w:u w:val="none"/>
    </w:rPr>
  </w:style>
  <w:style w:type="character" w:customStyle="1" w:styleId="77">
    <w:name w:val="批注框文本 Char1"/>
    <w:basedOn w:val="39"/>
    <w:semiHidden/>
    <w:qFormat/>
    <w:uiPriority w:val="99"/>
    <w:rPr>
      <w:kern w:val="2"/>
      <w:sz w:val="18"/>
      <w:szCs w:val="18"/>
    </w:rPr>
  </w:style>
  <w:style w:type="character" w:customStyle="1" w:styleId="78">
    <w:name w:val="font81"/>
    <w:qFormat/>
    <w:uiPriority w:val="0"/>
    <w:rPr>
      <w:rFonts w:hint="eastAsia" w:ascii="宋体" w:hAnsi="宋体" w:eastAsia="宋体" w:cs="宋体"/>
      <w:color w:val="FF0000"/>
      <w:sz w:val="20"/>
      <w:szCs w:val="20"/>
      <w:u w:val="none"/>
    </w:rPr>
  </w:style>
  <w:style w:type="character" w:customStyle="1" w:styleId="79">
    <w:name w:val="页眉 Char1"/>
    <w:basedOn w:val="39"/>
    <w:semiHidden/>
    <w:qFormat/>
    <w:uiPriority w:val="99"/>
    <w:rPr>
      <w:kern w:val="2"/>
      <w:sz w:val="18"/>
      <w:szCs w:val="18"/>
    </w:rPr>
  </w:style>
  <w:style w:type="paragraph" w:customStyle="1" w:styleId="80">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81">
    <w:name w:val="xl124"/>
    <w:basedOn w:val="1"/>
    <w:qFormat/>
    <w:uiPriority w:val="0"/>
    <w:pPr>
      <w:widowControl/>
      <w:pBdr>
        <w:top w:val="single" w:color="auto" w:sz="4" w:space="0"/>
        <w:left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0"/>
    </w:rPr>
  </w:style>
  <w:style w:type="paragraph" w:customStyle="1" w:styleId="82">
    <w:name w:val="xl171"/>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83">
    <w:name w:val="xl161"/>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b/>
      <w:bCs/>
      <w:color w:val="000000"/>
      <w:kern w:val="0"/>
      <w:sz w:val="20"/>
    </w:rPr>
  </w:style>
  <w:style w:type="paragraph" w:customStyle="1" w:styleId="84">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rPr>
  </w:style>
  <w:style w:type="paragraph" w:customStyle="1" w:styleId="85">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86">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8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88">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rPr>
  </w:style>
  <w:style w:type="paragraph" w:customStyle="1" w:styleId="89">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9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000000"/>
      <w:kern w:val="0"/>
      <w:sz w:val="20"/>
    </w:rPr>
  </w:style>
  <w:style w:type="paragraph" w:customStyle="1" w:styleId="91">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92">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93">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FFF2CC"/>
      <w:spacing w:before="100" w:beforeAutospacing="1" w:after="100" w:afterAutospacing="1"/>
      <w:jc w:val="center"/>
    </w:pPr>
    <w:rPr>
      <w:rFonts w:ascii="宋体" w:hAnsi="宋体" w:cs="宋体"/>
      <w:kern w:val="0"/>
      <w:sz w:val="20"/>
    </w:rPr>
  </w:style>
  <w:style w:type="paragraph" w:customStyle="1" w:styleId="94">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rPr>
  </w:style>
  <w:style w:type="paragraph" w:customStyle="1" w:styleId="95">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96">
    <w:name w:val="xl11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rPr>
  </w:style>
  <w:style w:type="paragraph" w:customStyle="1" w:styleId="97">
    <w:name w:val="font9"/>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98">
    <w:name w:val="xl72"/>
    <w:basedOn w:val="1"/>
    <w:qFormat/>
    <w:uiPriority w:val="0"/>
    <w:pPr>
      <w:widowControl/>
      <w:pBdr>
        <w:top w:val="single" w:color="auto" w:sz="4" w:space="0"/>
        <w:left w:val="single" w:color="auto" w:sz="4" w:space="0"/>
        <w:right w:val="single" w:color="auto" w:sz="4" w:space="0"/>
      </w:pBdr>
      <w:spacing w:before="100" w:beforeAutospacing="1" w:after="100" w:afterAutospacing="1"/>
    </w:pPr>
    <w:rPr>
      <w:rFonts w:ascii="宋体" w:hAnsi="宋体" w:cs="宋体"/>
      <w:color w:val="000000"/>
      <w:kern w:val="0"/>
      <w:sz w:val="20"/>
    </w:rPr>
  </w:style>
  <w:style w:type="paragraph" w:customStyle="1" w:styleId="9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00">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01">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rPr>
  </w:style>
  <w:style w:type="paragraph" w:customStyle="1" w:styleId="102">
    <w:name w:val="xl78"/>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03">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rPr>
  </w:style>
  <w:style w:type="paragraph" w:customStyle="1" w:styleId="104">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rPr>
  </w:style>
  <w:style w:type="paragraph" w:customStyle="1" w:styleId="105">
    <w:name w:val="xl7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106">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FFF2CC"/>
      <w:spacing w:before="100" w:beforeAutospacing="1" w:after="100" w:afterAutospacing="1"/>
      <w:jc w:val="left"/>
    </w:pPr>
    <w:rPr>
      <w:rFonts w:ascii="宋体" w:hAnsi="宋体" w:cs="宋体"/>
      <w:kern w:val="0"/>
      <w:sz w:val="20"/>
    </w:rPr>
  </w:style>
  <w:style w:type="paragraph" w:customStyle="1" w:styleId="107">
    <w:name w:val="font7"/>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10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09">
    <w:name w:val="xl80"/>
    <w:basedOn w:val="1"/>
    <w:qFormat/>
    <w:uiPriority w:val="0"/>
    <w:pPr>
      <w:widowControl/>
      <w:spacing w:before="100" w:beforeAutospacing="1" w:after="100" w:afterAutospacing="1"/>
      <w:jc w:val="left"/>
    </w:pPr>
    <w:rPr>
      <w:rFonts w:ascii="宋体" w:hAnsi="宋体" w:cs="宋体"/>
      <w:kern w:val="0"/>
      <w:sz w:val="20"/>
    </w:rPr>
  </w:style>
  <w:style w:type="paragraph" w:customStyle="1" w:styleId="110">
    <w:name w:val="xl74"/>
    <w:basedOn w:val="1"/>
    <w:qFormat/>
    <w:uiPriority w:val="0"/>
    <w:pPr>
      <w:widowControl/>
      <w:pBdr>
        <w:left w:val="single" w:color="auto" w:sz="4" w:space="0"/>
        <w:right w:val="single" w:color="auto" w:sz="4" w:space="0"/>
      </w:pBdr>
      <w:spacing w:before="100" w:beforeAutospacing="1" w:after="100" w:afterAutospacing="1"/>
    </w:pPr>
    <w:rPr>
      <w:rFonts w:ascii="宋体" w:hAnsi="宋体" w:cs="宋体"/>
      <w:kern w:val="0"/>
      <w:sz w:val="20"/>
    </w:rPr>
  </w:style>
  <w:style w:type="paragraph" w:customStyle="1" w:styleId="111">
    <w:name w:val="xl79"/>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right"/>
    </w:pPr>
    <w:rPr>
      <w:rFonts w:ascii="宋体" w:hAnsi="宋体" w:cs="宋体"/>
      <w:color w:val="000000"/>
      <w:kern w:val="0"/>
      <w:sz w:val="20"/>
    </w:rPr>
  </w:style>
  <w:style w:type="paragraph" w:customStyle="1" w:styleId="112">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right"/>
    </w:pPr>
    <w:rPr>
      <w:rFonts w:ascii="宋体" w:hAnsi="宋体" w:cs="宋体"/>
      <w:color w:val="000000"/>
      <w:kern w:val="0"/>
      <w:sz w:val="20"/>
    </w:rPr>
  </w:style>
  <w:style w:type="paragraph" w:customStyle="1" w:styleId="113">
    <w:name w:val="xl168"/>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0"/>
    </w:rPr>
  </w:style>
  <w:style w:type="paragraph" w:customStyle="1" w:styleId="114">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rPr>
  </w:style>
  <w:style w:type="paragraph" w:customStyle="1" w:styleId="11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16">
    <w:name w:val="xl6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7">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18">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b/>
      <w:bCs/>
      <w:color w:val="000000"/>
      <w:kern w:val="0"/>
      <w:sz w:val="20"/>
    </w:rPr>
  </w:style>
  <w:style w:type="paragraph" w:customStyle="1" w:styleId="119">
    <w:name w:val="xl76"/>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120">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b/>
      <w:bCs/>
      <w:color w:val="000000"/>
      <w:kern w:val="0"/>
      <w:sz w:val="20"/>
    </w:rPr>
  </w:style>
  <w:style w:type="paragraph" w:customStyle="1" w:styleId="121">
    <w:name w:val="xl16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22">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123">
    <w:name w:val="xl142"/>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color w:val="000000"/>
      <w:kern w:val="0"/>
      <w:sz w:val="20"/>
    </w:rPr>
  </w:style>
  <w:style w:type="paragraph" w:customStyle="1" w:styleId="124">
    <w:name w:val="xl9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2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rPr>
  </w:style>
  <w:style w:type="paragraph" w:customStyle="1" w:styleId="127">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28">
    <w:name w:val="xl14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29">
    <w:name w:val="font8"/>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130">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1">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FFF2CC"/>
      <w:spacing w:before="100" w:beforeAutospacing="1" w:after="100" w:afterAutospacing="1"/>
      <w:jc w:val="center"/>
    </w:pPr>
    <w:rPr>
      <w:rFonts w:ascii="宋体" w:hAnsi="宋体" w:cs="宋体"/>
      <w:color w:val="000000"/>
      <w:kern w:val="0"/>
      <w:sz w:val="20"/>
    </w:rPr>
  </w:style>
  <w:style w:type="paragraph" w:customStyle="1" w:styleId="132">
    <w:name w:val="xl98"/>
    <w:basedOn w:val="1"/>
    <w:qFormat/>
    <w:uiPriority w:val="0"/>
    <w:pPr>
      <w:widowControl/>
      <w:spacing w:before="100" w:beforeAutospacing="1" w:after="100" w:afterAutospacing="1"/>
      <w:jc w:val="right"/>
    </w:pPr>
    <w:rPr>
      <w:rFonts w:ascii="宋体" w:hAnsi="宋体" w:cs="宋体"/>
      <w:kern w:val="0"/>
      <w:sz w:val="20"/>
    </w:rPr>
  </w:style>
  <w:style w:type="paragraph" w:customStyle="1" w:styleId="133">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0"/>
    </w:rPr>
  </w:style>
  <w:style w:type="paragraph" w:customStyle="1" w:styleId="134">
    <w:name w:val="xl89"/>
    <w:basedOn w:val="1"/>
    <w:qFormat/>
    <w:uiPriority w:val="0"/>
    <w:pPr>
      <w:widowControl/>
      <w:spacing w:before="100" w:beforeAutospacing="1" w:after="100" w:afterAutospacing="1"/>
      <w:jc w:val="center"/>
    </w:pPr>
    <w:rPr>
      <w:rFonts w:ascii="宋体" w:hAnsi="宋体" w:cs="宋体"/>
      <w:kern w:val="0"/>
      <w:sz w:val="20"/>
    </w:rPr>
  </w:style>
  <w:style w:type="paragraph" w:customStyle="1" w:styleId="135">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136">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3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3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rPr>
  </w:style>
  <w:style w:type="paragraph" w:customStyle="1" w:styleId="139">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140">
    <w:name w:val="xl73"/>
    <w:basedOn w:val="1"/>
    <w:qFormat/>
    <w:uiPriority w:val="0"/>
    <w:pPr>
      <w:widowControl/>
      <w:pBdr>
        <w:left w:val="single" w:color="auto" w:sz="4" w:space="0"/>
        <w:right w:val="single" w:color="auto" w:sz="4" w:space="0"/>
      </w:pBdr>
      <w:spacing w:before="100" w:beforeAutospacing="1" w:after="100" w:afterAutospacing="1"/>
    </w:pPr>
    <w:rPr>
      <w:rFonts w:ascii="宋体" w:hAnsi="宋体" w:cs="宋体"/>
      <w:color w:val="000000"/>
      <w:kern w:val="0"/>
      <w:sz w:val="20"/>
    </w:rPr>
  </w:style>
  <w:style w:type="paragraph" w:customStyle="1" w:styleId="141">
    <w:name w:val="xl1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top"/>
    </w:pPr>
    <w:rPr>
      <w:rFonts w:ascii="宋体" w:hAnsi="宋体" w:cs="宋体"/>
      <w:kern w:val="0"/>
      <w:sz w:val="20"/>
    </w:rPr>
  </w:style>
  <w:style w:type="paragraph" w:customStyle="1" w:styleId="142">
    <w:name w:val="xl16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43">
    <w:name w:val="xl110"/>
    <w:basedOn w:val="1"/>
    <w:qFormat/>
    <w:uiPriority w:val="0"/>
    <w:pPr>
      <w:widowControl/>
      <w:pBdr>
        <w:top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rPr>
  </w:style>
  <w:style w:type="paragraph" w:customStyle="1" w:styleId="144">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rPr>
  </w:style>
  <w:style w:type="paragraph" w:customStyle="1" w:styleId="145">
    <w:name w:val="xl135"/>
    <w:basedOn w:val="1"/>
    <w:qFormat/>
    <w:uiPriority w:val="0"/>
    <w:pPr>
      <w:widowControl/>
      <w:pBdr>
        <w:top w:val="single" w:color="auto" w:sz="4" w:space="0"/>
        <w:lef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146">
    <w:name w:val="xl11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147">
    <w:name w:val="xl14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 w:val="20"/>
    </w:rPr>
  </w:style>
  <w:style w:type="paragraph" w:customStyle="1" w:styleId="148">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149">
    <w:name w:val="xl17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50">
    <w:name w:val="xl13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51">
    <w:name w:val="xl136"/>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cs="宋体"/>
      <w:kern w:val="0"/>
      <w:sz w:val="20"/>
    </w:rPr>
  </w:style>
  <w:style w:type="paragraph" w:customStyle="1" w:styleId="152">
    <w:name w:val="xl11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rPr>
  </w:style>
  <w:style w:type="paragraph" w:customStyle="1" w:styleId="153">
    <w:name w:val="xl13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rPr>
  </w:style>
  <w:style w:type="paragraph" w:customStyle="1" w:styleId="154">
    <w:name w:val="xl15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55">
    <w:name w:val="xl1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rPr>
  </w:style>
  <w:style w:type="paragraph" w:customStyle="1" w:styleId="156">
    <w:name w:val="xl144"/>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 w:val="20"/>
    </w:rPr>
  </w:style>
  <w:style w:type="paragraph" w:customStyle="1" w:styleId="157">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158">
    <w:name w:val="xl141"/>
    <w:basedOn w:val="1"/>
    <w:qFormat/>
    <w:uiPriority w:val="0"/>
    <w:pPr>
      <w:widowControl/>
      <w:pBdr>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59">
    <w:name w:val="xl148"/>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60">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rPr>
  </w:style>
  <w:style w:type="paragraph" w:customStyle="1" w:styleId="161">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rPr>
  </w:style>
  <w:style w:type="paragraph" w:customStyle="1" w:styleId="162">
    <w:name w:val="xl160"/>
    <w:basedOn w:val="1"/>
    <w:qFormat/>
    <w:uiPriority w:val="0"/>
    <w:pPr>
      <w:widowControl/>
      <w:pBdr>
        <w:top w:val="single" w:color="auto" w:sz="8"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63">
    <w:name w:val="xl15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0"/>
    </w:rPr>
  </w:style>
  <w:style w:type="paragraph" w:customStyle="1" w:styleId="16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rPr>
  </w:style>
  <w:style w:type="paragraph" w:customStyle="1" w:styleId="165">
    <w:name w:val="xl164"/>
    <w:basedOn w:val="1"/>
    <w:qFormat/>
    <w:uiPriority w:val="0"/>
    <w:pPr>
      <w:widowControl/>
      <w:pBdr>
        <w:top w:val="single" w:color="auto" w:sz="8"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66">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67">
    <w:name w:val="xl123"/>
    <w:basedOn w:val="1"/>
    <w:qFormat/>
    <w:uiPriority w:val="0"/>
    <w:pPr>
      <w:widowControl/>
      <w:pBdr>
        <w:top w:val="single" w:color="auto" w:sz="4" w:space="0"/>
        <w:left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rPr>
  </w:style>
  <w:style w:type="paragraph" w:customStyle="1" w:styleId="168">
    <w:name w:val="xl157"/>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top"/>
    </w:pPr>
    <w:rPr>
      <w:rFonts w:ascii="宋体" w:hAnsi="宋体" w:cs="宋体"/>
      <w:b/>
      <w:bCs/>
      <w:kern w:val="0"/>
      <w:sz w:val="20"/>
    </w:rPr>
  </w:style>
  <w:style w:type="paragraph" w:customStyle="1" w:styleId="169">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70">
    <w:name w:val="xl15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71">
    <w:name w:val="xl12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 w:val="20"/>
    </w:rPr>
  </w:style>
  <w:style w:type="paragraph" w:customStyle="1" w:styleId="172">
    <w:name w:val="xl15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73">
    <w:name w:val="xl127"/>
    <w:basedOn w:val="1"/>
    <w:qFormat/>
    <w:uiPriority w:val="0"/>
    <w:pPr>
      <w:widowControl/>
      <w:pBdr>
        <w:top w:val="single" w:color="auto" w:sz="4" w:space="0"/>
        <w:left w:val="single" w:color="auto" w:sz="4" w:space="0"/>
        <w:right w:val="single" w:color="auto" w:sz="4" w:space="0"/>
      </w:pBdr>
      <w:shd w:val="clear" w:color="000000" w:fill="FFFF00"/>
      <w:spacing w:before="100" w:beforeAutospacing="1" w:after="100" w:afterAutospacing="1"/>
      <w:jc w:val="left"/>
    </w:pPr>
    <w:rPr>
      <w:rFonts w:ascii="宋体" w:hAnsi="宋体" w:cs="宋体"/>
      <w:b/>
      <w:bCs/>
      <w:color w:val="000000"/>
      <w:kern w:val="0"/>
      <w:sz w:val="20"/>
    </w:rPr>
  </w:style>
  <w:style w:type="paragraph" w:customStyle="1" w:styleId="174">
    <w:name w:val="xl128"/>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20"/>
    </w:rPr>
  </w:style>
  <w:style w:type="paragraph" w:customStyle="1" w:styleId="175">
    <w:name w:val="xl12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76">
    <w:name w:val="xl15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0"/>
    </w:rPr>
  </w:style>
  <w:style w:type="paragraph" w:customStyle="1" w:styleId="177">
    <w:name w:val="xl130"/>
    <w:basedOn w:val="1"/>
    <w:qFormat/>
    <w:uiPriority w:val="0"/>
    <w:pPr>
      <w:widowControl/>
      <w:pBdr>
        <w:top w:val="single" w:color="auto" w:sz="4" w:space="0"/>
        <w:left w:val="single" w:color="auto" w:sz="4" w:space="0"/>
        <w:bottom w:val="single" w:color="auto" w:sz="4" w:space="0"/>
        <w:right w:val="single" w:color="auto" w:sz="4" w:space="0"/>
      </w:pBdr>
      <w:shd w:val="clear" w:color="000000" w:fill="FFF2CC"/>
      <w:spacing w:before="100" w:beforeAutospacing="1" w:after="100" w:afterAutospacing="1"/>
      <w:jc w:val="center"/>
    </w:pPr>
    <w:rPr>
      <w:rFonts w:ascii="宋体" w:hAnsi="宋体" w:cs="宋体"/>
      <w:kern w:val="0"/>
      <w:sz w:val="20"/>
    </w:rPr>
  </w:style>
  <w:style w:type="paragraph" w:customStyle="1" w:styleId="178">
    <w:name w:val="xl158"/>
    <w:basedOn w:val="1"/>
    <w:qFormat/>
    <w:uiPriority w:val="0"/>
    <w:pPr>
      <w:widowControl/>
      <w:pBdr>
        <w:top w:val="single" w:color="auto" w:sz="4" w:space="0"/>
        <w:bottom w:val="single" w:color="auto" w:sz="4" w:space="0"/>
      </w:pBdr>
      <w:spacing w:before="100" w:beforeAutospacing="1" w:after="100" w:afterAutospacing="1"/>
      <w:jc w:val="center"/>
      <w:textAlignment w:val="top"/>
    </w:pPr>
    <w:rPr>
      <w:rFonts w:ascii="宋体" w:hAnsi="宋体" w:cs="宋体"/>
      <w:b/>
      <w:bCs/>
      <w:kern w:val="0"/>
      <w:sz w:val="20"/>
    </w:rPr>
  </w:style>
  <w:style w:type="paragraph" w:customStyle="1" w:styleId="179">
    <w:name w:val="xl15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80">
    <w:name w:val="xl13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000000"/>
      <w:kern w:val="0"/>
      <w:sz w:val="20"/>
    </w:rPr>
  </w:style>
  <w:style w:type="paragraph" w:customStyle="1" w:styleId="181">
    <w:name w:val="xl13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rPr>
  </w:style>
  <w:style w:type="paragraph" w:customStyle="1" w:styleId="182">
    <w:name w:val="xl165"/>
    <w:basedOn w:val="1"/>
    <w:qFormat/>
    <w:uiPriority w:val="0"/>
    <w:pPr>
      <w:widowControl/>
      <w:pBdr>
        <w:top w:val="single" w:color="auto" w:sz="8"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83">
    <w:name w:val="xl13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184">
    <w:name w:val="xl138"/>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85">
    <w:name w:val="xl140"/>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86">
    <w:name w:val="xl143"/>
    <w:basedOn w:val="1"/>
    <w:qFormat/>
    <w:uiPriority w:val="0"/>
    <w:pPr>
      <w:widowControl/>
      <w:pBdr>
        <w:left w:val="single" w:color="auto" w:sz="4" w:space="0"/>
        <w:right w:val="single" w:color="auto" w:sz="8" w:space="0"/>
      </w:pBdr>
      <w:spacing w:before="100" w:beforeAutospacing="1" w:after="100" w:afterAutospacing="1"/>
      <w:jc w:val="center"/>
    </w:pPr>
    <w:rPr>
      <w:rFonts w:ascii="宋体" w:hAnsi="宋体" w:cs="宋体"/>
      <w:color w:val="000000"/>
      <w:kern w:val="0"/>
      <w:sz w:val="20"/>
    </w:rPr>
  </w:style>
  <w:style w:type="paragraph" w:customStyle="1" w:styleId="187">
    <w:name w:val="xl14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88">
    <w:name w:val="xl14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89">
    <w:name w:val="xl155"/>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rPr>
  </w:style>
  <w:style w:type="paragraph" w:customStyle="1" w:styleId="190">
    <w:name w:val="xl15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191">
    <w:name w:val="xl16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b/>
      <w:bCs/>
      <w:color w:val="000000"/>
      <w:kern w:val="0"/>
      <w:sz w:val="20"/>
    </w:rPr>
  </w:style>
  <w:style w:type="paragraph" w:customStyle="1" w:styleId="192">
    <w:name w:val="xl163"/>
    <w:basedOn w:val="1"/>
    <w:uiPriority w:val="0"/>
    <w:pPr>
      <w:widowControl/>
      <w:pBdr>
        <w:top w:val="single" w:color="auto" w:sz="8"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93">
    <w:name w:val="xl166"/>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20"/>
    </w:rPr>
  </w:style>
  <w:style w:type="paragraph" w:customStyle="1" w:styleId="194">
    <w:name w:val="font10"/>
    <w:basedOn w:val="1"/>
    <w:qFormat/>
    <w:uiPriority w:val="0"/>
    <w:pPr>
      <w:widowControl/>
      <w:spacing w:before="100" w:beforeAutospacing="1" w:after="100" w:afterAutospacing="1"/>
      <w:jc w:val="left"/>
    </w:pPr>
    <w:rPr>
      <w:rFonts w:ascii="微软雅黑" w:hAnsi="微软雅黑" w:eastAsia="微软雅黑" w:cs="宋体"/>
      <w:color w:val="333333"/>
      <w:kern w:val="0"/>
      <w:sz w:val="27"/>
      <w:szCs w:val="27"/>
    </w:rPr>
  </w:style>
  <w:style w:type="paragraph" w:customStyle="1" w:styleId="195">
    <w:name w:val="font11"/>
    <w:basedOn w:val="1"/>
    <w:qFormat/>
    <w:uiPriority w:val="0"/>
    <w:pPr>
      <w:widowControl/>
      <w:spacing w:before="100" w:beforeAutospacing="1" w:after="100" w:afterAutospacing="1"/>
      <w:jc w:val="left"/>
    </w:pPr>
    <w:rPr>
      <w:color w:val="000000"/>
      <w:kern w:val="0"/>
      <w:sz w:val="14"/>
      <w:szCs w:val="14"/>
    </w:rPr>
  </w:style>
  <w:style w:type="paragraph" w:customStyle="1" w:styleId="196">
    <w:name w:val="font12"/>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197">
    <w:name w:val="font13"/>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98">
    <w:name w:val="xl172"/>
    <w:basedOn w:val="1"/>
    <w:qFormat/>
    <w:uiPriority w:val="0"/>
    <w:pPr>
      <w:widowControl/>
      <w:pBdr>
        <w:left w:val="single" w:color="auto" w:sz="8" w:space="0"/>
        <w:bottom w:val="single" w:color="auto" w:sz="8" w:space="0"/>
        <w:right w:val="single" w:color="auto" w:sz="8" w:space="0"/>
      </w:pBdr>
      <w:spacing w:before="100" w:beforeAutospacing="1" w:after="100" w:afterAutospacing="1"/>
      <w:jc w:val="right"/>
      <w:textAlignment w:val="center"/>
    </w:pPr>
    <w:rPr>
      <w:rFonts w:ascii="宋体" w:hAnsi="宋体" w:cs="宋体"/>
      <w:kern w:val="0"/>
      <w:sz w:val="20"/>
    </w:rPr>
  </w:style>
  <w:style w:type="paragraph" w:customStyle="1" w:styleId="199">
    <w:name w:val="xl173"/>
    <w:basedOn w:val="1"/>
    <w:qFormat/>
    <w:uiPriority w:val="0"/>
    <w:pPr>
      <w:widowControl/>
      <w:pBdr>
        <w:top w:val="single" w:color="auto" w:sz="8" w:space="0"/>
        <w:left w:val="single" w:color="auto" w:sz="8" w:space="0"/>
        <w:right w:val="single" w:color="auto" w:sz="8" w:space="0"/>
      </w:pBdr>
      <w:spacing w:before="100" w:beforeAutospacing="1" w:after="100" w:afterAutospacing="1"/>
      <w:textAlignment w:val="center"/>
    </w:pPr>
    <w:rPr>
      <w:rFonts w:ascii="宋体" w:hAnsi="宋体" w:cs="宋体"/>
      <w:kern w:val="0"/>
      <w:sz w:val="20"/>
    </w:rPr>
  </w:style>
  <w:style w:type="paragraph" w:customStyle="1" w:styleId="200">
    <w:name w:val="xl174"/>
    <w:basedOn w:val="1"/>
    <w:qFormat/>
    <w:uiPriority w:val="0"/>
    <w:pPr>
      <w:widowControl/>
      <w:pBdr>
        <w:left w:val="single" w:color="auto" w:sz="8" w:space="0"/>
        <w:bottom w:val="single" w:color="auto" w:sz="8" w:space="0"/>
        <w:right w:val="single" w:color="auto" w:sz="8" w:space="0"/>
      </w:pBdr>
      <w:spacing w:before="100" w:beforeAutospacing="1" w:after="100" w:afterAutospacing="1"/>
      <w:textAlignment w:val="center"/>
    </w:pPr>
    <w:rPr>
      <w:rFonts w:ascii="宋体" w:hAnsi="宋体" w:cs="宋体"/>
      <w:kern w:val="0"/>
      <w:sz w:val="20"/>
    </w:rPr>
  </w:style>
  <w:style w:type="paragraph" w:customStyle="1" w:styleId="201">
    <w:name w:val="xl175"/>
    <w:basedOn w:val="1"/>
    <w:qFormat/>
    <w:uiPriority w:val="0"/>
    <w:pPr>
      <w:widowControl/>
      <w:pBdr>
        <w:top w:val="single" w:color="auto" w:sz="8" w:space="0"/>
        <w:left w:val="single" w:color="auto" w:sz="8" w:space="0"/>
        <w:bottom w:val="single" w:color="auto" w:sz="8" w:space="0"/>
      </w:pBdr>
      <w:shd w:val="clear" w:color="000000" w:fill="FFFFFF"/>
      <w:spacing w:before="100" w:beforeAutospacing="1" w:after="100" w:afterAutospacing="1"/>
      <w:jc w:val="center"/>
      <w:textAlignment w:val="center"/>
    </w:pPr>
    <w:rPr>
      <w:rFonts w:ascii="宋体" w:hAnsi="宋体" w:cs="宋体"/>
      <w:color w:val="000000"/>
      <w:kern w:val="0"/>
      <w:sz w:val="20"/>
    </w:rPr>
  </w:style>
  <w:style w:type="paragraph" w:customStyle="1" w:styleId="202">
    <w:name w:val="xl176"/>
    <w:basedOn w:val="1"/>
    <w:qFormat/>
    <w:uiPriority w:val="0"/>
    <w:pPr>
      <w:widowControl/>
      <w:pBdr>
        <w:top w:val="single" w:color="auto" w:sz="8" w:space="0"/>
        <w:bottom w:val="single" w:color="auto" w:sz="8" w:space="0"/>
      </w:pBdr>
      <w:shd w:val="clear" w:color="000000" w:fill="FFFFFF"/>
      <w:spacing w:before="100" w:beforeAutospacing="1" w:after="100" w:afterAutospacing="1"/>
      <w:jc w:val="center"/>
      <w:textAlignment w:val="center"/>
    </w:pPr>
    <w:rPr>
      <w:rFonts w:ascii="宋体" w:hAnsi="宋体" w:cs="宋体"/>
      <w:color w:val="000000"/>
      <w:kern w:val="0"/>
      <w:sz w:val="20"/>
    </w:rPr>
  </w:style>
  <w:style w:type="paragraph" w:customStyle="1" w:styleId="203">
    <w:name w:val="xl177"/>
    <w:basedOn w:val="1"/>
    <w:qFormat/>
    <w:uiPriority w:val="0"/>
    <w:pPr>
      <w:widowControl/>
      <w:pBdr>
        <w:top w:val="single" w:color="auto" w:sz="8" w:space="0"/>
        <w:bottom w:val="single" w:color="auto" w:sz="8" w:space="0"/>
        <w:right w:val="single" w:color="auto" w:sz="8" w:space="0"/>
      </w:pBdr>
      <w:shd w:val="clear" w:color="000000" w:fill="FFFFFF"/>
      <w:spacing w:before="100" w:beforeAutospacing="1" w:after="100" w:afterAutospacing="1"/>
      <w:jc w:val="center"/>
      <w:textAlignment w:val="center"/>
    </w:pPr>
    <w:rPr>
      <w:rFonts w:ascii="宋体" w:hAnsi="宋体" w:cs="宋体"/>
      <w:color w:val="000000"/>
      <w:kern w:val="0"/>
      <w:sz w:val="20"/>
    </w:rPr>
  </w:style>
  <w:style w:type="paragraph" w:customStyle="1" w:styleId="204">
    <w:name w:val="xl178"/>
    <w:basedOn w:val="1"/>
    <w:uiPriority w:val="0"/>
    <w:pPr>
      <w:widowControl/>
      <w:pBdr>
        <w:top w:val="single" w:color="auto" w:sz="8" w:space="0"/>
        <w:left w:val="single" w:color="auto" w:sz="8" w:space="0"/>
        <w:bottom w:val="single" w:color="auto" w:sz="8" w:space="0"/>
      </w:pBdr>
      <w:shd w:val="clear" w:color="000000" w:fill="FFFFFF"/>
      <w:spacing w:before="100" w:beforeAutospacing="1" w:after="100" w:afterAutospacing="1"/>
      <w:jc w:val="left"/>
      <w:textAlignment w:val="center"/>
    </w:pPr>
    <w:rPr>
      <w:rFonts w:ascii="宋体" w:hAnsi="宋体" w:cs="宋体"/>
      <w:b/>
      <w:bCs/>
      <w:color w:val="000000"/>
      <w:kern w:val="0"/>
      <w:sz w:val="24"/>
      <w:szCs w:val="24"/>
    </w:rPr>
  </w:style>
  <w:style w:type="paragraph" w:customStyle="1" w:styleId="205">
    <w:name w:val="xl179"/>
    <w:basedOn w:val="1"/>
    <w:qFormat/>
    <w:uiPriority w:val="0"/>
    <w:pPr>
      <w:widowControl/>
      <w:pBdr>
        <w:top w:val="single" w:color="auto" w:sz="8" w:space="0"/>
        <w:bottom w:val="single" w:color="auto" w:sz="8" w:space="0"/>
      </w:pBdr>
      <w:shd w:val="clear" w:color="000000" w:fill="FFFFFF"/>
      <w:spacing w:before="100" w:beforeAutospacing="1" w:after="100" w:afterAutospacing="1"/>
      <w:jc w:val="left"/>
      <w:textAlignment w:val="center"/>
    </w:pPr>
    <w:rPr>
      <w:rFonts w:ascii="宋体" w:hAnsi="宋体" w:cs="宋体"/>
      <w:b/>
      <w:bCs/>
      <w:color w:val="000000"/>
      <w:kern w:val="0"/>
      <w:sz w:val="24"/>
      <w:szCs w:val="24"/>
    </w:rPr>
  </w:style>
  <w:style w:type="paragraph" w:customStyle="1" w:styleId="206">
    <w:name w:val="xl180"/>
    <w:basedOn w:val="1"/>
    <w:qFormat/>
    <w:uiPriority w:val="0"/>
    <w:pPr>
      <w:widowControl/>
      <w:pBdr>
        <w:top w:val="single" w:color="auto" w:sz="8" w:space="0"/>
        <w:bottom w:val="single" w:color="auto" w:sz="8" w:space="0"/>
        <w:right w:val="single" w:color="auto" w:sz="8" w:space="0"/>
      </w:pBdr>
      <w:shd w:val="clear" w:color="000000" w:fill="FFFFFF"/>
      <w:spacing w:before="100" w:beforeAutospacing="1" w:after="100" w:afterAutospacing="1"/>
      <w:jc w:val="left"/>
      <w:textAlignment w:val="center"/>
    </w:pPr>
    <w:rPr>
      <w:rFonts w:ascii="宋体" w:hAnsi="宋体" w:cs="宋体"/>
      <w:b/>
      <w:bCs/>
      <w:color w:val="000000"/>
      <w:kern w:val="0"/>
      <w:sz w:val="24"/>
      <w:szCs w:val="24"/>
    </w:rPr>
  </w:style>
  <w:style w:type="paragraph" w:customStyle="1" w:styleId="207">
    <w:name w:val="xl181"/>
    <w:basedOn w:val="1"/>
    <w:qFormat/>
    <w:uiPriority w:val="0"/>
    <w:pPr>
      <w:widowControl/>
      <w:pBdr>
        <w:left w:val="single" w:color="auto" w:sz="8" w:space="0"/>
        <w:bottom w:val="single" w:color="auto" w:sz="8" w:space="0"/>
      </w:pBdr>
      <w:spacing w:before="100" w:beforeAutospacing="1" w:after="100" w:afterAutospacing="1"/>
      <w:jc w:val="center"/>
      <w:textAlignment w:val="center"/>
    </w:pPr>
    <w:rPr>
      <w:rFonts w:ascii="宋体" w:hAnsi="宋体" w:cs="宋体"/>
      <w:color w:val="000000"/>
      <w:kern w:val="0"/>
      <w:sz w:val="20"/>
    </w:rPr>
  </w:style>
  <w:style w:type="paragraph" w:customStyle="1" w:styleId="208">
    <w:name w:val="xl182"/>
    <w:basedOn w:val="1"/>
    <w:qFormat/>
    <w:uiPriority w:val="0"/>
    <w:pPr>
      <w:widowControl/>
      <w:pBdr>
        <w:bottom w:val="single" w:color="auto" w:sz="8" w:space="0"/>
      </w:pBdr>
      <w:spacing w:before="100" w:beforeAutospacing="1" w:after="100" w:afterAutospacing="1"/>
      <w:jc w:val="center"/>
      <w:textAlignment w:val="center"/>
    </w:pPr>
    <w:rPr>
      <w:rFonts w:ascii="宋体" w:hAnsi="宋体" w:cs="宋体"/>
      <w:color w:val="000000"/>
      <w:kern w:val="0"/>
      <w:sz w:val="20"/>
    </w:rPr>
  </w:style>
  <w:style w:type="paragraph" w:customStyle="1" w:styleId="209">
    <w:name w:val="xl183"/>
    <w:basedOn w:val="1"/>
    <w:qFormat/>
    <w:uiPriority w:val="0"/>
    <w:pPr>
      <w:widowControl/>
      <w:pBdr>
        <w:top w:val="single" w:color="auto" w:sz="8" w:space="0"/>
        <w:left w:val="single" w:color="auto" w:sz="8" w:space="0"/>
        <w:bottom w:val="single" w:color="auto" w:sz="8" w:space="0"/>
      </w:pBdr>
      <w:spacing w:before="100" w:beforeAutospacing="1" w:after="100" w:afterAutospacing="1"/>
      <w:jc w:val="left"/>
      <w:textAlignment w:val="top"/>
    </w:pPr>
    <w:rPr>
      <w:rFonts w:ascii="宋体" w:hAnsi="宋体" w:cs="宋体"/>
      <w:b/>
      <w:bCs/>
      <w:color w:val="000000"/>
      <w:kern w:val="0"/>
      <w:sz w:val="24"/>
      <w:szCs w:val="24"/>
    </w:rPr>
  </w:style>
  <w:style w:type="paragraph" w:customStyle="1" w:styleId="210">
    <w:name w:val="xl184"/>
    <w:basedOn w:val="1"/>
    <w:qFormat/>
    <w:uiPriority w:val="0"/>
    <w:pPr>
      <w:widowControl/>
      <w:pBdr>
        <w:top w:val="single" w:color="auto" w:sz="8" w:space="0"/>
        <w:bottom w:val="single" w:color="auto" w:sz="8" w:space="0"/>
      </w:pBdr>
      <w:spacing w:before="100" w:beforeAutospacing="1" w:after="100" w:afterAutospacing="1"/>
      <w:jc w:val="left"/>
      <w:textAlignment w:val="top"/>
    </w:pPr>
    <w:rPr>
      <w:rFonts w:ascii="宋体" w:hAnsi="宋体" w:cs="宋体"/>
      <w:b/>
      <w:bCs/>
      <w:color w:val="000000"/>
      <w:kern w:val="0"/>
      <w:sz w:val="24"/>
      <w:szCs w:val="24"/>
    </w:rPr>
  </w:style>
  <w:style w:type="paragraph" w:customStyle="1" w:styleId="211">
    <w:name w:val="xl185"/>
    <w:basedOn w:val="1"/>
    <w:uiPriority w:val="0"/>
    <w:pPr>
      <w:widowControl/>
      <w:pBdr>
        <w:top w:val="single" w:color="auto" w:sz="8" w:space="0"/>
        <w:bottom w:val="single" w:color="auto" w:sz="8" w:space="0"/>
        <w:right w:val="single" w:color="auto" w:sz="8" w:space="0"/>
      </w:pBdr>
      <w:spacing w:before="100" w:beforeAutospacing="1" w:after="100" w:afterAutospacing="1"/>
      <w:jc w:val="left"/>
      <w:textAlignment w:val="top"/>
    </w:pPr>
    <w:rPr>
      <w:rFonts w:ascii="宋体" w:hAnsi="宋体" w:cs="宋体"/>
      <w:b/>
      <w:bCs/>
      <w:color w:val="000000"/>
      <w:kern w:val="0"/>
      <w:sz w:val="24"/>
      <w:szCs w:val="24"/>
    </w:rPr>
  </w:style>
  <w:style w:type="paragraph" w:customStyle="1" w:styleId="212">
    <w:name w:val="xl186"/>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textAlignment w:val="center"/>
    </w:pPr>
    <w:rPr>
      <w:rFonts w:ascii="宋体" w:hAnsi="宋体" w:cs="宋体"/>
      <w:color w:val="000000"/>
      <w:kern w:val="0"/>
      <w:sz w:val="20"/>
    </w:rPr>
  </w:style>
  <w:style w:type="paragraph" w:customStyle="1" w:styleId="213">
    <w:name w:val="xl187"/>
    <w:basedOn w:val="1"/>
    <w:qFormat/>
    <w:uiPriority w:val="0"/>
    <w:pPr>
      <w:widowControl/>
      <w:pBdr>
        <w:left w:val="single" w:color="auto" w:sz="4" w:space="0"/>
        <w:right w:val="single" w:color="auto" w:sz="8" w:space="0"/>
      </w:pBdr>
      <w:spacing w:before="100" w:beforeAutospacing="1" w:after="100" w:afterAutospacing="1"/>
      <w:jc w:val="center"/>
      <w:textAlignment w:val="center"/>
    </w:pPr>
    <w:rPr>
      <w:rFonts w:ascii="宋体" w:hAnsi="宋体" w:cs="宋体"/>
      <w:color w:val="000000"/>
      <w:kern w:val="0"/>
      <w:sz w:val="20"/>
    </w:rPr>
  </w:style>
  <w:style w:type="paragraph" w:customStyle="1" w:styleId="214">
    <w:name w:val="xl188"/>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cs="宋体"/>
      <w:color w:val="000000"/>
      <w:kern w:val="0"/>
      <w:sz w:val="20"/>
    </w:rPr>
  </w:style>
  <w:style w:type="paragraph" w:customStyle="1" w:styleId="215">
    <w:name w:val="xl189"/>
    <w:basedOn w:val="1"/>
    <w:uiPriority w:val="0"/>
    <w:pPr>
      <w:widowControl/>
      <w:pBdr>
        <w:top w:val="single" w:color="auto" w:sz="4" w:space="0"/>
        <w:left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0"/>
    </w:rPr>
  </w:style>
  <w:style w:type="paragraph" w:customStyle="1" w:styleId="216">
    <w:name w:val="xl190"/>
    <w:basedOn w:val="1"/>
    <w:qFormat/>
    <w:uiPriority w:val="0"/>
    <w:pPr>
      <w:widowControl/>
      <w:pBdr>
        <w:left w:val="single" w:color="auto" w:sz="8" w:space="0"/>
        <w:bottom w:val="single" w:color="auto" w:sz="4" w:space="0"/>
        <w:right w:val="single" w:color="auto" w:sz="8" w:space="0"/>
      </w:pBdr>
      <w:spacing w:before="100" w:beforeAutospacing="1" w:after="100" w:afterAutospacing="1"/>
      <w:jc w:val="center"/>
      <w:textAlignment w:val="center"/>
    </w:pPr>
    <w:rPr>
      <w:rFonts w:ascii="宋体" w:hAnsi="宋体" w:cs="宋体"/>
      <w:color w:val="000000"/>
      <w:kern w:val="0"/>
      <w:sz w:val="20"/>
    </w:rPr>
  </w:style>
  <w:style w:type="paragraph" w:customStyle="1" w:styleId="217">
    <w:name w:val="xl191"/>
    <w:basedOn w:val="1"/>
    <w:qFormat/>
    <w:uiPriority w:val="0"/>
    <w:pPr>
      <w:widowControl/>
      <w:pBdr>
        <w:top w:val="single" w:color="auto" w:sz="4" w:space="0"/>
        <w:left w:val="single" w:color="auto" w:sz="8" w:space="0"/>
        <w:right w:val="single" w:color="auto" w:sz="8" w:space="0"/>
      </w:pBdr>
      <w:spacing w:before="100" w:beforeAutospacing="1" w:after="100" w:afterAutospacing="1"/>
      <w:jc w:val="right"/>
      <w:textAlignment w:val="center"/>
    </w:pPr>
    <w:rPr>
      <w:rFonts w:ascii="宋体" w:hAnsi="宋体" w:cs="宋体"/>
      <w:color w:val="000000"/>
      <w:kern w:val="0"/>
      <w:sz w:val="20"/>
    </w:rPr>
  </w:style>
  <w:style w:type="paragraph" w:customStyle="1" w:styleId="218">
    <w:name w:val="xl192"/>
    <w:basedOn w:val="1"/>
    <w:qFormat/>
    <w:uiPriority w:val="0"/>
    <w:pPr>
      <w:widowControl/>
      <w:pBdr>
        <w:left w:val="single" w:color="auto" w:sz="8" w:space="0"/>
        <w:bottom w:val="single" w:color="auto" w:sz="4" w:space="0"/>
        <w:right w:val="single" w:color="auto" w:sz="8" w:space="0"/>
      </w:pBdr>
      <w:spacing w:before="100" w:beforeAutospacing="1" w:after="100" w:afterAutospacing="1"/>
      <w:jc w:val="right"/>
      <w:textAlignment w:val="center"/>
    </w:pPr>
    <w:rPr>
      <w:rFonts w:ascii="宋体" w:hAnsi="宋体" w:cs="宋体"/>
      <w:color w:val="000000"/>
      <w:kern w:val="0"/>
      <w:sz w:val="20"/>
    </w:rPr>
  </w:style>
  <w:style w:type="paragraph" w:customStyle="1" w:styleId="219">
    <w:name w:val="xl193"/>
    <w:basedOn w:val="1"/>
    <w:qFormat/>
    <w:uiPriority w:val="0"/>
    <w:pPr>
      <w:widowControl/>
      <w:pBdr>
        <w:top w:val="single" w:color="auto" w:sz="4" w:space="0"/>
        <w:left w:val="single" w:color="auto" w:sz="8" w:space="0"/>
        <w:right w:val="single" w:color="auto" w:sz="4" w:space="0"/>
      </w:pBdr>
      <w:spacing w:before="100" w:beforeAutospacing="1" w:after="100" w:afterAutospacing="1"/>
      <w:jc w:val="right"/>
      <w:textAlignment w:val="center"/>
    </w:pPr>
    <w:rPr>
      <w:rFonts w:ascii="宋体" w:hAnsi="宋体" w:cs="宋体"/>
      <w:color w:val="000000"/>
      <w:kern w:val="0"/>
      <w:sz w:val="20"/>
    </w:rPr>
  </w:style>
  <w:style w:type="paragraph" w:customStyle="1" w:styleId="220">
    <w:name w:val="xl194"/>
    <w:basedOn w:val="1"/>
    <w:uiPriority w:val="0"/>
    <w:pPr>
      <w:widowControl/>
      <w:pBdr>
        <w:left w:val="single" w:color="auto" w:sz="8" w:space="0"/>
        <w:right w:val="single" w:color="auto" w:sz="4" w:space="0"/>
      </w:pBdr>
      <w:spacing w:before="100" w:beforeAutospacing="1" w:after="100" w:afterAutospacing="1"/>
      <w:jc w:val="right"/>
      <w:textAlignment w:val="center"/>
    </w:pPr>
    <w:rPr>
      <w:rFonts w:ascii="宋体" w:hAnsi="宋体" w:cs="宋体"/>
      <w:color w:val="000000"/>
      <w:kern w:val="0"/>
      <w:sz w:val="20"/>
    </w:rPr>
  </w:style>
  <w:style w:type="paragraph" w:customStyle="1" w:styleId="221">
    <w:name w:val="xl195"/>
    <w:basedOn w:val="1"/>
    <w:qFormat/>
    <w:uiPriority w:val="0"/>
    <w:pPr>
      <w:widowControl/>
      <w:pBdr>
        <w:left w:val="single" w:color="auto" w:sz="8" w:space="0"/>
        <w:bottom w:val="single" w:color="auto" w:sz="4" w:space="0"/>
        <w:right w:val="single" w:color="auto" w:sz="4" w:space="0"/>
      </w:pBdr>
      <w:spacing w:before="100" w:beforeAutospacing="1" w:after="100" w:afterAutospacing="1"/>
      <w:jc w:val="right"/>
      <w:textAlignment w:val="center"/>
    </w:pPr>
    <w:rPr>
      <w:rFonts w:ascii="宋体" w:hAnsi="宋体" w:cs="宋体"/>
      <w:color w:val="000000"/>
      <w:kern w:val="0"/>
      <w:sz w:val="20"/>
    </w:rPr>
  </w:style>
  <w:style w:type="character" w:customStyle="1" w:styleId="222">
    <w:name w:val="font01"/>
    <w:qFormat/>
    <w:uiPriority w:val="99"/>
    <w:rPr>
      <w:rFonts w:hint="eastAsia" w:ascii="宋体" w:hAnsi="宋体" w:eastAsia="宋体" w:cs="Times New Roman"/>
      <w:color w:val="000000"/>
      <w:sz w:val="20"/>
      <w:szCs w:val="20"/>
      <w:u w:val="none"/>
    </w:rPr>
  </w:style>
  <w:style w:type="character" w:customStyle="1" w:styleId="223">
    <w:name w:val="font71"/>
    <w:qFormat/>
    <w:uiPriority w:val="0"/>
    <w:rPr>
      <w:rFonts w:hint="default" w:ascii="Times New Roman" w:hAnsi="Times New Roman" w:eastAsia="宋体" w:cs="Times New Roman"/>
      <w:color w:val="000000"/>
      <w:sz w:val="20"/>
      <w:szCs w:val="20"/>
      <w:u w:val="none"/>
    </w:rPr>
  </w:style>
  <w:style w:type="character" w:customStyle="1" w:styleId="224">
    <w:name w:val="font111"/>
    <w:qFormat/>
    <w:uiPriority w:val="99"/>
    <w:rPr>
      <w:rFonts w:hint="eastAsia" w:ascii="宋体" w:hAnsi="宋体" w:eastAsia="宋体" w:cs="Times New Roman"/>
      <w:color w:val="000000"/>
      <w:sz w:val="20"/>
      <w:szCs w:val="20"/>
      <w:u w:val="none"/>
    </w:rPr>
  </w:style>
  <w:style w:type="character" w:customStyle="1" w:styleId="225">
    <w:name w:val="font61"/>
    <w:qFormat/>
    <w:uiPriority w:val="0"/>
    <w:rPr>
      <w:rFonts w:hint="default" w:ascii="Times New Roman" w:hAnsi="Times New Roman" w:eastAsia="宋体" w:cs="Times New Roman"/>
      <w:color w:val="000000"/>
      <w:sz w:val="20"/>
      <w:szCs w:val="20"/>
      <w:u w:val="none"/>
    </w:rPr>
  </w:style>
  <w:style w:type="table" w:customStyle="1" w:styleId="226">
    <w:name w:val="中等深浅网格 31"/>
    <w:basedOn w:val="31"/>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C0C0C0"/>
    </w:tcPr>
    <w:tblStylePr w:type="firstRow">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tcPr>
        <w:tcBorders>
          <w:left w:val="single" w:color="CCE8CF" w:sz="8" w:space="0"/>
          <w:right w:val="single" w:color="CCE8CF" w:sz="24" w:space="0"/>
          <w:insideH w:val="nil"/>
          <w:insideV w:val="nil"/>
        </w:tcBorders>
        <w:shd w:val="clear" w:color="auto" w:fill="000000"/>
      </w:tcPr>
    </w:tblStylePr>
    <w:tblStylePr w:type="lastCol">
      <w:tcPr>
        <w:tcBorders>
          <w:top w:val="nil"/>
          <w:left w:val="single" w:color="CCE8CF" w:sz="24" w:space="0"/>
          <w:bottom w:val="nil"/>
          <w:right w:val="nil"/>
          <w:insideH w:val="nil"/>
          <w:insideV w:val="nil"/>
        </w:tcBorders>
        <w:shd w:val="clear" w:color="auto" w:fill="000000"/>
      </w:tcPr>
    </w:tblStylePr>
    <w:tblStylePr w:type="band1Vert">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character" w:customStyle="1" w:styleId="227">
    <w:name w:val="标题 1 字符"/>
    <w:basedOn w:val="39"/>
    <w:link w:val="2"/>
    <w:qFormat/>
    <w:uiPriority w:val="0"/>
    <w:rPr>
      <w:rFonts w:ascii="Times New Roman" w:hAnsi="Times New Roman" w:eastAsia="宋体" w:cs="Calibri"/>
      <w:b/>
      <w:bCs/>
      <w:kern w:val="44"/>
      <w:sz w:val="44"/>
      <w:szCs w:val="44"/>
    </w:rPr>
  </w:style>
  <w:style w:type="character" w:customStyle="1" w:styleId="228">
    <w:name w:val="标题 3 字符"/>
    <w:basedOn w:val="39"/>
    <w:link w:val="4"/>
    <w:qFormat/>
    <w:uiPriority w:val="0"/>
    <w:rPr>
      <w:rFonts w:ascii="宋体" w:hAnsi="宋体" w:eastAsia="宋体" w:cs="宋体"/>
      <w:b/>
      <w:bCs/>
      <w:kern w:val="0"/>
      <w:sz w:val="27"/>
      <w:szCs w:val="27"/>
    </w:rPr>
  </w:style>
  <w:style w:type="paragraph" w:customStyle="1" w:styleId="229">
    <w:name w:val="Char Char Char Char2"/>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30">
    <w:name w:val="Char2"/>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31">
    <w:name w:val="Char Char12"/>
    <w:basedOn w:val="1"/>
    <w:qFormat/>
    <w:uiPriority w:val="0"/>
    <w:rPr>
      <w:rFonts w:ascii="Tahoma" w:hAnsi="Tahoma" w:cs="Tahoma"/>
      <w:sz w:val="24"/>
      <w:szCs w:val="24"/>
    </w:rPr>
  </w:style>
  <w:style w:type="paragraph" w:customStyle="1" w:styleId="232">
    <w:name w:val="Char Char Char Char Char Char Char2"/>
    <w:basedOn w:val="1"/>
    <w:qFormat/>
    <w:uiPriority w:val="0"/>
    <w:pPr>
      <w:widowControl/>
      <w:spacing w:after="160" w:line="240" w:lineRule="exact"/>
      <w:jc w:val="left"/>
    </w:pPr>
    <w:rPr>
      <w:rFonts w:ascii="Verdana" w:hAnsi="Verdana" w:eastAsia="仿宋_GB2312"/>
      <w:kern w:val="0"/>
      <w:sz w:val="24"/>
      <w:lang w:eastAsia="en-US"/>
    </w:rPr>
  </w:style>
  <w:style w:type="table" w:customStyle="1" w:styleId="233">
    <w:name w:val="网格型2"/>
    <w:basedOn w:val="3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34">
    <w:name w:val="Header Char"/>
    <w:qFormat/>
    <w:locked/>
    <w:uiPriority w:val="99"/>
    <w:rPr>
      <w:sz w:val="18"/>
    </w:rPr>
  </w:style>
  <w:style w:type="character" w:customStyle="1" w:styleId="235">
    <w:name w:val="Footer Char"/>
    <w:qFormat/>
    <w:locked/>
    <w:uiPriority w:val="99"/>
    <w:rPr>
      <w:sz w:val="18"/>
    </w:rPr>
  </w:style>
  <w:style w:type="character" w:customStyle="1" w:styleId="236">
    <w:name w:val="彩色列表字符"/>
    <w:basedOn w:val="39"/>
    <w:link w:val="237"/>
    <w:qFormat/>
    <w:locked/>
    <w:uiPriority w:val="99"/>
    <w:rPr>
      <w:rFonts w:cs="Calibri"/>
    </w:rPr>
  </w:style>
  <w:style w:type="paragraph" w:customStyle="1" w:styleId="237">
    <w:name w:val="彩色列表1"/>
    <w:basedOn w:val="1"/>
    <w:link w:val="236"/>
    <w:qFormat/>
    <w:uiPriority w:val="99"/>
    <w:pPr>
      <w:widowControl/>
      <w:spacing w:line="276" w:lineRule="auto"/>
      <w:ind w:left="720"/>
      <w:contextualSpacing/>
      <w:jc w:val="left"/>
    </w:pPr>
    <w:rPr>
      <w:rFonts w:cs="Calibri" w:asciiTheme="minorHAnsi" w:hAnsiTheme="minorHAnsi" w:eastAsiaTheme="minorEastAsia"/>
      <w:szCs w:val="22"/>
    </w:rPr>
  </w:style>
  <w:style w:type="paragraph" w:customStyle="1" w:styleId="238">
    <w:name w:val="_Style 2"/>
    <w:basedOn w:val="1"/>
    <w:qFormat/>
    <w:uiPriority w:val="0"/>
    <w:pPr>
      <w:ind w:firstLine="420" w:firstLineChars="200"/>
    </w:pPr>
    <w:rPr>
      <w:szCs w:val="22"/>
    </w:rPr>
  </w:style>
  <w:style w:type="paragraph" w:customStyle="1" w:styleId="239">
    <w:name w:val="msolistparagraph"/>
    <w:basedOn w:val="1"/>
    <w:qFormat/>
    <w:uiPriority w:val="99"/>
    <w:pPr>
      <w:spacing w:line="300" w:lineRule="auto"/>
      <w:ind w:firstLine="420" w:firstLineChars="200"/>
    </w:pPr>
    <w:rPr>
      <w:rFonts w:ascii="Arial" w:hAnsi="Arial"/>
      <w:szCs w:val="24"/>
    </w:rPr>
  </w:style>
  <w:style w:type="character" w:customStyle="1" w:styleId="240">
    <w:name w:val="标题1"/>
    <w:basedOn w:val="39"/>
    <w:qFormat/>
    <w:uiPriority w:val="99"/>
    <w:rPr>
      <w:rFonts w:cs="Times New Roman"/>
    </w:rPr>
  </w:style>
  <w:style w:type="character" w:customStyle="1" w:styleId="241">
    <w:name w:val="apple-converted-space"/>
    <w:basedOn w:val="39"/>
    <w:qFormat/>
    <w:uiPriority w:val="99"/>
    <w:rPr>
      <w:rFonts w:cs="Times New Roman"/>
    </w:rPr>
  </w:style>
  <w:style w:type="paragraph" w:customStyle="1" w:styleId="242">
    <w:name w:val="列出段落1"/>
    <w:basedOn w:val="1"/>
    <w:qFormat/>
    <w:uiPriority w:val="34"/>
    <w:pPr>
      <w:ind w:firstLine="420" w:firstLineChars="200"/>
    </w:pPr>
    <w:rPr>
      <w:rFonts w:ascii="Calibri" w:hAnsi="Calibri"/>
      <w:szCs w:val="24"/>
    </w:rPr>
  </w:style>
  <w:style w:type="character" w:customStyle="1" w:styleId="243">
    <w:name w:val="clean-color-contras"/>
    <w:basedOn w:val="39"/>
    <w:qFormat/>
    <w:uiPriority w:val="99"/>
    <w:rPr>
      <w:rFonts w:cs="Times New Roman"/>
    </w:rPr>
  </w:style>
  <w:style w:type="paragraph" w:styleId="244">
    <w:name w:val="No Spacing"/>
    <w:qFormat/>
    <w:uiPriority w:val="99"/>
    <w:pPr>
      <w:widowControl w:val="0"/>
      <w:jc w:val="both"/>
    </w:pPr>
    <w:rPr>
      <w:rFonts w:ascii="Calibri" w:hAnsi="Calibri" w:eastAsia="宋体" w:cs="Times New Roman"/>
      <w:kern w:val="2"/>
      <w:sz w:val="21"/>
      <w:szCs w:val="22"/>
      <w:lang w:val="en-US" w:eastAsia="zh-CN" w:bidi="ar-SA"/>
    </w:rPr>
  </w:style>
  <w:style w:type="character" w:customStyle="1" w:styleId="245">
    <w:name w:val="font101"/>
    <w:basedOn w:val="39"/>
    <w:qFormat/>
    <w:uiPriority w:val="99"/>
    <w:rPr>
      <w:rFonts w:ascii="宋体" w:hAnsi="宋体" w:eastAsia="宋体" w:cs="宋体"/>
      <w:b/>
      <w:color w:val="000000"/>
      <w:sz w:val="22"/>
      <w:szCs w:val="22"/>
      <w:u w:val="none"/>
    </w:rPr>
  </w:style>
  <w:style w:type="character" w:customStyle="1" w:styleId="246">
    <w:name w:val="font91"/>
    <w:basedOn w:val="39"/>
    <w:qFormat/>
    <w:uiPriority w:val="99"/>
    <w:rPr>
      <w:rFonts w:ascii="Times New Roman" w:hAnsi="Times New Roman" w:cs="Times New Roman"/>
      <w:b/>
      <w:color w:val="000000"/>
      <w:sz w:val="22"/>
      <w:szCs w:val="22"/>
      <w:u w:val="none"/>
    </w:rPr>
  </w:style>
  <w:style w:type="character" w:customStyle="1" w:styleId="247">
    <w:name w:val="HTML Preformatted Char"/>
    <w:qFormat/>
    <w:locked/>
    <w:uiPriority w:val="99"/>
    <w:rPr>
      <w:rFonts w:ascii="宋体" w:hAnsi="宋体" w:eastAsia="宋体"/>
      <w:sz w:val="24"/>
    </w:rPr>
  </w:style>
  <w:style w:type="character" w:customStyle="1" w:styleId="248">
    <w:name w:val="HTML 预设格式 字符"/>
    <w:basedOn w:val="39"/>
    <w:link w:val="28"/>
    <w:qFormat/>
    <w:uiPriority w:val="99"/>
    <w:rPr>
      <w:rFonts w:ascii="宋体" w:hAnsi="宋体" w:eastAsia="宋体" w:cs="Times New Roman"/>
      <w:kern w:val="0"/>
      <w:sz w:val="24"/>
      <w:szCs w:val="20"/>
    </w:rPr>
  </w:style>
  <w:style w:type="character" w:customStyle="1" w:styleId="249">
    <w:name w:val="HTML 预设格式 Char1"/>
    <w:basedOn w:val="39"/>
    <w:semiHidden/>
    <w:qFormat/>
    <w:uiPriority w:val="99"/>
    <w:rPr>
      <w:rFonts w:ascii="Courier New" w:hAnsi="Courier New" w:eastAsia="宋体" w:cs="Courier New"/>
      <w:sz w:val="20"/>
      <w:szCs w:val="20"/>
    </w:rPr>
  </w:style>
  <w:style w:type="paragraph" w:customStyle="1" w:styleId="250">
    <w:name w:val="正文 New New New New"/>
    <w:qFormat/>
    <w:uiPriority w:val="0"/>
    <w:pPr>
      <w:widowControl w:val="0"/>
      <w:jc w:val="both"/>
    </w:pPr>
    <w:rPr>
      <w:rFonts w:ascii="Times New Roman" w:hAnsi="Times New Roman" w:eastAsia="宋体" w:cs="Times New Roman"/>
      <w:lang w:val="en-US" w:eastAsia="zh-CN" w:bidi="ar-SA"/>
    </w:rPr>
  </w:style>
  <w:style w:type="paragraph" w:customStyle="1" w:styleId="251">
    <w:name w:val="正文段落"/>
    <w:basedOn w:val="1"/>
    <w:qFormat/>
    <w:uiPriority w:val="99"/>
    <w:pPr>
      <w:spacing w:line="360" w:lineRule="auto"/>
      <w:ind w:firstLine="440" w:firstLineChars="200"/>
    </w:pPr>
    <w:rPr>
      <w:rFonts w:ascii="宋体" w:hAnsi="宋体" w:cs="宋体"/>
      <w:kern w:val="0"/>
    </w:rPr>
  </w:style>
  <w:style w:type="paragraph" w:customStyle="1" w:styleId="252">
    <w:name w:val="Char Char Char Char3"/>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53">
    <w:name w:val="Char3"/>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54">
    <w:name w:val="Char Char13"/>
    <w:basedOn w:val="1"/>
    <w:qFormat/>
    <w:uiPriority w:val="0"/>
    <w:rPr>
      <w:rFonts w:ascii="Tahoma" w:hAnsi="Tahoma" w:cs="Tahoma"/>
      <w:sz w:val="24"/>
      <w:szCs w:val="24"/>
    </w:rPr>
  </w:style>
  <w:style w:type="paragraph" w:customStyle="1" w:styleId="255">
    <w:name w:val="Char Char Char Char Char Char Char3"/>
    <w:basedOn w:val="1"/>
    <w:qFormat/>
    <w:uiPriority w:val="0"/>
    <w:pPr>
      <w:widowControl/>
      <w:spacing w:after="160" w:line="240" w:lineRule="exact"/>
      <w:jc w:val="left"/>
    </w:pPr>
    <w:rPr>
      <w:rFonts w:ascii="Verdana" w:hAnsi="Verdana" w:eastAsia="仿宋_GB2312"/>
      <w:kern w:val="0"/>
      <w:sz w:val="24"/>
      <w:lang w:eastAsia="en-US"/>
    </w:rPr>
  </w:style>
  <w:style w:type="table" w:customStyle="1" w:styleId="256">
    <w:name w:val="网格型5"/>
    <w:basedOn w:val="3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7">
    <w:name w:val="页眉 字符"/>
    <w:qFormat/>
    <w:uiPriority w:val="99"/>
    <w:rPr>
      <w:sz w:val="18"/>
      <w:szCs w:val="18"/>
    </w:rPr>
  </w:style>
  <w:style w:type="character" w:customStyle="1" w:styleId="258">
    <w:name w:val="页脚 字符"/>
    <w:qFormat/>
    <w:uiPriority w:val="99"/>
    <w:rPr>
      <w:sz w:val="18"/>
      <w:szCs w:val="18"/>
    </w:rPr>
  </w:style>
  <w:style w:type="paragraph" w:customStyle="1" w:styleId="259">
    <w:name w:val="xl63"/>
    <w:basedOn w:val="1"/>
    <w:qFormat/>
    <w:uiPriority w:val="0"/>
    <w:pPr>
      <w:widowControl/>
      <w:pBdr>
        <w:right w:val="single" w:color="auto" w:sz="8" w:space="0"/>
      </w:pBdr>
      <w:spacing w:before="100" w:beforeAutospacing="1" w:after="100" w:afterAutospacing="1"/>
    </w:pPr>
    <w:rPr>
      <w:rFonts w:ascii="宋体" w:hAnsi="宋体" w:cs="宋体"/>
      <w:kern w:val="0"/>
      <w:szCs w:val="21"/>
    </w:rPr>
  </w:style>
  <w:style w:type="character" w:customStyle="1" w:styleId="260">
    <w:name w:val="批注文字 字符"/>
    <w:qFormat/>
    <w:uiPriority w:val="0"/>
    <w:rPr>
      <w:rFonts w:ascii="Times New Roman" w:hAnsi="Times New Roman"/>
      <w:kern w:val="2"/>
      <w:sz w:val="21"/>
      <w:szCs w:val="24"/>
    </w:rPr>
  </w:style>
  <w:style w:type="character" w:customStyle="1" w:styleId="261">
    <w:name w:val="批注主题 字符"/>
    <w:semiHidden/>
    <w:qFormat/>
    <w:uiPriority w:val="99"/>
    <w:rPr>
      <w:rFonts w:ascii="Times New Roman" w:hAnsi="Times New Roman"/>
      <w:b/>
      <w:bCs/>
      <w:kern w:val="2"/>
      <w:sz w:val="21"/>
      <w:szCs w:val="24"/>
    </w:rPr>
  </w:style>
  <w:style w:type="character" w:customStyle="1" w:styleId="262">
    <w:name w:val="批注框文本 字符"/>
    <w:semiHidden/>
    <w:qFormat/>
    <w:uiPriority w:val="99"/>
    <w:rPr>
      <w:rFonts w:ascii="Times New Roman" w:hAnsi="Times New Roman"/>
      <w:kern w:val="2"/>
      <w:sz w:val="18"/>
      <w:szCs w:val="18"/>
    </w:rPr>
  </w:style>
  <w:style w:type="character" w:customStyle="1" w:styleId="263">
    <w:name w:val="批注文字 Char"/>
    <w:qFormat/>
    <w:uiPriority w:val="0"/>
    <w:rPr>
      <w:kern w:val="2"/>
      <w:sz w:val="21"/>
    </w:rPr>
  </w:style>
  <w:style w:type="paragraph" w:customStyle="1" w:styleId="264">
    <w:name w:val="_Style 262"/>
    <w:basedOn w:val="1"/>
    <w:next w:val="71"/>
    <w:qFormat/>
    <w:uiPriority w:val="34"/>
    <w:pPr>
      <w:ind w:firstLine="420" w:firstLineChars="200"/>
    </w:pPr>
    <w:rPr>
      <w:rFonts w:ascii="Calibri" w:hAnsi="Calibri"/>
      <w:szCs w:val="22"/>
    </w:rPr>
  </w:style>
  <w:style w:type="character" w:customStyle="1" w:styleId="265">
    <w:name w:val="页眉 Char"/>
    <w:qFormat/>
    <w:uiPriority w:val="0"/>
    <w:rPr>
      <w:rFonts w:ascii="宋体"/>
      <w:sz w:val="18"/>
    </w:rPr>
  </w:style>
  <w:style w:type="character" w:customStyle="1" w:styleId="266">
    <w:name w:val="标题 2 字符"/>
    <w:basedOn w:val="39"/>
    <w:link w:val="3"/>
    <w:qFormat/>
    <w:uiPriority w:val="0"/>
    <w:rPr>
      <w:rFonts w:ascii="Cambria" w:hAnsi="Cambria" w:eastAsia="宋体" w:cs="宋体"/>
      <w:b/>
      <w:bCs/>
      <w:sz w:val="32"/>
      <w:szCs w:val="32"/>
    </w:rPr>
  </w:style>
  <w:style w:type="table" w:customStyle="1" w:styleId="267">
    <w:name w:val="网格型6"/>
    <w:basedOn w:val="31"/>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268">
    <w:name w:val="网格型7"/>
    <w:basedOn w:val="31"/>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269">
    <w:name w:val="网格型8"/>
    <w:basedOn w:val="31"/>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270">
    <w:name w:val="网格型9"/>
    <w:basedOn w:val="31"/>
    <w:qFormat/>
    <w:uiPriority w:val="0"/>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271">
    <w:name w:val="网格型10"/>
    <w:basedOn w:val="31"/>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272">
    <w:name w:val="Char Char Char Char4"/>
    <w:basedOn w:val="1"/>
    <w:qFormat/>
    <w:uiPriority w:val="0"/>
    <w:pPr>
      <w:widowControl/>
      <w:spacing w:after="160" w:line="240" w:lineRule="exact"/>
      <w:jc w:val="left"/>
    </w:pPr>
    <w:rPr>
      <w:rFonts w:ascii="Verdana" w:hAnsi="Verdana" w:eastAsia="仿宋_GB2312"/>
      <w:kern w:val="0"/>
      <w:sz w:val="24"/>
      <w:lang w:eastAsia="en-US"/>
    </w:rPr>
  </w:style>
  <w:style w:type="character" w:customStyle="1" w:styleId="273">
    <w:name w:val="批注主题 Char1"/>
    <w:basedOn w:val="73"/>
    <w:semiHidden/>
    <w:qFormat/>
    <w:uiPriority w:val="99"/>
    <w:rPr>
      <w:b/>
      <w:bCs/>
      <w:kern w:val="2"/>
      <w:sz w:val="21"/>
      <w:szCs w:val="24"/>
    </w:rPr>
  </w:style>
  <w:style w:type="paragraph" w:customStyle="1" w:styleId="274">
    <w:name w:val="Char Char14"/>
    <w:basedOn w:val="1"/>
    <w:qFormat/>
    <w:uiPriority w:val="0"/>
    <w:rPr>
      <w:rFonts w:ascii="Tahoma" w:hAnsi="Tahoma" w:cs="Tahoma"/>
      <w:sz w:val="24"/>
      <w:szCs w:val="24"/>
    </w:rPr>
  </w:style>
  <w:style w:type="character" w:customStyle="1" w:styleId="275">
    <w:name w:val="文档结构图 Char1"/>
    <w:basedOn w:val="39"/>
    <w:semiHidden/>
    <w:qFormat/>
    <w:uiPriority w:val="99"/>
    <w:rPr>
      <w:rFonts w:ascii="宋体"/>
      <w:kern w:val="2"/>
      <w:sz w:val="18"/>
      <w:szCs w:val="18"/>
    </w:rPr>
  </w:style>
  <w:style w:type="paragraph" w:customStyle="1" w:styleId="276">
    <w:name w:val="Char4"/>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77">
    <w:name w:val="Char Char Char Char Char Char Char4"/>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78">
    <w:name w:val="_Style 35"/>
    <w:basedOn w:val="1"/>
    <w:next w:val="71"/>
    <w:qFormat/>
    <w:uiPriority w:val="34"/>
    <w:pPr>
      <w:ind w:firstLine="420" w:firstLineChars="200"/>
    </w:pPr>
    <w:rPr>
      <w:szCs w:val="24"/>
    </w:rPr>
  </w:style>
  <w:style w:type="table" w:customStyle="1" w:styleId="279">
    <w:name w:val="网格型11"/>
    <w:basedOn w:val="3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
    <w:name w:val="网格型12"/>
    <w:basedOn w:val="31"/>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281">
    <w:name w:val="标题 4 字符"/>
    <w:basedOn w:val="39"/>
    <w:link w:val="5"/>
    <w:semiHidden/>
    <w:qFormat/>
    <w:uiPriority w:val="0"/>
    <w:rPr>
      <w:rFonts w:ascii="Cambria" w:hAnsi="Cambria"/>
      <w:b/>
      <w:bCs/>
      <w:kern w:val="2"/>
      <w:sz w:val="28"/>
      <w:szCs w:val="28"/>
    </w:rPr>
  </w:style>
  <w:style w:type="character" w:customStyle="1" w:styleId="282">
    <w:name w:val="标题 3 Char1"/>
    <w:qFormat/>
    <w:uiPriority w:val="0"/>
    <w:rPr>
      <w:rFonts w:ascii="宋体" w:hAnsi="宋体"/>
      <w:b/>
      <w:bCs/>
      <w:sz w:val="28"/>
      <w:szCs w:val="32"/>
    </w:rPr>
  </w:style>
  <w:style w:type="paragraph" w:customStyle="1" w:styleId="283">
    <w:name w:val="修订1"/>
    <w:hidden/>
    <w:qFormat/>
    <w:uiPriority w:val="99"/>
    <w:rPr>
      <w:rFonts w:ascii="Times New Roman" w:hAnsi="Times New Roman" w:eastAsia="宋体" w:cs="Times New Roman"/>
      <w:kern w:val="2"/>
      <w:sz w:val="21"/>
      <w:lang w:val="en-US" w:eastAsia="zh-CN" w:bidi="ar-SA"/>
    </w:rPr>
  </w:style>
  <w:style w:type="paragraph" w:customStyle="1" w:styleId="284">
    <w:name w:val="正文 A"/>
    <w:qFormat/>
    <w:uiPriority w:val="0"/>
    <w:pPr>
      <w:widowControl w:val="0"/>
      <w:jc w:val="both"/>
    </w:pPr>
    <w:rPr>
      <w:rFonts w:ascii="Times New Roman" w:hAnsi="Times New Roman" w:eastAsia="ヒラギノ角ゴ Pro W3" w:cs="Times New Roman"/>
      <w:color w:val="000000"/>
      <w:kern w:val="2"/>
      <w:sz w:val="21"/>
      <w:lang w:val="en-US" w:eastAsia="zh-CN" w:bidi="ar-SA"/>
    </w:rPr>
  </w:style>
  <w:style w:type="character" w:customStyle="1" w:styleId="285">
    <w:name w:val="font41"/>
    <w:basedOn w:val="39"/>
    <w:qFormat/>
    <w:uiPriority w:val="0"/>
    <w:rPr>
      <w:rFonts w:hint="eastAsia" w:ascii="宋体" w:hAnsi="宋体" w:eastAsia="宋体" w:cs="宋体"/>
      <w:color w:val="000000"/>
      <w:sz w:val="22"/>
      <w:szCs w:val="22"/>
      <w:u w:val="none"/>
    </w:rPr>
  </w:style>
  <w:style w:type="character" w:customStyle="1" w:styleId="286">
    <w:name w:val="*正文 Char"/>
    <w:link w:val="287"/>
    <w:qFormat/>
    <w:uiPriority w:val="0"/>
    <w:rPr>
      <w:rFonts w:ascii="宋体" w:hAnsi="宋体"/>
      <w:sz w:val="24"/>
      <w:szCs w:val="24"/>
    </w:rPr>
  </w:style>
  <w:style w:type="paragraph" w:customStyle="1" w:styleId="287">
    <w:name w:val="*正文"/>
    <w:basedOn w:val="1"/>
    <w:link w:val="286"/>
    <w:qFormat/>
    <w:uiPriority w:val="0"/>
    <w:pPr>
      <w:widowControl/>
      <w:spacing w:line="360" w:lineRule="auto"/>
      <w:ind w:firstLine="482"/>
      <w:jc w:val="left"/>
    </w:pPr>
    <w:rPr>
      <w:rFonts w:ascii="宋体" w:hAnsi="宋体"/>
      <w:kern w:val="0"/>
      <w:sz w:val="24"/>
      <w:szCs w:val="24"/>
    </w:rPr>
  </w:style>
  <w:style w:type="table" w:customStyle="1" w:styleId="288">
    <w:name w:val="网格型13"/>
    <w:basedOn w:val="31"/>
    <w:qFormat/>
    <w:uiPriority w:val="0"/>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289">
    <w:name w:val="网格型14"/>
    <w:basedOn w:val="31"/>
    <w:qFormat/>
    <w:uiPriority w:val="0"/>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290">
    <w:name w:val="网格型15"/>
    <w:basedOn w:val="31"/>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291">
    <w:name w:val="网格型16"/>
    <w:basedOn w:val="31"/>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292">
    <w:name w:val="_Style 37"/>
    <w:basedOn w:val="1"/>
    <w:next w:val="71"/>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12</Pages>
  <Words>1680</Words>
  <Characters>9582</Characters>
  <Lines>79</Lines>
  <Paragraphs>22</Paragraphs>
  <TotalTime>0</TotalTime>
  <ScaleCrop>false</ScaleCrop>
  <LinksUpToDate>false</LinksUpToDate>
  <CharactersWithSpaces>11240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2019-11-01T06:27:00Z</dcterms:created>
  <dc:creator>微软中国</dc:creator>
  <cp:lastModifiedBy>Administrator</cp:lastModifiedBy>
  <dcterms:modified xsi:type="dcterms:W3CDTF">2019-11-01T09:54:25Z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