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60" w:after="60" w:line="360" w:lineRule="auto"/>
        <w:ind w:firstLine="562" w:firstLineChars="20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eastAsia="zh-CN"/>
        </w:rPr>
        <w:t>中国水产科学研究院长江水产研究所水生动物防疫综合实验室第三批设备购置项目公开招标公告</w:t>
      </w: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湖北飞浪咨询服务有限公司受中国水产科学研究院长江水产研究所的委托，拟就其“</w:t>
      </w:r>
      <w:r>
        <w:rPr>
          <w:rFonts w:hint="eastAsia" w:ascii="宋体" w:hAnsi="宋体" w:eastAsia="宋体" w:cs="宋体"/>
          <w:sz w:val="24"/>
          <w:szCs w:val="24"/>
          <w:lang w:eastAsia="zh-CN"/>
        </w:rPr>
        <w:t>中国水产科学研究院长江水产研究所水生动物防疫综合实验室第三批设备购置项目</w:t>
      </w:r>
      <w:r>
        <w:rPr>
          <w:rFonts w:hint="eastAsia" w:ascii="宋体" w:hAnsi="宋体" w:eastAsia="宋体" w:cs="宋体"/>
          <w:sz w:val="24"/>
          <w:szCs w:val="24"/>
        </w:rPr>
        <w:t>”进行国内公开招标采购。</w:t>
      </w:r>
      <w:bookmarkStart w:id="12" w:name="_GoBack"/>
      <w:bookmarkEnd w:id="12"/>
      <w:r>
        <w:rPr>
          <w:rFonts w:hint="eastAsia" w:ascii="宋体" w:hAnsi="宋体" w:eastAsia="宋体" w:cs="宋体"/>
          <w:sz w:val="24"/>
          <w:szCs w:val="24"/>
        </w:rPr>
        <w:t>欢迎合格投标人参加投标。</w:t>
      </w: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jc w:val="left"/>
        <w:textAlignment w:val="auto"/>
        <w:outlineLvl w:val="9"/>
        <w:rPr>
          <w:rFonts w:ascii="宋体" w:hAnsi="宋体" w:eastAsia="宋体" w:cs="宋体"/>
          <w:b/>
          <w:bCs/>
          <w:sz w:val="28"/>
          <w:szCs w:val="28"/>
        </w:rPr>
      </w:pPr>
      <w:bookmarkStart w:id="0" w:name="_Toc16938"/>
      <w:r>
        <w:rPr>
          <w:rFonts w:hint="eastAsia" w:ascii="宋体" w:hAnsi="宋体" w:eastAsia="宋体" w:cs="宋体"/>
          <w:b/>
          <w:bCs/>
          <w:sz w:val="28"/>
          <w:szCs w:val="28"/>
        </w:rPr>
        <w:t>一、项目概况</w:t>
      </w:r>
      <w:bookmarkEnd w:id="0"/>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1、采购人：中国水产科学研究院长江水产研究所</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2、项目名称：</w:t>
      </w:r>
      <w:r>
        <w:rPr>
          <w:rFonts w:hint="eastAsia" w:ascii="宋体" w:hAnsi="宋体" w:eastAsia="宋体" w:cs="宋体"/>
          <w:sz w:val="24"/>
          <w:szCs w:val="24"/>
          <w:lang w:eastAsia="zh-CN"/>
        </w:rPr>
        <w:t>中国水产科学研究院长江水产研究所水生动物防疫综合实验室第三批设备购置项目</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3、招标编号：</w:t>
      </w:r>
      <w:r>
        <w:rPr>
          <w:rFonts w:hint="eastAsia" w:ascii="宋体" w:hAnsi="宋体" w:eastAsia="宋体" w:cs="宋体"/>
          <w:sz w:val="24"/>
          <w:szCs w:val="24"/>
          <w:lang w:eastAsia="zh-CN"/>
        </w:rPr>
        <w:t>FLZX-ZC-2018-128</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4、采购预算：</w:t>
      </w:r>
      <w:r>
        <w:rPr>
          <w:rFonts w:hint="eastAsia" w:ascii="宋体" w:hAnsi="宋体" w:eastAsia="宋体" w:cs="宋体"/>
          <w:sz w:val="24"/>
          <w:szCs w:val="24"/>
          <w:lang w:eastAsia="zh-CN"/>
        </w:rPr>
        <w:t>人民币430万元</w:t>
      </w:r>
      <w:r>
        <w:rPr>
          <w:rFonts w:hint="eastAsia" w:ascii="宋体" w:hAnsi="宋体" w:eastAsia="宋体" w:cs="宋体"/>
          <w:spacing w:val="-2"/>
          <w:sz w:val="24"/>
          <w:szCs w:val="24"/>
        </w:rPr>
        <w:t>（</w:t>
      </w:r>
      <w:r>
        <w:rPr>
          <w:rFonts w:hint="eastAsia" w:ascii="宋体" w:hAnsi="宋体" w:eastAsia="宋体" w:cs="宋体"/>
          <w:sz w:val="24"/>
          <w:szCs w:val="24"/>
          <w:shd w:val="clear" w:color="auto" w:fill="FFFFFF"/>
        </w:rPr>
        <w:t>供应商投标报价超过预算金额的，为无效竞标。</w:t>
      </w:r>
      <w:r>
        <w:rPr>
          <w:rFonts w:hint="eastAsia" w:ascii="宋体" w:hAnsi="宋体" w:eastAsia="宋体" w:cs="宋体"/>
          <w:spacing w:val="-2"/>
          <w:sz w:val="24"/>
          <w:szCs w:val="24"/>
        </w:rPr>
        <w:t>）</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5、采购内容及基本要求：具体需求如下；详细技术规格、参数及要求见本招标文件第三章。</w:t>
      </w:r>
    </w:p>
    <w:tbl>
      <w:tblPr>
        <w:tblStyle w:val="4"/>
        <w:tblW w:w="8020" w:type="dxa"/>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2888"/>
        <w:gridCol w:w="1183"/>
        <w:gridCol w:w="1173"/>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684" w:type="dxa"/>
            <w:vAlign w:val="center"/>
          </w:tcPr>
          <w:p>
            <w:pPr>
              <w:pStyle w:val="5"/>
              <w:spacing w:line="360" w:lineRule="auto"/>
              <w:ind w:firstLine="0" w:firstLineChars="0"/>
              <w:jc w:val="center"/>
              <w:rPr>
                <w:rFonts w:ascii="宋体" w:hAnsi="宋体" w:eastAsia="宋体" w:cs="宋体"/>
                <w:sz w:val="24"/>
                <w:szCs w:val="24"/>
              </w:rPr>
            </w:pPr>
            <w:r>
              <w:rPr>
                <w:rFonts w:hint="eastAsia" w:ascii="宋体" w:hAnsi="宋体" w:eastAsia="宋体" w:cs="宋体"/>
                <w:sz w:val="24"/>
                <w:szCs w:val="24"/>
              </w:rPr>
              <w:t>序号</w:t>
            </w:r>
          </w:p>
        </w:tc>
        <w:tc>
          <w:tcPr>
            <w:tcW w:w="2888" w:type="dxa"/>
            <w:vAlign w:val="center"/>
          </w:tcPr>
          <w:p>
            <w:pPr>
              <w:pStyle w:val="5"/>
              <w:spacing w:line="360" w:lineRule="auto"/>
              <w:ind w:firstLine="0" w:firstLineChars="0"/>
              <w:jc w:val="center"/>
              <w:rPr>
                <w:rFonts w:ascii="宋体" w:hAnsi="宋体" w:eastAsia="宋体" w:cs="宋体"/>
                <w:sz w:val="24"/>
                <w:szCs w:val="24"/>
              </w:rPr>
            </w:pPr>
            <w:r>
              <w:rPr>
                <w:rFonts w:hint="eastAsia" w:ascii="宋体" w:hAnsi="宋体" w:eastAsia="宋体" w:cs="宋体"/>
                <w:sz w:val="24"/>
                <w:szCs w:val="24"/>
              </w:rPr>
              <w:t>品名</w:t>
            </w:r>
          </w:p>
        </w:tc>
        <w:tc>
          <w:tcPr>
            <w:tcW w:w="1183" w:type="dxa"/>
            <w:vAlign w:val="center"/>
          </w:tcPr>
          <w:p>
            <w:pPr>
              <w:pStyle w:val="5"/>
              <w:spacing w:line="360" w:lineRule="auto"/>
              <w:ind w:firstLine="0" w:firstLineChars="0"/>
              <w:jc w:val="center"/>
              <w:rPr>
                <w:rFonts w:ascii="宋体" w:hAnsi="宋体" w:eastAsia="宋体" w:cs="宋体"/>
                <w:sz w:val="24"/>
                <w:szCs w:val="24"/>
              </w:rPr>
            </w:pPr>
            <w:r>
              <w:rPr>
                <w:rFonts w:hint="eastAsia" w:ascii="宋体" w:hAnsi="宋体" w:eastAsia="宋体" w:cs="宋体"/>
                <w:sz w:val="24"/>
                <w:szCs w:val="24"/>
              </w:rPr>
              <w:t>数量</w:t>
            </w:r>
          </w:p>
        </w:tc>
        <w:tc>
          <w:tcPr>
            <w:tcW w:w="1173" w:type="dxa"/>
            <w:vAlign w:val="center"/>
          </w:tcPr>
          <w:p>
            <w:pPr>
              <w:pStyle w:val="5"/>
              <w:spacing w:line="360" w:lineRule="auto"/>
              <w:ind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预算</w:t>
            </w:r>
          </w:p>
        </w:tc>
        <w:tc>
          <w:tcPr>
            <w:tcW w:w="2092" w:type="dxa"/>
            <w:vMerge w:val="restart"/>
            <w:vAlign w:val="center"/>
          </w:tcPr>
          <w:p>
            <w:pPr>
              <w:pStyle w:val="5"/>
              <w:spacing w:line="360" w:lineRule="auto"/>
              <w:ind w:firstLine="0" w:firstLineChars="0"/>
              <w:rPr>
                <w:rFonts w:ascii="宋体" w:hAnsi="宋体" w:eastAsia="宋体" w:cs="宋体"/>
                <w:sz w:val="24"/>
                <w:szCs w:val="24"/>
              </w:rPr>
            </w:pPr>
            <w:r>
              <w:rPr>
                <w:rFonts w:hint="eastAsia" w:ascii="宋体" w:hAnsi="宋体" w:eastAsia="宋体" w:cs="宋体"/>
                <w:sz w:val="24"/>
                <w:szCs w:val="24"/>
              </w:rPr>
              <w:t>备注：供应商投标报价超过预算金额的，为无效竞标。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684" w:type="dxa"/>
            <w:vAlign w:val="center"/>
          </w:tcPr>
          <w:p>
            <w:pPr>
              <w:spacing w:line="300" w:lineRule="exact"/>
              <w:jc w:val="center"/>
              <w:rPr>
                <w:rFonts w:ascii="宋体" w:hAnsi="宋体" w:eastAsia="宋体" w:cs="宋体"/>
                <w:sz w:val="24"/>
                <w:szCs w:val="24"/>
              </w:rPr>
            </w:pPr>
            <w:r>
              <w:rPr>
                <w:rFonts w:hint="eastAsia" w:ascii="宋体" w:hAnsi="宋体" w:eastAsia="宋体" w:cs="宋体"/>
                <w:sz w:val="24"/>
                <w:szCs w:val="24"/>
              </w:rPr>
              <w:t>1</w:t>
            </w:r>
          </w:p>
        </w:tc>
        <w:tc>
          <w:tcPr>
            <w:tcW w:w="2888"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lang w:eastAsia="zh-CN"/>
              </w:rPr>
              <w:t>超高分辨率液质联用仪</w:t>
            </w:r>
          </w:p>
        </w:tc>
        <w:tc>
          <w:tcPr>
            <w:tcW w:w="1183" w:type="dxa"/>
            <w:vAlign w:val="center"/>
          </w:tcPr>
          <w:p>
            <w:pPr>
              <w:spacing w:line="300" w:lineRule="exact"/>
              <w:jc w:val="center"/>
              <w:rPr>
                <w:rFonts w:ascii="宋体" w:hAnsi="宋体" w:eastAsia="宋体" w:cs="宋体"/>
                <w:sz w:val="24"/>
                <w:szCs w:val="24"/>
              </w:rPr>
            </w:pPr>
            <w:r>
              <w:rPr>
                <w:rFonts w:hint="eastAsia" w:ascii="宋体" w:hAnsi="宋体" w:eastAsia="宋体" w:cs="宋体"/>
                <w:sz w:val="24"/>
                <w:szCs w:val="24"/>
              </w:rPr>
              <w:t>1</w:t>
            </w:r>
          </w:p>
        </w:tc>
        <w:tc>
          <w:tcPr>
            <w:tcW w:w="1173"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430万元</w:t>
            </w:r>
          </w:p>
        </w:tc>
        <w:tc>
          <w:tcPr>
            <w:tcW w:w="2092" w:type="dxa"/>
            <w:vMerge w:val="continue"/>
            <w:vAlign w:val="center"/>
          </w:tcPr>
          <w:p>
            <w:pPr>
              <w:spacing w:line="300" w:lineRule="exact"/>
              <w:jc w:val="center"/>
              <w:rPr>
                <w:rFonts w:ascii="宋体" w:hAnsi="宋体" w:eastAsia="宋体" w:cs="宋体"/>
                <w:sz w:val="24"/>
                <w:szCs w:val="24"/>
              </w:rPr>
            </w:pPr>
          </w:p>
        </w:tc>
      </w:tr>
    </w:tbl>
    <w:p>
      <w:pPr>
        <w:pStyle w:val="5"/>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6、本项目已办理进口产品论证公示，拟采购进口设备。</w:t>
      </w:r>
    </w:p>
    <w:p/>
    <w:p>
      <w:pPr>
        <w:keepNext w:val="0"/>
        <w:keepLines w:val="0"/>
        <w:pageBreakBefore w:val="0"/>
        <w:widowControl/>
        <w:kinsoku/>
        <w:wordWrap/>
        <w:overflowPunct/>
        <w:topLinePunct w:val="0"/>
        <w:autoSpaceDE/>
        <w:autoSpaceDN/>
        <w:bidi w:val="0"/>
        <w:adjustRightInd w:val="0"/>
        <w:snapToGrid w:val="0"/>
        <w:spacing w:before="60" w:after="60" w:line="360" w:lineRule="auto"/>
        <w:jc w:val="left"/>
        <w:textAlignment w:val="auto"/>
        <w:outlineLvl w:val="9"/>
        <w:rPr>
          <w:rFonts w:ascii="宋体" w:hAnsi="宋体" w:eastAsia="宋体" w:cs="宋体"/>
          <w:b/>
          <w:bCs/>
          <w:sz w:val="28"/>
          <w:szCs w:val="28"/>
        </w:rPr>
      </w:pPr>
      <w:bookmarkStart w:id="1" w:name="_Toc6587"/>
      <w:r>
        <w:rPr>
          <w:rFonts w:hint="eastAsia" w:ascii="宋体" w:hAnsi="宋体" w:eastAsia="宋体" w:cs="宋体"/>
          <w:b/>
          <w:bCs/>
          <w:sz w:val="28"/>
          <w:szCs w:val="28"/>
        </w:rPr>
        <w:t>二、投标资格要求</w:t>
      </w:r>
      <w:bookmarkEnd w:id="1"/>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bookmarkStart w:id="2" w:name="_Toc7001"/>
      <w:r>
        <w:rPr>
          <w:rFonts w:hint="eastAsia" w:ascii="宋体" w:hAnsi="宋体" w:eastAsia="宋体" w:cs="宋体"/>
          <w:sz w:val="24"/>
          <w:szCs w:val="24"/>
        </w:rPr>
        <w:t xml:space="preserve">1、符合《中华人民共和国政府采购法》第二十二条规定的条件： </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（1）具有独立承担民事责任的能力；  </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（2）具有良好的商业信誉和健全的财务会计制度；  </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（3）具有履行合同所必需的设备和专业技术能力；  </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（4）有依法缴纳税收和社会保障资金的良好记录；  </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（5）参加政府采购活动前三年内，在经营活动中没有重大违法记录；  </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（6）法律、行政法规规定的其他条件；</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2、如国家法律法规对市场准入有要求的还应符合相关规定；</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3、进口产品代理商、经销商必须提供由具备上述资质的厂家针对本项目的授权书。</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4、投标人单位负责人为同一人或者存在直接控股、管理关系的不同投标人，按报名顺序只接受一个投标人参与投标；</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5、本次采购不接受联合体投标。</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6、供应商参加政府采购活动前三年内未被列入“信用中国”网站(www.creditchina.gov.cn)失信被执行人、重大税收违法案件当事人、政府采购严重违法失信行为记录名单和“中国政府采购”网站（www.ccgp.gov.cn）政府采购严重违法失信行为记录名单。</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40" w:firstLineChars="200"/>
        <w:jc w:val="left"/>
        <w:textAlignment w:val="auto"/>
        <w:outlineLvl w:val="9"/>
      </w:pPr>
    </w:p>
    <w:p>
      <w:pPr>
        <w:keepNext w:val="0"/>
        <w:keepLines w:val="0"/>
        <w:pageBreakBefore w:val="0"/>
        <w:widowControl/>
        <w:kinsoku/>
        <w:wordWrap/>
        <w:overflowPunct/>
        <w:topLinePunct w:val="0"/>
        <w:autoSpaceDE/>
        <w:autoSpaceDN/>
        <w:bidi w:val="0"/>
        <w:adjustRightInd w:val="0"/>
        <w:snapToGrid w:val="0"/>
        <w:spacing w:before="60" w:after="60" w:line="360" w:lineRule="auto"/>
        <w:jc w:val="left"/>
        <w:textAlignment w:val="auto"/>
        <w:outlineLvl w:val="9"/>
        <w:rPr>
          <w:rFonts w:ascii="宋体" w:hAnsi="宋体" w:eastAsia="宋体" w:cs="宋体"/>
          <w:b/>
          <w:bCs/>
          <w:sz w:val="28"/>
          <w:szCs w:val="28"/>
        </w:rPr>
      </w:pPr>
      <w:r>
        <w:rPr>
          <w:rFonts w:hint="eastAsia" w:ascii="宋体" w:hAnsi="宋体" w:eastAsia="宋体" w:cs="宋体"/>
          <w:b/>
          <w:bCs/>
          <w:sz w:val="28"/>
          <w:szCs w:val="28"/>
        </w:rPr>
        <w:t>三、招标文件的获取</w:t>
      </w:r>
      <w:bookmarkEnd w:id="2"/>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1、文件售价：人民币400元/本，售后不退。本项目不支持邮购。</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2、购买地点：武汉市武昌区民主路782号（洪广大酒店）A座22层2211室。</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3、购买时间：</w:t>
      </w:r>
      <w:r>
        <w:rPr>
          <w:rFonts w:hint="eastAsia" w:ascii="宋体" w:hAnsi="宋体" w:eastAsia="宋体" w:cs="宋体"/>
          <w:color w:val="FF0000"/>
          <w:sz w:val="24"/>
          <w:szCs w:val="24"/>
        </w:rPr>
        <w:t>2018年</w:t>
      </w:r>
      <w:r>
        <w:rPr>
          <w:rFonts w:hint="eastAsia" w:ascii="宋体" w:hAnsi="宋体" w:eastAsia="宋体" w:cs="宋体"/>
          <w:color w:val="FF0000"/>
          <w:sz w:val="24"/>
          <w:szCs w:val="24"/>
          <w:lang w:val="en-US" w:eastAsia="zh-CN"/>
        </w:rPr>
        <w:t>12</w:t>
      </w:r>
      <w:r>
        <w:rPr>
          <w:rFonts w:hint="eastAsia" w:ascii="宋体" w:hAnsi="宋体" w:eastAsia="宋体" w:cs="宋体"/>
          <w:color w:val="FF0000"/>
          <w:sz w:val="24"/>
          <w:szCs w:val="24"/>
        </w:rPr>
        <w:t>月</w:t>
      </w:r>
      <w:r>
        <w:rPr>
          <w:rFonts w:hint="eastAsia" w:ascii="宋体" w:hAnsi="宋体" w:eastAsia="宋体" w:cs="宋体"/>
          <w:color w:val="FF0000"/>
          <w:sz w:val="24"/>
          <w:szCs w:val="24"/>
          <w:lang w:val="en-US" w:eastAsia="zh-CN"/>
        </w:rPr>
        <w:t>20</w:t>
      </w:r>
      <w:r>
        <w:rPr>
          <w:rFonts w:hint="eastAsia" w:ascii="宋体" w:hAnsi="宋体" w:eastAsia="宋体" w:cs="宋体"/>
          <w:color w:val="FF0000"/>
          <w:sz w:val="24"/>
          <w:szCs w:val="24"/>
        </w:rPr>
        <w:t>日起至2018年</w:t>
      </w:r>
      <w:r>
        <w:rPr>
          <w:rFonts w:hint="eastAsia" w:ascii="宋体" w:hAnsi="宋体" w:eastAsia="宋体" w:cs="宋体"/>
          <w:color w:val="FF0000"/>
          <w:sz w:val="24"/>
          <w:szCs w:val="24"/>
          <w:lang w:val="en-US" w:eastAsia="zh-CN"/>
        </w:rPr>
        <w:t>12</w:t>
      </w:r>
      <w:r>
        <w:rPr>
          <w:rFonts w:hint="eastAsia" w:ascii="宋体" w:hAnsi="宋体" w:eastAsia="宋体" w:cs="宋体"/>
          <w:color w:val="FF0000"/>
          <w:sz w:val="24"/>
          <w:szCs w:val="24"/>
        </w:rPr>
        <w:t>月</w:t>
      </w:r>
      <w:r>
        <w:rPr>
          <w:rFonts w:hint="eastAsia" w:ascii="宋体" w:hAnsi="宋体" w:eastAsia="宋体" w:cs="宋体"/>
          <w:color w:val="FF0000"/>
          <w:sz w:val="24"/>
          <w:szCs w:val="24"/>
          <w:lang w:val="en-US" w:eastAsia="zh-CN"/>
        </w:rPr>
        <w:t>26</w:t>
      </w:r>
      <w:r>
        <w:rPr>
          <w:rFonts w:hint="eastAsia" w:ascii="宋体" w:hAnsi="宋体" w:eastAsia="宋体" w:cs="宋体"/>
          <w:color w:val="FF0000"/>
          <w:sz w:val="24"/>
          <w:szCs w:val="24"/>
        </w:rPr>
        <w:t>日</w:t>
      </w:r>
      <w:r>
        <w:rPr>
          <w:rFonts w:hint="eastAsia" w:ascii="宋体" w:hAnsi="宋体" w:eastAsia="宋体" w:cs="宋体"/>
          <w:sz w:val="24"/>
          <w:szCs w:val="24"/>
        </w:rPr>
        <w:t>止每天上午9:00—1</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0时，下午14:00—17:00时，节假日除外；</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4、供应商代表须携带如下相关资格证明材料：</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（1）法人证明材料及代表授权书</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（2）营业执照副本(三证合一的带新证过来即可)</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（3）税务登记证</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（4）组织机构代码证</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（5）供应商代表（被授权人）本人身份证</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（6）报名表</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7）供应商参加政府采购活动前三年内未被列入“信用中国”网站(www.creditchina.gov.cn)失信被执行人、重大税收违法案件当事人、政府采购严重违法失信行为记录名单和“中国政府采购”网站（www.ccgp.gov.cn）政府采购严重违法失信行为记录名单。</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上述文件资料均需提供原件查验，招标代理机构留存加盖公章的复印件（注明单位地址、联系人姓名及联系方式）。</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40" w:firstLineChars="200"/>
        <w:jc w:val="left"/>
        <w:textAlignment w:val="auto"/>
        <w:outlineLvl w:val="9"/>
      </w:pPr>
      <w:bookmarkStart w:id="3" w:name="_Toc32507"/>
    </w:p>
    <w:p>
      <w:pPr>
        <w:keepNext w:val="0"/>
        <w:keepLines w:val="0"/>
        <w:pageBreakBefore w:val="0"/>
        <w:widowControl/>
        <w:kinsoku/>
        <w:wordWrap/>
        <w:overflowPunct/>
        <w:topLinePunct w:val="0"/>
        <w:autoSpaceDE/>
        <w:autoSpaceDN/>
        <w:bidi w:val="0"/>
        <w:adjustRightInd w:val="0"/>
        <w:snapToGrid w:val="0"/>
        <w:spacing w:before="60" w:after="60" w:line="360" w:lineRule="auto"/>
        <w:jc w:val="left"/>
        <w:textAlignment w:val="auto"/>
        <w:outlineLvl w:val="9"/>
        <w:rPr>
          <w:rFonts w:ascii="宋体" w:hAnsi="宋体" w:eastAsia="宋体" w:cs="宋体"/>
          <w:b/>
          <w:bCs/>
          <w:sz w:val="28"/>
          <w:szCs w:val="28"/>
        </w:rPr>
      </w:pPr>
      <w:r>
        <w:rPr>
          <w:rFonts w:hint="eastAsia" w:ascii="宋体" w:hAnsi="宋体" w:eastAsia="宋体" w:cs="宋体"/>
          <w:b/>
          <w:bCs/>
          <w:sz w:val="28"/>
          <w:szCs w:val="28"/>
        </w:rPr>
        <w:t>四、投标文件递交</w:t>
      </w:r>
      <w:bookmarkEnd w:id="3"/>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武汉市武昌区民主路782号（洪广大酒店）A座22楼2211室湖北飞浪咨询服务有限公司</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40" w:firstLineChars="200"/>
        <w:jc w:val="left"/>
        <w:textAlignment w:val="auto"/>
        <w:outlineLvl w:val="9"/>
      </w:pPr>
    </w:p>
    <w:p>
      <w:pPr>
        <w:keepNext w:val="0"/>
        <w:keepLines w:val="0"/>
        <w:pageBreakBefore w:val="0"/>
        <w:widowControl/>
        <w:kinsoku/>
        <w:wordWrap/>
        <w:overflowPunct/>
        <w:topLinePunct w:val="0"/>
        <w:autoSpaceDE/>
        <w:autoSpaceDN/>
        <w:bidi w:val="0"/>
        <w:adjustRightInd w:val="0"/>
        <w:snapToGrid w:val="0"/>
        <w:spacing w:before="60" w:after="60" w:line="360" w:lineRule="auto"/>
        <w:jc w:val="left"/>
        <w:textAlignment w:val="auto"/>
        <w:outlineLvl w:val="9"/>
        <w:rPr>
          <w:rFonts w:ascii="宋体" w:hAnsi="宋体" w:eastAsia="宋体" w:cs="宋体"/>
          <w:b/>
          <w:bCs/>
          <w:sz w:val="28"/>
          <w:szCs w:val="28"/>
        </w:rPr>
      </w:pPr>
      <w:bookmarkStart w:id="4" w:name="_Toc22099"/>
      <w:r>
        <w:rPr>
          <w:rFonts w:hint="eastAsia" w:ascii="宋体" w:hAnsi="宋体" w:eastAsia="宋体" w:cs="宋体"/>
          <w:b/>
          <w:bCs/>
          <w:sz w:val="28"/>
          <w:szCs w:val="28"/>
        </w:rPr>
        <w:t>五、开标时间及地点</w:t>
      </w:r>
      <w:bookmarkEnd w:id="4"/>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highlight w:val="cyan"/>
        </w:rPr>
      </w:pPr>
      <w:r>
        <w:rPr>
          <w:rFonts w:hint="eastAsia" w:ascii="宋体" w:hAnsi="宋体" w:eastAsia="宋体" w:cs="宋体"/>
          <w:sz w:val="24"/>
          <w:szCs w:val="24"/>
        </w:rPr>
        <w:t>开标时间：</w:t>
      </w:r>
      <w:r>
        <w:rPr>
          <w:rFonts w:hint="eastAsia" w:ascii="宋体" w:hAnsi="宋体" w:eastAsia="宋体" w:cs="宋体"/>
          <w:color w:val="FF0000"/>
          <w:sz w:val="24"/>
          <w:szCs w:val="24"/>
          <w:lang w:eastAsia="zh-CN"/>
        </w:rPr>
        <w:t>2019年1月10日10:00时整（北京时间）</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开标地点：武汉市武昌区民主路782号（洪广大酒店）A座22楼2211室湖北飞浪咨询服务有限公司</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40" w:firstLineChars="200"/>
        <w:jc w:val="left"/>
        <w:textAlignment w:val="auto"/>
        <w:outlineLvl w:val="9"/>
      </w:pPr>
    </w:p>
    <w:p>
      <w:pPr>
        <w:keepNext w:val="0"/>
        <w:keepLines w:val="0"/>
        <w:pageBreakBefore w:val="0"/>
        <w:widowControl/>
        <w:kinsoku/>
        <w:wordWrap/>
        <w:overflowPunct/>
        <w:topLinePunct w:val="0"/>
        <w:autoSpaceDE/>
        <w:autoSpaceDN/>
        <w:bidi w:val="0"/>
        <w:adjustRightInd w:val="0"/>
        <w:snapToGrid w:val="0"/>
        <w:spacing w:before="60" w:after="60" w:line="360" w:lineRule="auto"/>
        <w:jc w:val="left"/>
        <w:textAlignment w:val="auto"/>
        <w:outlineLvl w:val="9"/>
        <w:rPr>
          <w:rFonts w:ascii="宋体" w:hAnsi="宋体" w:eastAsia="宋体" w:cs="宋体"/>
          <w:b/>
          <w:bCs/>
          <w:sz w:val="28"/>
          <w:szCs w:val="28"/>
        </w:rPr>
      </w:pPr>
      <w:bookmarkStart w:id="5" w:name="_Toc22144"/>
      <w:r>
        <w:rPr>
          <w:rFonts w:hint="eastAsia" w:ascii="宋体" w:hAnsi="宋体" w:eastAsia="宋体" w:cs="宋体"/>
          <w:b/>
          <w:bCs/>
          <w:sz w:val="28"/>
          <w:szCs w:val="28"/>
        </w:rPr>
        <w:t>六、采购人联系方式</w:t>
      </w:r>
      <w:bookmarkEnd w:id="5"/>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采 购 人：中国水产科学研究院长江水产研究所</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联 系 人：周老师</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电    话：027-81780</w:t>
      </w:r>
      <w:r>
        <w:rPr>
          <w:rFonts w:ascii="宋体" w:hAnsi="宋体" w:eastAsia="宋体" w:cs="宋体"/>
          <w:sz w:val="24"/>
          <w:szCs w:val="24"/>
        </w:rPr>
        <w:t>189</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40" w:firstLineChars="200"/>
        <w:jc w:val="left"/>
        <w:textAlignment w:val="auto"/>
        <w:outlineLvl w:val="9"/>
      </w:pPr>
    </w:p>
    <w:p>
      <w:pPr>
        <w:keepNext w:val="0"/>
        <w:keepLines w:val="0"/>
        <w:pageBreakBefore w:val="0"/>
        <w:widowControl/>
        <w:kinsoku/>
        <w:wordWrap/>
        <w:overflowPunct/>
        <w:topLinePunct w:val="0"/>
        <w:autoSpaceDE/>
        <w:autoSpaceDN/>
        <w:bidi w:val="0"/>
        <w:adjustRightInd w:val="0"/>
        <w:snapToGrid w:val="0"/>
        <w:spacing w:before="60" w:after="60" w:line="360" w:lineRule="auto"/>
        <w:jc w:val="left"/>
        <w:textAlignment w:val="auto"/>
        <w:outlineLvl w:val="9"/>
        <w:rPr>
          <w:rFonts w:ascii="宋体" w:hAnsi="宋体" w:eastAsia="宋体" w:cs="宋体"/>
          <w:b/>
          <w:bCs/>
          <w:sz w:val="28"/>
          <w:szCs w:val="28"/>
        </w:rPr>
      </w:pPr>
      <w:bookmarkStart w:id="6" w:name="_Toc23693"/>
      <w:r>
        <w:rPr>
          <w:rFonts w:hint="eastAsia" w:ascii="宋体" w:hAnsi="宋体" w:eastAsia="宋体" w:cs="宋体"/>
          <w:b/>
          <w:bCs/>
          <w:sz w:val="28"/>
          <w:szCs w:val="28"/>
        </w:rPr>
        <w:t>七、招标机构联系方式</w:t>
      </w:r>
      <w:bookmarkEnd w:id="6"/>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bookmarkStart w:id="7" w:name="_Toc452107508"/>
      <w:bookmarkStart w:id="8" w:name="_Toc457908316"/>
      <w:r>
        <w:rPr>
          <w:rFonts w:hint="eastAsia" w:ascii="宋体" w:hAnsi="宋体" w:eastAsia="宋体" w:cs="宋体"/>
          <w:sz w:val="24"/>
          <w:szCs w:val="24"/>
        </w:rPr>
        <w:t>代理机构：湖北飞浪咨询服务有限公司</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地    址：武汉市武昌区民主路782号（洪广大酒店）A座22层2211室</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联 系 人：魏文斌、田佼玉</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联系电话：027-87261518（转分机号805）</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bookmarkStart w:id="9" w:name="_Toc11038"/>
      <w:r>
        <w:rPr>
          <w:rFonts w:hint="eastAsia" w:ascii="宋体" w:hAnsi="宋体" w:eastAsia="宋体" w:cs="宋体"/>
          <w:sz w:val="24"/>
          <w:szCs w:val="24"/>
        </w:rPr>
        <w:t>邮    箱：</w:t>
      </w:r>
      <w:bookmarkEnd w:id="9"/>
      <w:r>
        <w:rPr>
          <w:rFonts w:hint="eastAsia" w:ascii="宋体" w:hAnsi="宋体" w:eastAsia="宋体" w:cs="宋体"/>
          <w:sz w:val="24"/>
          <w:szCs w:val="24"/>
        </w:rPr>
        <w:t xml:space="preserve">hbflzx@sina.cn      </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40" w:firstLineChars="200"/>
        <w:jc w:val="left"/>
        <w:textAlignment w:val="auto"/>
        <w:outlineLvl w:val="9"/>
      </w:pPr>
    </w:p>
    <w:p>
      <w:pPr>
        <w:keepNext w:val="0"/>
        <w:keepLines w:val="0"/>
        <w:pageBreakBefore w:val="0"/>
        <w:widowControl/>
        <w:kinsoku/>
        <w:wordWrap/>
        <w:overflowPunct/>
        <w:topLinePunct w:val="0"/>
        <w:autoSpaceDE/>
        <w:autoSpaceDN/>
        <w:bidi w:val="0"/>
        <w:adjustRightInd w:val="0"/>
        <w:snapToGrid w:val="0"/>
        <w:spacing w:before="60" w:after="60" w:line="360" w:lineRule="auto"/>
        <w:jc w:val="left"/>
        <w:textAlignment w:val="auto"/>
        <w:outlineLvl w:val="9"/>
        <w:rPr>
          <w:rFonts w:ascii="宋体" w:hAnsi="宋体" w:eastAsia="宋体" w:cs="宋体"/>
          <w:b/>
          <w:bCs/>
          <w:sz w:val="28"/>
          <w:szCs w:val="28"/>
        </w:rPr>
      </w:pPr>
      <w:bookmarkStart w:id="10" w:name="_Toc32751"/>
      <w:r>
        <w:rPr>
          <w:rFonts w:hint="eastAsia" w:ascii="宋体" w:hAnsi="宋体" w:eastAsia="宋体" w:cs="宋体"/>
          <w:b/>
          <w:bCs/>
          <w:sz w:val="28"/>
          <w:szCs w:val="28"/>
        </w:rPr>
        <w:t>八、信息发布媒体</w:t>
      </w:r>
      <w:bookmarkEnd w:id="7"/>
      <w:bookmarkEnd w:id="8"/>
      <w:bookmarkEnd w:id="10"/>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《湖北飞浪咨询服务有限公司官网》（网址：http://www.hbflzx.com/ ）</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《中国政府采购网》（网址：http://www.ccgp.gov.cn/ ）</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jc w:val="left"/>
        <w:textAlignment w:val="auto"/>
        <w:outlineLvl w:val="9"/>
        <w:rPr>
          <w:rFonts w:ascii="宋体" w:hAnsi="宋体" w:eastAsia="宋体" w:cs="宋体"/>
          <w:b/>
          <w:bCs/>
          <w:sz w:val="28"/>
          <w:szCs w:val="28"/>
        </w:rPr>
      </w:pPr>
      <w:bookmarkStart w:id="11" w:name="_Toc22493"/>
      <w:r>
        <w:rPr>
          <w:rFonts w:hint="eastAsia" w:ascii="宋体" w:hAnsi="宋体" w:eastAsia="宋体" w:cs="宋体"/>
          <w:b/>
          <w:bCs/>
          <w:sz w:val="28"/>
          <w:szCs w:val="28"/>
        </w:rPr>
        <w:t>九、递交标书费及保证金的账户信息</w:t>
      </w:r>
      <w:bookmarkEnd w:id="11"/>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开 户 名 称：湖北飞浪咨询服务有限公司</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开  户  行：汉口银行虎泉支行</w:t>
      </w:r>
    </w:p>
    <w:p>
      <w:pPr>
        <w:pStyle w:val="5"/>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账     号：005031000091686</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right"/>
        <w:textAlignment w:val="auto"/>
        <w:outlineLvl w:val="9"/>
        <w:rPr>
          <w:rFonts w:ascii="宋体" w:hAnsi="宋体" w:eastAsia="宋体" w:cs="宋体"/>
          <w:sz w:val="24"/>
          <w:szCs w:val="24"/>
        </w:rPr>
      </w:pPr>
      <w:r>
        <w:rPr>
          <w:rFonts w:hint="eastAsia" w:ascii="宋体" w:hAnsi="宋体" w:eastAsia="宋体" w:cs="宋体"/>
          <w:sz w:val="24"/>
          <w:szCs w:val="24"/>
        </w:rPr>
        <w:t>湖北飞浪咨询服务有限公司</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right"/>
        <w:textAlignment w:val="auto"/>
        <w:outlineLvl w:val="9"/>
        <w:rPr>
          <w:rFonts w:ascii="宋体" w:hAnsi="宋体" w:eastAsia="宋体" w:cs="宋体"/>
          <w:color w:val="FF0000"/>
          <w:sz w:val="24"/>
          <w:szCs w:val="24"/>
        </w:rPr>
      </w:pPr>
      <w:r>
        <w:rPr>
          <w:rFonts w:hint="eastAsia" w:ascii="宋体" w:hAnsi="宋体" w:eastAsia="宋体" w:cs="宋体"/>
          <w:color w:val="FF0000"/>
          <w:sz w:val="24"/>
          <w:szCs w:val="24"/>
        </w:rPr>
        <w:t>2018年</w:t>
      </w:r>
      <w:r>
        <w:rPr>
          <w:rFonts w:hint="eastAsia" w:ascii="宋体" w:hAnsi="宋体" w:eastAsia="宋体" w:cs="宋体"/>
          <w:color w:val="FF0000"/>
          <w:sz w:val="24"/>
          <w:szCs w:val="24"/>
          <w:lang w:val="en-US" w:eastAsia="zh-CN"/>
        </w:rPr>
        <w:t>12</w:t>
      </w:r>
      <w:r>
        <w:rPr>
          <w:rFonts w:hint="eastAsia" w:ascii="宋体" w:hAnsi="宋体" w:eastAsia="宋体" w:cs="宋体"/>
          <w:color w:val="FF0000"/>
          <w:sz w:val="24"/>
          <w:szCs w:val="24"/>
        </w:rPr>
        <w:t>月</w:t>
      </w:r>
      <w:r>
        <w:rPr>
          <w:rFonts w:hint="eastAsia" w:ascii="宋体" w:hAnsi="宋体" w:eastAsia="宋体" w:cs="宋体"/>
          <w:color w:val="FF0000"/>
          <w:sz w:val="24"/>
          <w:szCs w:val="24"/>
          <w:lang w:val="en-US" w:eastAsia="zh-CN"/>
        </w:rPr>
        <w:t>19</w:t>
      </w:r>
      <w:r>
        <w:rPr>
          <w:rFonts w:hint="eastAsia" w:ascii="宋体" w:hAnsi="宋体" w:eastAsia="宋体" w:cs="宋体"/>
          <w:color w:val="FF000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D4B46"/>
    <w:rsid w:val="2FFD4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2018-12-19T01:39:00Z</dcterms:created>
  <dc:creator>魏</dc:creator>
  <cp:lastModifiedBy>魏</cp:lastModifiedBy>
  <dcterms:modified xsi:type="dcterms:W3CDTF">2018-12-19T01:40:18Z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