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after="120" w:line="360" w:lineRule="auto"/>
        <w:jc w:val="center"/>
        <w:rPr>
          <w:rFonts w:hint="eastAsia" w:ascii="仿宋_GB2312" w:hAnsi="仿宋" w:eastAsia="仿宋_GB2312"/>
          <w:bCs w:val="0"/>
          <w:color w:val="auto"/>
          <w:sz w:val="32"/>
          <w:szCs w:val="32"/>
          <w:highlight w:val="none"/>
        </w:rPr>
      </w:pPr>
      <w:bookmarkStart w:id="0" w:name="_Toc14070"/>
      <w:bookmarkStart w:id="1" w:name="_Toc479783048"/>
      <w:bookmarkStart w:id="2" w:name="_Toc4201"/>
      <w:bookmarkStart w:id="3" w:name="_Toc179632527"/>
      <w:bookmarkStart w:id="4" w:name="_Toc415238424"/>
      <w:bookmarkStart w:id="5" w:name="_Toc14108"/>
      <w:bookmarkStart w:id="6" w:name="_Toc31634"/>
      <w:bookmarkStart w:id="7" w:name="_Toc343862834"/>
      <w:bookmarkStart w:id="8" w:name="_Toc233102473"/>
      <w:bookmarkStart w:id="9" w:name="_Toc24452"/>
      <w:bookmarkStart w:id="10" w:name="_Toc12466"/>
      <w:bookmarkStart w:id="11" w:name="_Toc23710"/>
      <w:bookmarkStart w:id="12" w:name="_Toc13240"/>
    </w:p>
    <w:p>
      <w:pPr>
        <w:pStyle w:val="2"/>
        <w:spacing w:before="120" w:after="120" w:line="360" w:lineRule="auto"/>
        <w:jc w:val="center"/>
        <w:rPr>
          <w:rFonts w:hint="eastAsia" w:ascii="仿宋_GB2312" w:hAnsi="仿宋" w:eastAsia="仿宋_GB2312"/>
          <w:bCs w:val="0"/>
          <w:color w:val="auto"/>
          <w:sz w:val="32"/>
          <w:szCs w:val="32"/>
          <w:highlight w:val="none"/>
        </w:rPr>
      </w:pPr>
      <w:r>
        <w:rPr>
          <w:rFonts w:hint="eastAsia" w:ascii="仿宋_GB2312" w:hAnsi="仿宋" w:eastAsia="仿宋_GB2312"/>
          <w:bCs w:val="0"/>
          <w:color w:val="auto"/>
          <w:sz w:val="32"/>
          <w:szCs w:val="32"/>
          <w:highlight w:val="none"/>
        </w:rPr>
        <w:t>国家质量监督检验检疫总局2018年专用仪器设备采购项目</w:t>
      </w:r>
      <w:bookmarkEnd w:id="0"/>
      <w:bookmarkEnd w:id="1"/>
      <w:bookmarkEnd w:id="2"/>
      <w:bookmarkEnd w:id="3"/>
      <w:bookmarkEnd w:id="4"/>
      <w:bookmarkEnd w:id="5"/>
      <w:bookmarkEnd w:id="6"/>
      <w:bookmarkEnd w:id="7"/>
      <w:bookmarkEnd w:id="8"/>
      <w:bookmarkEnd w:id="9"/>
      <w:bookmarkEnd w:id="10"/>
      <w:bookmarkEnd w:id="11"/>
      <w:bookmarkEnd w:id="12"/>
      <w:r>
        <w:rPr>
          <w:rFonts w:hint="eastAsia" w:ascii="仿宋_GB2312" w:hAnsi="仿宋" w:eastAsia="仿宋_GB2312"/>
          <w:bCs w:val="0"/>
          <w:color w:val="auto"/>
          <w:sz w:val="32"/>
          <w:szCs w:val="32"/>
          <w:highlight w:val="none"/>
          <w:lang w:eastAsia="zh-CN"/>
        </w:rPr>
        <w:t>（</w:t>
      </w:r>
      <w:bookmarkStart w:id="17" w:name="_GoBack"/>
      <w:r>
        <w:rPr>
          <w:rFonts w:hint="eastAsia" w:ascii="仿宋_GB2312" w:hAnsi="仿宋" w:eastAsia="仿宋_GB2312"/>
          <w:bCs w:val="0"/>
          <w:color w:val="auto"/>
          <w:sz w:val="32"/>
          <w:szCs w:val="32"/>
          <w:highlight w:val="none"/>
        </w:rPr>
        <w:t>招标编号：</w:t>
      </w:r>
      <w:r>
        <w:rPr>
          <w:rFonts w:hint="eastAsia" w:ascii="仿宋_GB2312" w:hAnsi="仿宋" w:eastAsia="仿宋_GB2312"/>
          <w:bCs w:val="0"/>
          <w:color w:val="auto"/>
          <w:sz w:val="32"/>
          <w:szCs w:val="32"/>
          <w:highlight w:val="none"/>
          <w:lang w:eastAsia="zh-CN"/>
        </w:rPr>
        <w:t>0702-1841CITC5M02</w:t>
      </w:r>
      <w:bookmarkEnd w:id="17"/>
      <w:r>
        <w:rPr>
          <w:rFonts w:hint="eastAsia" w:ascii="仿宋_GB2312" w:hAnsi="仿宋" w:eastAsia="仿宋_GB2312"/>
          <w:bCs w:val="0"/>
          <w:color w:val="auto"/>
          <w:sz w:val="32"/>
          <w:szCs w:val="32"/>
          <w:highlight w:val="none"/>
          <w:lang w:eastAsia="zh-CN"/>
        </w:rPr>
        <w:t>）</w:t>
      </w:r>
      <w:r>
        <w:rPr>
          <w:rFonts w:hint="eastAsia" w:ascii="仿宋_GB2312" w:hAnsi="仿宋" w:eastAsia="仿宋_GB2312"/>
          <w:bCs w:val="0"/>
          <w:color w:val="auto"/>
          <w:sz w:val="32"/>
          <w:szCs w:val="32"/>
          <w:highlight w:val="none"/>
          <w:lang w:val="en-US" w:eastAsia="zh-CN"/>
        </w:rPr>
        <w:t>公开招标公告</w:t>
      </w:r>
    </w:p>
    <w:p>
      <w:pPr>
        <w:ind w:left="1921" w:leftChars="-114" w:hanging="2160" w:hangingChars="900"/>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 xml:space="preserve">政府采购项目名称：国家质量监督检验检疫总局2018年专用仪器设备采购项目 </w:t>
      </w:r>
    </w:p>
    <w:p>
      <w:pPr>
        <w:ind w:left="1921" w:leftChars="-114" w:hanging="2160" w:hangingChars="900"/>
        <w:rPr>
          <w:rFonts w:hint="eastAsia" w:ascii="仿宋_GB2312" w:hAnsi="仿宋" w:eastAsia="仿宋_GB2312"/>
          <w:bCs/>
          <w:color w:val="auto"/>
          <w:sz w:val="24"/>
          <w:highlight w:val="none"/>
        </w:rPr>
      </w:pPr>
      <w:r>
        <w:rPr>
          <w:rFonts w:hint="eastAsia" w:ascii="仿宋_GB2312" w:hAnsi="仿宋" w:eastAsia="仿宋_GB2312"/>
          <w:color w:val="auto"/>
          <w:sz w:val="24"/>
          <w:highlight w:val="none"/>
        </w:rPr>
        <w:t>招标编号：</w:t>
      </w:r>
      <w:r>
        <w:rPr>
          <w:rFonts w:hint="eastAsia" w:ascii="仿宋_GB2312" w:hAnsi="仿宋" w:eastAsia="仿宋_GB2312"/>
          <w:color w:val="auto"/>
          <w:sz w:val="24"/>
          <w:highlight w:val="none"/>
          <w:lang w:eastAsia="zh-CN"/>
        </w:rPr>
        <w:t>0702-1841CITC5M02</w:t>
      </w:r>
    </w:p>
    <w:tbl>
      <w:tblPr>
        <w:tblStyle w:val="4"/>
        <w:tblW w:w="95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采购人名称：国家质量监督检验检疫总局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采购人地址：北京市海淀区马甸东路9号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采购人联系方式：010-82262074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采购代理机构名称：中国通用咨询投资有限公司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采购代理机构地址：北京市丰台区西三环中路90号通用技术大厦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采购代理机构联系方式：010-63348490 010-63348489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9587" w:type="dxa"/>
            <w:vAlign w:val="top"/>
          </w:tcPr>
          <w:p>
            <w:pPr>
              <w:rPr>
                <w:rFonts w:ascii="仿宋_GB2312" w:hAnsi="仿宋" w:eastAsia="仿宋_GB2312"/>
                <w:color w:val="auto"/>
                <w:sz w:val="24"/>
                <w:highlight w:val="none"/>
              </w:rPr>
            </w:pPr>
            <w:r>
              <w:rPr>
                <w:rFonts w:hint="eastAsia" w:ascii="仿宋_GB2312" w:hAnsi="仿宋" w:eastAsia="仿宋_GB2312"/>
                <w:color w:val="auto"/>
                <w:sz w:val="24"/>
                <w:highlight w:val="none"/>
              </w:rPr>
              <w:t>招标内容：</w:t>
            </w:r>
          </w:p>
          <w:p>
            <w:pPr>
              <w:jc w:val="cente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招标内容一览表</w:t>
            </w:r>
          </w:p>
          <w:tbl>
            <w:tblPr>
              <w:tblStyle w:val="4"/>
              <w:tblW w:w="8519" w:type="dxa"/>
              <w:jc w:val="center"/>
              <w:tblInd w:w="0" w:type="dxa"/>
              <w:tblLayout w:type="fixed"/>
              <w:tblCellMar>
                <w:top w:w="0" w:type="dxa"/>
                <w:left w:w="108" w:type="dxa"/>
                <w:bottom w:w="0" w:type="dxa"/>
                <w:right w:w="108" w:type="dxa"/>
              </w:tblCellMar>
            </w:tblPr>
            <w:tblGrid>
              <w:gridCol w:w="911"/>
              <w:gridCol w:w="1599"/>
              <w:gridCol w:w="2065"/>
              <w:gridCol w:w="1618"/>
              <w:gridCol w:w="1163"/>
              <w:gridCol w:w="1163"/>
            </w:tblGrid>
            <w:tr>
              <w:tblPrEx>
                <w:tblLayout w:type="fixed"/>
                <w:tblCellMar>
                  <w:top w:w="0" w:type="dxa"/>
                  <w:left w:w="108" w:type="dxa"/>
                  <w:bottom w:w="0" w:type="dxa"/>
                  <w:right w:w="108" w:type="dxa"/>
                </w:tblCellMar>
              </w:tblPrEx>
              <w:trPr>
                <w:trHeight w:val="405" w:hRule="atLeast"/>
                <w:jc w:val="center"/>
              </w:trPr>
              <w:tc>
                <w:tcPr>
                  <w:tcW w:w="91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
                      <w:color w:val="000000"/>
                      <w:szCs w:val="21"/>
                      <w:highlight w:val="none"/>
                    </w:rPr>
                  </w:pPr>
                  <w:r>
                    <w:rPr>
                      <w:rFonts w:hint="eastAsia" w:ascii="仿宋" w:hAnsi="仿宋" w:eastAsia="仿宋" w:cs="仿宋"/>
                      <w:b/>
                      <w:color w:val="000000"/>
                      <w:szCs w:val="21"/>
                      <w:highlight w:val="none"/>
                    </w:rPr>
                    <w:t>包号</w:t>
                  </w:r>
                </w:p>
              </w:tc>
              <w:tc>
                <w:tcPr>
                  <w:tcW w:w="1599"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color w:val="000000"/>
                      <w:szCs w:val="21"/>
                      <w:highlight w:val="none"/>
                    </w:rPr>
                  </w:pPr>
                  <w:r>
                    <w:rPr>
                      <w:rFonts w:hint="eastAsia" w:ascii="仿宋" w:hAnsi="仿宋" w:eastAsia="仿宋" w:cs="仿宋"/>
                      <w:b/>
                      <w:color w:val="000000"/>
                      <w:szCs w:val="21"/>
                      <w:highlight w:val="none"/>
                    </w:rPr>
                    <w:t>包名称</w:t>
                  </w:r>
                </w:p>
              </w:tc>
              <w:tc>
                <w:tcPr>
                  <w:tcW w:w="2065"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color w:val="000000"/>
                      <w:szCs w:val="21"/>
                      <w:highlight w:val="none"/>
                    </w:rPr>
                  </w:pPr>
                  <w:r>
                    <w:rPr>
                      <w:rFonts w:hint="eastAsia" w:ascii="仿宋" w:hAnsi="仿宋" w:eastAsia="仿宋" w:cs="仿宋"/>
                      <w:b/>
                      <w:color w:val="000000"/>
                      <w:szCs w:val="21"/>
                      <w:highlight w:val="none"/>
                    </w:rPr>
                    <w:t>品目名称</w:t>
                  </w:r>
                </w:p>
              </w:tc>
              <w:tc>
                <w:tcPr>
                  <w:tcW w:w="16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b/>
                      <w:color w:val="000000"/>
                      <w:szCs w:val="21"/>
                      <w:highlight w:val="none"/>
                    </w:rPr>
                  </w:pPr>
                  <w:r>
                    <w:rPr>
                      <w:rFonts w:hint="eastAsia" w:ascii="仿宋" w:hAnsi="仿宋" w:eastAsia="仿宋" w:cs="仿宋"/>
                      <w:b/>
                      <w:color w:val="000000"/>
                      <w:szCs w:val="21"/>
                      <w:highlight w:val="none"/>
                    </w:rPr>
                    <w:t>要求提供的</w:t>
                  </w:r>
                </w:p>
                <w:p>
                  <w:pPr>
                    <w:widowControl/>
                    <w:spacing w:line="240" w:lineRule="exact"/>
                    <w:ind w:left="-397" w:leftChars="-189" w:firstLine="415" w:firstLineChars="197"/>
                    <w:jc w:val="center"/>
                    <w:rPr>
                      <w:rFonts w:hint="eastAsia" w:ascii="仿宋" w:hAnsi="仿宋" w:eastAsia="仿宋" w:cs="仿宋"/>
                      <w:b/>
                      <w:color w:val="000000"/>
                      <w:szCs w:val="21"/>
                      <w:highlight w:val="none"/>
                    </w:rPr>
                  </w:pPr>
                  <w:r>
                    <w:rPr>
                      <w:rFonts w:hint="eastAsia" w:ascii="仿宋" w:hAnsi="仿宋" w:eastAsia="仿宋" w:cs="仿宋"/>
                      <w:b/>
                      <w:color w:val="000000"/>
                      <w:szCs w:val="21"/>
                      <w:highlight w:val="none"/>
                    </w:rPr>
                    <w:t>相关证书</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b/>
                      <w:color w:val="000000"/>
                      <w:szCs w:val="21"/>
                      <w:highlight w:val="none"/>
                    </w:rPr>
                  </w:pPr>
                  <w:r>
                    <w:rPr>
                      <w:rFonts w:hint="eastAsia" w:ascii="仿宋" w:hAnsi="仿宋" w:eastAsia="仿宋" w:cs="仿宋"/>
                      <w:b/>
                      <w:color w:val="000000"/>
                      <w:szCs w:val="21"/>
                      <w:highlight w:val="none"/>
                    </w:rPr>
                    <w:t>简要技术要求</w:t>
                  </w:r>
                </w:p>
              </w:tc>
              <w:tc>
                <w:tcPr>
                  <w:tcW w:w="11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b/>
                      <w:color w:val="000000"/>
                      <w:szCs w:val="21"/>
                      <w:highlight w:val="none"/>
                    </w:rPr>
                  </w:pPr>
                  <w:r>
                    <w:rPr>
                      <w:rFonts w:hint="eastAsia" w:ascii="仿宋" w:hAnsi="仿宋" w:eastAsia="仿宋" w:cs="仿宋"/>
                      <w:b/>
                      <w:color w:val="000000"/>
                      <w:szCs w:val="21"/>
                      <w:highlight w:val="none"/>
                    </w:rPr>
                    <w:t>备注</w:t>
                  </w:r>
                </w:p>
              </w:tc>
            </w:tr>
            <w:tr>
              <w:tblPrEx>
                <w:tblLayout w:type="fixed"/>
                <w:tblCellMar>
                  <w:top w:w="0" w:type="dxa"/>
                  <w:left w:w="108" w:type="dxa"/>
                  <w:bottom w:w="0" w:type="dxa"/>
                  <w:right w:w="108" w:type="dxa"/>
                </w:tblCellMar>
              </w:tblPrEx>
              <w:trPr>
                <w:trHeight w:val="251" w:hRule="atLeast"/>
                <w:jc w:val="center"/>
              </w:trPr>
              <w:tc>
                <w:tcPr>
                  <w:tcW w:w="911" w:type="dxa"/>
                  <w:vMerge w:val="restart"/>
                  <w:tcBorders>
                    <w:top w:val="nil"/>
                    <w:left w:val="single" w:color="auto" w:sz="4" w:space="0"/>
                    <w:right w:val="single" w:color="auto" w:sz="4" w:space="0"/>
                  </w:tcBorders>
                  <w:vAlign w:val="center"/>
                </w:tcPr>
                <w:p>
                  <w:pPr>
                    <w:widowControl/>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第二包</w:t>
                  </w:r>
                </w:p>
              </w:tc>
              <w:tc>
                <w:tcPr>
                  <w:tcW w:w="1599" w:type="dxa"/>
                  <w:vMerge w:val="restart"/>
                  <w:tcBorders>
                    <w:top w:val="nil"/>
                    <w:left w:val="single" w:color="auto" w:sz="4" w:space="0"/>
                    <w:right w:val="single" w:color="auto" w:sz="4" w:space="0"/>
                  </w:tcBorders>
                  <w:vAlign w:val="center"/>
                </w:tcPr>
                <w:p>
                  <w:pPr>
                    <w:widowControl/>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全自动生化分析仪</w:t>
                  </w: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A:生化分析仪</w:t>
                  </w:r>
                </w:p>
              </w:tc>
              <w:tc>
                <w:tcPr>
                  <w:tcW w:w="1618" w:type="dxa"/>
                  <w:vMerge w:val="restart"/>
                  <w:tcBorders>
                    <w:top w:val="nil"/>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所投产品须取得《医疗器械注册证》；</w:t>
                  </w:r>
                </w:p>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投标人如为代理商，须具有《医疗器械经营企业许可证》</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*生化分析速度： 180～300测试/小时或优于</w:t>
                  </w:r>
                </w:p>
              </w:tc>
              <w:tc>
                <w:tcPr>
                  <w:tcW w:w="1163" w:type="dxa"/>
                  <w:vMerge w:val="restart"/>
                  <w:tcBorders>
                    <w:top w:val="nil"/>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可以采购进口产品</w:t>
                  </w:r>
                </w:p>
              </w:tc>
            </w:tr>
            <w:tr>
              <w:tblPrEx>
                <w:tblLayout w:type="fixed"/>
                <w:tblCellMar>
                  <w:top w:w="0" w:type="dxa"/>
                  <w:left w:w="108" w:type="dxa"/>
                  <w:bottom w:w="0" w:type="dxa"/>
                  <w:right w:w="108" w:type="dxa"/>
                </w:tblCellMar>
              </w:tblPrEx>
              <w:trPr>
                <w:trHeight w:val="299" w:hRule="atLeast"/>
                <w:jc w:val="center"/>
              </w:trPr>
              <w:tc>
                <w:tcPr>
                  <w:tcW w:w="911"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1599"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B:生化分析仪</w:t>
                  </w:r>
                </w:p>
              </w:tc>
              <w:tc>
                <w:tcPr>
                  <w:tcW w:w="1618"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*常规样品位：≥40个；急诊样品可随时插入测定。</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r>
            <w:tr>
              <w:tblPrEx>
                <w:tblLayout w:type="fixed"/>
                <w:tblCellMar>
                  <w:top w:w="0" w:type="dxa"/>
                  <w:left w:w="108" w:type="dxa"/>
                  <w:bottom w:w="0" w:type="dxa"/>
                  <w:right w:w="108" w:type="dxa"/>
                </w:tblCellMar>
              </w:tblPrEx>
              <w:trPr>
                <w:trHeight w:val="284" w:hRule="atLeast"/>
                <w:jc w:val="center"/>
              </w:trPr>
              <w:tc>
                <w:tcPr>
                  <w:tcW w:w="911"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1599"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C:生化分析仪</w:t>
                  </w:r>
                </w:p>
              </w:tc>
              <w:tc>
                <w:tcPr>
                  <w:tcW w:w="1618"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*最小样品量：≤5μl可调，对于使用较小样</w:t>
                  </w:r>
                  <w:r>
                    <w:rPr>
                      <w:rFonts w:hint="eastAsia" w:ascii="仿宋" w:hAnsi="仿宋" w:eastAsia="仿宋" w:cs="仿宋"/>
                      <w:color w:val="000000"/>
                      <w:kern w:val="0"/>
                      <w:szCs w:val="21"/>
                      <w:highlight w:val="none"/>
                    </w:rPr>
                    <w:cr/>
                  </w:r>
                  <w:r>
                    <w:rPr>
                      <w:rFonts w:hint="eastAsia" w:ascii="仿宋" w:hAnsi="仿宋" w:eastAsia="仿宋" w:cs="仿宋"/>
                      <w:color w:val="000000"/>
                      <w:kern w:val="0"/>
                      <w:szCs w:val="21"/>
                      <w:highlight w:val="none"/>
                    </w:rPr>
                    <w:t>量者优先选择；样本量增减</w:t>
                  </w:r>
                  <w:r>
                    <w:rPr>
                      <w:rFonts w:hint="eastAsia" w:ascii="仿宋" w:hAnsi="仿宋" w:eastAsia="仿宋" w:cs="仿宋"/>
                      <w:color w:val="000000"/>
                      <w:kern w:val="0"/>
                      <w:szCs w:val="21"/>
                      <w:highlight w:val="none"/>
                    </w:rPr>
                    <w:cr/>
                  </w:r>
                  <w:r>
                    <w:rPr>
                      <w:rFonts w:hint="eastAsia" w:ascii="仿宋" w:hAnsi="仿宋" w:eastAsia="仿宋" w:cs="仿宋"/>
                      <w:color w:val="000000"/>
                      <w:kern w:val="0"/>
                      <w:szCs w:val="21"/>
                      <w:highlight w:val="none"/>
                    </w:rPr>
                    <w:t>围≤0.5μl。</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r>
            <w:tr>
              <w:tblPrEx>
                <w:tblLayout w:type="fixed"/>
                <w:tblCellMar>
                  <w:top w:w="0" w:type="dxa"/>
                  <w:left w:w="108" w:type="dxa"/>
                  <w:bottom w:w="0" w:type="dxa"/>
                  <w:right w:w="108" w:type="dxa"/>
                </w:tblCellMar>
              </w:tblPrEx>
              <w:trPr>
                <w:trHeight w:val="873" w:hRule="atLeast"/>
                <w:jc w:val="center"/>
              </w:trPr>
              <w:tc>
                <w:tcPr>
                  <w:tcW w:w="911"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1599"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D:生化分析仪</w:t>
                  </w:r>
                </w:p>
              </w:tc>
              <w:tc>
                <w:tcPr>
                  <w:tcW w:w="1618"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*生化分析速度：≥800测试/小时。</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r>
            <w:tr>
              <w:tblPrEx>
                <w:tblLayout w:type="fixed"/>
                <w:tblCellMar>
                  <w:top w:w="0" w:type="dxa"/>
                  <w:left w:w="108" w:type="dxa"/>
                  <w:bottom w:w="0" w:type="dxa"/>
                  <w:right w:w="108" w:type="dxa"/>
                </w:tblCellMar>
              </w:tblPrEx>
              <w:trPr>
                <w:trHeight w:val="873" w:hRule="atLeast"/>
                <w:jc w:val="center"/>
              </w:trPr>
              <w:tc>
                <w:tcPr>
                  <w:tcW w:w="911"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1599"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E:生化分析仪</w:t>
                  </w:r>
                </w:p>
              </w:tc>
              <w:tc>
                <w:tcPr>
                  <w:tcW w:w="1618"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*生化分析速度（不含ISE）：≥1800测试/小时/台。</w:t>
                  </w:r>
                </w:p>
              </w:tc>
              <w:tc>
                <w:tcPr>
                  <w:tcW w:w="1163"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r>
            <w:tr>
              <w:tblPrEx>
                <w:tblLayout w:type="fixed"/>
                <w:tblCellMar>
                  <w:top w:w="0" w:type="dxa"/>
                  <w:left w:w="108" w:type="dxa"/>
                  <w:bottom w:w="0" w:type="dxa"/>
                  <w:right w:w="108" w:type="dxa"/>
                </w:tblCellMar>
              </w:tblPrEx>
              <w:trPr>
                <w:trHeight w:val="405" w:hRule="atLeast"/>
                <w:jc w:val="center"/>
              </w:trPr>
              <w:tc>
                <w:tcPr>
                  <w:tcW w:w="911" w:type="dxa"/>
                  <w:vMerge w:val="restart"/>
                  <w:tcBorders>
                    <w:top w:val="nil"/>
                    <w:left w:val="single" w:color="auto" w:sz="4" w:space="0"/>
                    <w:right w:val="single" w:color="auto" w:sz="4" w:space="0"/>
                  </w:tcBorders>
                  <w:vAlign w:val="center"/>
                </w:tcPr>
                <w:p>
                  <w:pPr>
                    <w:widowControl/>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第三包</w:t>
                  </w:r>
                </w:p>
              </w:tc>
              <w:tc>
                <w:tcPr>
                  <w:tcW w:w="1599" w:type="dxa"/>
                  <w:vMerge w:val="restart"/>
                  <w:tcBorders>
                    <w:top w:val="nil"/>
                    <w:left w:val="nil"/>
                    <w:right w:val="single" w:color="auto" w:sz="4" w:space="0"/>
                  </w:tcBorders>
                  <w:vAlign w:val="center"/>
                </w:tcPr>
                <w:p>
                  <w:pPr>
                    <w:widowControl/>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微生物鉴定仪</w:t>
                  </w: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A：全自动微生物鉴定仪</w:t>
                  </w:r>
                </w:p>
              </w:tc>
              <w:tc>
                <w:tcPr>
                  <w:tcW w:w="1618" w:type="dxa"/>
                  <w:vMerge w:val="restart"/>
                  <w:tcBorders>
                    <w:top w:val="nil"/>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*自动化：一体化联机孵育、定时扫描，自动报告结果。</w:t>
                  </w:r>
                </w:p>
              </w:tc>
              <w:tc>
                <w:tcPr>
                  <w:tcW w:w="1163" w:type="dxa"/>
                  <w:vMerge w:val="restart"/>
                  <w:tcBorders>
                    <w:top w:val="nil"/>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可以采购进口产品</w:t>
                  </w:r>
                </w:p>
              </w:tc>
            </w:tr>
            <w:tr>
              <w:tblPrEx>
                <w:tblLayout w:type="fixed"/>
                <w:tblCellMar>
                  <w:top w:w="0" w:type="dxa"/>
                  <w:left w:w="108" w:type="dxa"/>
                  <w:bottom w:w="0" w:type="dxa"/>
                  <w:right w:w="108" w:type="dxa"/>
                </w:tblCellMar>
              </w:tblPrEx>
              <w:trPr>
                <w:trHeight w:val="405" w:hRule="atLeast"/>
                <w:jc w:val="center"/>
              </w:trPr>
              <w:tc>
                <w:tcPr>
                  <w:tcW w:w="911"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Cs w:val="21"/>
                      <w:highlight w:val="none"/>
                    </w:rPr>
                  </w:pPr>
                </w:p>
              </w:tc>
              <w:tc>
                <w:tcPr>
                  <w:tcW w:w="1599" w:type="dxa"/>
                  <w:vMerge w:val="continue"/>
                  <w:tcBorders>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Cs w:val="21"/>
                      <w:highlight w:val="none"/>
                    </w:rPr>
                  </w:pP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B：半自动微生物鉴定仪</w:t>
                  </w:r>
                </w:p>
              </w:tc>
              <w:tc>
                <w:tcPr>
                  <w:tcW w:w="1618"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*自动化：自动读取与报告结果。</w:t>
                  </w:r>
                </w:p>
              </w:tc>
              <w:tc>
                <w:tcPr>
                  <w:tcW w:w="1163"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r>
            <w:tr>
              <w:tblPrEx>
                <w:tblLayout w:type="fixed"/>
                <w:tblCellMar>
                  <w:top w:w="0" w:type="dxa"/>
                  <w:left w:w="108" w:type="dxa"/>
                  <w:bottom w:w="0" w:type="dxa"/>
                  <w:right w:w="108" w:type="dxa"/>
                </w:tblCellMar>
              </w:tblPrEx>
              <w:trPr>
                <w:trHeight w:val="607" w:hRule="atLeast"/>
                <w:jc w:val="center"/>
              </w:trPr>
              <w:tc>
                <w:tcPr>
                  <w:tcW w:w="911" w:type="dxa"/>
                  <w:vMerge w:val="restart"/>
                  <w:tcBorders>
                    <w:top w:val="nil"/>
                    <w:left w:val="single" w:color="auto" w:sz="4" w:space="0"/>
                    <w:right w:val="single" w:color="auto" w:sz="4" w:space="0"/>
                  </w:tcBorders>
                  <w:vAlign w:val="center"/>
                </w:tcPr>
                <w:p>
                  <w:pPr>
                    <w:widowControl/>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第十六包</w:t>
                  </w:r>
                </w:p>
              </w:tc>
              <w:tc>
                <w:tcPr>
                  <w:tcW w:w="1599" w:type="dxa"/>
                  <w:vMerge w:val="restart"/>
                  <w:tcBorders>
                    <w:top w:val="nil"/>
                    <w:left w:val="single" w:color="auto" w:sz="4" w:space="0"/>
                    <w:right w:val="single" w:color="auto" w:sz="4" w:space="0"/>
                  </w:tcBorders>
                  <w:vAlign w:val="center"/>
                </w:tcPr>
                <w:p>
                  <w:pPr>
                    <w:widowControl/>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B超机</w:t>
                  </w: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A:彩色多普勒超声波诊断仪（腹部为主）</w:t>
                  </w:r>
                </w:p>
              </w:tc>
              <w:tc>
                <w:tcPr>
                  <w:tcW w:w="1618" w:type="dxa"/>
                  <w:vMerge w:val="restart"/>
                  <w:tcBorders>
                    <w:top w:val="nil"/>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所投产品须取得《医疗器械注册证》和FDA认证；</w:t>
                  </w:r>
                </w:p>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投标人如为代理商，须具有《医疗器械经营企业许可证》</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*探头接口：≥ 3个</w:t>
                  </w:r>
                </w:p>
              </w:tc>
              <w:tc>
                <w:tcPr>
                  <w:tcW w:w="1163" w:type="dxa"/>
                  <w:vMerge w:val="restart"/>
                  <w:tcBorders>
                    <w:top w:val="nil"/>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可以采购进口产品</w:t>
                  </w:r>
                </w:p>
              </w:tc>
            </w:tr>
            <w:tr>
              <w:tblPrEx>
                <w:tblLayout w:type="fixed"/>
                <w:tblCellMar>
                  <w:top w:w="0" w:type="dxa"/>
                  <w:left w:w="108" w:type="dxa"/>
                  <w:bottom w:w="0" w:type="dxa"/>
                  <w:right w:w="108" w:type="dxa"/>
                </w:tblCellMar>
              </w:tblPrEx>
              <w:trPr>
                <w:trHeight w:val="596" w:hRule="atLeast"/>
                <w:jc w:val="center"/>
              </w:trPr>
              <w:tc>
                <w:tcPr>
                  <w:tcW w:w="911"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1599"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B:彩色多普勒超声波诊断仪（腹部为主）</w:t>
                  </w:r>
                </w:p>
              </w:tc>
              <w:tc>
                <w:tcPr>
                  <w:tcW w:w="1618"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*探头接口：≥ 4个</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r>
            <w:tr>
              <w:tblPrEx>
                <w:tblLayout w:type="fixed"/>
                <w:tblCellMar>
                  <w:top w:w="0" w:type="dxa"/>
                  <w:left w:w="108" w:type="dxa"/>
                  <w:bottom w:w="0" w:type="dxa"/>
                  <w:right w:w="108" w:type="dxa"/>
                </w:tblCellMar>
              </w:tblPrEx>
              <w:trPr>
                <w:trHeight w:val="591" w:hRule="atLeast"/>
                <w:jc w:val="center"/>
              </w:trPr>
              <w:tc>
                <w:tcPr>
                  <w:tcW w:w="911"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1599" w:type="dxa"/>
                  <w:vMerge w:val="continue"/>
                  <w:tcBorders>
                    <w:left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C:彩色多普勒超声波诊断仪（全身型）</w:t>
                  </w:r>
                </w:p>
              </w:tc>
              <w:tc>
                <w:tcPr>
                  <w:tcW w:w="1618"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r>
                    <w:rPr>
                      <w:rFonts w:hint="eastAsia" w:ascii="仿宋" w:hAnsi="仿宋" w:eastAsia="仿宋" w:cs="仿宋"/>
                      <w:color w:val="000000"/>
                      <w:kern w:val="0"/>
                      <w:szCs w:val="21"/>
                      <w:highlight w:val="none"/>
                    </w:rPr>
                    <w:t>*电影回放：二维图像回放≥ 1000 帧；</w:t>
                  </w:r>
                </w:p>
              </w:tc>
              <w:tc>
                <w:tcPr>
                  <w:tcW w:w="1163" w:type="dxa"/>
                  <w:vMerge w:val="continue"/>
                  <w:tcBorders>
                    <w:left w:val="nil"/>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r>
            <w:tr>
              <w:tblPrEx>
                <w:tblLayout w:type="fixed"/>
                <w:tblCellMar>
                  <w:top w:w="0" w:type="dxa"/>
                  <w:left w:w="108" w:type="dxa"/>
                  <w:bottom w:w="0" w:type="dxa"/>
                  <w:right w:w="108" w:type="dxa"/>
                </w:tblCellMar>
              </w:tblPrEx>
              <w:trPr>
                <w:trHeight w:val="90" w:hRule="atLeast"/>
                <w:jc w:val="center"/>
              </w:trPr>
              <w:tc>
                <w:tcPr>
                  <w:tcW w:w="911"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1599" w:type="dxa"/>
                  <w:vMerge w:val="continue"/>
                  <w:tcBorders>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p>
              </w:tc>
              <w:tc>
                <w:tcPr>
                  <w:tcW w:w="2065" w:type="dxa"/>
                  <w:tcBorders>
                    <w:top w:val="nil"/>
                    <w:left w:val="nil"/>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r>
                    <w:rPr>
                      <w:rFonts w:hint="eastAsia" w:ascii="仿宋" w:hAnsi="仿宋" w:eastAsia="仿宋" w:cs="仿宋"/>
                      <w:color w:val="000000"/>
                      <w:highlight w:val="none"/>
                    </w:rPr>
                    <w:t>D：便携式彩色多普勒超声波诊断仪</w:t>
                  </w:r>
                </w:p>
              </w:tc>
              <w:tc>
                <w:tcPr>
                  <w:tcW w:w="1618"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c>
                <w:tcPr>
                  <w:tcW w:w="116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Cs w:val="21"/>
                      <w:highlight w:val="none"/>
                    </w:rPr>
                  </w:pPr>
                  <w:r>
                    <w:rPr>
                      <w:rFonts w:hint="eastAsia" w:ascii="仿宋" w:hAnsi="仿宋" w:eastAsia="仿宋" w:cs="Verdana"/>
                      <w:color w:val="000000"/>
                      <w:kern w:val="0"/>
                      <w:sz w:val="22"/>
                      <w:szCs w:val="22"/>
                      <w:highlight w:val="none"/>
                      <w:lang w:bidi="ar"/>
                    </w:rPr>
                    <w:t>*</w:t>
                  </w:r>
                  <w:r>
                    <w:rPr>
                      <w:rFonts w:hint="eastAsia" w:ascii="仿宋" w:hAnsi="仿宋" w:eastAsia="仿宋" w:cs="仿宋"/>
                      <w:color w:val="000000"/>
                      <w:kern w:val="0"/>
                      <w:szCs w:val="21"/>
                      <w:highlight w:val="none"/>
                    </w:rPr>
                    <w:t>所配软件为最新版本，并包含已发布的全部功能。</w:t>
                  </w:r>
                </w:p>
              </w:tc>
              <w:tc>
                <w:tcPr>
                  <w:tcW w:w="1163" w:type="dxa"/>
                  <w:vMerge w:val="continue"/>
                  <w:tcBorders>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color w:val="000000"/>
                      <w:kern w:val="0"/>
                      <w:szCs w:val="21"/>
                      <w:highlight w:val="none"/>
                    </w:rPr>
                  </w:pPr>
                </w:p>
              </w:tc>
            </w:tr>
          </w:tbl>
          <w:p>
            <w:pPr>
              <w:rPr>
                <w:rFonts w:ascii="仿宋_GB2312" w:hAnsi="仿宋" w:eastAsia="仿宋_GB2312"/>
                <w:color w:val="auto"/>
                <w:sz w:val="24"/>
                <w:highlight w:val="none"/>
              </w:rPr>
            </w:pPr>
            <w:r>
              <w:rPr>
                <w:rFonts w:hint="eastAsia" w:ascii="仿宋_GB2312" w:hAnsi="仿宋" w:eastAsia="仿宋_GB2312"/>
                <w:color w:val="auto"/>
                <w:sz w:val="24"/>
                <w:highlight w:val="none"/>
              </w:rPr>
              <w:t>采购人的采购需求：见附件</w:t>
            </w:r>
            <w:r>
              <w:rPr>
                <w:rFonts w:hint="eastAsia" w:ascii="仿宋_GB2312" w:hAnsi="仿宋" w:eastAsia="仿宋_GB2312"/>
                <w:color w:val="auto"/>
                <w:sz w:val="24"/>
                <w:highlight w:val="none"/>
                <w:lang w:eastAsia="zh-CN"/>
              </w:rPr>
              <w:t>。</w:t>
            </w:r>
          </w:p>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说明：</w:t>
            </w:r>
          </w:p>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（1）本次招标按品目招标、投标、评标、授标。</w:t>
            </w:r>
          </w:p>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（2）招标范围：包括以上货物的供应、运输、安装、调试、培训及售后服务。</w:t>
            </w:r>
          </w:p>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（3）交货时间及地点：由采购用户在签订合同时根据实际需求确定，投标人或其指定的分销商应按采购合同规定的时间、地点交货。</w:t>
            </w:r>
          </w:p>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（4）本项目供货资格有效期：自2018年6月1日中午12:00起至2019年5月31日中午12:00止。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采购用途：质量监督检验检疫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招标项目的性质：政府采购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top"/>
          </w:tcPr>
          <w:p>
            <w:pPr>
              <w:rPr>
                <w:rFonts w:ascii="仿宋" w:hAnsi="仿宋" w:eastAsia="仿宋" w:cs="仿宋"/>
                <w:color w:val="auto"/>
                <w:sz w:val="24"/>
                <w:highlight w:val="none"/>
              </w:rPr>
            </w:pPr>
            <w:bookmarkStart w:id="13" w:name="OLE_LINK1"/>
            <w:r>
              <w:rPr>
                <w:rFonts w:hint="eastAsia" w:ascii="仿宋" w:hAnsi="仿宋" w:eastAsia="仿宋" w:cs="仿宋"/>
                <w:color w:val="auto"/>
                <w:sz w:val="24"/>
                <w:highlight w:val="none"/>
              </w:rPr>
              <w:t>采购项目需要落实的政府采购政策：</w:t>
            </w:r>
          </w:p>
          <w:p>
            <w:pPr>
              <w:rPr>
                <w:rFonts w:ascii="仿宋" w:hAnsi="仿宋" w:eastAsia="仿宋" w:cs="仿宋"/>
                <w:color w:val="auto"/>
                <w:sz w:val="24"/>
                <w:highlight w:val="none"/>
              </w:rPr>
            </w:pPr>
            <w:r>
              <w:rPr>
                <w:rFonts w:hint="eastAsia" w:ascii="仿宋" w:hAnsi="仿宋" w:eastAsia="仿宋" w:cs="仿宋"/>
                <w:color w:val="auto"/>
                <w:sz w:val="24"/>
                <w:highlight w:val="none"/>
              </w:rPr>
              <w:t>1、鼓励节能政策：在技术、服务等指标同等条件下，优先采购属于国家公布的节能清单中产品。</w:t>
            </w:r>
          </w:p>
          <w:p>
            <w:pPr>
              <w:rPr>
                <w:rFonts w:ascii="仿宋" w:hAnsi="仿宋" w:eastAsia="仿宋" w:cs="仿宋"/>
                <w:color w:val="auto"/>
                <w:sz w:val="24"/>
                <w:highlight w:val="none"/>
              </w:rPr>
            </w:pPr>
            <w:r>
              <w:rPr>
                <w:rFonts w:hint="eastAsia" w:ascii="仿宋" w:hAnsi="仿宋" w:eastAsia="仿宋" w:cs="仿宋"/>
                <w:color w:val="auto"/>
                <w:sz w:val="24"/>
                <w:highlight w:val="none"/>
              </w:rPr>
              <w:t>2、鼓励环保政策：在性能、技术、服务等指标同等条件下，优先采购国家公布的环保产品清单中的产品。</w:t>
            </w: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3、扶持中小企业政策：评审时小型和微型企业产品享受</w:t>
            </w:r>
            <w:r>
              <w:rPr>
                <w:rFonts w:ascii="仿宋" w:hAnsi="仿宋" w:eastAsia="仿宋" w:cs="仿宋"/>
                <w:color w:val="auto"/>
                <w:sz w:val="24"/>
                <w:highlight w:val="none"/>
              </w:rPr>
              <w:t>6%</w:t>
            </w:r>
            <w:r>
              <w:rPr>
                <w:rFonts w:hint="eastAsia" w:ascii="仿宋" w:hAnsi="仿宋" w:eastAsia="仿宋" w:cs="仿宋"/>
                <w:color w:val="auto"/>
                <w:sz w:val="24"/>
                <w:highlight w:val="none"/>
              </w:rPr>
              <w:t>的价格折扣。监狱企业和残疾人福利性单位视同小型、微型企业。</w:t>
            </w:r>
            <w:bookmarkEnd w:id="13"/>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4、允许采购进口产品的，优先采购向我国企业转让技术、与我国企业签订消化吸收再创新方案的供应商的进口产品。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9587" w:type="dxa"/>
            <w:vAlign w:val="top"/>
          </w:tcPr>
          <w:p>
            <w:pPr>
              <w:widowControl/>
              <w:jc w:val="left"/>
              <w:rPr>
                <w:rFonts w:hint="eastAsia" w:ascii="仿宋_GB2312" w:hAnsi="仿宋" w:eastAsia="仿宋_GB2312" w:cs="宋体"/>
                <w:color w:val="auto"/>
                <w:kern w:val="0"/>
                <w:sz w:val="24"/>
                <w:highlight w:val="none"/>
              </w:rPr>
            </w:pPr>
            <w:r>
              <w:rPr>
                <w:rFonts w:hint="eastAsia" w:ascii="仿宋_GB2312" w:hAnsi="仿宋" w:eastAsia="仿宋_GB2312" w:cs="宋体"/>
                <w:color w:val="auto"/>
                <w:kern w:val="0"/>
                <w:sz w:val="24"/>
                <w:highlight w:val="none"/>
              </w:rPr>
              <w:t>投标资格要求：</w:t>
            </w:r>
          </w:p>
          <w:p>
            <w:pPr>
              <w:widowControl/>
              <w:numPr>
                <w:ilvl w:val="0"/>
                <w:numId w:val="1"/>
              </w:numPr>
              <w:jc w:val="left"/>
              <w:rPr>
                <w:rFonts w:ascii="仿宋_GB2312" w:hAnsi="仿宋" w:eastAsia="仿宋_GB2312" w:cs="宋体"/>
                <w:color w:val="auto"/>
                <w:kern w:val="0"/>
                <w:sz w:val="24"/>
                <w:highlight w:val="none"/>
              </w:rPr>
            </w:pPr>
            <w:r>
              <w:rPr>
                <w:rFonts w:hint="eastAsia" w:ascii="仿宋_GB2312" w:hAnsi="仿宋" w:eastAsia="仿宋_GB2312" w:cs="宋体"/>
                <w:color w:val="auto"/>
                <w:kern w:val="0"/>
                <w:sz w:val="24"/>
                <w:highlight w:val="none"/>
              </w:rPr>
              <w:t>投标人应符合《中华人民共和国政府采购法》第二十二条规定：</w:t>
            </w:r>
          </w:p>
          <w:p>
            <w:pPr>
              <w:rPr>
                <w:rFonts w:ascii="仿宋" w:hAnsi="仿宋" w:eastAsia="仿宋" w:cs="仿宋"/>
                <w:color w:val="auto"/>
                <w:sz w:val="24"/>
                <w:highlight w:val="none"/>
              </w:rPr>
            </w:pPr>
            <w:r>
              <w:rPr>
                <w:rFonts w:hint="eastAsia" w:ascii="仿宋_GB2312" w:hAnsi="仿宋" w:eastAsia="仿宋_GB2312" w:cs="宋体"/>
                <w:color w:val="auto"/>
                <w:kern w:val="0"/>
                <w:sz w:val="24"/>
                <w:highlight w:val="none"/>
              </w:rPr>
              <w:t xml:space="preserve">    </w:t>
            </w:r>
            <w:r>
              <w:rPr>
                <w:rFonts w:hint="eastAsia" w:ascii="仿宋" w:hAnsi="仿宋" w:eastAsia="仿宋" w:cs="仿宋"/>
                <w:color w:val="auto"/>
                <w:sz w:val="24"/>
                <w:highlight w:val="none"/>
              </w:rPr>
              <w:t xml:space="preserve">  1）具有独立承担民事责任的能力；</w:t>
            </w:r>
          </w:p>
          <w:p>
            <w:pPr>
              <w:rPr>
                <w:rFonts w:ascii="仿宋" w:hAnsi="仿宋" w:eastAsia="仿宋" w:cs="仿宋"/>
                <w:color w:val="auto"/>
                <w:sz w:val="24"/>
                <w:highlight w:val="none"/>
              </w:rPr>
            </w:pPr>
            <w:r>
              <w:rPr>
                <w:rFonts w:hint="eastAsia" w:ascii="仿宋" w:hAnsi="仿宋" w:eastAsia="仿宋" w:cs="仿宋"/>
                <w:color w:val="auto"/>
                <w:sz w:val="24"/>
                <w:highlight w:val="none"/>
              </w:rPr>
              <w:t xml:space="preserve">      2）具有良好的商业信誉和健全的财务会计制度；</w:t>
            </w:r>
          </w:p>
          <w:p>
            <w:pPr>
              <w:rPr>
                <w:rFonts w:ascii="仿宋" w:hAnsi="仿宋" w:eastAsia="仿宋" w:cs="仿宋"/>
                <w:color w:val="auto"/>
                <w:sz w:val="24"/>
                <w:highlight w:val="none"/>
              </w:rPr>
            </w:pPr>
            <w:r>
              <w:rPr>
                <w:rFonts w:hint="eastAsia" w:ascii="仿宋" w:hAnsi="仿宋" w:eastAsia="仿宋" w:cs="仿宋"/>
                <w:color w:val="auto"/>
                <w:sz w:val="24"/>
                <w:highlight w:val="none"/>
              </w:rPr>
              <w:t xml:space="preserve">      3）具有履行合同所必需的设备和专业技术能力；</w:t>
            </w:r>
          </w:p>
          <w:p>
            <w:pPr>
              <w:rPr>
                <w:rFonts w:ascii="仿宋" w:hAnsi="仿宋" w:eastAsia="仿宋" w:cs="仿宋"/>
                <w:color w:val="auto"/>
                <w:sz w:val="24"/>
                <w:highlight w:val="none"/>
              </w:rPr>
            </w:pPr>
            <w:r>
              <w:rPr>
                <w:rFonts w:hint="eastAsia" w:ascii="仿宋" w:hAnsi="仿宋" w:eastAsia="仿宋" w:cs="仿宋"/>
                <w:color w:val="auto"/>
                <w:sz w:val="24"/>
                <w:highlight w:val="none"/>
              </w:rPr>
              <w:t xml:space="preserve">      4）有依法缴纳税收和社会保障资金的良好记录；</w:t>
            </w:r>
          </w:p>
          <w:p>
            <w:pPr>
              <w:rPr>
                <w:rFonts w:ascii="仿宋" w:hAnsi="仿宋" w:eastAsia="仿宋" w:cs="仿宋"/>
                <w:color w:val="auto"/>
                <w:sz w:val="24"/>
                <w:highlight w:val="none"/>
              </w:rPr>
            </w:pPr>
            <w:r>
              <w:rPr>
                <w:rFonts w:hint="eastAsia" w:ascii="仿宋" w:hAnsi="仿宋" w:eastAsia="仿宋" w:cs="仿宋"/>
                <w:color w:val="auto"/>
                <w:sz w:val="24"/>
                <w:highlight w:val="none"/>
              </w:rPr>
              <w:t xml:space="preserve">      5）参加政府采购活动前三年内，在经营活动中没有重大违法记录；</w:t>
            </w:r>
          </w:p>
          <w:p>
            <w:pPr>
              <w:rPr>
                <w:rFonts w:ascii="仿宋" w:hAnsi="仿宋" w:eastAsia="仿宋" w:cs="仿宋"/>
                <w:color w:val="auto"/>
                <w:sz w:val="24"/>
                <w:highlight w:val="none"/>
              </w:rPr>
            </w:pPr>
            <w:r>
              <w:rPr>
                <w:rFonts w:hint="eastAsia" w:ascii="仿宋" w:hAnsi="仿宋" w:eastAsia="仿宋" w:cs="仿宋"/>
                <w:color w:val="auto"/>
                <w:sz w:val="24"/>
                <w:highlight w:val="none"/>
              </w:rPr>
              <w:t xml:space="preserve">      6）法律、行政法规规定的其他条件。</w:t>
            </w: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注：外国企业无投标资格。</w:t>
            </w:r>
          </w:p>
          <w:p>
            <w:pPr>
              <w:widowControl/>
              <w:jc w:val="left"/>
              <w:rPr>
                <w:rFonts w:hint="eastAsia" w:ascii="仿宋_GB2312" w:hAnsi="仿宋" w:eastAsia="仿宋_GB2312" w:cs="宋体"/>
                <w:color w:val="auto"/>
                <w:kern w:val="0"/>
                <w:sz w:val="24"/>
                <w:highlight w:val="none"/>
              </w:rPr>
            </w:pPr>
          </w:p>
          <w:p>
            <w:pPr>
              <w:widowControl/>
              <w:jc w:val="left"/>
              <w:rPr>
                <w:rFonts w:ascii="仿宋_GB2312" w:hAnsi="仿宋" w:eastAsia="仿宋_GB2312" w:cs="宋体"/>
                <w:color w:val="auto"/>
                <w:kern w:val="0"/>
                <w:sz w:val="24"/>
                <w:highlight w:val="none"/>
              </w:rPr>
            </w:pPr>
            <w:r>
              <w:rPr>
                <w:rFonts w:hint="eastAsia" w:ascii="仿宋_GB2312" w:hAnsi="仿宋" w:eastAsia="仿宋_GB2312" w:cs="宋体"/>
                <w:color w:val="auto"/>
                <w:kern w:val="0"/>
                <w:sz w:val="24"/>
                <w:highlight w:val="none"/>
              </w:rPr>
              <w:t>（2）除了招标内容一览表中明确可以采购进口产品以外，投标产品应为国内产品，投标人应为投标产品的生产厂家。</w:t>
            </w:r>
          </w:p>
          <w:p>
            <w:pPr>
              <w:widowControl/>
              <w:jc w:val="left"/>
              <w:rPr>
                <w:rFonts w:ascii="仿宋_GB2312" w:hAnsi="仿宋" w:eastAsia="仿宋_GB2312" w:cs="宋体"/>
                <w:color w:val="auto"/>
                <w:kern w:val="0"/>
                <w:sz w:val="24"/>
                <w:highlight w:val="none"/>
              </w:rPr>
            </w:pPr>
            <w:r>
              <w:rPr>
                <w:rFonts w:hint="eastAsia" w:ascii="仿宋_GB2312" w:hAnsi="仿宋" w:eastAsia="仿宋_GB2312" w:cs="宋体"/>
                <w:color w:val="auto"/>
                <w:kern w:val="0"/>
                <w:sz w:val="24"/>
                <w:highlight w:val="none"/>
              </w:rPr>
              <w:t xml:space="preserve">    招标内容一览表中明确可以采购进口产品的，投标产品可以为进口产品。投标产品为进口产品的，投标人应为外国（境外）生产厂家授权的代理商。每个生产厂家每个包只能授权一个代理商参加投标。如果生产厂家同一个包授权多个代理商投标，则该生产厂家该包授权的所有代理商的投标均无效。</w:t>
            </w:r>
          </w:p>
          <w:p>
            <w:pPr>
              <w:widowControl/>
              <w:jc w:val="left"/>
              <w:rPr>
                <w:rFonts w:hint="eastAsia" w:ascii="仿宋_GB2312" w:hAnsi="仿宋" w:eastAsia="仿宋_GB2312" w:cs="宋体"/>
                <w:color w:val="auto"/>
                <w:kern w:val="0"/>
                <w:sz w:val="24"/>
                <w:highlight w:val="none"/>
              </w:rPr>
            </w:pPr>
            <w:r>
              <w:rPr>
                <w:rFonts w:hint="eastAsia" w:ascii="仿宋_GB2312" w:hAnsi="仿宋" w:eastAsia="仿宋_GB2312" w:cs="宋体"/>
                <w:color w:val="auto"/>
                <w:kern w:val="0"/>
                <w:sz w:val="24"/>
                <w:highlight w:val="none"/>
              </w:rPr>
              <w:t>（3）全自动生化分析仪和B超机的投标人如为代理商，须具有《医疗器械经营企业许可证》</w:t>
            </w:r>
            <w:r>
              <w:rPr>
                <w:rFonts w:hint="eastAsia" w:ascii="仿宋_GB2312" w:hAnsi="仿宋" w:eastAsia="仿宋_GB2312" w:cs="宋体"/>
                <w:color w:val="auto"/>
                <w:kern w:val="0"/>
                <w:sz w:val="24"/>
                <w:highlight w:val="none"/>
                <w:lang w:val="en-US" w:eastAsia="zh-CN"/>
              </w:rPr>
              <w:t>;</w:t>
            </w:r>
          </w:p>
          <w:p>
            <w:pPr>
              <w:widowControl/>
              <w:jc w:val="left"/>
              <w:rPr>
                <w:rFonts w:hint="eastAsia" w:ascii="仿宋_GB2312" w:hAnsi="仿宋" w:eastAsia="仿宋_GB2312" w:cs="宋体"/>
                <w:color w:val="auto"/>
                <w:kern w:val="0"/>
                <w:sz w:val="24"/>
                <w:highlight w:val="none"/>
              </w:rPr>
            </w:pPr>
            <w:r>
              <w:rPr>
                <w:rFonts w:hint="eastAsia" w:ascii="仿宋_GB2312" w:hAnsi="仿宋" w:eastAsia="仿宋_GB2312" w:cs="宋体"/>
                <w:color w:val="auto"/>
                <w:kern w:val="0"/>
                <w:sz w:val="24"/>
                <w:highlight w:val="none"/>
              </w:rPr>
              <w:t>（4）投标产品生产厂家应通过ISO9001认证或ISO13485认证（投标产品为医疗产品适用）；</w:t>
            </w:r>
          </w:p>
          <w:p>
            <w:pPr>
              <w:widowControl/>
              <w:jc w:val="left"/>
              <w:rPr>
                <w:rFonts w:hint="eastAsia" w:ascii="仿宋_GB2312" w:hAnsi="仿宋" w:eastAsia="仿宋_GB2312" w:cs="宋体"/>
                <w:color w:val="auto"/>
                <w:kern w:val="0"/>
                <w:sz w:val="24"/>
                <w:highlight w:val="none"/>
              </w:rPr>
            </w:pPr>
            <w:r>
              <w:rPr>
                <w:rFonts w:hint="eastAsia" w:ascii="仿宋_GB2312" w:hAnsi="仿宋" w:eastAsia="仿宋_GB2312" w:cs="宋体"/>
                <w:color w:val="auto"/>
                <w:kern w:val="0"/>
                <w:sz w:val="24"/>
                <w:highlight w:val="none"/>
              </w:rPr>
              <w:t>（5）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w:t>
            </w:r>
            <w:bookmarkStart w:id="14" w:name="OLE_LINK8"/>
            <w:r>
              <w:rPr>
                <w:rFonts w:hint="eastAsia" w:ascii="仿宋_GB2312" w:hAnsi="仿宋" w:eastAsia="仿宋_GB2312" w:cs="宋体"/>
                <w:color w:val="auto"/>
                <w:kern w:val="0"/>
                <w:sz w:val="24"/>
                <w:highlight w:val="none"/>
              </w:rPr>
              <w:t>信用信息截止时点为开标当日；</w:t>
            </w:r>
          </w:p>
          <w:bookmarkEnd w:id="14"/>
          <w:p>
            <w:pPr>
              <w:widowControl/>
              <w:jc w:val="left"/>
              <w:rPr>
                <w:rFonts w:hint="eastAsia" w:ascii="仿宋_GB2312" w:hAnsi="仿宋" w:eastAsia="仿宋_GB2312" w:cs="宋体"/>
                <w:color w:val="auto"/>
                <w:kern w:val="0"/>
                <w:sz w:val="24"/>
                <w:highlight w:val="none"/>
              </w:rPr>
            </w:pPr>
            <w:r>
              <w:rPr>
                <w:rFonts w:hint="eastAsia" w:ascii="仿宋_GB2312" w:hAnsi="仿宋" w:eastAsia="仿宋_GB2312" w:cs="宋体"/>
                <w:color w:val="auto"/>
                <w:kern w:val="0"/>
                <w:sz w:val="24"/>
                <w:highlight w:val="none"/>
              </w:rPr>
              <w:t>（6）本次招标不接受联合体投标；</w:t>
            </w:r>
          </w:p>
          <w:p>
            <w:pPr>
              <w:widowControl/>
              <w:jc w:val="left"/>
              <w:rPr>
                <w:rFonts w:hint="eastAsia" w:ascii="仿宋_GB2312" w:hAnsi="仿宋" w:eastAsia="仿宋_GB2312" w:cs="宋体"/>
                <w:color w:val="auto"/>
                <w:kern w:val="0"/>
                <w:sz w:val="24"/>
                <w:highlight w:val="none"/>
              </w:rPr>
            </w:pPr>
            <w:r>
              <w:rPr>
                <w:rFonts w:hint="eastAsia" w:ascii="仿宋_GB2312" w:hAnsi="仿宋" w:eastAsia="仿宋_GB2312" w:cs="宋体"/>
                <w:color w:val="auto"/>
                <w:kern w:val="0"/>
                <w:sz w:val="24"/>
                <w:highlight w:val="none"/>
              </w:rPr>
              <w:t>（7）投标人应购买本项目招标文件。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7" w:type="dxa"/>
            <w:vAlign w:val="center"/>
          </w:tcPr>
          <w:p>
            <w:pPr>
              <w:ind w:left="2040" w:hanging="2040" w:hangingChars="850"/>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招标文件发售时间：即日起到2018年4月</w:t>
            </w:r>
            <w:r>
              <w:rPr>
                <w:rFonts w:hint="eastAsia" w:ascii="仿宋_GB2312" w:hAnsi="仿宋" w:eastAsia="仿宋_GB2312"/>
                <w:color w:val="auto"/>
                <w:sz w:val="24"/>
                <w:highlight w:val="none"/>
                <w:lang w:eastAsia="zh-CN"/>
              </w:rPr>
              <w:t>1</w:t>
            </w:r>
            <w:r>
              <w:rPr>
                <w:rFonts w:hint="eastAsia" w:ascii="仿宋_GB2312" w:hAnsi="仿宋" w:eastAsia="仿宋_GB2312"/>
                <w:color w:val="auto"/>
                <w:sz w:val="24"/>
                <w:highlight w:val="none"/>
                <w:lang w:val="en-US" w:eastAsia="zh-CN"/>
              </w:rPr>
              <w:t>3</w:t>
            </w:r>
            <w:r>
              <w:rPr>
                <w:rFonts w:hint="eastAsia" w:ascii="仿宋_GB2312" w:hAnsi="仿宋" w:eastAsia="仿宋_GB2312"/>
                <w:color w:val="auto"/>
                <w:sz w:val="24"/>
                <w:highlight w:val="none"/>
              </w:rPr>
              <w:t>日下午16：00时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9587" w:type="dxa"/>
            <w:vAlign w:val="center"/>
          </w:tcPr>
          <w:p>
            <w:pPr>
              <w:adjustRightInd w:val="0"/>
              <w:snapToGrid w:val="0"/>
              <w:spacing w:line="300" w:lineRule="auto"/>
              <w:ind w:left="1"/>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招标文件发售方式：</w:t>
            </w:r>
          </w:p>
          <w:p>
            <w:pPr>
              <w:adjustRightInd w:val="0"/>
              <w:snapToGrid w:val="0"/>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1．投标人应登陆“质检总局集中采购项目管理系统”网址（http://aqsiq.infosyss.com，按照《购买招标文件操作指南》的程序完成注册手续及缴费手续后，将标书款发票或电汇底单图像（须说明购标公司名称、招标编号及包号）通过标书出售系统上传给采购代理机构，最多一个工作日后可自行下载招标文件。</w:t>
            </w:r>
          </w:p>
          <w:p>
            <w:pPr>
              <w:adjustRightInd w:val="0"/>
              <w:snapToGrid w:val="0"/>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2．付款方式：</w:t>
            </w:r>
          </w:p>
          <w:p>
            <w:pPr>
              <w:adjustRightInd w:val="0"/>
              <w:snapToGrid w:val="0"/>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（1）现金、支票：投标人前往通用技术大厦1层标书室（地址：北京市丰台区西三环中路90号）现场交款，领取标书款发票；</w:t>
            </w:r>
          </w:p>
          <w:p>
            <w:pPr>
              <w:adjustRightInd w:val="0"/>
              <w:snapToGrid w:val="0"/>
              <w:rPr>
                <w:rFonts w:hint="eastAsia" w:ascii="仿宋_GB2312" w:hAnsi="仿宋" w:eastAsia="仿宋_GB2312"/>
                <w:color w:val="auto"/>
                <w:sz w:val="24"/>
                <w:highlight w:val="none"/>
              </w:rPr>
            </w:pPr>
            <w:bookmarkStart w:id="15" w:name="OLE_LINK4"/>
            <w:r>
              <w:rPr>
                <w:rFonts w:hint="eastAsia" w:ascii="仿宋_GB2312" w:hAnsi="仿宋" w:eastAsia="仿宋_GB2312"/>
                <w:color w:val="auto"/>
                <w:sz w:val="24"/>
                <w:highlight w:val="none"/>
              </w:rPr>
              <w:t>（2）电汇和网银：投标人通过银行电汇标书款或通过网银汇款。投标人可于开标后前往通用技术大厦1层标书室领取标书款发票。</w:t>
            </w:r>
          </w:p>
          <w:bookmarkEnd w:id="15"/>
          <w:p>
            <w:pPr>
              <w:adjustRightInd w:val="0"/>
              <w:snapToGrid w:val="0"/>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 xml:space="preserve">3.标书室工作时间：上午9:00时至11:00时、下午14:00时至16:00时。  </w:t>
            </w:r>
          </w:p>
          <w:p>
            <w:pPr>
              <w:adjustRightInd w:val="0"/>
              <w:snapToGrid w:val="0"/>
              <w:ind w:firstLine="240" w:firstLineChars="100"/>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联系人：杜庆；电话：010-63348281。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9587" w:type="dxa"/>
            <w:vAlign w:val="center"/>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招标文件售价：每包300元人民币，售后不退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9587" w:type="dxa"/>
            <w:vAlign w:val="center"/>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投标软件使用培训和标前会：采购代理机构将召开投标软件使用培训和标前会，对招标文件进行答疑和对投标软件操作进行培训，澄清投标人提出的问题。请所有潜在投标人务必参加，以便进行培训操作。每个投标人只能委派1名人员参加。投标人可携带已下载安装投标软件和投标数据包的笔记本电脑在会场实际操作。</w:t>
            </w:r>
          </w:p>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召开时间：2018年</w:t>
            </w:r>
            <w:r>
              <w:rPr>
                <w:rFonts w:hint="eastAsia" w:ascii="仿宋_GB2312" w:hAnsi="仿宋" w:eastAsia="仿宋_GB2312"/>
                <w:color w:val="auto"/>
                <w:sz w:val="24"/>
                <w:highlight w:val="none"/>
                <w:lang w:eastAsia="zh-CN"/>
              </w:rPr>
              <w:t>3</w:t>
            </w:r>
            <w:r>
              <w:rPr>
                <w:rFonts w:hint="eastAsia" w:ascii="仿宋_GB2312" w:hAnsi="仿宋" w:eastAsia="仿宋_GB2312"/>
                <w:color w:val="auto"/>
                <w:sz w:val="24"/>
                <w:highlight w:val="none"/>
              </w:rPr>
              <w:t>月</w:t>
            </w:r>
            <w:r>
              <w:rPr>
                <w:rFonts w:hint="eastAsia" w:ascii="仿宋_GB2312" w:hAnsi="仿宋" w:eastAsia="仿宋_GB2312"/>
                <w:color w:val="auto"/>
                <w:sz w:val="24"/>
                <w:highlight w:val="none"/>
                <w:lang w:eastAsia="zh-CN"/>
              </w:rPr>
              <w:t>3</w:t>
            </w:r>
            <w:r>
              <w:rPr>
                <w:rFonts w:hint="eastAsia" w:ascii="仿宋_GB2312" w:hAnsi="仿宋" w:eastAsia="仿宋_GB2312"/>
                <w:color w:val="auto"/>
                <w:sz w:val="24"/>
                <w:highlight w:val="none"/>
                <w:lang w:val="en-US" w:eastAsia="zh-CN"/>
              </w:rPr>
              <w:t>0</w:t>
            </w:r>
            <w:r>
              <w:rPr>
                <w:rFonts w:hint="eastAsia" w:ascii="仿宋_GB2312" w:hAnsi="仿宋" w:eastAsia="仿宋_GB2312"/>
                <w:color w:val="auto"/>
                <w:sz w:val="24"/>
                <w:highlight w:val="none"/>
              </w:rPr>
              <w:t>日下午13:30</w:t>
            </w:r>
          </w:p>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召开地点：</w:t>
            </w:r>
            <w:bookmarkStart w:id="16" w:name="OLE_LINK11"/>
            <w:r>
              <w:rPr>
                <w:rFonts w:hint="eastAsia" w:ascii="仿宋_GB2312" w:hAnsi="仿宋" w:eastAsia="仿宋_GB2312"/>
                <w:color w:val="auto"/>
                <w:sz w:val="24"/>
                <w:highlight w:val="none"/>
              </w:rPr>
              <w:t>通用技术大厦三层第一会议室（地址：北京市丰台区西三环中路90号）</w:t>
            </w:r>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9587" w:type="dxa"/>
            <w:vAlign w:val="center"/>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递交投标文件时间：2018年</w:t>
            </w:r>
            <w:r>
              <w:rPr>
                <w:rFonts w:hint="eastAsia" w:ascii="仿宋_GB2312" w:hAnsi="仿宋" w:eastAsia="仿宋_GB2312"/>
                <w:color w:val="auto"/>
                <w:sz w:val="24"/>
                <w:highlight w:val="none"/>
                <w:lang w:eastAsia="zh-CN"/>
              </w:rPr>
              <w:t>4</w:t>
            </w:r>
            <w:r>
              <w:rPr>
                <w:rFonts w:hint="eastAsia" w:ascii="仿宋_GB2312" w:hAnsi="仿宋" w:eastAsia="仿宋_GB2312"/>
                <w:color w:val="auto"/>
                <w:sz w:val="24"/>
                <w:highlight w:val="none"/>
              </w:rPr>
              <w:t>月</w:t>
            </w:r>
            <w:r>
              <w:rPr>
                <w:rFonts w:hint="eastAsia" w:ascii="仿宋_GB2312" w:hAnsi="仿宋" w:eastAsia="仿宋_GB2312"/>
                <w:color w:val="auto"/>
                <w:sz w:val="24"/>
                <w:highlight w:val="none"/>
                <w:lang w:eastAsia="zh-CN"/>
              </w:rPr>
              <w:t>1</w:t>
            </w:r>
            <w:r>
              <w:rPr>
                <w:rFonts w:hint="eastAsia" w:ascii="仿宋_GB2312" w:hAnsi="仿宋" w:eastAsia="仿宋_GB2312"/>
                <w:color w:val="auto"/>
                <w:sz w:val="24"/>
                <w:highlight w:val="none"/>
                <w:lang w:val="en-US" w:eastAsia="zh-CN"/>
              </w:rPr>
              <w:t>7</w:t>
            </w:r>
            <w:r>
              <w:rPr>
                <w:rFonts w:hint="eastAsia" w:ascii="仿宋_GB2312" w:hAnsi="仿宋" w:eastAsia="仿宋_GB2312"/>
                <w:color w:val="auto"/>
                <w:sz w:val="24"/>
                <w:highlight w:val="none"/>
              </w:rPr>
              <w:t>日中午12:00至下午14:00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9587" w:type="dxa"/>
            <w:vAlign w:val="center"/>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投标截止时间/开标时间：2018年</w:t>
            </w:r>
            <w:r>
              <w:rPr>
                <w:rFonts w:hint="eastAsia" w:ascii="仿宋_GB2312" w:hAnsi="仿宋" w:eastAsia="仿宋_GB2312"/>
                <w:color w:val="auto"/>
                <w:sz w:val="24"/>
                <w:highlight w:val="none"/>
                <w:lang w:eastAsia="zh-CN"/>
              </w:rPr>
              <w:t>4</w:t>
            </w:r>
            <w:r>
              <w:rPr>
                <w:rFonts w:hint="eastAsia" w:ascii="仿宋_GB2312" w:hAnsi="仿宋" w:eastAsia="仿宋_GB2312"/>
                <w:color w:val="auto"/>
                <w:sz w:val="24"/>
                <w:highlight w:val="none"/>
              </w:rPr>
              <w:t>月</w:t>
            </w:r>
            <w:r>
              <w:rPr>
                <w:rFonts w:hint="eastAsia" w:ascii="仿宋_GB2312" w:hAnsi="仿宋" w:eastAsia="仿宋_GB2312"/>
                <w:color w:val="auto"/>
                <w:sz w:val="24"/>
                <w:highlight w:val="none"/>
                <w:lang w:eastAsia="zh-CN"/>
              </w:rPr>
              <w:t>1</w:t>
            </w:r>
            <w:r>
              <w:rPr>
                <w:rFonts w:hint="eastAsia" w:ascii="仿宋_GB2312" w:hAnsi="仿宋" w:eastAsia="仿宋_GB2312"/>
                <w:color w:val="auto"/>
                <w:sz w:val="24"/>
                <w:highlight w:val="none"/>
                <w:lang w:val="en-US" w:eastAsia="zh-CN"/>
              </w:rPr>
              <w:t>7</w:t>
            </w:r>
            <w:r>
              <w:rPr>
                <w:rFonts w:hint="eastAsia" w:ascii="仿宋_GB2312" w:hAnsi="仿宋" w:eastAsia="仿宋_GB2312"/>
                <w:color w:val="auto"/>
                <w:sz w:val="24"/>
                <w:highlight w:val="none"/>
              </w:rPr>
              <w:t>日下午14:00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9587" w:type="dxa"/>
            <w:vAlign w:val="center"/>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递交投标文件地点/开标地点：通用技术大厦三层第一会议室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9587" w:type="dxa"/>
            <w:vAlign w:val="center"/>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评标方法和标准：综合评分法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9587" w:type="dxa"/>
            <w:vAlign w:val="center"/>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招标公告期限：从公告之日起5个工作日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9587" w:type="dxa"/>
            <w:vAlign w:val="center"/>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项目联系人：鲍蒙 张杰浩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587" w:type="dxa"/>
            <w:vAlign w:val="center"/>
          </w:tcPr>
          <w:p>
            <w:pPr>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联系方式：010-63348490 010-63348489 </w:t>
            </w:r>
          </w:p>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电子邮箱：</w:t>
            </w:r>
            <w:r>
              <w:rPr>
                <w:rFonts w:ascii="仿宋_GB2312" w:hAnsi="仿宋" w:eastAsia="仿宋_GB2312"/>
                <w:color w:val="auto"/>
                <w:sz w:val="24"/>
                <w:highlight w:val="none"/>
              </w:rPr>
              <w:t>zhangrui@</w:t>
            </w:r>
            <w:r>
              <w:rPr>
                <w:rFonts w:hint="eastAsia" w:ascii="仿宋_GB2312" w:hAnsi="仿宋" w:eastAsia="仿宋_GB2312"/>
                <w:color w:val="auto"/>
                <w:sz w:val="24"/>
                <w:highlight w:val="none"/>
              </w:rPr>
              <w:t>g</w:t>
            </w:r>
            <w:r>
              <w:rPr>
                <w:rFonts w:ascii="仿宋_GB2312" w:hAnsi="仿宋" w:eastAsia="仿宋_GB2312"/>
                <w:color w:val="auto"/>
                <w:sz w:val="24"/>
                <w:highlight w:val="none"/>
              </w:rPr>
              <w:t>tc.genertec.com.cn</w:t>
            </w:r>
            <w:r>
              <w:rPr>
                <w:rFonts w:hint="eastAsia" w:ascii="仿宋_GB2312" w:hAnsi="仿宋" w:eastAsia="仿宋_GB2312"/>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9587" w:type="dxa"/>
            <w:vAlign w:val="top"/>
          </w:tcPr>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备注：</w:t>
            </w:r>
          </w:p>
          <w:p>
            <w:pPr>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1、采购代理机构开户行: </w:t>
            </w:r>
          </w:p>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账户名称：中国通用咨询投资有限公司</w:t>
            </w:r>
          </w:p>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开户行：中国银行总行营业部</w:t>
            </w:r>
          </w:p>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账号：778350013348</w:t>
            </w:r>
          </w:p>
          <w:p>
            <w:pPr>
              <w:rPr>
                <w:rFonts w:hint="eastAsia" w:ascii="仿宋_GB2312" w:hAnsi="仿宋" w:eastAsia="仿宋_GB2312"/>
                <w:color w:val="auto"/>
                <w:sz w:val="24"/>
                <w:highlight w:val="none"/>
              </w:rPr>
            </w:pPr>
            <w:r>
              <w:rPr>
                <w:rFonts w:hint="eastAsia" w:ascii="仿宋_GB2312" w:hAnsi="仿宋" w:eastAsia="仿宋_GB2312"/>
                <w:color w:val="auto"/>
                <w:sz w:val="24"/>
                <w:highlight w:val="none"/>
              </w:rPr>
              <w:t>2、本项目招标公告、更正公告、中标公告将在《中国政府采购网》（www.ccgp.gov.cn）公布。</w:t>
            </w:r>
          </w:p>
        </w:tc>
      </w:tr>
    </w:tbl>
    <w:p>
      <w:pPr>
        <w:spacing w:line="360" w:lineRule="auto"/>
        <w:rPr>
          <w:rFonts w:hint="eastAsia" w:ascii="仿宋_GB2312" w:hAnsi="仿宋" w:eastAsia="仿宋_GB2312"/>
          <w:color w:val="auto"/>
          <w:sz w:val="24"/>
          <w:highlight w:val="none"/>
        </w:rPr>
      </w:pPr>
      <w:r>
        <w:rPr>
          <w:rFonts w:hint="eastAsia" w:ascii="仿宋_GB2312" w:hAnsi="仿宋" w:eastAsia="仿宋_GB2312"/>
          <w:b/>
          <w:color w:val="auto"/>
          <w:sz w:val="24"/>
          <w:highlight w:val="none"/>
        </w:rPr>
        <w:t xml:space="preserve">  </w:t>
      </w:r>
    </w:p>
    <w:p>
      <w:pPr>
        <w:spacing w:line="360" w:lineRule="auto"/>
        <w:jc w:val="right"/>
        <w:rPr>
          <w:rFonts w:hint="eastAsia" w:ascii="仿宋_GB2312" w:hAnsi="仿宋" w:eastAsia="仿宋_GB2312"/>
          <w:b/>
          <w:color w:val="auto"/>
          <w:szCs w:val="21"/>
          <w:highlight w:val="none"/>
        </w:rPr>
      </w:pPr>
      <w:r>
        <w:rPr>
          <w:rFonts w:hint="eastAsia" w:ascii="仿宋_GB2312" w:hAnsi="仿宋" w:eastAsia="仿宋_GB2312"/>
          <w:b/>
          <w:color w:val="auto"/>
          <w:sz w:val="24"/>
          <w:highlight w:val="none"/>
        </w:rPr>
        <w:t>2018年</w:t>
      </w:r>
      <w:r>
        <w:rPr>
          <w:rFonts w:hint="eastAsia" w:ascii="仿宋_GB2312" w:hAnsi="仿宋" w:eastAsia="仿宋_GB2312"/>
          <w:b/>
          <w:color w:val="auto"/>
          <w:sz w:val="24"/>
          <w:highlight w:val="none"/>
          <w:lang w:eastAsia="zh-CN"/>
        </w:rPr>
        <w:t>3</w:t>
      </w:r>
      <w:r>
        <w:rPr>
          <w:rFonts w:hint="eastAsia" w:ascii="仿宋_GB2312" w:hAnsi="仿宋" w:eastAsia="仿宋_GB2312"/>
          <w:b/>
          <w:color w:val="auto"/>
          <w:sz w:val="24"/>
          <w:highlight w:val="none"/>
        </w:rPr>
        <w:t>月</w:t>
      </w:r>
      <w:r>
        <w:rPr>
          <w:rFonts w:hint="eastAsia" w:ascii="仿宋_GB2312" w:hAnsi="仿宋" w:eastAsia="仿宋_GB2312"/>
          <w:b/>
          <w:color w:val="auto"/>
          <w:sz w:val="24"/>
          <w:highlight w:val="none"/>
          <w:lang w:eastAsia="zh-CN"/>
        </w:rPr>
        <w:t>1</w:t>
      </w:r>
      <w:r>
        <w:rPr>
          <w:rFonts w:hint="eastAsia" w:ascii="仿宋_GB2312" w:hAnsi="仿宋" w:eastAsia="仿宋_GB2312"/>
          <w:b/>
          <w:color w:val="auto"/>
          <w:sz w:val="24"/>
          <w:highlight w:val="none"/>
          <w:lang w:val="en-US" w:eastAsia="zh-CN"/>
        </w:rPr>
        <w:t>6</w:t>
      </w:r>
      <w:r>
        <w:rPr>
          <w:rFonts w:hint="eastAsia" w:ascii="仿宋_GB2312" w:hAnsi="仿宋" w:eastAsia="仿宋_GB2312"/>
          <w:b/>
          <w:color w:val="auto"/>
          <w:sz w:val="24"/>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32FEB"/>
    <w:multiLevelType w:val="multilevel"/>
    <w:tmpl w:val="69232FEB"/>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D659DE"/>
    <w:rsid w:val="02D659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2018-03-16T07:44:00Z</dcterms:created>
  <dc:creator>心心心</dc:creator>
  <cp:lastModifiedBy>心心心</cp:lastModifiedBy>
  <dcterms:modified xsi:type="dcterms:W3CDTF">2018-03-16T07:46:02Z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