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 w:hAnsi="仿宋" w:eastAsia="仿宋" w:cs="仿宋"/>
          <w:bCs w:val="0"/>
          <w:sz w:val="32"/>
          <w:szCs w:val="32"/>
          <w:lang w:eastAsia="zh-CN"/>
        </w:rPr>
      </w:pPr>
      <w:r>
        <w:rPr>
          <w:rFonts w:hint="eastAsia" w:ascii="仿宋" w:hAnsi="仿宋" w:eastAsia="仿宋" w:cs="仿宋"/>
          <w:bCs w:val="0"/>
          <w:sz w:val="32"/>
          <w:szCs w:val="32"/>
          <w:lang w:val="en-US" w:eastAsia="zh-CN"/>
        </w:rPr>
        <w:t>国家质量监督检验检疫总局2017年电感耦合等离子体发射光谱仪和酶标仪（第一批）采购项目（重新招标)</w:t>
      </w:r>
      <w:bookmarkStart w:id="1" w:name="_GoBack"/>
      <w:bookmarkEnd w:id="1"/>
      <w:r>
        <w:rPr>
          <w:rFonts w:hint="eastAsia" w:ascii="仿宋" w:hAnsi="仿宋" w:eastAsia="仿宋" w:cs="仿宋"/>
          <w:bCs w:val="0"/>
          <w:sz w:val="32"/>
          <w:szCs w:val="32"/>
          <w:lang w:val="en-US" w:eastAsia="zh-CN"/>
        </w:rPr>
        <w:t>招标公告</w:t>
      </w:r>
    </w:p>
    <w:p>
      <w:pPr>
        <w:jc w:val="center"/>
        <w:rPr>
          <w:rFonts w:ascii="仿宋" w:hAnsi="仿宋" w:eastAsia="仿宋" w:cs="仿宋"/>
          <w:b/>
          <w:sz w:val="24"/>
        </w:rPr>
      </w:pPr>
    </w:p>
    <w:p>
      <w:pPr>
        <w:ind w:left="1921" w:leftChars="-114" w:hanging="2160" w:hangingChars="900"/>
        <w:rPr>
          <w:rFonts w:ascii="仿宋" w:hAnsi="仿宋" w:eastAsia="仿宋" w:cs="仿宋"/>
          <w:sz w:val="24"/>
        </w:rPr>
      </w:pPr>
      <w:r>
        <w:rPr>
          <w:rFonts w:hint="eastAsia" w:ascii="仿宋" w:hAnsi="仿宋" w:eastAsia="仿宋" w:cs="仿宋"/>
          <w:sz w:val="24"/>
        </w:rPr>
        <w:t xml:space="preserve">政府采购项目名称：国家质量监督检验检疫总局2017年电感耦合等离子体发射光谱仪和酶标仪（第一批）采购项目（重新招标) </w:t>
      </w:r>
    </w:p>
    <w:p>
      <w:pPr>
        <w:ind w:left="1921" w:leftChars="-114" w:hanging="2160" w:hangingChars="900"/>
        <w:rPr>
          <w:rFonts w:ascii="仿宋" w:hAnsi="仿宋" w:eastAsia="仿宋" w:cs="仿宋"/>
          <w:sz w:val="24"/>
        </w:rPr>
      </w:pPr>
      <w:r>
        <w:rPr>
          <w:rFonts w:hint="eastAsia" w:ascii="仿宋" w:hAnsi="仿宋" w:eastAsia="仿宋" w:cs="仿宋"/>
          <w:sz w:val="24"/>
        </w:rPr>
        <w:t>招标编号：0702-1741CITC5Z25</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采购人：国家质量监督检验检疫总局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采购人地址：北京市海淀区马甸东路</w:t>
            </w:r>
            <w:r>
              <w:rPr>
                <w:rFonts w:ascii="仿宋" w:hAnsi="仿宋" w:eastAsia="仿宋" w:cs="仿宋"/>
                <w:sz w:val="24"/>
              </w:rPr>
              <w:t>9</w:t>
            </w:r>
            <w:r>
              <w:rPr>
                <w:rFonts w:hint="eastAsia" w:ascii="仿宋" w:hAnsi="仿宋" w:eastAsia="仿宋" w:cs="仿宋"/>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采购人联系方式：</w:t>
            </w:r>
            <w:r>
              <w:rPr>
                <w:rFonts w:ascii="仿宋" w:hAnsi="仿宋" w:eastAsia="仿宋" w:cs="仿宋"/>
                <w:sz w:val="24"/>
              </w:rPr>
              <w:t>010-8226</w:t>
            </w:r>
            <w:r>
              <w:rPr>
                <w:rFonts w:hint="eastAsia" w:ascii="仿宋" w:hAnsi="仿宋" w:eastAsia="仿宋" w:cs="仿宋"/>
                <w:sz w:val="24"/>
              </w:rPr>
              <w:t>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采购代理机构：中国通用咨询投资有限公司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采购代理机构地址：</w:t>
            </w:r>
            <w:bookmarkStart w:id="0" w:name="OLE_LINK1"/>
            <w:r>
              <w:rPr>
                <w:rFonts w:hint="eastAsia" w:ascii="仿宋" w:hAnsi="仿宋" w:eastAsia="仿宋" w:cs="仿宋"/>
                <w:sz w:val="24"/>
              </w:rPr>
              <w:t>北京市丰台区西三环中路90号通用技术大厦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采购代理机构联系方式：010-63348489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587" w:type="dxa"/>
          </w:tcPr>
          <w:p>
            <w:pPr>
              <w:rPr>
                <w:rFonts w:ascii="仿宋" w:hAnsi="仿宋" w:eastAsia="仿宋" w:cs="仿宋"/>
                <w:sz w:val="24"/>
              </w:rPr>
            </w:pPr>
            <w:r>
              <w:rPr>
                <w:rFonts w:hint="eastAsia" w:ascii="仿宋" w:hAnsi="仿宋" w:eastAsia="仿宋" w:cs="仿宋"/>
                <w:sz w:val="24"/>
              </w:rPr>
              <w:t>采购内容：</w:t>
            </w:r>
          </w:p>
          <w:tbl>
            <w:tblPr>
              <w:tblStyle w:val="4"/>
              <w:tblW w:w="9197" w:type="dxa"/>
              <w:jc w:val="center"/>
              <w:tblInd w:w="0" w:type="dxa"/>
              <w:tblLayout w:type="fixed"/>
              <w:tblCellMar>
                <w:top w:w="0" w:type="dxa"/>
                <w:left w:w="108" w:type="dxa"/>
                <w:bottom w:w="0" w:type="dxa"/>
                <w:right w:w="108" w:type="dxa"/>
              </w:tblCellMar>
            </w:tblPr>
            <w:tblGrid>
              <w:gridCol w:w="675"/>
              <w:gridCol w:w="1276"/>
              <w:gridCol w:w="708"/>
              <w:gridCol w:w="1542"/>
              <w:gridCol w:w="2422"/>
              <w:gridCol w:w="1418"/>
              <w:gridCol w:w="1156"/>
            </w:tblGrid>
            <w:tr>
              <w:tblPrEx>
                <w:tblLayout w:type="fixed"/>
                <w:tblCellMar>
                  <w:top w:w="0" w:type="dxa"/>
                  <w:left w:w="108" w:type="dxa"/>
                  <w:bottom w:w="0" w:type="dxa"/>
                  <w:right w:w="108" w:type="dxa"/>
                </w:tblCellMar>
              </w:tblPrEx>
              <w:trPr>
                <w:trHeight w:val="388"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包号</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货物名称</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数量</w:t>
                  </w:r>
                </w:p>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ascii="仿宋" w:hAnsi="仿宋" w:eastAsia="仿宋" w:cs="仿宋_GB2312"/>
                    </w:rPr>
                    <w:t>(台)</w:t>
                  </w:r>
                </w:p>
              </w:tc>
              <w:tc>
                <w:tcPr>
                  <w:tcW w:w="154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简要技术要求</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用户单位</w:t>
                  </w:r>
                </w:p>
              </w:tc>
              <w:tc>
                <w:tcPr>
                  <w:tcW w:w="141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交货时间</w:t>
                  </w:r>
                </w:p>
              </w:tc>
              <w:tc>
                <w:tcPr>
                  <w:tcW w:w="1156" w:type="dxa"/>
                  <w:tcBorders>
                    <w:top w:val="single" w:color="auto" w:sz="4" w:space="0"/>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预算</w:t>
                  </w:r>
                </w:p>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（万元）</w:t>
                  </w:r>
                </w:p>
              </w:tc>
            </w:tr>
            <w:tr>
              <w:tblPrEx>
                <w:tblLayout w:type="fixed"/>
                <w:tblCellMar>
                  <w:top w:w="0" w:type="dxa"/>
                  <w:left w:w="108" w:type="dxa"/>
                  <w:bottom w:w="0" w:type="dxa"/>
                  <w:right w:w="108" w:type="dxa"/>
                </w:tblCellMar>
              </w:tblPrEx>
              <w:trPr>
                <w:trHeight w:val="388" w:hRule="atLeast"/>
                <w:jc w:val="center"/>
              </w:trPr>
              <w:tc>
                <w:tcPr>
                  <w:tcW w:w="675" w:type="dxa"/>
                  <w:vMerge w:val="restart"/>
                  <w:tcBorders>
                    <w:top w:val="single" w:color="auto" w:sz="4" w:space="0"/>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276"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高分辨ICP发射光谱仪</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restart"/>
                  <w:tcBorders>
                    <w:top w:val="single" w:color="auto" w:sz="4" w:space="0"/>
                    <w:left w:val="nil"/>
                    <w:right w:val="single" w:color="auto" w:sz="4" w:space="0"/>
                  </w:tcBorders>
                  <w:shd w:val="clear" w:color="auto" w:fill="auto"/>
                  <w:vAlign w:val="center"/>
                </w:tcPr>
                <w:p>
                  <w:pPr>
                    <w:pStyle w:val="6"/>
                    <w:spacing w:line="400" w:lineRule="exact"/>
                    <w:jc w:val="left"/>
                    <w:rPr>
                      <w:rFonts w:ascii="仿宋" w:hAnsi="仿宋" w:eastAsia="仿宋" w:cs="仿宋"/>
                      <w:color w:val="000000"/>
                      <w:kern w:val="0"/>
                      <w:sz w:val="21"/>
                      <w:szCs w:val="21"/>
                    </w:rPr>
                  </w:pPr>
                  <w:r>
                    <w:rPr>
                      <w:rFonts w:hint="eastAsia" w:ascii="仿宋" w:hAnsi="仿宋" w:eastAsia="仿宋" w:cs="仿宋"/>
                      <w:color w:val="000000"/>
                      <w:kern w:val="0"/>
                      <w:sz w:val="21"/>
                      <w:szCs w:val="21"/>
                    </w:rPr>
                    <w:t>*3.1 各元素可单独设置分析参数; 波长范围：160-800nm 或更宽;光学分辨力：≤0.005nm（Mn257.610nm，以半峰宽表示）</w:t>
                  </w:r>
                </w:p>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天津出入境检验检疫局</w:t>
                  </w:r>
                </w:p>
              </w:tc>
              <w:tc>
                <w:tcPr>
                  <w:tcW w:w="1418"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合同签订后3个月内</w:t>
                  </w:r>
                </w:p>
              </w:tc>
              <w:tc>
                <w:tcPr>
                  <w:tcW w:w="1156" w:type="dxa"/>
                  <w:vMerge w:val="restart"/>
                  <w:tcBorders>
                    <w:top w:val="single" w:color="auto" w:sz="4" w:space="0"/>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593</w:t>
                  </w: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汕头出入境检验检疫局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山东出入境检验检疫局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山东出入境检验检疫局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珲春出入境检验检疫局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6"/>
                    <w:tabs>
                      <w:tab w:val="left" w:pos="-360"/>
                    </w:tabs>
                    <w:spacing w:before="156" w:beforeLines="50" w:line="400" w:lineRule="exact"/>
                    <w:jc w:val="left"/>
                    <w:rPr>
                      <w:rFonts w:ascii="仿宋" w:hAnsi="仿宋" w:eastAsia="仿宋" w:cs="仿宋_GB2312"/>
                      <w:szCs w:val="21"/>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腾冲出入境检验检疫局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w:t>
                  </w:r>
                </w:p>
              </w:tc>
              <w:tc>
                <w:tcPr>
                  <w:tcW w:w="1542" w:type="dxa"/>
                  <w:vMerge w:val="continue"/>
                  <w:tcBorders>
                    <w:left w:val="nil"/>
                    <w:right w:val="single" w:color="auto" w:sz="4" w:space="0"/>
                  </w:tcBorders>
                  <w:shd w:val="clear" w:color="auto" w:fill="auto"/>
                  <w:vAlign w:val="center"/>
                </w:tcPr>
                <w:p>
                  <w:pPr>
                    <w:pStyle w:val="6"/>
                    <w:tabs>
                      <w:tab w:val="left" w:pos="-360"/>
                    </w:tabs>
                    <w:spacing w:before="156" w:beforeLines="50" w:line="400" w:lineRule="exact"/>
                    <w:jc w:val="left"/>
                    <w:rPr>
                      <w:rFonts w:ascii="仿宋" w:hAnsi="仿宋" w:eastAsia="仿宋" w:cs="仿宋_GB2312"/>
                      <w:szCs w:val="21"/>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江西出入境检验检疫局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bottom w:val="single" w:color="auto" w:sz="4" w:space="0"/>
                    <w:right w:val="single" w:color="auto" w:sz="4" w:space="0"/>
                  </w:tcBorders>
                  <w:shd w:val="clear" w:color="auto" w:fill="auto"/>
                  <w:vAlign w:val="center"/>
                </w:tcPr>
                <w:p>
                  <w:pPr>
                    <w:spacing w:before="156" w:beforeLines="50"/>
                    <w:jc w:val="center"/>
                    <w:rPr>
                      <w:szCs w:val="21"/>
                    </w:rPr>
                  </w:pPr>
                </w:p>
              </w:tc>
              <w:tc>
                <w:tcPr>
                  <w:tcW w:w="1276" w:type="dxa"/>
                  <w:vMerge w:val="continue"/>
                  <w:tcBorders>
                    <w:left w:val="nil"/>
                    <w:bottom w:val="single" w:color="auto" w:sz="4" w:space="0"/>
                    <w:right w:val="single" w:color="auto" w:sz="4" w:space="0"/>
                  </w:tcBorders>
                  <w:shd w:val="clear" w:color="auto" w:fill="auto"/>
                  <w:vAlign w:val="center"/>
                </w:tcPr>
                <w:p>
                  <w:pPr>
                    <w:spacing w:before="156" w:beforeLines="50"/>
                    <w:rPr>
                      <w:szCs w:val="21"/>
                    </w:rPr>
                  </w:pPr>
                </w:p>
              </w:tc>
              <w:tc>
                <w:tcPr>
                  <w:tcW w:w="708" w:type="dxa"/>
                  <w:tcBorders>
                    <w:top w:val="single" w:color="auto" w:sz="4" w:space="0"/>
                    <w:left w:val="nil"/>
                    <w:bottom w:val="single" w:color="auto" w:sz="4" w:space="0"/>
                    <w:right w:val="single" w:color="auto" w:sz="4" w:space="0"/>
                  </w:tcBorders>
                  <w:shd w:val="clear" w:color="auto" w:fill="auto"/>
                  <w:vAlign w:val="center"/>
                </w:tcPr>
                <w:p>
                  <w:pPr>
                    <w:spacing w:before="156" w:beforeLines="50"/>
                    <w:jc w:val="center"/>
                    <w:rPr>
                      <w:rFonts w:ascii="仿宋" w:hAnsi="仿宋" w:eastAsia="仿宋" w:cs="仿宋_GB2312"/>
                      <w:szCs w:val="21"/>
                    </w:rPr>
                  </w:pPr>
                  <w:r>
                    <w:rPr>
                      <w:rFonts w:hint="eastAsia" w:ascii="仿宋" w:hAnsi="仿宋" w:eastAsia="仿宋" w:cs="仿宋_GB2312"/>
                      <w:szCs w:val="21"/>
                    </w:rPr>
                    <w:t>1</w:t>
                  </w:r>
                </w:p>
              </w:tc>
              <w:tc>
                <w:tcPr>
                  <w:tcW w:w="1542" w:type="dxa"/>
                  <w:vMerge w:val="continue"/>
                  <w:tcBorders>
                    <w:left w:val="nil"/>
                    <w:bottom w:val="single" w:color="auto" w:sz="4" w:space="0"/>
                    <w:right w:val="single" w:color="auto" w:sz="4" w:space="0"/>
                  </w:tcBorders>
                  <w:shd w:val="clear" w:color="auto" w:fill="auto"/>
                  <w:vAlign w:val="center"/>
                </w:tcPr>
                <w:p>
                  <w:pPr>
                    <w:pStyle w:val="6"/>
                    <w:tabs>
                      <w:tab w:val="left" w:pos="-360"/>
                    </w:tabs>
                    <w:spacing w:before="156" w:beforeLines="50" w:line="400" w:lineRule="exact"/>
                    <w:jc w:val="left"/>
                    <w:rPr>
                      <w:szCs w:val="21"/>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
                      <w:szCs w:val="21"/>
                    </w:rPr>
                  </w:pPr>
                  <w:r>
                    <w:rPr>
                      <w:rFonts w:hint="eastAsia" w:ascii="仿宋" w:hAnsi="仿宋" w:eastAsia="仿宋" w:cs="仿宋"/>
                      <w:color w:val="000000"/>
                      <w:kern w:val="0"/>
                      <w:szCs w:val="21"/>
                    </w:rPr>
                    <w:t>泉州出入境检验检疫局</w:t>
                  </w:r>
                </w:p>
              </w:tc>
              <w:tc>
                <w:tcPr>
                  <w:tcW w:w="1418" w:type="dxa"/>
                  <w:vMerge w:val="continue"/>
                  <w:tcBorders>
                    <w:left w:val="nil"/>
                    <w:bottom w:val="single" w:color="auto" w:sz="4" w:space="0"/>
                    <w:right w:val="single" w:color="auto" w:sz="4" w:space="0"/>
                  </w:tcBorders>
                  <w:shd w:val="clear" w:color="auto" w:fill="auto"/>
                  <w:vAlign w:val="center"/>
                </w:tcPr>
                <w:p>
                  <w:pPr>
                    <w:spacing w:before="156" w:beforeLines="50"/>
                    <w:rPr>
                      <w:rFonts w:ascii="仿宋" w:hAnsi="仿宋" w:eastAsia="仿宋" w:cs="仿宋_GB2312"/>
                      <w:szCs w:val="21"/>
                    </w:rPr>
                  </w:pPr>
                </w:p>
              </w:tc>
              <w:tc>
                <w:tcPr>
                  <w:tcW w:w="1156" w:type="dxa"/>
                  <w:vMerge w:val="continue"/>
                  <w:tcBorders>
                    <w:left w:val="nil"/>
                    <w:bottom w:val="single" w:color="auto" w:sz="4" w:space="0"/>
                    <w:right w:val="single" w:color="auto" w:sz="4" w:space="0"/>
                  </w:tcBorders>
                  <w:shd w:val="clear" w:color="000000" w:fill="FFFFFF"/>
                  <w:vAlign w:val="center"/>
                </w:tcPr>
                <w:p>
                  <w:pPr>
                    <w:spacing w:before="156" w:beforeLines="50"/>
                    <w:jc w:val="center"/>
                    <w:rPr>
                      <w:rFonts w:ascii="仿宋" w:hAnsi="仿宋" w:eastAsia="仿宋" w:cs="仿宋_GB2312"/>
                      <w:szCs w:val="21"/>
                    </w:rPr>
                  </w:pPr>
                </w:p>
              </w:tc>
            </w:tr>
            <w:tr>
              <w:tblPrEx>
                <w:tblLayout w:type="fixed"/>
                <w:tblCellMar>
                  <w:top w:w="0" w:type="dxa"/>
                  <w:left w:w="108" w:type="dxa"/>
                  <w:bottom w:w="0" w:type="dxa"/>
                  <w:right w:w="108" w:type="dxa"/>
                </w:tblCellMar>
              </w:tblPrEx>
              <w:trPr>
                <w:trHeight w:val="388" w:hRule="atLeast"/>
                <w:jc w:val="center"/>
              </w:trPr>
              <w:tc>
                <w:tcPr>
                  <w:tcW w:w="675" w:type="dxa"/>
                  <w:vMerge w:val="restart"/>
                  <w:tcBorders>
                    <w:top w:val="single" w:color="auto" w:sz="4" w:space="0"/>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4</w:t>
                  </w:r>
                </w:p>
              </w:tc>
              <w:tc>
                <w:tcPr>
                  <w:tcW w:w="1276"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 xml:space="preserve"> 低通量全自动酶免仪</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color w:val="000000"/>
                      <w:kern w:val="0"/>
                    </w:rPr>
                  </w:pPr>
                  <w:r>
                    <w:rPr>
                      <w:rFonts w:hint="eastAsia" w:ascii="仿宋" w:hAnsi="仿宋" w:eastAsia="仿宋" w:cs="仿宋"/>
                      <w:color w:val="000000"/>
                      <w:kern w:val="0"/>
                    </w:rPr>
                    <w:t>*1.2完全开放酶免试剂系统，可同时运行至少10个检测项目；</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湛江出入境检验检疫局      检验检疫技术中心</w:t>
                  </w:r>
                </w:p>
              </w:tc>
              <w:tc>
                <w:tcPr>
                  <w:tcW w:w="1418"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合同签订后3个月内</w:t>
                  </w:r>
                </w:p>
              </w:tc>
              <w:tc>
                <w:tcPr>
                  <w:tcW w:w="1156" w:type="dxa"/>
                  <w:vMerge w:val="restart"/>
                  <w:tcBorders>
                    <w:top w:val="single" w:color="auto" w:sz="4" w:space="0"/>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80.5</w:t>
                  </w: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color w:val="000000"/>
                      <w:kern w:val="0"/>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黑龙江出入境检验检疫局</w:t>
                  </w:r>
                </w:p>
              </w:tc>
              <w:tc>
                <w:tcPr>
                  <w:tcW w:w="1418"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restart"/>
                  <w:tcBorders>
                    <w:top w:val="single" w:color="auto" w:sz="4" w:space="0"/>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5</w:t>
                  </w:r>
                </w:p>
              </w:tc>
              <w:tc>
                <w:tcPr>
                  <w:tcW w:w="1276"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 xml:space="preserve"> 高通量全自动酶免仪</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color w:val="000000"/>
                      <w:kern w:val="0"/>
                    </w:rPr>
                  </w:pPr>
                  <w:r>
                    <w:rPr>
                      <w:rFonts w:hint="eastAsia" w:ascii="仿宋" w:hAnsi="仿宋" w:eastAsia="仿宋" w:cs="仿宋"/>
                      <w:color w:val="000000"/>
                      <w:kern w:val="0"/>
                    </w:rPr>
                    <w:t>*1.3整机可升级以满足未来工作量增长需求。</w:t>
                  </w:r>
                </w:p>
              </w:tc>
              <w:tc>
                <w:tcPr>
                  <w:tcW w:w="2422" w:type="dxa"/>
                  <w:tcBorders>
                    <w:top w:val="single" w:color="auto" w:sz="4" w:space="0"/>
                    <w:left w:val="nil"/>
                    <w:bottom w:val="single" w:color="auto" w:sz="4" w:space="0"/>
                    <w:right w:val="single" w:color="auto" w:sz="4" w:space="0"/>
                  </w:tcBorders>
                  <w:shd w:val="clear" w:color="auto" w:fill="auto"/>
                  <w:vAlign w:val="center"/>
                </w:tcPr>
                <w:p>
                  <w:pPr>
                    <w:jc w:val="center"/>
                    <w:textAlignment w:val="center"/>
                    <w:rPr>
                      <w:rFonts w:ascii="仿宋" w:hAnsi="仿宋" w:eastAsia="仿宋" w:cs="仿宋_GB2312"/>
                      <w:szCs w:val="21"/>
                    </w:rPr>
                  </w:pPr>
                  <w:r>
                    <w:rPr>
                      <w:rFonts w:hint="eastAsia" w:ascii="仿宋" w:hAnsi="仿宋" w:eastAsia="仿宋" w:cs="仿宋_GB2312"/>
                      <w:szCs w:val="21"/>
                    </w:rPr>
                    <w:t>北京国际旅行卫生保健中心</w:t>
                  </w:r>
                </w:p>
              </w:tc>
              <w:tc>
                <w:tcPr>
                  <w:tcW w:w="1418"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合同签订后3个月内</w:t>
                  </w:r>
                </w:p>
              </w:tc>
              <w:tc>
                <w:tcPr>
                  <w:tcW w:w="1156" w:type="dxa"/>
                  <w:vMerge w:val="restart"/>
                  <w:tcBorders>
                    <w:top w:val="single" w:color="auto" w:sz="4" w:space="0"/>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398</w:t>
                  </w: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山东出入境检验检疫局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重庆出入境检验检疫局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6</w:t>
                  </w:r>
                </w:p>
              </w:tc>
              <w:tc>
                <w:tcPr>
                  <w:tcW w:w="1276"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 xml:space="preserve"> 全自动酶免前处理</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color w:val="000000"/>
                      <w:kern w:val="0"/>
                    </w:rPr>
                  </w:pPr>
                  <w:r>
                    <w:rPr>
                      <w:rFonts w:hint="eastAsia" w:ascii="仿宋" w:hAnsi="仿宋" w:eastAsia="仿宋" w:cs="仿宋"/>
                      <w:color w:val="000000"/>
                      <w:kern w:val="0"/>
                    </w:rPr>
                    <w:t>*1.1全自动完成酶免试验的前加样试验步骤，适用于所有ELISA方法的酶标免疫试验（人体健康体检筛查、动植物检验检疫及食品检疫等）；</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山东出入境检验检疫局</w:t>
                  </w:r>
                </w:p>
              </w:tc>
              <w:tc>
                <w:tcPr>
                  <w:tcW w:w="1418"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tcBorders>
                    <w:top w:val="single" w:color="auto" w:sz="4" w:space="0"/>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75</w:t>
                  </w:r>
                </w:p>
              </w:tc>
            </w:tr>
            <w:tr>
              <w:tblPrEx>
                <w:tblLayout w:type="fixed"/>
                <w:tblCellMar>
                  <w:top w:w="0" w:type="dxa"/>
                  <w:left w:w="108" w:type="dxa"/>
                  <w:bottom w:w="0" w:type="dxa"/>
                  <w:right w:w="108" w:type="dxa"/>
                </w:tblCellMar>
              </w:tblPrEx>
              <w:trPr>
                <w:trHeight w:val="2154" w:hRule="atLeast"/>
                <w:jc w:val="center"/>
              </w:trPr>
              <w:tc>
                <w:tcPr>
                  <w:tcW w:w="675" w:type="dxa"/>
                  <w:vMerge w:val="restart"/>
                  <w:tcBorders>
                    <w:top w:val="single" w:color="auto" w:sz="4" w:space="0"/>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7</w:t>
                  </w:r>
                </w:p>
              </w:tc>
              <w:tc>
                <w:tcPr>
                  <w:tcW w:w="1276"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 xml:space="preserve"> 全自动酶免后处理</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color w:val="000000"/>
                      <w:kern w:val="0"/>
                    </w:rPr>
                  </w:pPr>
                  <w:r>
                    <w:rPr>
                      <w:rFonts w:hint="eastAsia" w:ascii="仿宋" w:hAnsi="仿宋" w:eastAsia="仿宋" w:cs="仿宋"/>
                      <w:color w:val="000000"/>
                      <w:kern w:val="0"/>
                    </w:rPr>
                    <w:t>*1.11可完成酶联免疫实验中样本处理之后的所有工作，包括孵育、洗板、试剂分配、读数等。（人体健康体检筛查、动植物检验检疫及食品检疫等）；</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山东出入境检验检疫局</w:t>
                  </w:r>
                </w:p>
              </w:tc>
              <w:tc>
                <w:tcPr>
                  <w:tcW w:w="1418"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合同签订后3个月内</w:t>
                  </w:r>
                </w:p>
              </w:tc>
              <w:tc>
                <w:tcPr>
                  <w:tcW w:w="1156" w:type="dxa"/>
                  <w:vMerge w:val="restart"/>
                  <w:tcBorders>
                    <w:top w:val="single" w:color="auto" w:sz="4" w:space="0"/>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218</w:t>
                  </w: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甘肃出入境检验检疫局</w:t>
                  </w:r>
                </w:p>
              </w:tc>
              <w:tc>
                <w:tcPr>
                  <w:tcW w:w="1418"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restart"/>
                  <w:tcBorders>
                    <w:top w:val="single" w:color="auto" w:sz="4" w:space="0"/>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8</w:t>
                  </w:r>
                </w:p>
              </w:tc>
              <w:tc>
                <w:tcPr>
                  <w:tcW w:w="1276"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r>
                    <w:rPr>
                      <w:rFonts w:hint="eastAsia" w:ascii="仿宋" w:hAnsi="仿宋" w:eastAsia="仿宋"/>
                    </w:rPr>
                    <w:t xml:space="preserve"> 全自动酶免仪</w:t>
                  </w: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left"/>
                    <w:textAlignment w:val="bottom"/>
                    <w:rPr>
                      <w:rFonts w:ascii="仿宋" w:hAnsi="仿宋" w:eastAsia="仿宋" w:cs="仿宋_GB2312"/>
                    </w:rPr>
                  </w:pPr>
                  <w:r>
                    <w:rPr>
                      <w:rFonts w:hint="eastAsia" w:ascii="仿宋" w:hAnsi="仿宋" w:eastAsia="仿宋" w:cs="仿宋_GB2312"/>
                    </w:rPr>
                    <w:t>*2.1.1加样通道数量≥1个;*2.1.4同时加样板位≥2个</w:t>
                  </w: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河源出入境检验检疫局</w:t>
                  </w:r>
                </w:p>
              </w:tc>
              <w:tc>
                <w:tcPr>
                  <w:tcW w:w="1418" w:type="dxa"/>
                  <w:vMerge w:val="restart"/>
                  <w:tcBorders>
                    <w:top w:val="single" w:color="auto" w:sz="4" w:space="0"/>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合同签订后3个月内</w:t>
                  </w:r>
                </w:p>
              </w:tc>
              <w:tc>
                <w:tcPr>
                  <w:tcW w:w="1156" w:type="dxa"/>
                  <w:vMerge w:val="restart"/>
                  <w:tcBorders>
                    <w:top w:val="single" w:color="auto" w:sz="4" w:space="0"/>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r>
                    <w:rPr>
                      <w:rFonts w:hint="eastAsia" w:ascii="仿宋" w:hAnsi="仿宋" w:eastAsia="仿宋" w:cs="仿宋_GB2312"/>
                    </w:rPr>
                    <w:t>193.7</w:t>
                  </w: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酒泉出入境检验检疫局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2</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伊犁</w:t>
                  </w:r>
                  <w:r>
                    <w:rPr>
                      <w:rFonts w:hint="eastAsia" w:ascii="仿宋" w:hAnsi="仿宋" w:eastAsia="仿宋" w:cs="仿宋"/>
                      <w:color w:val="000000"/>
                      <w:kern w:val="0"/>
                    </w:rPr>
                    <w:t>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西藏</w:t>
                  </w:r>
                  <w:r>
                    <w:rPr>
                      <w:rFonts w:hint="eastAsia" w:ascii="仿宋" w:hAnsi="仿宋" w:eastAsia="仿宋" w:cs="仿宋"/>
                      <w:color w:val="000000"/>
                      <w:kern w:val="0"/>
                    </w:rPr>
                    <w:t>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ascii="仿宋" w:hAnsi="仿宋" w:eastAsia="仿宋" w:cs="仿宋_GB2312"/>
                    </w:rPr>
                    <w:t>版纳</w:t>
                  </w:r>
                  <w:r>
                    <w:rPr>
                      <w:rFonts w:hint="eastAsia" w:ascii="仿宋" w:hAnsi="仿宋" w:eastAsia="仿宋" w:cs="仿宋"/>
                      <w:color w:val="000000"/>
                      <w:kern w:val="0"/>
                    </w:rPr>
                    <w:t>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ascii="仿宋" w:hAnsi="仿宋" w:eastAsia="仿宋" w:cs="仿宋_GB2312"/>
                    </w:rPr>
                    <w:t>勐腊</w:t>
                  </w:r>
                  <w:r>
                    <w:rPr>
                      <w:rFonts w:hint="eastAsia" w:ascii="仿宋" w:hAnsi="仿宋" w:eastAsia="仿宋" w:cs="仿宋"/>
                      <w:color w:val="000000"/>
                      <w:kern w:val="0"/>
                    </w:rPr>
                    <w:t>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2422" w:type="dxa"/>
                  <w:tcBorders>
                    <w:top w:val="single" w:color="auto" w:sz="4" w:space="0"/>
                    <w:left w:val="nil"/>
                    <w:bottom w:val="single" w:color="auto" w:sz="4" w:space="0"/>
                    <w:right w:val="single" w:color="auto" w:sz="4" w:space="0"/>
                  </w:tcBorders>
                  <w:shd w:val="clear" w:color="auto" w:fill="FFFFFF"/>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满洲里出入境检验检疫局</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内蒙古国际旅行卫生保健中心</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388" w:hRule="atLeast"/>
                <w:jc w:val="center"/>
              </w:trPr>
              <w:tc>
                <w:tcPr>
                  <w:tcW w:w="675" w:type="dxa"/>
                  <w:vMerge w:val="continue"/>
                  <w:tcBorders>
                    <w:left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珠海出入境检验检疫局技术中心</w:t>
                  </w:r>
                </w:p>
              </w:tc>
              <w:tc>
                <w:tcPr>
                  <w:tcW w:w="1418" w:type="dxa"/>
                  <w:vMerge w:val="continue"/>
                  <w:tcBorders>
                    <w:left w:val="nil"/>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r>
              <w:tblPrEx>
                <w:tblLayout w:type="fixed"/>
                <w:tblCellMar>
                  <w:top w:w="0" w:type="dxa"/>
                  <w:left w:w="108" w:type="dxa"/>
                  <w:bottom w:w="0" w:type="dxa"/>
                  <w:right w:w="108" w:type="dxa"/>
                </w:tblCellMar>
              </w:tblPrEx>
              <w:trPr>
                <w:trHeight w:val="90" w:hRule="atLeast"/>
                <w:jc w:val="center"/>
              </w:trPr>
              <w:tc>
                <w:tcPr>
                  <w:tcW w:w="675" w:type="dxa"/>
                  <w:vMerge w:val="continue"/>
                  <w:tcBorders>
                    <w:left w:val="single" w:color="auto" w:sz="4" w:space="0"/>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1276"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rPr>
                  </w:pPr>
                </w:p>
              </w:tc>
              <w:tc>
                <w:tcPr>
                  <w:tcW w:w="708"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center"/>
                    <w:textAlignment w:val="bottom"/>
                    <w:rPr>
                      <w:rFonts w:ascii="仿宋" w:hAnsi="仿宋" w:eastAsia="仿宋" w:cs="仿宋"/>
                      <w:bCs/>
                    </w:rPr>
                  </w:pPr>
                  <w:r>
                    <w:rPr>
                      <w:rFonts w:hint="eastAsia" w:ascii="仿宋" w:hAnsi="仿宋" w:eastAsia="仿宋" w:cs="仿宋"/>
                      <w:bCs/>
                    </w:rPr>
                    <w:t>1</w:t>
                  </w:r>
                </w:p>
              </w:tc>
              <w:tc>
                <w:tcPr>
                  <w:tcW w:w="1542"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left="15" w:hanging="15" w:hangingChars="7"/>
                    <w:jc w:val="left"/>
                    <w:textAlignment w:val="bottom"/>
                    <w:rPr>
                      <w:rFonts w:ascii="仿宋" w:hAnsi="仿宋" w:eastAsia="仿宋" w:cs="仿宋"/>
                      <w:bCs/>
                    </w:rPr>
                  </w:pPr>
                </w:p>
              </w:tc>
              <w:tc>
                <w:tcPr>
                  <w:tcW w:w="2422" w:type="dxa"/>
                  <w:tcBorders>
                    <w:top w:val="single" w:color="auto" w:sz="4" w:space="0"/>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r>
                    <w:rPr>
                      <w:rFonts w:hint="eastAsia" w:ascii="仿宋" w:hAnsi="仿宋" w:eastAsia="仿宋" w:cs="仿宋_GB2312"/>
                    </w:rPr>
                    <w:t>厦门出入境检验检疫局</w:t>
                  </w:r>
                </w:p>
              </w:tc>
              <w:tc>
                <w:tcPr>
                  <w:tcW w:w="1418" w:type="dxa"/>
                  <w:vMerge w:val="continue"/>
                  <w:tcBorders>
                    <w:left w:val="nil"/>
                    <w:bottom w:val="single" w:color="auto" w:sz="4" w:space="0"/>
                    <w:right w:val="single" w:color="auto" w:sz="4" w:space="0"/>
                  </w:tcBorders>
                  <w:shd w:val="clear" w:color="auto" w:fill="auto"/>
                  <w:vAlign w:val="center"/>
                </w:tcPr>
                <w:p>
                  <w:pPr>
                    <w:pStyle w:val="5"/>
                    <w:tabs>
                      <w:tab w:val="left" w:pos="-360"/>
                    </w:tabs>
                    <w:autoSpaceDE w:val="0"/>
                    <w:autoSpaceDN w:val="0"/>
                    <w:snapToGrid w:val="0"/>
                    <w:spacing w:before="156" w:beforeLines="50" w:line="360" w:lineRule="exact"/>
                    <w:ind w:firstLine="0" w:firstLineChars="0"/>
                    <w:jc w:val="center"/>
                    <w:textAlignment w:val="bottom"/>
                    <w:rPr>
                      <w:rFonts w:ascii="仿宋" w:hAnsi="仿宋" w:eastAsia="仿宋" w:cs="仿宋_GB2312"/>
                    </w:rPr>
                  </w:pPr>
                </w:p>
              </w:tc>
              <w:tc>
                <w:tcPr>
                  <w:tcW w:w="1156" w:type="dxa"/>
                  <w:vMerge w:val="continue"/>
                  <w:tcBorders>
                    <w:left w:val="nil"/>
                    <w:bottom w:val="single" w:color="auto" w:sz="4" w:space="0"/>
                    <w:right w:val="single" w:color="auto" w:sz="4" w:space="0"/>
                  </w:tcBorders>
                  <w:shd w:val="clear" w:color="000000" w:fill="FFFFFF"/>
                  <w:vAlign w:val="center"/>
                </w:tcPr>
                <w:p>
                  <w:pPr>
                    <w:pStyle w:val="5"/>
                    <w:tabs>
                      <w:tab w:val="left" w:pos="-360"/>
                    </w:tabs>
                    <w:autoSpaceDE w:val="0"/>
                    <w:autoSpaceDN w:val="0"/>
                    <w:snapToGrid w:val="0"/>
                    <w:spacing w:before="156" w:beforeLines="50" w:line="360" w:lineRule="exact"/>
                    <w:ind w:left="315" w:hanging="315" w:hangingChars="150"/>
                    <w:jc w:val="center"/>
                    <w:textAlignment w:val="bottom"/>
                    <w:rPr>
                      <w:rFonts w:ascii="仿宋" w:hAnsi="仿宋" w:eastAsia="仿宋" w:cs="仿宋_GB2312"/>
                    </w:rPr>
                  </w:pPr>
                </w:p>
              </w:tc>
            </w:tr>
          </w:tbl>
          <w:p>
            <w:pPr>
              <w:ind w:left="2"/>
              <w:rPr>
                <w:rFonts w:ascii="仿宋" w:hAnsi="仿宋" w:eastAsia="仿宋" w:cs="仿宋"/>
                <w:sz w:val="24"/>
              </w:rPr>
            </w:pPr>
            <w:r>
              <w:rPr>
                <w:rFonts w:hint="eastAsia" w:ascii="仿宋" w:hAnsi="仿宋" w:eastAsia="仿宋" w:cs="仿宋"/>
                <w:sz w:val="24"/>
              </w:rPr>
              <w:t>注：投标人须以包为单位对该包中的全部内容进行投标，不得拆分，不完整的投标将被拒绝。各包报价不得超过该包预算金额，否则该包的投标无效。评标、授标以包为单位。中标人应分别与各用户单位签订供货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采购用途：检验检疫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rPr>
                <w:rFonts w:ascii="仿宋" w:hAnsi="仿宋" w:eastAsia="仿宋" w:cs="仿宋"/>
                <w:sz w:val="24"/>
              </w:rPr>
            </w:pPr>
            <w:r>
              <w:rPr>
                <w:rFonts w:hint="eastAsia" w:ascii="仿宋" w:hAnsi="仿宋" w:eastAsia="仿宋" w:cs="仿宋"/>
                <w:sz w:val="24"/>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tcPr>
          <w:p>
            <w:pPr>
              <w:snapToGrid w:val="0"/>
              <w:rPr>
                <w:rFonts w:ascii="仿宋" w:hAnsi="仿宋" w:eastAsia="仿宋" w:cs="仿宋"/>
                <w:sz w:val="24"/>
              </w:rPr>
            </w:pPr>
            <w:r>
              <w:rPr>
                <w:rFonts w:hint="eastAsia" w:ascii="仿宋" w:hAnsi="仿宋" w:eastAsia="仿宋" w:cs="仿宋"/>
                <w:sz w:val="24"/>
              </w:rPr>
              <w:t>采购项目需要落实的政府采购政策：</w:t>
            </w:r>
          </w:p>
          <w:p>
            <w:pPr>
              <w:numPr>
                <w:ilvl w:val="0"/>
                <w:numId w:val="1"/>
              </w:numPr>
              <w:snapToGrid w:val="0"/>
              <w:rPr>
                <w:rFonts w:ascii="仿宋" w:hAnsi="仿宋" w:eastAsia="仿宋" w:cs="仿宋"/>
                <w:sz w:val="24"/>
              </w:rPr>
            </w:pPr>
            <w:r>
              <w:rPr>
                <w:rFonts w:hint="eastAsia" w:ascii="仿宋" w:hAnsi="仿宋" w:eastAsia="仿宋" w:cs="仿宋"/>
                <w:sz w:val="24"/>
              </w:rPr>
              <w:t>鼓励节能政策：在技术、服务等指标同等条件下，优先采购属于国家公布的节能清单中产品。</w:t>
            </w:r>
          </w:p>
          <w:p>
            <w:pPr>
              <w:numPr>
                <w:ilvl w:val="0"/>
                <w:numId w:val="1"/>
              </w:numPr>
              <w:snapToGrid w:val="0"/>
              <w:rPr>
                <w:rFonts w:ascii="仿宋" w:hAnsi="仿宋" w:eastAsia="仿宋" w:cs="仿宋"/>
                <w:sz w:val="24"/>
              </w:rPr>
            </w:pPr>
            <w:r>
              <w:rPr>
                <w:rFonts w:hint="eastAsia" w:ascii="仿宋" w:hAnsi="仿宋" w:eastAsia="仿宋" w:cs="仿宋"/>
                <w:sz w:val="24"/>
              </w:rPr>
              <w:t>鼓励环保政策：在性能、技术、服务等指标同等条件下，优先采购国家公布的环保产品清单中的产品。</w:t>
            </w:r>
          </w:p>
          <w:p>
            <w:pPr>
              <w:numPr>
                <w:ilvl w:val="0"/>
                <w:numId w:val="1"/>
              </w:numPr>
              <w:snapToGrid w:val="0"/>
              <w:rPr>
                <w:rFonts w:ascii="仿宋" w:hAnsi="仿宋" w:eastAsia="仿宋" w:cs="仿宋"/>
                <w:sz w:val="24"/>
              </w:rPr>
            </w:pPr>
            <w:r>
              <w:rPr>
                <w:rFonts w:hint="eastAsia" w:ascii="仿宋" w:hAnsi="仿宋" w:eastAsia="仿宋" w:cs="仿宋"/>
                <w:sz w:val="24"/>
              </w:rPr>
              <w:t>扶持中小企业政策：评审时小型和微型企业产品享受6%的价格折扣。监狱企业视同小型、微型企业。</w:t>
            </w:r>
          </w:p>
          <w:p>
            <w:pPr>
              <w:numPr>
                <w:ilvl w:val="0"/>
                <w:numId w:val="1"/>
              </w:numPr>
              <w:snapToGrid w:val="0"/>
              <w:rPr>
                <w:rFonts w:ascii="仿宋" w:hAnsi="仿宋" w:eastAsia="仿宋" w:cs="仿宋"/>
                <w:sz w:val="24"/>
              </w:rPr>
            </w:pPr>
            <w:r>
              <w:rPr>
                <w:rFonts w:hint="eastAsia" w:ascii="仿宋" w:hAnsi="仿宋" w:eastAsia="仿宋" w:cs="仿宋"/>
                <w:sz w:val="24"/>
              </w:rPr>
              <w:t>允许采购进口产品的，优先采购向我国企业转让技术、与我国企业签订消化吸收再创新方案的供应商的进口产品。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tcPr>
          <w:p>
            <w:pPr>
              <w:rPr>
                <w:rFonts w:ascii="仿宋" w:hAnsi="仿宋" w:eastAsia="仿宋" w:cs="仿宋"/>
                <w:color w:val="000000"/>
                <w:kern w:val="0"/>
                <w:sz w:val="24"/>
              </w:rPr>
            </w:pPr>
            <w:r>
              <w:rPr>
                <w:rFonts w:hint="eastAsia" w:ascii="仿宋" w:hAnsi="仿宋" w:eastAsia="仿宋" w:cs="仿宋"/>
                <w:color w:val="000000"/>
                <w:kern w:val="0"/>
                <w:sz w:val="24"/>
              </w:rPr>
              <w:t>投标人资格条件：</w:t>
            </w:r>
          </w:p>
          <w:p>
            <w:pPr>
              <w:rPr>
                <w:rFonts w:ascii="仿宋" w:hAnsi="仿宋" w:eastAsia="仿宋" w:cs="仿宋"/>
                <w:color w:val="000000"/>
                <w:kern w:val="0"/>
                <w:sz w:val="24"/>
              </w:rPr>
            </w:pPr>
            <w:r>
              <w:rPr>
                <w:rFonts w:hint="eastAsia" w:ascii="仿宋" w:hAnsi="仿宋" w:eastAsia="仿宋" w:cs="仿宋_GB2312"/>
                <w:sz w:val="24"/>
              </w:rPr>
              <w:t>（</w:t>
            </w:r>
            <w:r>
              <w:rPr>
                <w:rFonts w:ascii="仿宋" w:hAnsi="仿宋" w:eastAsia="仿宋" w:cs="仿宋_GB2312"/>
                <w:sz w:val="24"/>
              </w:rPr>
              <w:t>1</w:t>
            </w:r>
            <w:r>
              <w:rPr>
                <w:rFonts w:hint="eastAsia" w:ascii="仿宋" w:hAnsi="仿宋" w:eastAsia="仿宋" w:cs="仿宋_GB2312"/>
                <w:sz w:val="24"/>
              </w:rPr>
              <w:t>）</w:t>
            </w:r>
            <w:r>
              <w:rPr>
                <w:rFonts w:hint="eastAsia" w:ascii="仿宋" w:hAnsi="仿宋" w:eastAsia="仿宋" w:cs="仿宋"/>
                <w:color w:val="000000"/>
                <w:kern w:val="0"/>
                <w:sz w:val="24"/>
              </w:rPr>
              <w:t>投标人应符合《中华人民共和国政府采购法》第二十二条的规定;</w:t>
            </w:r>
          </w:p>
          <w:p>
            <w:pPr>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ind w:firstLine="480" w:firstLineChars="200"/>
              <w:rPr>
                <w:rFonts w:ascii="仿宋" w:hAnsi="仿宋" w:eastAsia="仿宋" w:cs="仿宋"/>
                <w:sz w:val="24"/>
              </w:rPr>
            </w:pPr>
            <w:r>
              <w:rPr>
                <w:rFonts w:hint="eastAsia" w:ascii="仿宋" w:hAnsi="仿宋" w:eastAsia="仿宋" w:cs="仿宋"/>
                <w:sz w:val="24"/>
              </w:rPr>
              <w:t>2）具有良好的商业信誉和健全的财务会计制度；</w:t>
            </w:r>
          </w:p>
          <w:p>
            <w:pPr>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ind w:firstLine="480" w:firstLineChars="200"/>
              <w:rPr>
                <w:rFonts w:ascii="仿宋" w:hAnsi="仿宋" w:eastAsia="仿宋" w:cs="仿宋"/>
                <w:sz w:val="24"/>
              </w:rPr>
            </w:pPr>
            <w:r>
              <w:rPr>
                <w:rFonts w:hint="eastAsia" w:ascii="仿宋" w:hAnsi="仿宋" w:eastAsia="仿宋" w:cs="仿宋"/>
                <w:sz w:val="24"/>
              </w:rPr>
              <w:t>6）法律、行政法规规定的其他条件。</w:t>
            </w:r>
          </w:p>
          <w:p>
            <w:pPr>
              <w:tabs>
                <w:tab w:val="left" w:pos="-360"/>
              </w:tabs>
              <w:autoSpaceDE w:val="0"/>
              <w:autoSpaceDN w:val="0"/>
              <w:adjustRightInd w:val="0"/>
              <w:snapToGrid w:val="0"/>
              <w:spacing w:before="156" w:beforeLines="50" w:line="400" w:lineRule="exact"/>
              <w:ind w:left="600" w:hanging="600" w:hangingChars="250"/>
              <w:textAlignment w:val="bottom"/>
              <w:rPr>
                <w:rFonts w:ascii="仿宋" w:hAnsi="仿宋" w:eastAsia="仿宋"/>
                <w:sz w:val="24"/>
              </w:rPr>
            </w:pPr>
            <w:r>
              <w:rPr>
                <w:rFonts w:hint="eastAsia" w:ascii="仿宋" w:hAnsi="仿宋" w:eastAsia="仿宋" w:cs="仿宋_GB2312"/>
                <w:sz w:val="24"/>
              </w:rPr>
              <w:t>（</w:t>
            </w:r>
            <w:r>
              <w:rPr>
                <w:rFonts w:ascii="仿宋" w:hAnsi="仿宋" w:eastAsia="仿宋" w:cs="仿宋_GB2312"/>
                <w:sz w:val="24"/>
              </w:rPr>
              <w:t>2</w:t>
            </w:r>
            <w:r>
              <w:rPr>
                <w:rFonts w:hint="eastAsia" w:ascii="仿宋" w:hAnsi="仿宋" w:eastAsia="仿宋" w:cs="仿宋_GB2312"/>
                <w:sz w:val="24"/>
              </w:rPr>
              <w:t>）投标人须设有满足售后服务要求的服务网点和技术支持体系；</w:t>
            </w:r>
          </w:p>
          <w:p>
            <w:pPr>
              <w:tabs>
                <w:tab w:val="left" w:pos="-360"/>
              </w:tabs>
              <w:autoSpaceDE w:val="0"/>
              <w:autoSpaceDN w:val="0"/>
              <w:adjustRightInd w:val="0"/>
              <w:snapToGrid w:val="0"/>
              <w:spacing w:before="156" w:beforeLines="50" w:line="360" w:lineRule="auto"/>
              <w:ind w:left="600" w:leftChars="1" w:hanging="598" w:hangingChars="249"/>
              <w:textAlignment w:val="bottom"/>
              <w:rPr>
                <w:rFonts w:ascii="仿宋" w:hAnsi="仿宋" w:eastAsia="仿宋"/>
                <w:sz w:val="24"/>
              </w:rPr>
            </w:pPr>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）若代理商投标，需出具所投产品制造商（包括其在国内成立的公司）针对本项目的独家授权（不接受转授权），同时制造商失去其所授权产品的投标资格；</w:t>
            </w:r>
          </w:p>
          <w:p>
            <w:pPr>
              <w:spacing w:line="400" w:lineRule="exact"/>
              <w:ind w:left="629" w:hanging="629" w:hangingChars="262"/>
              <w:rPr>
                <w:rFonts w:ascii="仿宋" w:hAnsi="仿宋" w:eastAsia="仿宋" w:cs="宋体"/>
                <w:kern w:val="0"/>
                <w:sz w:val="24"/>
              </w:rPr>
            </w:pPr>
            <w:r>
              <w:rPr>
                <w:rFonts w:hint="eastAsia" w:ascii="仿宋" w:hAnsi="仿宋" w:eastAsia="仿宋" w:cs="仿宋_GB2312"/>
                <w:sz w:val="24"/>
              </w:rPr>
              <w:t>（4）</w:t>
            </w:r>
            <w:r>
              <w:rPr>
                <w:rFonts w:hint="eastAsia" w:ascii="仿宋" w:hAnsi="仿宋" w:eastAsia="仿宋" w:cs="宋体"/>
                <w:kern w:val="0"/>
                <w:sz w:val="24"/>
              </w:rPr>
              <w:t>第1包接受进口产品参加投标</w:t>
            </w:r>
            <w:r>
              <w:rPr>
                <w:rFonts w:ascii="仿宋" w:hAnsi="仿宋" w:eastAsia="仿宋" w:cs="宋体"/>
                <w:kern w:val="0"/>
                <w:sz w:val="24"/>
              </w:rPr>
              <w:t>（进口产品指通过中国海关报关验放进</w:t>
            </w:r>
            <w:r>
              <w:rPr>
                <w:rFonts w:hint="eastAsia" w:ascii="仿宋" w:hAnsi="仿宋" w:eastAsia="仿宋" w:cs="宋体"/>
                <w:kern w:val="0"/>
                <w:sz w:val="24"/>
              </w:rPr>
              <w:t>入</w:t>
            </w:r>
            <w:r>
              <w:rPr>
                <w:rFonts w:ascii="仿宋" w:hAnsi="仿宋" w:eastAsia="仿宋" w:cs="宋体"/>
                <w:kern w:val="0"/>
                <w:sz w:val="24"/>
              </w:rPr>
              <w:t>中国境内且产自关境外的产品</w:t>
            </w:r>
            <w:r>
              <w:rPr>
                <w:rFonts w:hint="eastAsia" w:ascii="仿宋" w:hAnsi="仿宋" w:eastAsia="仿宋" w:cs="宋体"/>
                <w:kern w:val="0"/>
                <w:sz w:val="24"/>
              </w:rPr>
              <w:t>）。第4-8包</w:t>
            </w:r>
            <w:r>
              <w:rPr>
                <w:rFonts w:hint="eastAsia" w:ascii="仿宋" w:hAnsi="仿宋" w:eastAsia="仿宋" w:cs="仿宋_GB2312"/>
                <w:kern w:val="0"/>
                <w:sz w:val="24"/>
              </w:rPr>
              <w:t>所投产品的原产地均应来自中华人民共和国国内，</w:t>
            </w:r>
            <w:r>
              <w:rPr>
                <w:rFonts w:hint="eastAsia" w:ascii="仿宋" w:hAnsi="仿宋" w:eastAsia="仿宋" w:cs="宋体"/>
                <w:kern w:val="0"/>
                <w:sz w:val="24"/>
              </w:rPr>
              <w:t>不接受进口产品参加投标；</w:t>
            </w:r>
          </w:p>
          <w:p>
            <w:pPr>
              <w:spacing w:line="400" w:lineRule="exact"/>
              <w:ind w:left="629" w:hanging="629" w:hangingChars="262"/>
              <w:rPr>
                <w:rFonts w:ascii="仿宋" w:hAnsi="仿宋" w:eastAsia="仿宋" w:cs="宋体"/>
                <w:kern w:val="0"/>
                <w:sz w:val="24"/>
              </w:rPr>
            </w:pPr>
            <w:r>
              <w:rPr>
                <w:rFonts w:hint="eastAsia" w:ascii="仿宋" w:hAnsi="仿宋" w:eastAsia="仿宋" w:cs="宋体"/>
                <w:kern w:val="0"/>
                <w:sz w:val="24"/>
              </w:rPr>
              <w:t>（5）第1包所投产品须取得进口计量器具型式批准证书，同时提供计量器具形式评价报告或形式评价报告符合招标文件要求的承诺（进口产品适用）；或制造计量器具许可证（国内产品适用）；</w:t>
            </w:r>
          </w:p>
          <w:p>
            <w:pPr>
              <w:spacing w:line="400" w:lineRule="exact"/>
              <w:ind w:left="629" w:hanging="629" w:hangingChars="262"/>
              <w:rPr>
                <w:rFonts w:ascii="仿宋" w:hAnsi="仿宋" w:eastAsia="仿宋" w:cs="宋体"/>
                <w:kern w:val="0"/>
                <w:sz w:val="24"/>
              </w:rPr>
            </w:pPr>
            <w:r>
              <w:rPr>
                <w:rFonts w:hint="eastAsia" w:ascii="仿宋" w:hAnsi="仿宋" w:eastAsia="仿宋" w:cs="宋体"/>
                <w:kern w:val="0"/>
                <w:sz w:val="24"/>
              </w:rPr>
              <w:t>（6）第4-6包、第8包所投产品须具有对应投标产品的国家食品药品监督管理局认可的医疗器械注册证，</w:t>
            </w:r>
            <w:r>
              <w:rPr>
                <w:rFonts w:hint="eastAsia" w:ascii="仿宋" w:hAnsi="仿宋" w:eastAsia="仿宋"/>
                <w:bCs/>
                <w:sz w:val="24"/>
              </w:rPr>
              <w:t>同时提供注册检测报告或注册检测报告符合招标文件要求的承诺</w:t>
            </w:r>
            <w:r>
              <w:rPr>
                <w:rFonts w:hint="eastAsia" w:ascii="仿宋" w:hAnsi="仿宋" w:eastAsia="仿宋" w:cs="宋体"/>
                <w:kern w:val="0"/>
                <w:sz w:val="24"/>
              </w:rPr>
              <w:t>；</w:t>
            </w:r>
          </w:p>
          <w:p>
            <w:pPr>
              <w:spacing w:line="400" w:lineRule="exact"/>
              <w:ind w:left="629" w:hanging="629" w:hangingChars="262"/>
              <w:rPr>
                <w:rFonts w:ascii="仿宋" w:hAnsi="仿宋" w:eastAsia="仿宋" w:cs="宋体"/>
                <w:kern w:val="0"/>
                <w:sz w:val="24"/>
              </w:rPr>
            </w:pPr>
            <w:r>
              <w:rPr>
                <w:rFonts w:hint="eastAsia" w:ascii="仿宋" w:hAnsi="仿宋" w:eastAsia="仿宋" w:cs="宋体"/>
                <w:kern w:val="0"/>
                <w:sz w:val="24"/>
              </w:rPr>
              <w:t>（7）第7包所投产品须具有对应投标产品的国家食品药品监督管理局认可的医疗器械注册证，同时提供注册检测报告或注册检测报告符合招标文件要求的承诺。如不能提供针对后处理的医疗器械注册证，应提供全自动酶免主机的医疗器械注册证。</w:t>
            </w:r>
          </w:p>
          <w:p>
            <w:pPr>
              <w:spacing w:line="400" w:lineRule="exact"/>
              <w:ind w:left="629" w:hanging="629" w:hangingChars="262"/>
              <w:rPr>
                <w:rFonts w:ascii="仿宋" w:hAnsi="仿宋" w:eastAsia="仿宋" w:cs="宋体"/>
                <w:kern w:val="0"/>
                <w:sz w:val="24"/>
              </w:rPr>
            </w:pPr>
            <w:r>
              <w:rPr>
                <w:rFonts w:hint="eastAsia" w:ascii="仿宋" w:hAnsi="仿宋" w:eastAsia="仿宋" w:cs="宋体"/>
                <w:kern w:val="0"/>
                <w:sz w:val="24"/>
              </w:rPr>
              <w:t>（8）投标人应具有医疗器械经营许可证或二类医疗器械经营备案（第4-8包适用）；</w:t>
            </w:r>
          </w:p>
          <w:p>
            <w:pPr>
              <w:tabs>
                <w:tab w:val="left" w:pos="-360"/>
              </w:tabs>
              <w:spacing w:line="400" w:lineRule="exact"/>
              <w:rPr>
                <w:rFonts w:ascii="仿宋" w:hAnsi="仿宋" w:eastAsia="仿宋" w:cs="仿宋_GB2312"/>
                <w:sz w:val="24"/>
              </w:rPr>
            </w:pPr>
            <w:r>
              <w:rPr>
                <w:rFonts w:hint="eastAsia" w:ascii="仿宋" w:hAnsi="仿宋" w:eastAsia="仿宋" w:cs="仿宋_GB2312"/>
                <w:sz w:val="24"/>
              </w:rPr>
              <w:t>（9）按本招标公告的规定获取招标文件；</w:t>
            </w:r>
          </w:p>
          <w:p>
            <w:pPr>
              <w:tabs>
                <w:tab w:val="left" w:pos="-360"/>
              </w:tabs>
              <w:spacing w:line="400" w:lineRule="exact"/>
              <w:rPr>
                <w:rFonts w:ascii="仿宋" w:hAnsi="仿宋" w:eastAsia="仿宋"/>
                <w:sz w:val="24"/>
              </w:rPr>
            </w:pPr>
            <w:r>
              <w:rPr>
                <w:rFonts w:hint="eastAsia" w:ascii="仿宋" w:hAnsi="仿宋" w:eastAsia="仿宋" w:cs="仿宋_GB2312"/>
                <w:sz w:val="24"/>
              </w:rPr>
              <w:t>（10）</w:t>
            </w:r>
            <w:r>
              <w:rPr>
                <w:rFonts w:hint="eastAsia" w:ascii="仿宋" w:hAnsi="仿宋" w:eastAsia="仿宋" w:cs="仿宋"/>
                <w:color w:val="000000"/>
                <w:kern w:val="0"/>
                <w:sz w:val="24"/>
              </w:rPr>
              <w:t>投标人不得为“信用</w:t>
            </w:r>
            <w:r>
              <w:rPr>
                <w:rFonts w:ascii="仿宋" w:hAnsi="仿宋" w:eastAsia="仿宋" w:cs="仿宋"/>
                <w:color w:val="000000"/>
                <w:kern w:val="0"/>
                <w:sz w:val="24"/>
              </w:rPr>
              <w:t>中国”</w:t>
            </w:r>
            <w:r>
              <w:rPr>
                <w:rFonts w:hint="eastAsia" w:ascii="仿宋" w:hAnsi="仿宋" w:eastAsia="仿宋" w:cs="仿宋"/>
                <w:color w:val="000000"/>
                <w:kern w:val="0"/>
                <w:sz w:val="24"/>
              </w:rPr>
              <w:t>网站（www.creditchina.gov.cn）中列入失信被执行人和重大税收违法案件当事人名单的</w:t>
            </w:r>
            <w:r>
              <w:rPr>
                <w:rFonts w:ascii="仿宋" w:hAnsi="仿宋" w:eastAsia="仿宋" w:cs="仿宋"/>
                <w:color w:val="000000"/>
                <w:kern w:val="0"/>
                <w:sz w:val="24"/>
              </w:rPr>
              <w:t>供应商，</w:t>
            </w:r>
            <w:r>
              <w:rPr>
                <w:rFonts w:hint="eastAsia" w:ascii="仿宋" w:hAnsi="仿宋" w:eastAsia="仿宋" w:cs="仿宋"/>
                <w:color w:val="000000"/>
                <w:kern w:val="0"/>
                <w:sz w:val="24"/>
              </w:rPr>
              <w:t>不得为中国政府采购网（www.ccgp.gov.cn）政府采购严重违法失信行为记录名单中</w:t>
            </w:r>
            <w:r>
              <w:rPr>
                <w:rFonts w:ascii="仿宋" w:hAnsi="仿宋" w:eastAsia="仿宋" w:cs="仿宋"/>
                <w:color w:val="000000"/>
                <w:kern w:val="0"/>
                <w:sz w:val="24"/>
              </w:rPr>
              <w:t>被财政部门</w:t>
            </w:r>
            <w:r>
              <w:rPr>
                <w:rFonts w:hint="eastAsia" w:ascii="仿宋" w:hAnsi="仿宋" w:eastAsia="仿宋" w:cs="仿宋"/>
                <w:color w:val="000000"/>
                <w:kern w:val="0"/>
                <w:sz w:val="24"/>
              </w:rPr>
              <w:t>禁止</w:t>
            </w:r>
            <w:r>
              <w:rPr>
                <w:rFonts w:ascii="仿宋" w:hAnsi="仿宋" w:eastAsia="仿宋" w:cs="仿宋"/>
                <w:color w:val="000000"/>
                <w:kern w:val="0"/>
                <w:sz w:val="24"/>
              </w:rPr>
              <w:t>参加政府采购活动</w:t>
            </w:r>
            <w:r>
              <w:rPr>
                <w:rFonts w:hint="eastAsia" w:ascii="仿宋" w:hAnsi="仿宋" w:eastAsia="仿宋" w:cs="仿宋"/>
                <w:color w:val="000000"/>
                <w:kern w:val="0"/>
                <w:sz w:val="24"/>
              </w:rPr>
              <w:t>的供应商（处罚决定规定的时间和地域范围内）；</w:t>
            </w:r>
          </w:p>
          <w:p>
            <w:pPr>
              <w:tabs>
                <w:tab w:val="left" w:pos="-360"/>
              </w:tabs>
              <w:autoSpaceDE w:val="0"/>
              <w:autoSpaceDN w:val="0"/>
              <w:adjustRightInd w:val="0"/>
              <w:snapToGrid w:val="0"/>
              <w:spacing w:before="156" w:beforeLines="50" w:line="400" w:lineRule="exact"/>
              <w:ind w:left="360" w:hanging="360" w:hangingChars="150"/>
              <w:textAlignment w:val="bottom"/>
              <w:rPr>
                <w:rFonts w:ascii="仿宋" w:hAnsi="仿宋" w:eastAsia="仿宋"/>
                <w:sz w:val="24"/>
              </w:rPr>
            </w:pPr>
            <w:r>
              <w:rPr>
                <w:rFonts w:hint="eastAsia" w:ascii="仿宋" w:hAnsi="仿宋" w:eastAsia="仿宋" w:cs="仿宋_GB2312"/>
                <w:sz w:val="24"/>
              </w:rPr>
              <w:t>（11）本项目不接受联合体投标。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adjustRightInd w:val="0"/>
              <w:snapToGrid w:val="0"/>
              <w:spacing w:line="300" w:lineRule="auto"/>
              <w:ind w:left="1"/>
              <w:rPr>
                <w:rFonts w:ascii="仿宋" w:hAnsi="仿宋" w:eastAsia="仿宋" w:cs="仿宋"/>
                <w:b/>
                <w:sz w:val="24"/>
              </w:rPr>
            </w:pPr>
            <w:r>
              <w:rPr>
                <w:rFonts w:hint="eastAsia" w:ascii="仿宋" w:hAnsi="仿宋" w:eastAsia="仿宋" w:cs="仿宋"/>
                <w:sz w:val="24"/>
              </w:rPr>
              <w:t>获取招标文件：</w:t>
            </w:r>
            <w:r>
              <w:rPr>
                <w:rFonts w:hint="eastAsia" w:ascii="仿宋" w:hAnsi="仿宋" w:eastAsia="仿宋" w:cs="仿宋"/>
                <w:b/>
                <w:sz w:val="24"/>
              </w:rPr>
              <w:t xml:space="preserve"> </w:t>
            </w:r>
          </w:p>
          <w:p>
            <w:pPr>
              <w:adjustRightInd w:val="0"/>
              <w:snapToGrid w:val="0"/>
              <w:ind w:left="-6" w:leftChars="-3" w:firstLine="5" w:firstLineChars="2"/>
              <w:rPr>
                <w:rFonts w:ascii="仿宋" w:hAnsi="仿宋" w:eastAsia="仿宋" w:cs="仿宋"/>
                <w:color w:val="000000"/>
                <w:kern w:val="0"/>
                <w:sz w:val="24"/>
              </w:rPr>
            </w:pPr>
            <w:r>
              <w:rPr>
                <w:rFonts w:hint="eastAsia" w:ascii="仿宋" w:hAnsi="仿宋" w:eastAsia="仿宋" w:cs="仿宋"/>
                <w:color w:val="000000"/>
                <w:kern w:val="0"/>
                <w:sz w:val="24"/>
              </w:rPr>
              <w:t>（</w:t>
            </w:r>
            <w:r>
              <w:rPr>
                <w:rFonts w:ascii="仿宋" w:hAnsi="仿宋" w:eastAsia="仿宋" w:cs="仿宋"/>
                <w:color w:val="000000"/>
                <w:kern w:val="0"/>
                <w:sz w:val="24"/>
              </w:rPr>
              <w:t>1</w:t>
            </w:r>
            <w:r>
              <w:rPr>
                <w:rFonts w:hint="eastAsia" w:ascii="仿宋" w:hAnsi="仿宋" w:eastAsia="仿宋" w:cs="仿宋"/>
                <w:color w:val="000000"/>
                <w:kern w:val="0"/>
                <w:sz w:val="24"/>
              </w:rPr>
              <w:t>）有兴趣的投标人可登陆网址（</w:t>
            </w:r>
            <w:r>
              <w:rPr>
                <w:rFonts w:ascii="仿宋" w:hAnsi="仿宋" w:eastAsia="仿宋" w:cs="仿宋"/>
                <w:color w:val="000000"/>
                <w:kern w:val="0"/>
                <w:sz w:val="24"/>
              </w:rPr>
              <w:t>http://aqsiq.infosyss.com</w:t>
            </w:r>
            <w:r>
              <w:rPr>
                <w:rFonts w:hint="eastAsia" w:ascii="仿宋" w:hAnsi="仿宋" w:eastAsia="仿宋" w:cs="仿宋"/>
                <w:color w:val="000000"/>
                <w:kern w:val="0"/>
                <w:sz w:val="24"/>
              </w:rPr>
              <w:t>），按照《操作指南》的程序完成投标人注册手续（免费），经复核后成为在册用户，然后登录系统浏览该项目相关包下产品的“技术指标”，已注册的投标商无需重新注册。如决定购买招标文件，请根据《操作指南》的指导完成标书款缴费及标书下载手续，并与</w:t>
            </w:r>
            <w:r>
              <w:rPr>
                <w:rFonts w:hint="eastAsia" w:ascii="仿宋" w:hAnsi="仿宋" w:eastAsia="仿宋" w:cs="仿宋"/>
                <w:sz w:val="24"/>
              </w:rPr>
              <w:t>采购代理机构</w:t>
            </w:r>
            <w:r>
              <w:rPr>
                <w:rFonts w:hint="eastAsia" w:ascii="仿宋" w:hAnsi="仿宋" w:eastAsia="仿宋" w:cs="仿宋"/>
                <w:color w:val="000000"/>
                <w:kern w:val="0"/>
                <w:sz w:val="24"/>
              </w:rPr>
              <w:t>进行确认。</w:t>
            </w:r>
            <w:r>
              <w:rPr>
                <w:rFonts w:hint="eastAsia" w:ascii="仿宋" w:hAnsi="仿宋" w:eastAsia="仿宋" w:cs="仿宋"/>
                <w:sz w:val="24"/>
              </w:rPr>
              <w:t>已在0702-1741CITC5Z11项目中购买招标文件的供应商，可直接下载招标文件，不必再次支付标书款。</w:t>
            </w:r>
          </w:p>
          <w:p>
            <w:pPr>
              <w:tabs>
                <w:tab w:val="left" w:pos="-360"/>
              </w:tabs>
              <w:autoSpaceDE w:val="0"/>
              <w:autoSpaceDN w:val="0"/>
              <w:adjustRightInd w:val="0"/>
              <w:snapToGrid w:val="0"/>
              <w:spacing w:before="156" w:beforeLines="50" w:line="400" w:lineRule="exact"/>
              <w:ind w:left="360" w:hanging="360" w:hangingChars="150"/>
              <w:textAlignment w:val="bottom"/>
              <w:rPr>
                <w:rFonts w:ascii="仿宋" w:hAnsi="仿宋" w:eastAsia="仿宋" w:cs="仿宋"/>
                <w:color w:val="000000"/>
                <w:kern w:val="0"/>
                <w:sz w:val="24"/>
              </w:rPr>
            </w:pPr>
            <w:r>
              <w:rPr>
                <w:rFonts w:hint="eastAsia" w:ascii="仿宋" w:hAnsi="仿宋" w:eastAsia="仿宋" w:cs="仿宋"/>
                <w:color w:val="000000"/>
                <w:kern w:val="0"/>
                <w:sz w:val="24"/>
              </w:rPr>
              <w:t>（</w:t>
            </w:r>
            <w:r>
              <w:rPr>
                <w:rFonts w:ascii="仿宋" w:hAnsi="仿宋" w:eastAsia="仿宋" w:cs="仿宋"/>
                <w:color w:val="000000"/>
                <w:kern w:val="0"/>
                <w:sz w:val="24"/>
              </w:rPr>
              <w:t>2</w:t>
            </w:r>
            <w:r>
              <w:rPr>
                <w:rFonts w:hint="eastAsia" w:ascii="仿宋" w:hAnsi="仿宋" w:eastAsia="仿宋" w:cs="仿宋"/>
                <w:color w:val="000000"/>
                <w:kern w:val="0"/>
                <w:sz w:val="24"/>
              </w:rPr>
              <w:t>）投标人可以电汇的形式支付标书款，在开标现场向工作人员索取标书款发票（联系人</w:t>
            </w:r>
            <w:r>
              <w:rPr>
                <w:rFonts w:ascii="仿宋" w:hAnsi="仿宋" w:eastAsia="仿宋" w:cs="仿宋"/>
                <w:color w:val="000000"/>
                <w:kern w:val="0"/>
                <w:sz w:val="24"/>
              </w:rPr>
              <w:t>：</w:t>
            </w:r>
            <w:r>
              <w:rPr>
                <w:rFonts w:hint="eastAsia" w:ascii="仿宋" w:hAnsi="仿宋" w:eastAsia="仿宋" w:cs="仿宋"/>
                <w:color w:val="000000"/>
                <w:kern w:val="0"/>
                <w:sz w:val="24"/>
              </w:rPr>
              <w:t>张杰浩</w:t>
            </w:r>
            <w:r>
              <w:rPr>
                <w:rFonts w:ascii="仿宋" w:hAnsi="仿宋" w:eastAsia="仿宋" w:cs="仿宋"/>
                <w:color w:val="000000"/>
                <w:kern w:val="0"/>
                <w:sz w:val="24"/>
              </w:rPr>
              <w:t>，电话：010-6334</w:t>
            </w:r>
            <w:r>
              <w:rPr>
                <w:rFonts w:hint="eastAsia" w:ascii="仿宋" w:hAnsi="仿宋" w:eastAsia="仿宋" w:cs="仿宋"/>
                <w:color w:val="000000"/>
                <w:kern w:val="0"/>
                <w:sz w:val="24"/>
              </w:rPr>
              <w:t>8489</w:t>
            </w:r>
            <w:r>
              <w:rPr>
                <w:rFonts w:ascii="仿宋" w:hAnsi="仿宋" w:eastAsia="仿宋" w:cs="仿宋"/>
                <w:color w:val="000000"/>
                <w:kern w:val="0"/>
                <w:sz w:val="24"/>
              </w:rPr>
              <w:t>）</w:t>
            </w:r>
            <w:r>
              <w:rPr>
                <w:rFonts w:hint="eastAsia" w:ascii="仿宋" w:hAnsi="仿宋" w:eastAsia="仿宋" w:cs="仿宋"/>
                <w:color w:val="000000"/>
                <w:kern w:val="0"/>
                <w:sz w:val="24"/>
              </w:rPr>
              <w:t>；投标人</w:t>
            </w:r>
            <w:r>
              <w:rPr>
                <w:rFonts w:ascii="仿宋" w:hAnsi="仿宋" w:eastAsia="仿宋" w:cs="仿宋"/>
                <w:color w:val="000000"/>
                <w:kern w:val="0"/>
                <w:sz w:val="24"/>
              </w:rPr>
              <w:t>也可在</w:t>
            </w:r>
            <w:r>
              <w:rPr>
                <w:rFonts w:hint="eastAsia" w:ascii="仿宋" w:hAnsi="仿宋" w:eastAsia="仿宋" w:cs="仿宋"/>
                <w:color w:val="000000"/>
                <w:kern w:val="0"/>
                <w:sz w:val="24"/>
              </w:rPr>
              <w:t>北京市丰台区西三环中路90号通用技术大厦一层标书室以</w:t>
            </w:r>
            <w:r>
              <w:rPr>
                <w:rFonts w:ascii="仿宋" w:hAnsi="仿宋" w:eastAsia="仿宋" w:cs="仿宋"/>
                <w:color w:val="000000"/>
                <w:kern w:val="0"/>
                <w:sz w:val="24"/>
              </w:rPr>
              <w:t>现金形式交纳标书款，并索取</w:t>
            </w:r>
            <w:r>
              <w:rPr>
                <w:rFonts w:hint="eastAsia" w:ascii="仿宋" w:hAnsi="仿宋" w:eastAsia="仿宋" w:cs="仿宋"/>
                <w:color w:val="000000"/>
                <w:kern w:val="0"/>
                <w:sz w:val="24"/>
              </w:rPr>
              <w:t>标书款发票（联系人：杜庆，</w:t>
            </w:r>
            <w:r>
              <w:rPr>
                <w:rFonts w:ascii="仿宋" w:hAnsi="仿宋" w:eastAsia="仿宋" w:cs="仿宋"/>
                <w:color w:val="000000"/>
                <w:kern w:val="0"/>
                <w:sz w:val="24"/>
              </w:rPr>
              <w:t>电话</w:t>
            </w:r>
            <w:r>
              <w:rPr>
                <w:rFonts w:hint="eastAsia" w:ascii="仿宋" w:hAnsi="仿宋" w:eastAsia="仿宋" w:cs="仿宋"/>
                <w:color w:val="000000"/>
                <w:kern w:val="0"/>
                <w:sz w:val="24"/>
              </w:rPr>
              <w:t>：010-63348281）。工作</w:t>
            </w:r>
            <w:r>
              <w:rPr>
                <w:rFonts w:ascii="仿宋" w:hAnsi="仿宋" w:eastAsia="仿宋" w:cs="仿宋"/>
                <w:color w:val="000000"/>
                <w:kern w:val="0"/>
                <w:sz w:val="24"/>
              </w:rPr>
              <w:t>时间：</w:t>
            </w:r>
            <w:r>
              <w:rPr>
                <w:rFonts w:hint="eastAsia" w:ascii="仿宋" w:hAnsi="仿宋" w:eastAsia="仿宋" w:cs="仿宋"/>
                <w:color w:val="000000"/>
                <w:kern w:val="0"/>
                <w:sz w:val="24"/>
              </w:rPr>
              <w:t>上午</w:t>
            </w:r>
            <w:r>
              <w:rPr>
                <w:rFonts w:ascii="仿宋" w:hAnsi="仿宋" w:eastAsia="仿宋" w:cs="仿宋"/>
                <w:color w:val="000000"/>
                <w:kern w:val="0"/>
                <w:sz w:val="24"/>
              </w:rPr>
              <w:t>9</w:t>
            </w:r>
            <w:r>
              <w:rPr>
                <w:rFonts w:hint="eastAsia" w:ascii="仿宋" w:hAnsi="仿宋" w:eastAsia="仿宋" w:cs="仿宋"/>
                <w:color w:val="000000"/>
                <w:kern w:val="0"/>
                <w:sz w:val="24"/>
              </w:rPr>
              <w:t>：</w:t>
            </w:r>
            <w:r>
              <w:rPr>
                <w:rFonts w:ascii="仿宋" w:hAnsi="仿宋" w:eastAsia="仿宋" w:cs="仿宋"/>
                <w:color w:val="000000"/>
                <w:kern w:val="0"/>
                <w:sz w:val="24"/>
              </w:rPr>
              <w:t>00-11:30</w:t>
            </w:r>
            <w:r>
              <w:rPr>
                <w:rFonts w:hint="eastAsia" w:ascii="仿宋" w:hAnsi="仿宋" w:eastAsia="仿宋" w:cs="仿宋"/>
                <w:color w:val="000000"/>
                <w:kern w:val="0"/>
                <w:sz w:val="24"/>
              </w:rPr>
              <w:t>，下午</w:t>
            </w:r>
            <w:r>
              <w:rPr>
                <w:rFonts w:ascii="仿宋" w:hAnsi="仿宋" w:eastAsia="仿宋" w:cs="仿宋"/>
                <w:color w:val="000000"/>
                <w:kern w:val="0"/>
                <w:sz w:val="24"/>
              </w:rPr>
              <w:t>13:30-16</w:t>
            </w:r>
            <w:r>
              <w:rPr>
                <w:rFonts w:hint="eastAsia" w:ascii="仿宋" w:hAnsi="仿宋" w:eastAsia="仿宋" w:cs="仿宋"/>
                <w:color w:val="000000"/>
                <w:kern w:val="0"/>
                <w:sz w:val="24"/>
              </w:rPr>
              <w:t>：</w:t>
            </w:r>
            <w:r>
              <w:rPr>
                <w:rFonts w:ascii="仿宋" w:hAnsi="仿宋" w:eastAsia="仿宋" w:cs="仿宋"/>
                <w:color w:val="000000"/>
                <w:kern w:val="0"/>
                <w:sz w:val="24"/>
              </w:rPr>
              <w:t>00</w:t>
            </w:r>
            <w:r>
              <w:rPr>
                <w:rFonts w:hint="eastAsia" w:ascii="仿宋" w:hAnsi="仿宋" w:eastAsia="仿宋" w:cs="仿宋"/>
                <w:color w:val="000000"/>
                <w:kern w:val="0"/>
                <w:sz w:val="24"/>
              </w:rPr>
              <w:t>。</w:t>
            </w:r>
          </w:p>
          <w:p>
            <w:pPr>
              <w:tabs>
                <w:tab w:val="left" w:pos="-360"/>
              </w:tabs>
              <w:autoSpaceDE w:val="0"/>
              <w:autoSpaceDN w:val="0"/>
              <w:adjustRightInd w:val="0"/>
              <w:snapToGrid w:val="0"/>
              <w:spacing w:before="156" w:beforeLines="50" w:line="400" w:lineRule="exact"/>
              <w:ind w:left="360" w:hanging="360" w:hangingChars="150"/>
              <w:textAlignment w:val="bottom"/>
              <w:rPr>
                <w:rFonts w:ascii="仿宋" w:hAnsi="仿宋" w:eastAsia="仿宋" w:cs="仿宋"/>
                <w:color w:val="000000"/>
                <w:kern w:val="0"/>
                <w:sz w:val="24"/>
              </w:rPr>
            </w:pPr>
            <w:r>
              <w:rPr>
                <w:rFonts w:hint="eastAsia" w:ascii="仿宋" w:hAnsi="仿宋" w:eastAsia="仿宋" w:cs="仿宋"/>
                <w:color w:val="000000"/>
                <w:kern w:val="0"/>
                <w:sz w:val="24"/>
              </w:rPr>
              <w:t>（</w:t>
            </w:r>
            <w:r>
              <w:rPr>
                <w:rFonts w:ascii="仿宋" w:hAnsi="仿宋" w:eastAsia="仿宋" w:cs="仿宋"/>
                <w:color w:val="000000"/>
                <w:kern w:val="0"/>
                <w:sz w:val="24"/>
              </w:rPr>
              <w:t>3</w:t>
            </w:r>
            <w:r>
              <w:rPr>
                <w:rFonts w:hint="eastAsia" w:ascii="仿宋" w:hAnsi="仿宋" w:eastAsia="仿宋" w:cs="仿宋"/>
                <w:color w:val="000000"/>
                <w:kern w:val="0"/>
                <w:sz w:val="24"/>
              </w:rPr>
              <w:t>）招标文件发售时间：即日起至2017年6月30日下午16:00时 (节假日除外)。</w:t>
            </w:r>
          </w:p>
          <w:p>
            <w:pPr>
              <w:rPr>
                <w:rFonts w:ascii="仿宋" w:hAnsi="仿宋" w:eastAsia="仿宋" w:cs="仿宋"/>
                <w:sz w:val="24"/>
              </w:rPr>
            </w:pPr>
            <w:r>
              <w:rPr>
                <w:rFonts w:hint="eastAsia" w:ascii="仿宋" w:hAnsi="仿宋" w:eastAsia="仿宋" w:cs="仿宋"/>
                <w:color w:val="000000"/>
                <w:kern w:val="0"/>
                <w:sz w:val="24"/>
              </w:rPr>
              <w:t>（4）招标文件售价：每包200元。招标文件售后不退。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ascii="仿宋" w:hAnsi="仿宋" w:eastAsia="仿宋" w:cs="仿宋"/>
                <w:sz w:val="24"/>
              </w:rPr>
            </w:pPr>
            <w:r>
              <w:rPr>
                <w:rFonts w:hint="eastAsia" w:ascii="仿宋" w:hAnsi="仿宋" w:eastAsia="仿宋" w:cs="仿宋"/>
                <w:sz w:val="24"/>
              </w:rPr>
              <w:t>递交投标文件时间：2017年7月6日8：30-9：30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ascii="仿宋" w:hAnsi="仿宋" w:eastAsia="仿宋" w:cs="仿宋"/>
                <w:sz w:val="24"/>
              </w:rPr>
            </w:pPr>
            <w:r>
              <w:rPr>
                <w:rFonts w:hint="eastAsia" w:ascii="仿宋" w:hAnsi="仿宋" w:eastAsia="仿宋" w:cs="仿宋"/>
                <w:sz w:val="24"/>
              </w:rPr>
              <w:t>投标截止时间/开标时间：2017年7月6日上午9:30时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ascii="仿宋" w:hAnsi="仿宋" w:eastAsia="仿宋" w:cs="仿宋"/>
                <w:sz w:val="24"/>
              </w:rPr>
            </w:pPr>
            <w:r>
              <w:rPr>
                <w:rFonts w:hint="eastAsia" w:ascii="仿宋" w:hAnsi="仿宋" w:eastAsia="仿宋" w:cs="仿宋"/>
                <w:sz w:val="24"/>
              </w:rPr>
              <w:t>递交投标文件地点/开标地点：北京市丰台区西三环中路90号通用技术大厦419会议室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ascii="仿宋" w:hAnsi="仿宋" w:eastAsia="仿宋" w:cs="仿宋"/>
                <w:sz w:val="24"/>
              </w:rPr>
            </w:pPr>
            <w:r>
              <w:rPr>
                <w:rFonts w:hint="eastAsia" w:ascii="仿宋" w:hAnsi="仿宋" w:eastAsia="仿宋" w:cs="仿宋"/>
                <w:sz w:val="24"/>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ascii="仿宋" w:hAnsi="仿宋" w:eastAsia="仿宋" w:cs="仿宋"/>
                <w:sz w:val="24"/>
              </w:rPr>
            </w:pPr>
            <w:r>
              <w:rPr>
                <w:rFonts w:hint="eastAsia" w:ascii="仿宋" w:hAnsi="仿宋" w:eastAsia="仿宋" w:cs="仿宋"/>
                <w:sz w:val="24"/>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adjustRightInd w:val="0"/>
              <w:snapToGrid w:val="0"/>
              <w:rPr>
                <w:rFonts w:ascii="仿宋" w:hAnsi="仿宋" w:eastAsia="仿宋" w:cs="仿宋"/>
                <w:sz w:val="24"/>
              </w:rPr>
            </w:pPr>
            <w:r>
              <w:rPr>
                <w:rFonts w:hint="eastAsia" w:ascii="仿宋" w:hAnsi="仿宋" w:eastAsia="仿宋" w:cs="仿宋"/>
                <w:sz w:val="24"/>
              </w:rPr>
              <w:t xml:space="preserve">采购项目联系人姓名和电话： 010-63348489、010-63348490       </w:t>
            </w:r>
          </w:p>
          <w:p>
            <w:pPr>
              <w:adjustRightInd w:val="0"/>
              <w:snapToGrid w:val="0"/>
              <w:rPr>
                <w:rFonts w:ascii="仿宋" w:hAnsi="仿宋" w:eastAsia="仿宋" w:cs="仿宋"/>
                <w:sz w:val="24"/>
              </w:rPr>
            </w:pPr>
            <w:r>
              <w:rPr>
                <w:rFonts w:hint="eastAsia" w:ascii="仿宋" w:hAnsi="仿宋" w:eastAsia="仿宋" w:cs="仿宋"/>
                <w:sz w:val="24"/>
              </w:rPr>
              <w:t>联系人：张杰浩、鲍蒙        传真：010-63373561</w:t>
            </w:r>
          </w:p>
          <w:p>
            <w:pPr>
              <w:rPr>
                <w:rFonts w:ascii="仿宋" w:hAnsi="仿宋" w:eastAsia="仿宋" w:cs="仿宋"/>
                <w:color w:val="FF0000"/>
                <w:sz w:val="24"/>
              </w:rPr>
            </w:pPr>
            <w:r>
              <w:rPr>
                <w:rFonts w:hint="eastAsia" w:ascii="仿宋" w:hAnsi="仿宋" w:eastAsia="仿宋" w:cs="仿宋"/>
                <w:sz w:val="24"/>
              </w:rPr>
              <w:t>邮箱：zhangjiehao@citc.genertec.com.cn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tcPr>
          <w:p>
            <w:pPr>
              <w:rPr>
                <w:rFonts w:ascii="仿宋" w:hAnsi="仿宋" w:eastAsia="仿宋" w:cs="仿宋"/>
                <w:sz w:val="24"/>
              </w:rPr>
            </w:pPr>
            <w:r>
              <w:rPr>
                <w:rFonts w:hint="eastAsia" w:ascii="仿宋" w:hAnsi="仿宋" w:eastAsia="仿宋" w:cs="仿宋"/>
                <w:sz w:val="24"/>
              </w:rPr>
              <w:t>备注：</w:t>
            </w:r>
          </w:p>
          <w:p>
            <w:pPr>
              <w:rPr>
                <w:rFonts w:ascii="仿宋" w:hAnsi="仿宋" w:eastAsia="仿宋" w:cs="仿宋"/>
                <w:sz w:val="24"/>
              </w:rPr>
            </w:pPr>
            <w:r>
              <w:rPr>
                <w:rFonts w:hint="eastAsia" w:ascii="仿宋" w:hAnsi="仿宋" w:eastAsia="仿宋" w:cs="仿宋"/>
                <w:sz w:val="24"/>
              </w:rPr>
              <w:t>1、本次招标公告在《中国政府采购网》上发布。</w:t>
            </w:r>
          </w:p>
          <w:p>
            <w:pPr>
              <w:spacing w:line="360" w:lineRule="auto"/>
              <w:rPr>
                <w:rFonts w:ascii="仿宋" w:hAnsi="仿宋" w:eastAsia="仿宋" w:cs="仿宋"/>
                <w:sz w:val="24"/>
              </w:rPr>
            </w:pPr>
            <w:r>
              <w:rPr>
                <w:rFonts w:hint="eastAsia" w:ascii="仿宋" w:hAnsi="仿宋" w:eastAsia="仿宋" w:cs="仿宋"/>
                <w:sz w:val="24"/>
              </w:rPr>
              <w:t>2、中国通用咨询投资有限公司开户行: 中国银行总行营业部，账号: 778350013348。</w:t>
            </w:r>
          </w:p>
        </w:tc>
      </w:tr>
    </w:tbl>
    <w:p>
      <w:pPr>
        <w:spacing w:line="360" w:lineRule="auto"/>
        <w:rPr>
          <w:rFonts w:ascii="仿宋" w:hAnsi="仿宋" w:eastAsia="仿宋" w:cs="仿宋"/>
          <w:b/>
          <w:sz w:val="24"/>
        </w:rPr>
      </w:pPr>
      <w:r>
        <w:rPr>
          <w:rFonts w:hint="eastAsia" w:ascii="仿宋" w:hAnsi="仿宋" w:eastAsia="仿宋" w:cs="仿宋"/>
          <w:b/>
          <w:sz w:val="24"/>
        </w:rPr>
        <w:t xml:space="preserve">                                                                                        </w:t>
      </w:r>
    </w:p>
    <w:p>
      <w:pPr>
        <w:spacing w:line="360" w:lineRule="auto"/>
        <w:jc w:val="right"/>
        <w:rPr>
          <w:rFonts w:ascii="仿宋" w:hAnsi="仿宋" w:eastAsia="仿宋" w:cs="仿宋"/>
          <w:b/>
          <w:szCs w:val="21"/>
        </w:rPr>
      </w:pPr>
      <w:r>
        <w:rPr>
          <w:rFonts w:hint="eastAsia" w:ascii="仿宋" w:hAnsi="仿宋" w:eastAsia="仿宋" w:cs="仿宋"/>
          <w:b/>
          <w:sz w:val="24"/>
        </w:rPr>
        <w:t>2017年6月16日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43B"/>
    <w:multiLevelType w:val="multilevel"/>
    <w:tmpl w:val="01C344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C385A"/>
    <w:rsid w:val="1E367AEB"/>
    <w:rsid w:val="7A4C38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列出段落11"/>
    <w:basedOn w:val="1"/>
    <w:qFormat/>
    <w:uiPriority w:val="0"/>
    <w:pPr>
      <w:widowControl w:val="0"/>
      <w:ind w:firstLine="420" w:firstLineChars="200"/>
      <w:jc w:val="both"/>
    </w:pPr>
    <w:rPr>
      <w:szCs w:val="21"/>
    </w:rPr>
  </w:style>
  <w:style w:type="paragraph" w:customStyle="1" w:styleId="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2017-06-16T00:50:00Z</dcterms:created>
  <dc:creator>24680</dc:creator>
  <cp:lastModifiedBy>24680</cp:lastModifiedBy>
  <dcterms:modified xsi:type="dcterms:W3CDTF">2017-06-16T01:32:05Z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