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440" w:lineRule="exact"/>
        <w:rPr>
          <w:b/>
          <w:bCs/>
        </w:rPr>
      </w:pPr>
      <w:r>
        <w:rPr>
          <w:rFonts w:hint="eastAsia"/>
          <w:b/>
          <w:bCs/>
        </w:rPr>
        <w:t>高温持久试验机/惰性气体保护高温持久试验机技术参数需求</w:t>
      </w:r>
    </w:p>
    <w:p>
      <w:pPr>
        <w:pStyle w:val="5"/>
        <w:rPr>
          <w:rFonts w:hint="eastAsia" w:ascii="宋体" w:hAnsi="宋体" w:eastAsia="宋体" w:cs="宋体"/>
          <w:kern w:val="0"/>
          <w:sz w:val="24"/>
          <w:szCs w:val="24"/>
          <w:lang w:val="en-US" w:eastAsia="zh-CN" w:bidi="ar-SA"/>
        </w:rPr>
      </w:pPr>
    </w:p>
    <w:p>
      <w:pPr>
        <w:pStyle w:val="5"/>
        <w:numPr>
          <w:ilvl w:val="0"/>
          <w:numId w:val="2"/>
        </w:numPr>
        <w:rPr>
          <w:rFonts w:hint="eastAsia" w:ascii="宋体" w:hAnsi="宋体" w:eastAsia="宋体" w:cs="宋体"/>
          <w:b w:val="0"/>
          <w:bCs w:val="0"/>
          <w:kern w:val="0"/>
          <w:sz w:val="24"/>
          <w:szCs w:val="24"/>
          <w:highlight w:val="none"/>
          <w:lang w:val="en-US" w:eastAsia="zh-CN" w:bidi="ar-SA"/>
        </w:rPr>
      </w:pPr>
      <w:r>
        <w:rPr>
          <w:rFonts w:hint="eastAsia" w:ascii="宋体" w:hAnsi="宋体" w:eastAsia="宋体" w:cs="宋体"/>
          <w:b w:val="0"/>
          <w:bCs w:val="0"/>
          <w:kern w:val="0"/>
          <w:sz w:val="24"/>
          <w:szCs w:val="24"/>
          <w:highlight w:val="none"/>
          <w:lang w:val="en-US" w:eastAsia="zh-CN" w:bidi="ar-SA"/>
        </w:rPr>
        <w:t>应用范围：金属材料高温持久实验。</w:t>
      </w:r>
    </w:p>
    <w:p>
      <w:pPr>
        <w:pStyle w:val="5"/>
        <w:numPr>
          <w:ilvl w:val="0"/>
          <w:numId w:val="0"/>
        </w:numPr>
        <w:rPr>
          <w:rFonts w:hint="eastAsia" w:ascii="宋体" w:hAnsi="宋体" w:eastAsia="宋体" w:cs="宋体"/>
          <w:b w:val="0"/>
          <w:bCs w:val="0"/>
          <w:kern w:val="0"/>
          <w:sz w:val="24"/>
          <w:szCs w:val="24"/>
          <w:highlight w:val="none"/>
          <w:lang w:val="en-US" w:eastAsia="zh-CN" w:bidi="ar-SA"/>
        </w:rPr>
      </w:pPr>
    </w:p>
    <w:p>
      <w:pPr>
        <w:spacing w:line="440" w:lineRule="exact"/>
        <w:rPr>
          <w:b w:val="0"/>
          <w:bCs w:val="0"/>
          <w:highlight w:val="none"/>
        </w:rPr>
      </w:pPr>
      <w:r>
        <w:rPr>
          <w:rFonts w:hint="eastAsia"/>
          <w:b w:val="0"/>
          <w:bCs w:val="0"/>
          <w:highlight w:val="none"/>
        </w:rPr>
        <w:t>2.工作条件： 持久试验机适用于专用实验室，实验室温度25±10℃，环境湿度小于60%RH；</w:t>
      </w:r>
    </w:p>
    <w:p>
      <w:pPr>
        <w:spacing w:line="440" w:lineRule="exact"/>
        <w:rPr>
          <w:b w:val="0"/>
          <w:bCs w:val="0"/>
          <w:highlight w:val="none"/>
        </w:rPr>
      </w:pPr>
      <w:r>
        <w:rPr>
          <w:rFonts w:hint="eastAsia"/>
          <w:b w:val="0"/>
          <w:bCs w:val="0"/>
          <w:highlight w:val="none"/>
        </w:rPr>
        <w:t>周围无明显振动试验机或振动源。</w:t>
      </w:r>
    </w:p>
    <w:p>
      <w:pPr>
        <w:spacing w:line="440" w:lineRule="exact"/>
        <w:rPr>
          <w:b w:val="0"/>
          <w:bCs w:val="0"/>
          <w:highlight w:val="none"/>
        </w:rPr>
      </w:pPr>
    </w:p>
    <w:p>
      <w:pPr>
        <w:spacing w:line="440" w:lineRule="exact"/>
        <w:rPr>
          <w:b w:val="0"/>
          <w:bCs w:val="0"/>
          <w:highlight w:val="none"/>
        </w:rPr>
      </w:pPr>
      <w:r>
        <w:rPr>
          <w:rFonts w:hint="eastAsia"/>
          <w:b w:val="0"/>
          <w:bCs w:val="0"/>
          <w:highlight w:val="none"/>
        </w:rPr>
        <w:t xml:space="preserve">3.技术指标 </w:t>
      </w:r>
    </w:p>
    <w:p>
      <w:pPr>
        <w:spacing w:line="440" w:lineRule="exact"/>
        <w:rPr>
          <w:b w:val="0"/>
          <w:bCs w:val="0"/>
          <w:highlight w:val="none"/>
        </w:rPr>
      </w:pPr>
      <w:r>
        <w:rPr>
          <w:rFonts w:hint="eastAsia"/>
          <w:b w:val="0"/>
          <w:bCs w:val="0"/>
          <w:highlight w:val="none"/>
        </w:rPr>
        <w:t>*3.1 最大试验加载力：30kN；</w:t>
      </w:r>
    </w:p>
    <w:p>
      <w:pPr>
        <w:spacing w:line="440" w:lineRule="exact"/>
        <w:rPr>
          <w:b w:val="0"/>
          <w:bCs w:val="0"/>
          <w:highlight w:val="none"/>
        </w:rPr>
      </w:pPr>
      <w:r>
        <w:rPr>
          <w:rFonts w:hint="eastAsia"/>
          <w:b w:val="0"/>
          <w:bCs w:val="0"/>
          <w:highlight w:val="none"/>
        </w:rPr>
        <w:t>#3.2 实验力测量误差：最大误差为实验力示值的0.5%；（需在投标文件中提供第三方检定报告）</w:t>
      </w:r>
    </w:p>
    <w:p>
      <w:pPr>
        <w:spacing w:line="440" w:lineRule="exact"/>
        <w:rPr>
          <w:b w:val="0"/>
          <w:bCs w:val="0"/>
          <w:highlight w:val="none"/>
        </w:rPr>
      </w:pPr>
      <w:r>
        <w:rPr>
          <w:rFonts w:hint="eastAsia"/>
          <w:b w:val="0"/>
          <w:bCs w:val="0"/>
          <w:highlight w:val="none"/>
        </w:rPr>
        <w:t>#3.3 最小加载量：1N；（需在投标文件中提供第三方检定报告）</w:t>
      </w:r>
    </w:p>
    <w:p>
      <w:pPr>
        <w:spacing w:line="440" w:lineRule="exact"/>
        <w:rPr>
          <w:b w:val="0"/>
          <w:bCs w:val="0"/>
          <w:highlight w:val="none"/>
        </w:rPr>
      </w:pPr>
      <w:r>
        <w:rPr>
          <w:rFonts w:hint="eastAsia"/>
          <w:b w:val="0"/>
          <w:bCs w:val="0"/>
          <w:highlight w:val="none"/>
        </w:rPr>
        <w:t>*3.4 实验力范围：0.3kN~最大实验加载力；</w:t>
      </w:r>
    </w:p>
    <w:p>
      <w:pPr>
        <w:spacing w:line="440" w:lineRule="exact"/>
        <w:rPr>
          <w:b w:val="0"/>
          <w:bCs w:val="0"/>
          <w:highlight w:val="none"/>
        </w:rPr>
      </w:pPr>
      <w:r>
        <w:rPr>
          <w:rFonts w:hint="eastAsia"/>
          <w:b w:val="0"/>
          <w:bCs w:val="0"/>
          <w:highlight w:val="none"/>
        </w:rPr>
        <w:t>#3.5 杠杆偏移量：±0.1mm；（需在投标文件中提供第三方检定报告）</w:t>
      </w:r>
    </w:p>
    <w:p>
      <w:pPr>
        <w:spacing w:line="440" w:lineRule="exact"/>
        <w:rPr>
          <w:b w:val="0"/>
          <w:bCs w:val="0"/>
          <w:highlight w:val="none"/>
        </w:rPr>
      </w:pPr>
      <w:r>
        <w:rPr>
          <w:rFonts w:hint="eastAsia"/>
          <w:b w:val="0"/>
          <w:bCs w:val="0"/>
          <w:highlight w:val="none"/>
        </w:rPr>
        <w:t>#3.6 同轴度：国标≤8%或美标≤10%；（需在投标文件中提供第三方检定报告）</w:t>
      </w:r>
    </w:p>
    <w:p>
      <w:pPr>
        <w:spacing w:line="440" w:lineRule="exact"/>
        <w:rPr>
          <w:b w:val="0"/>
          <w:bCs w:val="0"/>
          <w:highlight w:val="none"/>
        </w:rPr>
      </w:pPr>
      <w:r>
        <w:rPr>
          <w:rFonts w:hint="eastAsia"/>
          <w:b w:val="0"/>
          <w:bCs w:val="0"/>
          <w:highlight w:val="none"/>
        </w:rPr>
        <w:t>*3.7 下拉杆行程：≥250mm；</w:t>
      </w:r>
    </w:p>
    <w:p>
      <w:pPr>
        <w:spacing w:line="440" w:lineRule="exact"/>
        <w:rPr>
          <w:b w:val="0"/>
          <w:bCs w:val="0"/>
          <w:highlight w:val="none"/>
        </w:rPr>
      </w:pPr>
      <w:r>
        <w:rPr>
          <w:rFonts w:hint="eastAsia"/>
          <w:b w:val="0"/>
          <w:bCs w:val="0"/>
          <w:highlight w:val="none"/>
        </w:rPr>
        <w:t>3.8 杠杆级数：1级；</w:t>
      </w:r>
    </w:p>
    <w:p>
      <w:pPr>
        <w:spacing w:line="440" w:lineRule="exact"/>
        <w:rPr>
          <w:b w:val="0"/>
          <w:bCs w:val="0"/>
          <w:highlight w:val="none"/>
        </w:rPr>
      </w:pPr>
      <w:r>
        <w:rPr>
          <w:rFonts w:hint="eastAsia"/>
          <w:b w:val="0"/>
          <w:bCs w:val="0"/>
          <w:highlight w:val="none"/>
        </w:rPr>
        <w:t>3.9 高温炉：对开门式，不锈钢外壳；</w:t>
      </w:r>
    </w:p>
    <w:p>
      <w:pPr>
        <w:spacing w:line="440" w:lineRule="exact"/>
        <w:rPr>
          <w:b w:val="0"/>
          <w:bCs w:val="0"/>
          <w:highlight w:val="none"/>
        </w:rPr>
      </w:pPr>
      <w:r>
        <w:rPr>
          <w:rFonts w:hint="eastAsia"/>
          <w:b w:val="0"/>
          <w:bCs w:val="0"/>
          <w:highlight w:val="none"/>
        </w:rPr>
        <w:t>#3.9.1 三段式加热，可独立控温；针对微小试样，可进行两段三段切换控制；</w:t>
      </w:r>
    </w:p>
    <w:p>
      <w:pPr>
        <w:spacing w:line="440" w:lineRule="exact"/>
        <w:rPr>
          <w:b w:val="0"/>
          <w:bCs w:val="0"/>
          <w:highlight w:val="none"/>
        </w:rPr>
      </w:pPr>
      <w:r>
        <w:rPr>
          <w:rFonts w:hint="eastAsia"/>
          <w:b w:val="0"/>
          <w:bCs w:val="0"/>
          <w:highlight w:val="none"/>
        </w:rPr>
        <w:t>*3.9.2 针对超长时试验，具有保证温度精度的巡检系统。巡检系统设置三个控温三个测温共六个测点；</w:t>
      </w:r>
    </w:p>
    <w:p>
      <w:pPr>
        <w:spacing w:line="440" w:lineRule="exact"/>
        <w:rPr>
          <w:b w:val="0"/>
          <w:bCs w:val="0"/>
          <w:highlight w:val="none"/>
        </w:rPr>
      </w:pPr>
      <w:r>
        <w:rPr>
          <w:rFonts w:hint="eastAsia"/>
          <w:b w:val="0"/>
          <w:bCs w:val="0"/>
          <w:highlight w:val="none"/>
        </w:rPr>
        <w:t>#3.9.2 炉温控制满足GB/T 2039-2012的要求，即规定温度T与显示温度T</w:t>
      </w:r>
      <w:r>
        <w:rPr>
          <w:rFonts w:hint="eastAsia"/>
          <w:b w:val="0"/>
          <w:bCs w:val="0"/>
          <w:highlight w:val="none"/>
          <w:vertAlign w:val="subscript"/>
        </w:rPr>
        <w:t>i</w:t>
      </w:r>
      <w:r>
        <w:rPr>
          <w:rFonts w:hint="eastAsia"/>
          <w:b w:val="0"/>
          <w:bCs w:val="0"/>
          <w:highlight w:val="none"/>
        </w:rPr>
        <w:t>之间的允许偏差和试样长度方向上的最大偏差如下表所示，需提供相应的检定证书或测试报告：</w:t>
      </w:r>
    </w:p>
    <w:tbl>
      <w:tblPr>
        <w:tblStyle w:val="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2891"/>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959" w:type="dxa"/>
            <w:vAlign w:val="center"/>
          </w:tcPr>
          <w:p>
            <w:pPr>
              <w:spacing w:line="440" w:lineRule="exact"/>
              <w:jc w:val="center"/>
              <w:rPr>
                <w:b w:val="0"/>
                <w:bCs w:val="0"/>
                <w:highlight w:val="none"/>
              </w:rPr>
            </w:pPr>
            <w:r>
              <w:rPr>
                <w:rFonts w:hint="eastAsia"/>
                <w:b w:val="0"/>
                <w:bCs w:val="0"/>
                <w:highlight w:val="none"/>
              </w:rPr>
              <w:t>规定温度T，℃</w:t>
            </w:r>
          </w:p>
        </w:tc>
        <w:tc>
          <w:tcPr>
            <w:tcW w:w="2891" w:type="dxa"/>
            <w:vAlign w:val="center"/>
          </w:tcPr>
          <w:p>
            <w:pPr>
              <w:spacing w:line="440" w:lineRule="exact"/>
              <w:jc w:val="center"/>
              <w:rPr>
                <w:b w:val="0"/>
                <w:bCs w:val="0"/>
                <w:highlight w:val="none"/>
              </w:rPr>
            </w:pPr>
            <w:r>
              <w:rPr>
                <w:rFonts w:hint="eastAsia"/>
                <w:b w:val="0"/>
                <w:bCs w:val="0"/>
                <w:highlight w:val="none"/>
              </w:rPr>
              <w:t>T</w:t>
            </w:r>
            <w:r>
              <w:rPr>
                <w:rFonts w:hint="eastAsia"/>
                <w:b w:val="0"/>
                <w:bCs w:val="0"/>
                <w:highlight w:val="none"/>
                <w:vertAlign w:val="subscript"/>
              </w:rPr>
              <w:t>i</w:t>
            </w:r>
            <w:r>
              <w:rPr>
                <w:rFonts w:hint="eastAsia"/>
                <w:b w:val="0"/>
                <w:bCs w:val="0"/>
                <w:highlight w:val="none"/>
              </w:rPr>
              <w:t>与T的允许偏差，℃</w:t>
            </w:r>
          </w:p>
        </w:tc>
        <w:tc>
          <w:tcPr>
            <w:tcW w:w="4551" w:type="dxa"/>
            <w:vAlign w:val="center"/>
          </w:tcPr>
          <w:p>
            <w:pPr>
              <w:spacing w:line="440" w:lineRule="exact"/>
              <w:jc w:val="center"/>
              <w:rPr>
                <w:b w:val="0"/>
                <w:bCs w:val="0"/>
                <w:highlight w:val="none"/>
              </w:rPr>
            </w:pPr>
            <w:r>
              <w:rPr>
                <w:rFonts w:hint="eastAsia"/>
                <w:b w:val="0"/>
                <w:bCs w:val="0"/>
                <w:highlight w:val="none"/>
              </w:rPr>
              <w:t>试样长度方向上允许的最大温度偏差，℃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959" w:type="dxa"/>
            <w:vAlign w:val="center"/>
          </w:tcPr>
          <w:p>
            <w:pPr>
              <w:spacing w:line="440" w:lineRule="exact"/>
              <w:jc w:val="center"/>
              <w:rPr>
                <w:b w:val="0"/>
                <w:bCs w:val="0"/>
                <w:highlight w:val="none"/>
              </w:rPr>
            </w:pPr>
            <w:r>
              <w:rPr>
                <w:rFonts w:hint="eastAsia"/>
                <w:b w:val="0"/>
                <w:bCs w:val="0"/>
                <w:highlight w:val="none"/>
              </w:rPr>
              <w:t>300≤T≤1100℃</w:t>
            </w:r>
          </w:p>
        </w:tc>
        <w:tc>
          <w:tcPr>
            <w:tcW w:w="2891" w:type="dxa"/>
            <w:vAlign w:val="center"/>
          </w:tcPr>
          <w:p>
            <w:pPr>
              <w:spacing w:line="440" w:lineRule="exact"/>
              <w:jc w:val="center"/>
              <w:rPr>
                <w:b w:val="0"/>
                <w:bCs w:val="0"/>
                <w:highlight w:val="none"/>
              </w:rPr>
            </w:pPr>
            <w:r>
              <w:rPr>
                <w:rFonts w:hint="eastAsia"/>
                <w:b w:val="0"/>
                <w:bCs w:val="0"/>
                <w:highlight w:val="none"/>
              </w:rPr>
              <w:t>±3</w:t>
            </w:r>
          </w:p>
        </w:tc>
        <w:tc>
          <w:tcPr>
            <w:tcW w:w="4551" w:type="dxa"/>
            <w:vAlign w:val="center"/>
          </w:tcPr>
          <w:p>
            <w:pPr>
              <w:spacing w:line="440" w:lineRule="exact"/>
              <w:jc w:val="center"/>
              <w:rPr>
                <w:b w:val="0"/>
                <w:bCs w:val="0"/>
                <w:highlight w:val="none"/>
              </w:rPr>
            </w:pPr>
            <w:r>
              <w:rPr>
                <w:rFonts w:hint="eastAsia"/>
                <w:b w:val="0"/>
                <w:bCs w:val="0"/>
                <w:highlight w:val="none"/>
              </w:rPr>
              <w:t>±3</w:t>
            </w:r>
          </w:p>
        </w:tc>
      </w:tr>
    </w:tbl>
    <w:p>
      <w:pPr>
        <w:spacing w:line="440" w:lineRule="exact"/>
        <w:rPr>
          <w:b w:val="0"/>
          <w:bCs w:val="0"/>
          <w:highlight w:val="none"/>
        </w:rPr>
      </w:pPr>
      <w:r>
        <w:rPr>
          <w:rFonts w:hint="eastAsia"/>
          <w:b w:val="0"/>
          <w:bCs w:val="0"/>
          <w:highlight w:val="none"/>
        </w:rPr>
        <w:t>#3.9.3试验机需随机器集成设置三块进口温控仪表，仪表等级为0.1级。（需在投标文件中提供第三方检定报告）；</w:t>
      </w:r>
    </w:p>
    <w:p>
      <w:pPr>
        <w:spacing w:line="440" w:lineRule="exact"/>
        <w:rPr>
          <w:b w:val="0"/>
          <w:bCs w:val="0"/>
          <w:highlight w:val="none"/>
        </w:rPr>
      </w:pPr>
      <w:r>
        <w:rPr>
          <w:rFonts w:hint="eastAsia"/>
          <w:b w:val="0"/>
          <w:bCs w:val="0"/>
          <w:highlight w:val="none"/>
        </w:rPr>
        <w:t>*3.9.4 高温炉工作温度：300~1100℃；</w:t>
      </w:r>
    </w:p>
    <w:p>
      <w:pPr>
        <w:spacing w:line="440" w:lineRule="exact"/>
        <w:rPr>
          <w:b w:val="0"/>
          <w:bCs w:val="0"/>
          <w:highlight w:val="none"/>
        </w:rPr>
      </w:pPr>
      <w:r>
        <w:rPr>
          <w:rFonts w:hint="eastAsia"/>
          <w:b w:val="0"/>
          <w:bCs w:val="0"/>
          <w:highlight w:val="none"/>
        </w:rPr>
        <w:t>#3.9.5 高温炉均热带长度：≥200mm；（需在投标文件中提供第三方检定报告）</w:t>
      </w:r>
    </w:p>
    <w:p>
      <w:pPr>
        <w:spacing w:line="440" w:lineRule="exact"/>
        <w:rPr>
          <w:b w:val="0"/>
          <w:bCs w:val="0"/>
          <w:highlight w:val="none"/>
        </w:rPr>
      </w:pPr>
      <w:r>
        <w:rPr>
          <w:rFonts w:hint="eastAsia"/>
          <w:b w:val="0"/>
          <w:bCs w:val="0"/>
          <w:highlight w:val="none"/>
        </w:rPr>
        <w:t>*3.9.6 控温热电偶：S级（有检定证书）；</w:t>
      </w:r>
    </w:p>
    <w:p>
      <w:pPr>
        <w:spacing w:line="440" w:lineRule="exact"/>
        <w:rPr>
          <w:b w:val="0"/>
          <w:bCs w:val="0"/>
          <w:highlight w:val="none"/>
        </w:rPr>
      </w:pPr>
      <w:r>
        <w:rPr>
          <w:rFonts w:hint="eastAsia"/>
          <w:b w:val="0"/>
          <w:bCs w:val="0"/>
          <w:highlight w:val="none"/>
        </w:rPr>
        <w:t>#3.9.7 温度波动：≤±3℃；（需在投标文件中提供第三方检定报告）</w:t>
      </w:r>
    </w:p>
    <w:p>
      <w:pPr>
        <w:spacing w:line="440" w:lineRule="exact"/>
        <w:rPr>
          <w:b w:val="0"/>
          <w:bCs w:val="0"/>
          <w:highlight w:val="none"/>
        </w:rPr>
      </w:pPr>
      <w:r>
        <w:rPr>
          <w:rFonts w:hint="eastAsia"/>
          <w:b w:val="0"/>
          <w:bCs w:val="0"/>
          <w:highlight w:val="none"/>
        </w:rPr>
        <w:t>#3.9.8 温度梯度：≤3℃；（需在投标文件中提供第三方检定报告）</w:t>
      </w:r>
    </w:p>
    <w:p>
      <w:pPr>
        <w:spacing w:line="440" w:lineRule="exact"/>
        <w:rPr>
          <w:b w:val="0"/>
          <w:bCs w:val="0"/>
          <w:highlight w:val="none"/>
        </w:rPr>
      </w:pPr>
      <w:r>
        <w:rPr>
          <w:rFonts w:hint="eastAsia"/>
          <w:b w:val="0"/>
          <w:bCs w:val="0"/>
          <w:highlight w:val="none"/>
        </w:rPr>
        <w:t>3.9.9 高温炉外壁温度：＜80℃；</w:t>
      </w:r>
    </w:p>
    <w:p>
      <w:pPr>
        <w:spacing w:line="440" w:lineRule="exact"/>
        <w:rPr>
          <w:b w:val="0"/>
          <w:bCs w:val="0"/>
          <w:highlight w:val="none"/>
        </w:rPr>
      </w:pPr>
      <w:r>
        <w:rPr>
          <w:rFonts w:hint="eastAsia"/>
          <w:b w:val="0"/>
          <w:bCs w:val="0"/>
          <w:highlight w:val="none"/>
        </w:rPr>
        <w:t>*3.9.10 高温炉带限位装置，防止长时间使用发生高温炉倾斜、下沉；</w:t>
      </w:r>
    </w:p>
    <w:p>
      <w:pPr>
        <w:spacing w:line="440" w:lineRule="exact"/>
        <w:rPr>
          <w:b w:val="0"/>
          <w:bCs w:val="0"/>
          <w:highlight w:val="none"/>
        </w:rPr>
      </w:pPr>
      <w:r>
        <w:rPr>
          <w:rFonts w:hint="eastAsia"/>
          <w:b w:val="0"/>
          <w:bCs w:val="0"/>
          <w:highlight w:val="none"/>
        </w:rPr>
        <w:t>*3.10真空（充气）保护炉：真空度需≤500Pa；可通惰性气体防止试样高温氧化。</w:t>
      </w:r>
    </w:p>
    <w:p>
      <w:pPr>
        <w:spacing w:line="440" w:lineRule="exact"/>
        <w:rPr>
          <w:b w:val="0"/>
          <w:bCs w:val="0"/>
          <w:highlight w:val="none"/>
        </w:rPr>
      </w:pPr>
      <w:r>
        <w:rPr>
          <w:rFonts w:hint="eastAsia"/>
          <w:b w:val="0"/>
          <w:bCs w:val="0"/>
          <w:highlight w:val="none"/>
        </w:rPr>
        <w:t>*3.10.1加热控制方式：三段电热丝加热，分段控制；</w:t>
      </w:r>
    </w:p>
    <w:p>
      <w:pPr>
        <w:spacing w:line="440" w:lineRule="exact"/>
        <w:rPr>
          <w:b w:val="0"/>
          <w:bCs w:val="0"/>
          <w:highlight w:val="none"/>
        </w:rPr>
      </w:pPr>
      <w:r>
        <w:rPr>
          <w:rFonts w:hint="eastAsia"/>
          <w:b w:val="0"/>
          <w:bCs w:val="0"/>
          <w:highlight w:val="none"/>
        </w:rPr>
        <w:t>3.10.2炉丝直径：Φ1mm；</w:t>
      </w:r>
    </w:p>
    <w:p>
      <w:pPr>
        <w:spacing w:line="440" w:lineRule="exact"/>
        <w:rPr>
          <w:b w:val="0"/>
          <w:bCs w:val="0"/>
          <w:highlight w:val="none"/>
        </w:rPr>
      </w:pPr>
      <w:r>
        <w:rPr>
          <w:rFonts w:hint="eastAsia"/>
          <w:b w:val="0"/>
          <w:bCs w:val="0"/>
          <w:highlight w:val="none"/>
        </w:rPr>
        <w:t>*3.10.3工作温度：300-1000℃；</w:t>
      </w:r>
    </w:p>
    <w:p>
      <w:pPr>
        <w:spacing w:line="440" w:lineRule="exact"/>
        <w:rPr>
          <w:b w:val="0"/>
          <w:bCs w:val="0"/>
          <w:highlight w:val="none"/>
        </w:rPr>
      </w:pPr>
      <w:r>
        <w:rPr>
          <w:rFonts w:hint="eastAsia"/>
          <w:b w:val="0"/>
          <w:bCs w:val="0"/>
          <w:highlight w:val="none"/>
        </w:rPr>
        <w:t>*3.10.4均热带长度：≥200mm；</w:t>
      </w:r>
    </w:p>
    <w:p>
      <w:pPr>
        <w:spacing w:line="440" w:lineRule="exact"/>
        <w:rPr>
          <w:rFonts w:hint="eastAsia" w:eastAsia="宋体"/>
          <w:b w:val="0"/>
          <w:bCs w:val="0"/>
          <w:highlight w:val="none"/>
          <w:lang w:eastAsia="zh-CN"/>
        </w:rPr>
      </w:pPr>
      <w:r>
        <w:rPr>
          <w:rFonts w:hint="eastAsia"/>
          <w:b w:val="0"/>
          <w:bCs w:val="0"/>
          <w:highlight w:val="none"/>
        </w:rPr>
        <w:t>*3.10.6温度范围/温度波动/温度梯度：300-1000℃/±3℃/3</w:t>
      </w:r>
      <w:r>
        <w:rPr>
          <w:rFonts w:hint="eastAsia"/>
          <w:b w:val="0"/>
          <w:bCs w:val="0"/>
          <w:highlight w:val="none"/>
          <w:lang w:eastAsia="zh-CN"/>
        </w:rPr>
        <w:t>；</w:t>
      </w:r>
    </w:p>
    <w:p>
      <w:pPr>
        <w:spacing w:line="440" w:lineRule="exact"/>
        <w:rPr>
          <w:rFonts w:hint="eastAsia" w:eastAsia="宋体"/>
          <w:b w:val="0"/>
          <w:bCs w:val="0"/>
          <w:highlight w:val="none"/>
          <w:lang w:eastAsia="zh-CN"/>
        </w:rPr>
      </w:pPr>
      <w:r>
        <w:rPr>
          <w:rFonts w:hint="eastAsia"/>
          <w:b w:val="0"/>
          <w:bCs w:val="0"/>
          <w:highlight w:val="none"/>
        </w:rPr>
        <w:t>*3.10.7充气内部压力：0.01MPa（表压）</w:t>
      </w:r>
      <w:r>
        <w:rPr>
          <w:rFonts w:hint="eastAsia"/>
          <w:b w:val="0"/>
          <w:bCs w:val="0"/>
          <w:highlight w:val="none"/>
          <w:lang w:eastAsia="zh-CN"/>
        </w:rPr>
        <w:t>；</w:t>
      </w:r>
    </w:p>
    <w:p>
      <w:pPr>
        <w:spacing w:line="440" w:lineRule="exact"/>
        <w:rPr>
          <w:rFonts w:hint="eastAsia" w:eastAsia="宋体"/>
          <w:b w:val="0"/>
          <w:bCs w:val="0"/>
          <w:highlight w:val="none"/>
          <w:lang w:eastAsia="zh-CN"/>
        </w:rPr>
      </w:pPr>
      <w:r>
        <w:rPr>
          <w:rFonts w:hint="eastAsia"/>
          <w:b w:val="0"/>
          <w:bCs w:val="0"/>
          <w:highlight w:val="none"/>
        </w:rPr>
        <w:t>*3.10.8炉体备有惰性气体输入接口</w:t>
      </w:r>
      <w:r>
        <w:rPr>
          <w:rFonts w:hint="eastAsia"/>
          <w:b w:val="0"/>
          <w:bCs w:val="0"/>
          <w:highlight w:val="none"/>
          <w:lang w:eastAsia="zh-CN"/>
        </w:rPr>
        <w:t>；</w:t>
      </w:r>
    </w:p>
    <w:p>
      <w:pPr>
        <w:spacing w:line="440" w:lineRule="exact"/>
        <w:rPr>
          <w:rFonts w:hint="eastAsia" w:eastAsia="宋体"/>
          <w:b w:val="0"/>
          <w:bCs w:val="0"/>
          <w:highlight w:val="none"/>
          <w:lang w:eastAsia="zh-CN"/>
        </w:rPr>
      </w:pPr>
      <w:r>
        <w:rPr>
          <w:rFonts w:hint="eastAsia"/>
          <w:b w:val="0"/>
          <w:bCs w:val="0"/>
          <w:highlight w:val="none"/>
        </w:rPr>
        <w:t>*3.10.9炉体需具有优秀的密封性，可保证40L气体可连续使用一周以上</w:t>
      </w:r>
      <w:r>
        <w:rPr>
          <w:rFonts w:hint="eastAsia"/>
          <w:b w:val="0"/>
          <w:bCs w:val="0"/>
          <w:highlight w:val="none"/>
          <w:lang w:eastAsia="zh-CN"/>
        </w:rPr>
        <w:t>；</w:t>
      </w:r>
    </w:p>
    <w:p>
      <w:pPr>
        <w:spacing w:line="440" w:lineRule="exact"/>
        <w:rPr>
          <w:b w:val="0"/>
          <w:bCs w:val="0"/>
          <w:highlight w:val="none"/>
        </w:rPr>
      </w:pPr>
      <w:r>
        <w:rPr>
          <w:rFonts w:hint="eastAsia"/>
          <w:b w:val="0"/>
          <w:bCs w:val="0"/>
          <w:highlight w:val="none"/>
        </w:rPr>
        <w:t>*3.11 需具备自动、手动两用控制调平功能；</w:t>
      </w:r>
    </w:p>
    <w:p>
      <w:pPr>
        <w:spacing w:line="440" w:lineRule="exact"/>
        <w:rPr>
          <w:rFonts w:hint="eastAsia" w:eastAsia="宋体"/>
          <w:b w:val="0"/>
          <w:bCs w:val="0"/>
          <w:highlight w:val="none"/>
          <w:lang w:eastAsia="zh-CN"/>
        </w:rPr>
      </w:pPr>
      <w:r>
        <w:rPr>
          <w:rFonts w:hint="eastAsia"/>
          <w:b w:val="0"/>
          <w:bCs w:val="0"/>
          <w:highlight w:val="none"/>
        </w:rPr>
        <w:t>*3.12配备M12螺纹接头60套；M16螺纹接头55套；配板材试样卡具55套，板材卡具厚度1~5mm；配M8、M10螺纹接头各6套；配管剖条试样卡具3套；均采用DZ22或同等级高温合金</w:t>
      </w:r>
      <w:r>
        <w:rPr>
          <w:rFonts w:hint="eastAsia"/>
          <w:b w:val="0"/>
          <w:bCs w:val="0"/>
          <w:highlight w:val="none"/>
          <w:lang w:eastAsia="zh-CN"/>
        </w:rPr>
        <w:t>；</w:t>
      </w:r>
    </w:p>
    <w:p>
      <w:pPr>
        <w:spacing w:line="440" w:lineRule="exact"/>
        <w:rPr>
          <w:b w:val="0"/>
          <w:bCs w:val="0"/>
          <w:highlight w:val="none"/>
        </w:rPr>
      </w:pPr>
      <w:r>
        <w:rPr>
          <w:rFonts w:hint="eastAsia"/>
          <w:b w:val="0"/>
          <w:bCs w:val="0"/>
          <w:highlight w:val="none"/>
        </w:rPr>
        <w:t>*3.13 炉内卡具选择DZ22或同等级高温合金，炉外高温拉杆采用K465或同等级高温合金；</w:t>
      </w:r>
    </w:p>
    <w:p>
      <w:pPr>
        <w:spacing w:line="440" w:lineRule="exact"/>
        <w:rPr>
          <w:b w:val="0"/>
          <w:bCs w:val="0"/>
          <w:highlight w:val="none"/>
        </w:rPr>
      </w:pPr>
      <w:r>
        <w:rPr>
          <w:rFonts w:hint="eastAsia"/>
          <w:b w:val="0"/>
          <w:bCs w:val="0"/>
          <w:highlight w:val="none"/>
        </w:rPr>
        <w:t>*3.14 采用PLC控制系统，能够实现独立试验、脱机恢复、断电恢复、数据存储等功能，能够具备变形、力值采集能力，外设操作手柄或控制器，可便捷操作PLC系统；</w:t>
      </w:r>
    </w:p>
    <w:p>
      <w:pPr>
        <w:spacing w:line="440" w:lineRule="exact"/>
        <w:rPr>
          <w:b w:val="0"/>
          <w:bCs w:val="0"/>
          <w:highlight w:val="none"/>
        </w:rPr>
      </w:pPr>
      <w:r>
        <w:rPr>
          <w:rFonts w:hint="eastAsia"/>
          <w:b w:val="0"/>
          <w:bCs w:val="0"/>
          <w:highlight w:val="none"/>
        </w:rPr>
        <w:t>*3.15 较高的自动化水平，在安装好试样、砝码后，设置好试验参数，设备可自动进行加温、保温、加载、记录等工作，实验结束后自动切断加热电源并进行降温、卸载、停止数据记录等操作；</w:t>
      </w:r>
    </w:p>
    <w:p>
      <w:pPr>
        <w:adjustRightInd w:val="0"/>
        <w:snapToGrid w:val="0"/>
        <w:spacing w:line="440" w:lineRule="exact"/>
        <w:rPr>
          <w:b w:val="0"/>
          <w:bCs w:val="0"/>
          <w:highlight w:val="none"/>
        </w:rPr>
      </w:pPr>
      <w:r>
        <w:rPr>
          <w:rFonts w:hint="eastAsia"/>
          <w:b w:val="0"/>
          <w:bCs w:val="0"/>
          <w:highlight w:val="none"/>
        </w:rPr>
        <w:t>*3.16 缓冲装置：试样断裂时，砝码自由落下，经过缓冲装置的缓冲作用，使砝码平稳地降落在砝码托盘上，避免砝码对机器的冲击和伤害；</w:t>
      </w:r>
    </w:p>
    <w:p>
      <w:pPr>
        <w:adjustRightInd w:val="0"/>
        <w:snapToGrid w:val="0"/>
        <w:spacing w:line="440" w:lineRule="exact"/>
        <w:rPr>
          <w:b w:val="0"/>
          <w:bCs w:val="0"/>
          <w:highlight w:val="none"/>
        </w:rPr>
      </w:pPr>
      <w:r>
        <w:rPr>
          <w:rFonts w:hint="eastAsia"/>
          <w:b w:val="0"/>
          <w:bCs w:val="0"/>
          <w:highlight w:val="none"/>
        </w:rPr>
        <w:t>*3.17 UPS电源：试验机设置蓄电池式UPS电源，满足为55台持久试验机提供2小时电量能力，5台高温惰性气氛保护持久试验机设备提供2小时电量能力。环保要求不接受柴油发电机，电池配备锂电池；</w:t>
      </w:r>
    </w:p>
    <w:p>
      <w:pPr>
        <w:spacing w:line="440" w:lineRule="exact"/>
        <w:rPr>
          <w:b w:val="0"/>
          <w:bCs w:val="0"/>
          <w:highlight w:val="none"/>
        </w:rPr>
      </w:pPr>
      <w:r>
        <w:rPr>
          <w:rFonts w:hint="eastAsia"/>
          <w:b w:val="0"/>
          <w:bCs w:val="0"/>
          <w:highlight w:val="none"/>
        </w:rPr>
        <w:t>*3.18每20~25台试验机使用2组工作站系统，两组分别记录，防止一组机器死机造成数据丢失，并有一台单独用于进行数据处理。共需7台工作站系统；</w:t>
      </w:r>
    </w:p>
    <w:p>
      <w:pPr>
        <w:spacing w:line="440" w:lineRule="exact"/>
        <w:rPr>
          <w:rFonts w:hint="eastAsia" w:eastAsia="宋体"/>
          <w:b w:val="0"/>
          <w:bCs w:val="0"/>
          <w:highlight w:val="none"/>
          <w:lang w:eastAsia="zh-CN"/>
        </w:rPr>
      </w:pPr>
      <w:r>
        <w:rPr>
          <w:rFonts w:hint="eastAsia"/>
          <w:b w:val="0"/>
          <w:bCs w:val="0"/>
          <w:highlight w:val="none"/>
        </w:rPr>
        <w:t>*3.18.1 工作站配置：处理器：i7；内存：16G及以上； 正版Windows7 64位操作系统及正版office 2007及以上软件；256G及以上固态系统盘一个，1T及以上容量硬盘一个；27寸液晶显示器</w:t>
      </w:r>
      <w:r>
        <w:rPr>
          <w:rFonts w:hint="eastAsia"/>
          <w:b w:val="0"/>
          <w:bCs w:val="0"/>
          <w:highlight w:val="none"/>
          <w:lang w:eastAsia="zh-CN"/>
        </w:rPr>
        <w:t>；</w:t>
      </w:r>
    </w:p>
    <w:p>
      <w:pPr>
        <w:spacing w:line="440" w:lineRule="exact"/>
        <w:rPr>
          <w:b w:val="0"/>
          <w:bCs w:val="0"/>
          <w:highlight w:val="none"/>
        </w:rPr>
      </w:pPr>
      <w:r>
        <w:rPr>
          <w:rFonts w:hint="eastAsia"/>
          <w:b w:val="0"/>
          <w:bCs w:val="0"/>
          <w:highlight w:val="none"/>
        </w:rPr>
        <w:t>*3.19配备短信报警器3套，要求内容包括发生异常的仪器编号、异常情况类型、已进行实验时间等；</w:t>
      </w:r>
    </w:p>
    <w:p>
      <w:pPr>
        <w:spacing w:line="440" w:lineRule="exact"/>
        <w:rPr>
          <w:b w:val="0"/>
          <w:bCs w:val="0"/>
          <w:highlight w:val="none"/>
        </w:rPr>
      </w:pPr>
      <w:r>
        <w:rPr>
          <w:rFonts w:hint="eastAsia"/>
          <w:b w:val="0"/>
          <w:bCs w:val="0"/>
          <w:highlight w:val="none"/>
        </w:rPr>
        <w:t>*3.20 控制室配备3台液晶大屏幕，屏幕尺寸≥65寸；</w:t>
      </w:r>
    </w:p>
    <w:p>
      <w:pPr>
        <w:spacing w:line="440" w:lineRule="exact"/>
        <w:rPr>
          <w:rFonts w:hint="eastAsia" w:eastAsia="宋体"/>
          <w:b w:val="0"/>
          <w:bCs w:val="0"/>
          <w:highlight w:val="none"/>
          <w:lang w:eastAsia="zh-CN"/>
        </w:rPr>
      </w:pPr>
      <w:r>
        <w:rPr>
          <w:rFonts w:hint="eastAsia"/>
          <w:b w:val="0"/>
          <w:bCs w:val="0"/>
          <w:highlight w:val="none"/>
        </w:rPr>
        <w:t>*3.21 试验机经过国家相应检测机构检测并附带与投标产品型号一致的测试报告或检定证书，检定参数包括：温度、力、同轴度、砝码</w:t>
      </w:r>
      <w:r>
        <w:rPr>
          <w:rFonts w:hint="eastAsia"/>
          <w:b w:val="0"/>
          <w:bCs w:val="0"/>
          <w:highlight w:val="none"/>
          <w:lang w:eastAsia="zh-CN"/>
        </w:rPr>
        <w:t>；</w:t>
      </w:r>
    </w:p>
    <w:p>
      <w:pPr>
        <w:spacing w:line="440" w:lineRule="exact"/>
        <w:rPr>
          <w:b w:val="0"/>
          <w:bCs w:val="0"/>
          <w:highlight w:val="none"/>
        </w:rPr>
      </w:pPr>
      <w:r>
        <w:rPr>
          <w:rFonts w:hint="eastAsia"/>
          <w:b w:val="0"/>
          <w:bCs w:val="0"/>
          <w:highlight w:val="none"/>
        </w:rPr>
        <w:t>*3.22 工作站软件可实现自动监控，并可进行应力-时间、温度-时间、变形量-时间等监测和曲线输出，多组数据导入软件可自动进行拟合，软件够实现两种标准的试验数据外推；</w:t>
      </w:r>
    </w:p>
    <w:p>
      <w:pPr>
        <w:spacing w:line="440" w:lineRule="exact"/>
        <w:rPr>
          <w:b w:val="0"/>
          <w:bCs w:val="0"/>
          <w:highlight w:val="none"/>
        </w:rPr>
      </w:pPr>
      <w:r>
        <w:rPr>
          <w:rFonts w:hint="eastAsia"/>
          <w:b w:val="0"/>
          <w:bCs w:val="0"/>
          <w:highlight w:val="none"/>
        </w:rPr>
        <w:t>3.23 试验机与电脑数据导出为EXCEL格式；</w:t>
      </w:r>
    </w:p>
    <w:p>
      <w:pPr>
        <w:spacing w:line="440" w:lineRule="exact"/>
        <w:rPr>
          <w:b w:val="0"/>
          <w:bCs w:val="0"/>
          <w:highlight w:val="none"/>
        </w:rPr>
      </w:pPr>
      <w:r>
        <w:rPr>
          <w:rFonts w:hint="eastAsia"/>
          <w:b w:val="0"/>
          <w:bCs w:val="0"/>
          <w:highlight w:val="none"/>
        </w:rPr>
        <w:t>*3.24 数据处理软件具备数据统计分析功能，及智能化升级的功能。</w:t>
      </w:r>
    </w:p>
    <w:p>
      <w:pPr>
        <w:spacing w:line="440" w:lineRule="exact"/>
        <w:rPr>
          <w:b w:val="0"/>
          <w:bCs w:val="0"/>
          <w:highlight w:val="none"/>
        </w:rPr>
      </w:pPr>
    </w:p>
    <w:p>
      <w:pPr>
        <w:spacing w:line="440" w:lineRule="exact"/>
        <w:rPr>
          <w:b w:val="0"/>
          <w:bCs w:val="0"/>
          <w:highlight w:val="none"/>
        </w:rPr>
      </w:pPr>
      <w:r>
        <w:rPr>
          <w:rFonts w:hint="eastAsia"/>
          <w:b w:val="0"/>
          <w:bCs w:val="0"/>
          <w:highlight w:val="none"/>
        </w:rPr>
        <w:t>*4. 产品配置要求（配置部分必须全部满足）：</w:t>
      </w:r>
    </w:p>
    <w:p>
      <w:pPr>
        <w:spacing w:line="440" w:lineRule="exact"/>
        <w:rPr>
          <w:b w:val="0"/>
          <w:bCs w:val="0"/>
          <w:highlight w:val="none"/>
        </w:rPr>
      </w:pPr>
      <w:r>
        <w:rPr>
          <w:rFonts w:hint="eastAsia"/>
          <w:b w:val="0"/>
          <w:bCs w:val="0"/>
          <w:highlight w:val="none"/>
        </w:rPr>
        <w:t>1）3t持久试验机55台，3t惰性气氛保护高温持久试验机5台；</w:t>
      </w:r>
    </w:p>
    <w:p>
      <w:pPr>
        <w:spacing w:line="440" w:lineRule="exact"/>
        <w:rPr>
          <w:b w:val="0"/>
          <w:bCs w:val="0"/>
          <w:highlight w:val="none"/>
        </w:rPr>
      </w:pPr>
      <w:r>
        <w:rPr>
          <w:rFonts w:hint="eastAsia"/>
          <w:b w:val="0"/>
          <w:bCs w:val="0"/>
          <w:highlight w:val="none"/>
        </w:rPr>
        <w:t>2）配备M12螺纹接头60套；M16螺纹接头55套；配板材试样卡具55套，板材卡具厚度1~5mm；配M8、M10螺纹接头各6套；配管剖条试样卡具3套；均采用DZ22或同等级高温合金；</w:t>
      </w:r>
    </w:p>
    <w:p>
      <w:pPr>
        <w:spacing w:line="440" w:lineRule="exact"/>
        <w:rPr>
          <w:b w:val="0"/>
          <w:bCs w:val="0"/>
          <w:highlight w:val="none"/>
        </w:rPr>
      </w:pPr>
      <w:r>
        <w:rPr>
          <w:rFonts w:hint="eastAsia"/>
          <w:b w:val="0"/>
          <w:bCs w:val="0"/>
          <w:highlight w:val="none"/>
        </w:rPr>
        <w:t>3）高温炉55台，真空（充气）高温炉5台（含充气管路）；</w:t>
      </w:r>
    </w:p>
    <w:p>
      <w:pPr>
        <w:spacing w:line="440" w:lineRule="exact"/>
        <w:rPr>
          <w:b w:val="0"/>
          <w:bCs w:val="0"/>
          <w:highlight w:val="none"/>
        </w:rPr>
      </w:pPr>
      <w:r>
        <w:rPr>
          <w:rFonts w:hint="eastAsia"/>
          <w:b w:val="0"/>
          <w:bCs w:val="0"/>
          <w:highlight w:val="none"/>
        </w:rPr>
        <w:t>4）温控仪表60套；</w:t>
      </w:r>
    </w:p>
    <w:p>
      <w:pPr>
        <w:spacing w:line="440" w:lineRule="exact"/>
        <w:rPr>
          <w:b w:val="0"/>
          <w:bCs w:val="0"/>
          <w:highlight w:val="none"/>
        </w:rPr>
      </w:pPr>
      <w:r>
        <w:rPr>
          <w:rFonts w:hint="eastAsia"/>
          <w:b w:val="0"/>
          <w:bCs w:val="0"/>
          <w:highlight w:val="none"/>
        </w:rPr>
        <w:t>5）φ0.5*800热电偶S型195支 (需附计量报告)；</w:t>
      </w:r>
    </w:p>
    <w:p>
      <w:pPr>
        <w:spacing w:line="440" w:lineRule="exact"/>
        <w:rPr>
          <w:b w:val="0"/>
          <w:bCs w:val="0"/>
          <w:highlight w:val="none"/>
        </w:rPr>
      </w:pPr>
      <w:r>
        <w:rPr>
          <w:rFonts w:hint="eastAsia"/>
          <w:b w:val="0"/>
          <w:bCs w:val="0"/>
          <w:highlight w:val="none"/>
        </w:rPr>
        <w:t>6）30kN力传感器 60支；（用于智能系统升级）</w:t>
      </w:r>
    </w:p>
    <w:p>
      <w:pPr>
        <w:spacing w:line="440" w:lineRule="exact"/>
        <w:rPr>
          <w:b w:val="0"/>
          <w:bCs w:val="0"/>
          <w:highlight w:val="none"/>
        </w:rPr>
      </w:pPr>
      <w:r>
        <w:rPr>
          <w:rFonts w:hint="eastAsia"/>
          <w:b w:val="0"/>
          <w:bCs w:val="0"/>
          <w:highlight w:val="none"/>
        </w:rPr>
        <w:t>7）工作站系统7套，配27寸显示器及桌椅；</w:t>
      </w:r>
    </w:p>
    <w:p>
      <w:pPr>
        <w:spacing w:line="440" w:lineRule="exact"/>
        <w:rPr>
          <w:b w:val="0"/>
          <w:bCs w:val="0"/>
          <w:highlight w:val="none"/>
        </w:rPr>
      </w:pPr>
      <w:r>
        <w:rPr>
          <w:rFonts w:hint="eastAsia"/>
          <w:b w:val="0"/>
          <w:bCs w:val="0"/>
          <w:highlight w:val="none"/>
        </w:rPr>
        <w:t>8）实验室≥65寸液晶显示屏3台；</w:t>
      </w:r>
    </w:p>
    <w:p>
      <w:pPr>
        <w:spacing w:line="440" w:lineRule="exact"/>
        <w:rPr>
          <w:b w:val="0"/>
          <w:bCs w:val="0"/>
          <w:highlight w:val="none"/>
        </w:rPr>
      </w:pPr>
      <w:r>
        <w:rPr>
          <w:rFonts w:hint="eastAsia"/>
          <w:b w:val="0"/>
          <w:bCs w:val="0"/>
          <w:highlight w:val="none"/>
        </w:rPr>
        <w:t>9）试验机专用工具3套；</w:t>
      </w:r>
    </w:p>
    <w:p>
      <w:pPr>
        <w:spacing w:line="440" w:lineRule="exact"/>
        <w:rPr>
          <w:b w:val="0"/>
          <w:bCs w:val="0"/>
          <w:highlight w:val="none"/>
        </w:rPr>
      </w:pPr>
      <w:r>
        <w:rPr>
          <w:rFonts w:hint="eastAsia"/>
          <w:b w:val="0"/>
          <w:bCs w:val="0"/>
          <w:highlight w:val="none"/>
        </w:rPr>
        <w:t>10）UPS不间断电源（锂电池式）；</w:t>
      </w:r>
    </w:p>
    <w:p>
      <w:pPr>
        <w:spacing w:line="440" w:lineRule="exact"/>
        <w:rPr>
          <w:b w:val="0"/>
          <w:bCs w:val="0"/>
          <w:highlight w:val="none"/>
        </w:rPr>
      </w:pPr>
      <w:r>
        <w:rPr>
          <w:rFonts w:hint="eastAsia"/>
          <w:b w:val="0"/>
          <w:bCs w:val="0"/>
          <w:highlight w:val="none"/>
        </w:rPr>
        <w:t>11）软件及备份光盘，7套；</w:t>
      </w:r>
    </w:p>
    <w:p>
      <w:pPr>
        <w:spacing w:line="440" w:lineRule="exact"/>
        <w:rPr>
          <w:b w:val="0"/>
          <w:bCs w:val="0"/>
          <w:highlight w:val="none"/>
        </w:rPr>
      </w:pPr>
      <w:r>
        <w:rPr>
          <w:rFonts w:hint="eastAsia"/>
          <w:b w:val="0"/>
          <w:bCs w:val="0"/>
          <w:highlight w:val="none"/>
        </w:rPr>
        <w:t>12）短信报警装置3套；</w:t>
      </w:r>
    </w:p>
    <w:p>
      <w:pPr>
        <w:spacing w:line="440" w:lineRule="exact"/>
        <w:rPr>
          <w:b w:val="0"/>
          <w:bCs w:val="0"/>
          <w:highlight w:val="none"/>
        </w:rPr>
      </w:pPr>
      <w:r>
        <w:rPr>
          <w:rFonts w:hint="eastAsia"/>
          <w:b w:val="0"/>
          <w:bCs w:val="0"/>
          <w:highlight w:val="none"/>
        </w:rPr>
        <w:t>13）现场安装设备用到的线槽、导线等若干。</w:t>
      </w:r>
    </w:p>
    <w:p>
      <w:pPr>
        <w:spacing w:line="440" w:lineRule="exact"/>
        <w:rPr>
          <w:b w:val="0"/>
          <w:bCs w:val="0"/>
          <w:highlight w:val="none"/>
        </w:rPr>
      </w:pPr>
      <w:r>
        <w:rPr>
          <w:rFonts w:hint="eastAsia"/>
          <w:b w:val="0"/>
          <w:bCs w:val="0"/>
          <w:highlight w:val="none"/>
        </w:rPr>
        <w:t>14）石棉线、保温石棉等若干，保证3年用量。</w:t>
      </w:r>
    </w:p>
    <w:p>
      <w:pPr>
        <w:spacing w:line="440" w:lineRule="exact"/>
        <w:rPr>
          <w:b w:val="0"/>
          <w:bCs w:val="0"/>
          <w:highlight w:val="none"/>
        </w:rPr>
      </w:pPr>
    </w:p>
    <w:p>
      <w:pPr>
        <w:spacing w:line="440" w:lineRule="exact"/>
        <w:rPr>
          <w:b w:val="0"/>
          <w:bCs w:val="0"/>
          <w:highlight w:val="none"/>
        </w:rPr>
      </w:pPr>
      <w:r>
        <w:rPr>
          <w:rFonts w:hint="eastAsia"/>
          <w:b w:val="0"/>
          <w:bCs w:val="0"/>
          <w:highlight w:val="none"/>
        </w:rPr>
        <w:t xml:space="preserve">5. 技术资料 </w:t>
      </w:r>
    </w:p>
    <w:p>
      <w:pPr>
        <w:spacing w:line="440" w:lineRule="exact"/>
        <w:rPr>
          <w:b w:val="0"/>
          <w:bCs w:val="0"/>
          <w:highlight w:val="none"/>
        </w:rPr>
      </w:pPr>
      <w:r>
        <w:rPr>
          <w:rFonts w:hint="eastAsia"/>
          <w:b w:val="0"/>
          <w:bCs w:val="0"/>
          <w:highlight w:val="none"/>
        </w:rPr>
        <w:t>5.1 使用说明书，包括用户操作手册、维修手册及相关图纸等；</w:t>
      </w:r>
    </w:p>
    <w:p>
      <w:pPr>
        <w:spacing w:line="440" w:lineRule="exact"/>
        <w:rPr>
          <w:b w:val="0"/>
          <w:bCs w:val="0"/>
          <w:highlight w:val="none"/>
        </w:rPr>
      </w:pPr>
      <w:r>
        <w:rPr>
          <w:rFonts w:hint="eastAsia"/>
          <w:b w:val="0"/>
          <w:bCs w:val="0"/>
          <w:highlight w:val="none"/>
        </w:rPr>
        <w:t>*5.2 产品合格证、操作维护说明书等；</w:t>
      </w:r>
    </w:p>
    <w:p>
      <w:pPr>
        <w:spacing w:line="440" w:lineRule="exact"/>
        <w:rPr>
          <w:b w:val="0"/>
          <w:bCs w:val="0"/>
          <w:highlight w:val="none"/>
        </w:rPr>
      </w:pPr>
      <w:r>
        <w:rPr>
          <w:rFonts w:hint="eastAsia"/>
          <w:b w:val="0"/>
          <w:bCs w:val="0"/>
          <w:highlight w:val="none"/>
        </w:rPr>
        <w:t>5.3 装箱清单；</w:t>
      </w:r>
    </w:p>
    <w:p>
      <w:pPr>
        <w:spacing w:line="440" w:lineRule="exact"/>
        <w:rPr>
          <w:b w:val="0"/>
          <w:bCs w:val="0"/>
          <w:highlight w:val="none"/>
        </w:rPr>
      </w:pPr>
      <w:r>
        <w:rPr>
          <w:rFonts w:hint="eastAsia"/>
          <w:b w:val="0"/>
          <w:bCs w:val="0"/>
          <w:highlight w:val="none"/>
        </w:rPr>
        <w:t>*5.4 所投试验机每台均须提供经国家检验检测机构出具的检定证书；</w:t>
      </w:r>
    </w:p>
    <w:p>
      <w:pPr>
        <w:spacing w:line="440" w:lineRule="exact"/>
        <w:rPr>
          <w:b w:val="0"/>
          <w:bCs w:val="0"/>
          <w:highlight w:val="none"/>
        </w:rPr>
      </w:pPr>
      <w:r>
        <w:rPr>
          <w:rFonts w:hint="eastAsia"/>
          <w:b w:val="0"/>
          <w:bCs w:val="0"/>
          <w:highlight w:val="none"/>
        </w:rPr>
        <w:t>*5.5 所投热电偶、高温炉每台均须提供出厂质量证明书及检定证书；</w:t>
      </w:r>
    </w:p>
    <w:p>
      <w:pPr>
        <w:spacing w:line="440" w:lineRule="exact"/>
        <w:rPr>
          <w:b w:val="0"/>
          <w:bCs w:val="0"/>
          <w:highlight w:val="none"/>
        </w:rPr>
      </w:pPr>
      <w:r>
        <w:rPr>
          <w:rFonts w:hint="eastAsia"/>
          <w:b w:val="0"/>
          <w:bCs w:val="0"/>
          <w:highlight w:val="none"/>
        </w:rPr>
        <w:t>*5.6 所投主机每台均须提供温度显示仪表出厂检定证书。</w:t>
      </w:r>
    </w:p>
    <w:p>
      <w:pPr>
        <w:spacing w:line="440" w:lineRule="exact"/>
        <w:rPr>
          <w:b w:val="0"/>
          <w:bCs w:val="0"/>
          <w:highlight w:val="none"/>
        </w:rPr>
      </w:pPr>
    </w:p>
    <w:p>
      <w:pPr>
        <w:spacing w:line="440" w:lineRule="exact"/>
        <w:rPr>
          <w:b w:val="0"/>
          <w:bCs w:val="0"/>
          <w:highlight w:val="none"/>
        </w:rPr>
      </w:pPr>
      <w:r>
        <w:rPr>
          <w:rFonts w:hint="eastAsia"/>
          <w:b w:val="0"/>
          <w:bCs w:val="0"/>
          <w:highlight w:val="none"/>
        </w:rPr>
        <w:t xml:space="preserve">6. 技术服务： </w:t>
      </w:r>
    </w:p>
    <w:p>
      <w:pPr>
        <w:spacing w:line="440" w:lineRule="exact"/>
        <w:rPr>
          <w:b w:val="0"/>
          <w:bCs w:val="0"/>
          <w:highlight w:val="none"/>
        </w:rPr>
      </w:pPr>
      <w:r>
        <w:rPr>
          <w:rFonts w:hint="eastAsia"/>
          <w:b w:val="0"/>
          <w:bCs w:val="0"/>
          <w:highlight w:val="none"/>
        </w:rPr>
        <w:t xml:space="preserve">6.1 设备安装、调试和验收：仪器到达最终用户现场并且实验室条件合格后，在接到用户通知后，中标商需安排有经验的工程技术人员到用户现场安装、调试仪器，按验收指标逐项测试，直至达到验收要求。 </w:t>
      </w:r>
    </w:p>
    <w:p>
      <w:pPr>
        <w:spacing w:line="440" w:lineRule="exact"/>
        <w:rPr>
          <w:b w:val="0"/>
          <w:bCs w:val="0"/>
          <w:highlight w:val="none"/>
        </w:rPr>
      </w:pPr>
      <w:r>
        <w:rPr>
          <w:rFonts w:hint="eastAsia"/>
          <w:b w:val="0"/>
          <w:bCs w:val="0"/>
          <w:highlight w:val="none"/>
        </w:rPr>
        <w:t xml:space="preserve">6.2 技术培训要求 </w:t>
      </w:r>
    </w:p>
    <w:p>
      <w:pPr>
        <w:spacing w:line="440" w:lineRule="exact"/>
        <w:rPr>
          <w:b w:val="0"/>
          <w:bCs w:val="0"/>
          <w:highlight w:val="none"/>
        </w:rPr>
      </w:pPr>
      <w:r>
        <w:rPr>
          <w:rFonts w:hint="eastAsia"/>
          <w:b w:val="0"/>
          <w:bCs w:val="0"/>
          <w:highlight w:val="none"/>
        </w:rPr>
        <w:t xml:space="preserve">6.2.1 安装验收期间，在用户所在地对用户进行不少于10个工作日的仪器操作和日常维护的现场培训。 </w:t>
      </w:r>
    </w:p>
    <w:p>
      <w:pPr>
        <w:spacing w:line="440" w:lineRule="exact"/>
        <w:rPr>
          <w:b w:val="0"/>
          <w:bCs w:val="0"/>
          <w:highlight w:val="none"/>
        </w:rPr>
      </w:pPr>
      <w:r>
        <w:rPr>
          <w:rFonts w:hint="eastAsia"/>
          <w:b w:val="0"/>
          <w:bCs w:val="0"/>
          <w:highlight w:val="none"/>
        </w:rPr>
        <w:t>*6.3 保修期：保修期36个月，自设备验收合格之日起计算，保修期内提供全免费保修。</w:t>
      </w:r>
    </w:p>
    <w:p>
      <w:pPr>
        <w:spacing w:line="440" w:lineRule="exact"/>
        <w:rPr>
          <w:b w:val="0"/>
          <w:bCs w:val="0"/>
          <w:highlight w:val="none"/>
        </w:rPr>
      </w:pPr>
      <w:r>
        <w:rPr>
          <w:rFonts w:hint="eastAsia"/>
          <w:b w:val="0"/>
          <w:bCs w:val="0"/>
          <w:highlight w:val="none"/>
        </w:rPr>
        <w:t>6.4 质量保证期结束后，卖方有责任对买方的设备提供良好的维保服务，并在投标文件中说明指定维保代理人的情况。</w:t>
      </w:r>
    </w:p>
    <w:p>
      <w:pPr>
        <w:spacing w:line="440" w:lineRule="exact"/>
        <w:rPr>
          <w:b w:val="0"/>
          <w:bCs w:val="0"/>
          <w:highlight w:val="none"/>
        </w:rPr>
      </w:pPr>
      <w:r>
        <w:rPr>
          <w:rFonts w:hint="eastAsia"/>
          <w:b w:val="0"/>
          <w:bCs w:val="0"/>
          <w:highlight w:val="none"/>
        </w:rPr>
        <w:t>*6.5保修期内的服务</w:t>
      </w:r>
    </w:p>
    <w:p>
      <w:pPr>
        <w:spacing w:line="440" w:lineRule="exact"/>
        <w:rPr>
          <w:b w:val="0"/>
          <w:bCs w:val="0"/>
          <w:highlight w:val="none"/>
        </w:rPr>
      </w:pPr>
      <w:r>
        <w:rPr>
          <w:rFonts w:hint="eastAsia"/>
          <w:b w:val="0"/>
          <w:bCs w:val="0"/>
          <w:highlight w:val="none"/>
        </w:rPr>
        <w:t>卖方接到买方技术需求电话，8小时内应答，24小时内到达买方现场，48小时内解决买方问题；</w:t>
      </w:r>
    </w:p>
    <w:p>
      <w:pPr>
        <w:spacing w:line="440" w:lineRule="exact"/>
        <w:rPr>
          <w:b w:val="0"/>
          <w:bCs w:val="0"/>
          <w:highlight w:val="none"/>
        </w:rPr>
      </w:pPr>
      <w:r>
        <w:rPr>
          <w:rFonts w:hint="eastAsia"/>
          <w:b w:val="0"/>
          <w:bCs w:val="0"/>
          <w:highlight w:val="none"/>
        </w:rPr>
        <w:t>6.6保修期后的服务</w:t>
      </w:r>
    </w:p>
    <w:p>
      <w:pPr>
        <w:spacing w:line="440" w:lineRule="exact"/>
        <w:rPr>
          <w:b w:val="0"/>
          <w:bCs w:val="0"/>
          <w:highlight w:val="none"/>
        </w:rPr>
      </w:pPr>
      <w:r>
        <w:rPr>
          <w:rFonts w:hint="eastAsia"/>
          <w:b w:val="0"/>
          <w:bCs w:val="0"/>
          <w:highlight w:val="none"/>
        </w:rPr>
        <w:t>卖方接到买方技术需求电话，8小时内应答，24小时内到达买方现场，48小时内给出解决方案，关于更换耗材或维修设备，报价给买方后，经买方同意后先进行维修，待维修后满足使用要求，按照买方要求支付给卖方维修费用。</w:t>
      </w:r>
    </w:p>
    <w:p>
      <w:pPr>
        <w:spacing w:line="440" w:lineRule="exact"/>
        <w:rPr>
          <w:b w:val="0"/>
          <w:bCs w:val="0"/>
          <w:highlight w:val="none"/>
        </w:rPr>
      </w:pPr>
      <w:r>
        <w:rPr>
          <w:rFonts w:hint="eastAsia"/>
          <w:b w:val="0"/>
          <w:bCs w:val="0"/>
          <w:highlight w:val="none"/>
        </w:rPr>
        <w:t>7 包装和运输</w:t>
      </w:r>
    </w:p>
    <w:p>
      <w:pPr>
        <w:spacing w:line="440" w:lineRule="exact"/>
        <w:rPr>
          <w:b w:val="0"/>
          <w:bCs w:val="0"/>
          <w:highlight w:val="none"/>
        </w:rPr>
      </w:pPr>
      <w:r>
        <w:rPr>
          <w:rFonts w:hint="eastAsia"/>
          <w:b w:val="0"/>
          <w:bCs w:val="0"/>
          <w:highlight w:val="none"/>
        </w:rPr>
        <w:t>卖方负责设备的包装，包装箱必须坚固，并做到防潮、密封，防水、防火、防锈和防震，并防止因运输而发生损坏，适于海、陆、空运输。包装材料必须符合中国进口动植物检验检疫的有关规定。</w:t>
      </w:r>
    </w:p>
    <w:p>
      <w:pPr>
        <w:pStyle w:val="4"/>
        <w:snapToGrid w:val="0"/>
        <w:spacing w:line="440" w:lineRule="exact"/>
        <w:jc w:val="both"/>
        <w:rPr>
          <w:rFonts w:hint="eastAsia" w:hAnsi="宋体" w:cs="宋体"/>
          <w:b w:val="0"/>
          <w:bCs w:val="0"/>
          <w:sz w:val="24"/>
          <w:szCs w:val="24"/>
          <w:highlight w:val="none"/>
        </w:rPr>
      </w:pPr>
    </w:p>
    <w:p>
      <w:pPr>
        <w:pStyle w:val="4"/>
        <w:snapToGrid w:val="0"/>
        <w:spacing w:line="440" w:lineRule="exact"/>
        <w:jc w:val="both"/>
        <w:rPr>
          <w:rFonts w:hAnsi="宋体" w:cs="宋体"/>
          <w:b w:val="0"/>
          <w:bCs w:val="0"/>
          <w:sz w:val="24"/>
          <w:szCs w:val="24"/>
          <w:highlight w:val="none"/>
        </w:rPr>
      </w:pPr>
      <w:r>
        <w:rPr>
          <w:rFonts w:hint="eastAsia" w:hAnsi="宋体" w:cs="宋体"/>
          <w:b w:val="0"/>
          <w:bCs w:val="0"/>
          <w:sz w:val="24"/>
          <w:szCs w:val="24"/>
          <w:highlight w:val="none"/>
        </w:rPr>
        <w:t>商务指标要求：</w:t>
      </w:r>
    </w:p>
    <w:p>
      <w:pPr>
        <w:pStyle w:val="4"/>
        <w:snapToGrid w:val="0"/>
        <w:spacing w:line="440" w:lineRule="exact"/>
        <w:jc w:val="both"/>
        <w:rPr>
          <w:rFonts w:hAnsi="宋体" w:cs="宋体"/>
          <w:b w:val="0"/>
          <w:bCs w:val="0"/>
          <w:sz w:val="24"/>
          <w:szCs w:val="24"/>
          <w:highlight w:val="none"/>
        </w:rPr>
      </w:pPr>
      <w:r>
        <w:rPr>
          <w:rFonts w:hint="eastAsia" w:hAnsi="宋体" w:cs="宋体"/>
          <w:b w:val="0"/>
          <w:bCs w:val="0"/>
          <w:sz w:val="24"/>
          <w:szCs w:val="24"/>
          <w:highlight w:val="none"/>
        </w:rPr>
        <w:t>1.交货期：合同签订2个月交货。</w:t>
      </w:r>
    </w:p>
    <w:p>
      <w:pPr>
        <w:spacing w:line="440" w:lineRule="exact"/>
        <w:rPr>
          <w:b w:val="0"/>
          <w:bCs w:val="0"/>
          <w:highlight w:val="none"/>
        </w:rPr>
      </w:pPr>
      <w:r>
        <w:rPr>
          <w:rFonts w:hint="eastAsia"/>
          <w:b w:val="0"/>
          <w:bCs w:val="0"/>
          <w:highlight w:val="none"/>
        </w:rPr>
        <w:t>*2.交货地点：买方指定地点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34262"/>
    <w:multiLevelType w:val="singleLevel"/>
    <w:tmpl w:val="BB134262"/>
    <w:lvl w:ilvl="0" w:tentative="0">
      <w:start w:val="1"/>
      <w:numFmt w:val="chineseCounting"/>
      <w:suff w:val="nothing"/>
      <w:lvlText w:val="%1、"/>
      <w:lvlJc w:val="left"/>
      <w:rPr>
        <w:rFonts w:hint="eastAsia"/>
      </w:rPr>
    </w:lvl>
  </w:abstractNum>
  <w:abstractNum w:abstractNumId="1">
    <w:nsid w:val="22CD9F4C"/>
    <w:multiLevelType w:val="singleLevel"/>
    <w:tmpl w:val="22CD9F4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515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4">
    <w:name w:val="heading 1"/>
    <w:basedOn w:val="1"/>
    <w:next w:val="1"/>
    <w:qFormat/>
    <w:uiPriority w:val="0"/>
    <w:pPr>
      <w:keepNext/>
      <w:keepLines/>
      <w:widowControl w:val="0"/>
      <w:autoSpaceDE w:val="0"/>
      <w:autoSpaceDN w:val="0"/>
      <w:adjustRightInd w:val="0"/>
      <w:spacing w:before="240" w:after="120" w:line="300" w:lineRule="auto"/>
      <w:jc w:val="center"/>
      <w:outlineLvl w:val="0"/>
    </w:pPr>
    <w:rPr>
      <w:rFonts w:hAnsi="Times New Roman" w:cs="Times New Roman"/>
      <w:b/>
      <w:kern w:val="44"/>
      <w:sz w:val="32"/>
      <w:szCs w:val="20"/>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line="480" w:lineRule="exact"/>
      <w:ind w:left="420" w:leftChars="200" w:firstLine="420" w:firstLineChars="200"/>
    </w:pPr>
    <w:rPr>
      <w:szCs w:val="20"/>
    </w:rPr>
  </w:style>
  <w:style w:type="paragraph" w:styleId="3">
    <w:name w:val="Body Text Indent"/>
    <w:basedOn w:val="1"/>
    <w:qFormat/>
    <w:uiPriority w:val="0"/>
    <w:pPr>
      <w:widowControl w:val="0"/>
      <w:spacing w:line="360" w:lineRule="auto"/>
      <w:ind w:firstLine="570"/>
      <w:jc w:val="both"/>
    </w:pPr>
    <w:rPr>
      <w:rFonts w:ascii="Times New Roman" w:hAnsi="Times New Roman" w:cs="Times New Roman"/>
      <w:kern w:val="2"/>
    </w:rPr>
  </w:style>
  <w:style w:type="paragraph" w:styleId="5">
    <w:name w:val="annotation text"/>
    <w:basedOn w:val="1"/>
    <w:qFormat/>
    <w:uiPriority w:val="99"/>
    <w:pPr>
      <w:widowControl w:val="0"/>
    </w:pPr>
    <w:rPr>
      <w:rFonts w:ascii="Times New Roman" w:hAnsi="Times New Roman" w:cs="Times New Roman"/>
      <w:kern w:val="2"/>
      <w:sz w:val="21"/>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2024-02-02T08:49:44Z</dcterms:created>
  <dc:creator>ThinkPad</dc:creator>
  <cp:lastModifiedBy>HYD</cp:lastModifiedBy>
  <dcterms:modified xsi:type="dcterms:W3CDTF">2024-02-02T08:59:35Z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