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AF" w:rsidRPr="00074DA2" w:rsidRDefault="00D33BAF" w:rsidP="00D33BA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33BAF" w:rsidRPr="00074DA2" w:rsidRDefault="00D33BAF" w:rsidP="00D33BA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33BAF" w:rsidRPr="00074DA2" w:rsidRDefault="00D33BAF" w:rsidP="00D33BA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33BAF" w:rsidRPr="00074DA2" w:rsidRDefault="00D33BAF" w:rsidP="00D33BA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33BAF" w:rsidRPr="00074DA2" w:rsidRDefault="00D33BAF" w:rsidP="00D33BA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33BAF" w:rsidRPr="00074DA2" w:rsidRDefault="00D33BAF" w:rsidP="00D33BA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33BAF" w:rsidRPr="00074DA2" w:rsidRDefault="00D33BAF" w:rsidP="00D33BA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33BAF" w:rsidRPr="00074DA2" w:rsidRDefault="00D33BAF" w:rsidP="00D33BA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33BAF" w:rsidRPr="00074DA2" w:rsidRDefault="00D33BAF" w:rsidP="00D33BAF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D33BAF" w:rsidRPr="00074DA2" w:rsidRDefault="00D33BAF" w:rsidP="00D33BAF">
      <w:pPr>
        <w:adjustRightInd w:val="0"/>
        <w:snapToGrid w:val="0"/>
        <w:spacing w:beforeLines="300" w:before="936"/>
        <w:jc w:val="center"/>
        <w:rPr>
          <w:rFonts w:ascii="黑体" w:eastAsia="黑体" w:hint="eastAsia"/>
          <w:b/>
          <w:kern w:val="44"/>
          <w:sz w:val="48"/>
          <w:szCs w:val="20"/>
        </w:rPr>
      </w:pPr>
      <w:r w:rsidRPr="00074DA2">
        <w:rPr>
          <w:rFonts w:ascii="黑体" w:eastAsia="黑体" w:hint="eastAsia"/>
          <w:b/>
          <w:kern w:val="44"/>
          <w:sz w:val="48"/>
          <w:szCs w:val="20"/>
        </w:rPr>
        <w:t>第八部分  技术部分</w:t>
      </w:r>
      <w:r w:rsidRPr="00074DA2">
        <w:rPr>
          <w:rFonts w:ascii="黑体" w:eastAsia="黑体"/>
          <w:b/>
          <w:kern w:val="44"/>
          <w:sz w:val="48"/>
          <w:szCs w:val="20"/>
        </w:rPr>
        <w:br w:type="page"/>
      </w:r>
    </w:p>
    <w:p w:rsidR="00D33BAF" w:rsidRPr="00074DA2" w:rsidRDefault="00D33BAF" w:rsidP="00D33BAF">
      <w:pPr>
        <w:numPr>
          <w:ilvl w:val="2"/>
          <w:numId w:val="1"/>
        </w:num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  <w:r w:rsidRPr="00074DA2">
        <w:rPr>
          <w:rFonts w:ascii="宋体" w:hAnsi="宋体" w:hint="eastAsia"/>
          <w:b/>
          <w:sz w:val="30"/>
          <w:szCs w:val="30"/>
        </w:rPr>
        <w:lastRenderedPageBreak/>
        <w:t>货物需求一览表</w:t>
      </w:r>
    </w:p>
    <w:p w:rsidR="00D33BAF" w:rsidRPr="00074DA2" w:rsidRDefault="00D33BAF" w:rsidP="00D33BAF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1016"/>
        <w:gridCol w:w="936"/>
        <w:gridCol w:w="2575"/>
        <w:gridCol w:w="1390"/>
        <w:gridCol w:w="736"/>
        <w:gridCol w:w="1297"/>
        <w:gridCol w:w="786"/>
      </w:tblGrid>
      <w:tr w:rsidR="00D33BAF" w:rsidRPr="00074DA2" w:rsidTr="003B228D">
        <w:trPr>
          <w:trHeight w:val="1412"/>
        </w:trPr>
        <w:tc>
          <w:tcPr>
            <w:tcW w:w="0" w:type="auto"/>
            <w:vAlign w:val="center"/>
          </w:tcPr>
          <w:p w:rsidR="00D33BAF" w:rsidRPr="00074DA2" w:rsidRDefault="00D33BAF" w:rsidP="003B228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074DA2">
              <w:rPr>
                <w:rFonts w:ascii="宋体" w:hAnsi="宋体"/>
                <w:bCs/>
                <w:sz w:val="24"/>
              </w:rPr>
              <w:t>包号</w:t>
            </w:r>
          </w:p>
        </w:tc>
        <w:tc>
          <w:tcPr>
            <w:tcW w:w="0" w:type="auto"/>
            <w:vAlign w:val="center"/>
          </w:tcPr>
          <w:p w:rsidR="00D33BAF" w:rsidRPr="00074DA2" w:rsidRDefault="00D33BAF" w:rsidP="003B22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DA2">
              <w:rPr>
                <w:rFonts w:ascii="宋体" w:hAnsi="宋体"/>
                <w:sz w:val="24"/>
              </w:rPr>
              <w:t>货物名称</w:t>
            </w:r>
          </w:p>
        </w:tc>
        <w:tc>
          <w:tcPr>
            <w:tcW w:w="0" w:type="auto"/>
            <w:vAlign w:val="center"/>
          </w:tcPr>
          <w:p w:rsidR="00D33BAF" w:rsidRPr="00074DA2" w:rsidRDefault="00D33BAF" w:rsidP="003B22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DA2">
              <w:rPr>
                <w:rFonts w:ascii="宋体" w:hAnsi="宋体"/>
                <w:sz w:val="24"/>
              </w:rPr>
              <w:t>数量</w:t>
            </w:r>
          </w:p>
          <w:p w:rsidR="00D33BAF" w:rsidRPr="00074DA2" w:rsidRDefault="00D33BAF" w:rsidP="003B22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DA2">
              <w:rPr>
                <w:rFonts w:ascii="宋体" w:hAnsi="宋体"/>
                <w:sz w:val="24"/>
              </w:rPr>
              <w:t>（套）</w:t>
            </w:r>
          </w:p>
        </w:tc>
        <w:tc>
          <w:tcPr>
            <w:tcW w:w="2575" w:type="dxa"/>
            <w:vAlign w:val="center"/>
          </w:tcPr>
          <w:p w:rsidR="00D33BAF" w:rsidRPr="00074DA2" w:rsidRDefault="00D33BAF" w:rsidP="003B228D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DA2">
              <w:rPr>
                <w:rFonts w:ascii="宋体" w:hAnsi="宋体"/>
                <w:sz w:val="24"/>
              </w:rPr>
              <w:t>简要</w:t>
            </w:r>
            <w:r w:rsidRPr="00074DA2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0" w:type="auto"/>
            <w:vAlign w:val="center"/>
          </w:tcPr>
          <w:p w:rsidR="00D33BAF" w:rsidRPr="00074DA2" w:rsidRDefault="00D33BAF" w:rsidP="003B228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DA2">
              <w:rPr>
                <w:rFonts w:ascii="宋体" w:hAnsi="宋体"/>
                <w:sz w:val="24"/>
              </w:rPr>
              <w:t>交货期</w:t>
            </w:r>
          </w:p>
        </w:tc>
        <w:tc>
          <w:tcPr>
            <w:tcW w:w="0" w:type="auto"/>
            <w:vAlign w:val="center"/>
          </w:tcPr>
          <w:p w:rsidR="00D33BAF" w:rsidRPr="00074DA2" w:rsidRDefault="00D33BAF" w:rsidP="003B228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DA2">
              <w:rPr>
                <w:rFonts w:ascii="宋体" w:hAnsi="宋体"/>
                <w:sz w:val="24"/>
              </w:rPr>
              <w:t>交货地点</w:t>
            </w:r>
          </w:p>
        </w:tc>
        <w:tc>
          <w:tcPr>
            <w:tcW w:w="0" w:type="auto"/>
          </w:tcPr>
          <w:p w:rsidR="00D33BAF" w:rsidRPr="00074DA2" w:rsidRDefault="00D33BAF" w:rsidP="003B22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DA2">
              <w:rPr>
                <w:rFonts w:ascii="宋体" w:hAnsi="宋体"/>
                <w:sz w:val="24"/>
              </w:rPr>
              <w:t>是否允许采购进口产品</w:t>
            </w:r>
          </w:p>
        </w:tc>
        <w:tc>
          <w:tcPr>
            <w:tcW w:w="0" w:type="auto"/>
            <w:vAlign w:val="center"/>
          </w:tcPr>
          <w:p w:rsidR="00D33BAF" w:rsidRPr="00074DA2" w:rsidRDefault="00D33BAF" w:rsidP="003B228D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DA2">
              <w:rPr>
                <w:rFonts w:ascii="宋体" w:hAnsi="宋体"/>
                <w:sz w:val="24"/>
              </w:rPr>
              <w:t>采购</w:t>
            </w:r>
          </w:p>
          <w:p w:rsidR="00D33BAF" w:rsidRPr="00074DA2" w:rsidRDefault="00D33BAF" w:rsidP="003B228D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DA2">
              <w:rPr>
                <w:rFonts w:ascii="宋体" w:hAnsi="宋体"/>
                <w:sz w:val="24"/>
              </w:rPr>
              <w:t>预算</w:t>
            </w:r>
          </w:p>
        </w:tc>
      </w:tr>
      <w:tr w:rsidR="00D33BAF" w:rsidRPr="00074DA2" w:rsidTr="003B228D">
        <w:trPr>
          <w:trHeight w:val="3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BAF" w:rsidRPr="00074DA2" w:rsidRDefault="00D33BAF" w:rsidP="003B22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DA2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F" w:rsidRPr="00074DA2" w:rsidRDefault="00D33BAF" w:rsidP="003B228D">
            <w:pPr>
              <w:spacing w:line="360" w:lineRule="auto"/>
              <w:rPr>
                <w:rFonts w:ascii="宋体" w:hAnsi="宋体"/>
                <w:sz w:val="24"/>
              </w:rPr>
            </w:pPr>
            <w:r w:rsidRPr="00074DA2">
              <w:rPr>
                <w:rFonts w:ascii="宋体" w:hAnsi="宋体" w:hint="eastAsia"/>
                <w:sz w:val="24"/>
              </w:rPr>
              <w:t>超高分辨质谱仪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F" w:rsidRPr="00074DA2" w:rsidRDefault="00D33BAF" w:rsidP="003B22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DA2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F" w:rsidRPr="00074DA2" w:rsidRDefault="00D33BAF" w:rsidP="003B228D">
            <w:pPr>
              <w:widowControl/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  <w:r w:rsidRPr="00074DA2">
              <w:rPr>
                <w:rFonts w:ascii="宋体" w:hAnsi="宋体" w:hint="eastAsia"/>
                <w:sz w:val="24"/>
              </w:rPr>
              <w:t>用于蛋白质组学：蛋白质组学研究中的蛋白质鉴定、翻译后修饰、生物大分子相互作用、多肽和蛋白质的定量分析。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F" w:rsidRPr="00074DA2" w:rsidRDefault="00D33BAF" w:rsidP="003B228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074DA2">
              <w:rPr>
                <w:rFonts w:hAnsi="宋体"/>
                <w:sz w:val="24"/>
              </w:rPr>
              <w:t>合同签订后</w:t>
            </w:r>
            <w:r w:rsidRPr="00074DA2">
              <w:rPr>
                <w:rFonts w:hAnsi="宋体"/>
                <w:sz w:val="24"/>
              </w:rPr>
              <w:t>3</w:t>
            </w:r>
            <w:r w:rsidRPr="00074DA2">
              <w:rPr>
                <w:rFonts w:hAnsi="宋体"/>
                <w:sz w:val="24"/>
              </w:rPr>
              <w:t>个月内交货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F" w:rsidRPr="00074DA2" w:rsidRDefault="00D33BAF" w:rsidP="003B228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DA2">
              <w:rPr>
                <w:rFonts w:ascii="宋体" w:hAnsi="宋体" w:hint="eastAsia"/>
                <w:sz w:val="24"/>
              </w:rPr>
              <w:t>大连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F" w:rsidRPr="00074DA2" w:rsidRDefault="00D33BAF" w:rsidP="003B22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DA2">
              <w:rPr>
                <w:rFonts w:ascii="宋体" w:hAnsi="宋体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AF" w:rsidRPr="00074DA2" w:rsidRDefault="00D33BAF" w:rsidP="003B22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DA2">
              <w:rPr>
                <w:rFonts w:ascii="宋体" w:hAnsi="宋体"/>
                <w:sz w:val="24"/>
              </w:rPr>
              <w:t>370</w:t>
            </w:r>
            <w:r w:rsidRPr="00074DA2">
              <w:rPr>
                <w:rFonts w:ascii="宋体" w:hAnsi="宋体" w:hint="eastAsia"/>
                <w:sz w:val="24"/>
              </w:rPr>
              <w:t>万元</w:t>
            </w:r>
          </w:p>
        </w:tc>
      </w:tr>
    </w:tbl>
    <w:p w:rsidR="00D33BAF" w:rsidRPr="00074DA2" w:rsidRDefault="00D33BAF" w:rsidP="00D33BAF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D33BAF" w:rsidRPr="00074DA2" w:rsidRDefault="00D33BAF" w:rsidP="00D33BAF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D33BAF" w:rsidRPr="00074DA2" w:rsidRDefault="00D33BAF" w:rsidP="00D33BAF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D33BAF" w:rsidRPr="00074DA2" w:rsidRDefault="00D33BAF" w:rsidP="00D33BAF">
      <w:pPr>
        <w:rPr>
          <w:rFonts w:ascii="Bookman Old Style" w:hAnsi="Bookman Old Style" w:hint="eastAsia"/>
          <w:sz w:val="24"/>
        </w:rPr>
      </w:pPr>
      <w:r w:rsidRPr="00074DA2">
        <w:rPr>
          <w:rFonts w:hint="eastAsia"/>
          <w:sz w:val="24"/>
        </w:rPr>
        <w:t>注：投标人须对上述投标内容中完整的一包或几包进行投标，</w:t>
      </w:r>
      <w:r w:rsidRPr="00074DA2">
        <w:rPr>
          <w:rFonts w:ascii="Bookman Old Style" w:hAnsi="Bookman Old Style" w:hint="eastAsia"/>
          <w:sz w:val="24"/>
        </w:rPr>
        <w:t>不完整的投标将视为非响应性投标予以拒绝。</w:t>
      </w:r>
    </w:p>
    <w:p w:rsidR="00D33BAF" w:rsidRPr="00074DA2" w:rsidRDefault="00D33BAF" w:rsidP="00D33BAF">
      <w:pPr>
        <w:adjustRightInd w:val="0"/>
        <w:snapToGrid w:val="0"/>
        <w:rPr>
          <w:rFonts w:ascii="宋体" w:hAnsi="宋体" w:hint="eastAsia"/>
          <w:szCs w:val="21"/>
        </w:rPr>
      </w:pPr>
    </w:p>
    <w:p w:rsidR="00D33BAF" w:rsidRPr="00074DA2" w:rsidRDefault="00D33BAF" w:rsidP="00D33BAF">
      <w:pPr>
        <w:adjustRightInd w:val="0"/>
        <w:snapToGrid w:val="0"/>
        <w:rPr>
          <w:rFonts w:ascii="宋体" w:hAnsi="宋体" w:hint="eastAsia"/>
          <w:szCs w:val="21"/>
        </w:rPr>
      </w:pPr>
    </w:p>
    <w:p w:rsidR="00D33BAF" w:rsidRPr="00074DA2" w:rsidRDefault="00D33BAF" w:rsidP="00D33BAF">
      <w:pPr>
        <w:adjustRightInd w:val="0"/>
        <w:snapToGrid w:val="0"/>
        <w:rPr>
          <w:rFonts w:ascii="宋体" w:hAnsi="宋体" w:hint="eastAsia"/>
          <w:szCs w:val="21"/>
        </w:rPr>
      </w:pPr>
    </w:p>
    <w:p w:rsidR="00D33BAF" w:rsidRPr="00074DA2" w:rsidRDefault="00D33BAF" w:rsidP="00D33BAF">
      <w:pPr>
        <w:adjustRightInd w:val="0"/>
        <w:snapToGrid w:val="0"/>
        <w:rPr>
          <w:rFonts w:ascii="宋体" w:hAnsi="宋体" w:hint="eastAsia"/>
          <w:szCs w:val="21"/>
        </w:rPr>
      </w:pPr>
    </w:p>
    <w:p w:rsidR="00D33BAF" w:rsidRPr="00074DA2" w:rsidRDefault="00D33BAF" w:rsidP="00D33BAF">
      <w:pPr>
        <w:adjustRightInd w:val="0"/>
        <w:snapToGrid w:val="0"/>
        <w:rPr>
          <w:rFonts w:ascii="宋体" w:hAnsi="宋体" w:hint="eastAsia"/>
          <w:szCs w:val="21"/>
        </w:rPr>
      </w:pPr>
    </w:p>
    <w:p w:rsidR="00D33BAF" w:rsidRPr="00074DA2" w:rsidRDefault="00D33BAF" w:rsidP="00D33BAF">
      <w:pPr>
        <w:adjustRightInd w:val="0"/>
        <w:snapToGrid w:val="0"/>
        <w:rPr>
          <w:rFonts w:ascii="宋体" w:hAnsi="宋体" w:hint="eastAsia"/>
          <w:szCs w:val="21"/>
        </w:rPr>
      </w:pPr>
    </w:p>
    <w:p w:rsidR="00D33BAF" w:rsidRPr="00074DA2" w:rsidRDefault="00D33BAF" w:rsidP="00D33BAF">
      <w:pPr>
        <w:adjustRightInd w:val="0"/>
        <w:snapToGrid w:val="0"/>
        <w:rPr>
          <w:rFonts w:ascii="宋体" w:hAnsi="宋体" w:hint="eastAsia"/>
          <w:szCs w:val="21"/>
        </w:rPr>
      </w:pPr>
    </w:p>
    <w:p w:rsidR="00D33BAF" w:rsidRPr="00074DA2" w:rsidRDefault="00D33BAF" w:rsidP="00D33BAF">
      <w:pPr>
        <w:adjustRightInd w:val="0"/>
        <w:snapToGrid w:val="0"/>
        <w:rPr>
          <w:rFonts w:ascii="宋体" w:hAnsi="宋体" w:hint="eastAsia"/>
          <w:szCs w:val="21"/>
        </w:rPr>
      </w:pPr>
    </w:p>
    <w:p w:rsidR="00D33BAF" w:rsidRPr="00074DA2" w:rsidRDefault="00D33BAF" w:rsidP="00D33BAF">
      <w:pPr>
        <w:adjustRightInd w:val="0"/>
        <w:snapToGrid w:val="0"/>
        <w:rPr>
          <w:rFonts w:ascii="宋体" w:hAnsi="宋体" w:hint="eastAsia"/>
          <w:szCs w:val="21"/>
        </w:rPr>
      </w:pPr>
    </w:p>
    <w:p w:rsidR="00D33BAF" w:rsidRPr="00074DA2" w:rsidRDefault="00D33BAF" w:rsidP="00D33BAF">
      <w:pPr>
        <w:adjustRightInd w:val="0"/>
        <w:snapToGrid w:val="0"/>
        <w:rPr>
          <w:rFonts w:ascii="宋体" w:hAnsi="宋体" w:hint="eastAsia"/>
          <w:szCs w:val="21"/>
        </w:rPr>
      </w:pPr>
    </w:p>
    <w:p w:rsidR="00D33BAF" w:rsidRPr="00074DA2" w:rsidRDefault="00D33BAF" w:rsidP="00D33BAF">
      <w:pPr>
        <w:adjustRightInd w:val="0"/>
        <w:snapToGrid w:val="0"/>
        <w:rPr>
          <w:rFonts w:ascii="宋体" w:hAnsi="宋体" w:hint="eastAsia"/>
          <w:szCs w:val="21"/>
        </w:rPr>
      </w:pPr>
    </w:p>
    <w:p w:rsidR="00D33BAF" w:rsidRPr="00074DA2" w:rsidRDefault="00D33BAF" w:rsidP="00D33BAF">
      <w:pPr>
        <w:adjustRightInd w:val="0"/>
        <w:snapToGrid w:val="0"/>
        <w:rPr>
          <w:rFonts w:ascii="宋体" w:hAnsi="宋体" w:hint="eastAsia"/>
          <w:szCs w:val="21"/>
        </w:rPr>
      </w:pPr>
    </w:p>
    <w:p w:rsidR="00D33BAF" w:rsidRPr="00074DA2" w:rsidRDefault="00D33BAF" w:rsidP="00D33BAF">
      <w:pPr>
        <w:adjustRightInd w:val="0"/>
        <w:snapToGrid w:val="0"/>
        <w:rPr>
          <w:rFonts w:ascii="宋体" w:hAnsi="宋体" w:hint="eastAsia"/>
          <w:b/>
          <w:sz w:val="30"/>
          <w:szCs w:val="30"/>
        </w:rPr>
      </w:pPr>
      <w:r w:rsidRPr="00074DA2">
        <w:rPr>
          <w:rFonts w:ascii="宋体" w:hAnsi="宋体"/>
          <w:b/>
          <w:sz w:val="30"/>
          <w:szCs w:val="30"/>
        </w:rPr>
        <w:br w:type="page"/>
      </w:r>
    </w:p>
    <w:p w:rsidR="00D33BAF" w:rsidRPr="00074DA2" w:rsidRDefault="00D33BAF" w:rsidP="00D33BAF">
      <w:pPr>
        <w:numPr>
          <w:ilvl w:val="2"/>
          <w:numId w:val="1"/>
        </w:numPr>
        <w:tabs>
          <w:tab w:val="clear" w:pos="1560"/>
          <w:tab w:val="left" w:pos="72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 w:rsidRPr="00074DA2">
        <w:rPr>
          <w:rFonts w:ascii="宋体" w:hAnsi="宋体" w:hint="eastAsia"/>
          <w:b/>
          <w:sz w:val="30"/>
          <w:szCs w:val="30"/>
        </w:rPr>
        <w:lastRenderedPageBreak/>
        <w:t>技术规格</w:t>
      </w:r>
    </w:p>
    <w:p w:rsidR="00D33BAF" w:rsidRPr="00074DA2" w:rsidRDefault="00D33BAF" w:rsidP="00D33BAF">
      <w:pPr>
        <w:spacing w:line="360" w:lineRule="auto"/>
        <w:ind w:left="600" w:hanging="600"/>
        <w:rPr>
          <w:rFonts w:ascii="宋体" w:hAnsi="宋体" w:hint="eastAsia"/>
          <w:b/>
          <w:sz w:val="24"/>
        </w:rPr>
      </w:pPr>
      <w:r w:rsidRPr="00074DA2">
        <w:rPr>
          <w:rFonts w:ascii="宋体" w:hAnsi="宋体" w:hint="eastAsia"/>
          <w:b/>
          <w:sz w:val="24"/>
        </w:rPr>
        <w:t>一、总</w:t>
      </w:r>
      <w:r w:rsidRPr="00074DA2">
        <w:rPr>
          <w:rFonts w:ascii="宋体" w:hAnsi="宋体"/>
          <w:b/>
          <w:sz w:val="24"/>
        </w:rPr>
        <w:t xml:space="preserve">  </w:t>
      </w:r>
      <w:r w:rsidRPr="00074DA2">
        <w:rPr>
          <w:rFonts w:ascii="宋体" w:hAnsi="宋体" w:hint="eastAsia"/>
          <w:b/>
          <w:sz w:val="24"/>
        </w:rPr>
        <w:t>则</w:t>
      </w:r>
    </w:p>
    <w:p w:rsidR="00D33BAF" w:rsidRPr="00074DA2" w:rsidRDefault="00D33BAF" w:rsidP="00D33BAF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4"/>
        </w:rPr>
      </w:pPr>
      <w:r w:rsidRPr="00074DA2">
        <w:rPr>
          <w:rFonts w:ascii="宋体" w:hAnsi="宋体"/>
          <w:b/>
          <w:sz w:val="24"/>
        </w:rPr>
        <w:t>1</w:t>
      </w:r>
      <w:r w:rsidRPr="00074DA2">
        <w:rPr>
          <w:rFonts w:ascii="宋体" w:hAnsi="宋体" w:hint="eastAsia"/>
          <w:b/>
          <w:sz w:val="24"/>
        </w:rPr>
        <w:t>、投标要求</w:t>
      </w:r>
    </w:p>
    <w:p w:rsidR="00D33BAF" w:rsidRPr="00074DA2" w:rsidRDefault="00D33BAF" w:rsidP="00D33BA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074DA2">
        <w:rPr>
          <w:rFonts w:ascii="宋体" w:hAnsi="宋体"/>
          <w:sz w:val="24"/>
        </w:rPr>
        <w:t xml:space="preserve">1.1 </w:t>
      </w:r>
      <w:r w:rsidRPr="00074DA2">
        <w:rPr>
          <w:rFonts w:ascii="宋体" w:hAnsi="宋体" w:hint="eastAsia"/>
          <w:sz w:val="24"/>
        </w:rPr>
        <w:t xml:space="preserve"> 投标人在准备投标书时，务必在所提供的商品的技术规格文件中，标明型号、商标名称、目录号。</w:t>
      </w:r>
    </w:p>
    <w:p w:rsidR="00D33BAF" w:rsidRPr="00074DA2" w:rsidRDefault="00D33BAF" w:rsidP="00D33BA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074DA2">
        <w:rPr>
          <w:rFonts w:ascii="宋体" w:hAnsi="宋体" w:hint="eastAsia"/>
          <w:sz w:val="24"/>
        </w:rPr>
        <w:t>1.2  投标人提供的货物须是成熟的全新的产品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D33BAF" w:rsidRPr="00074DA2" w:rsidRDefault="00D33BAF" w:rsidP="00D33BA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074DA2">
        <w:rPr>
          <w:rFonts w:ascii="宋体" w:hAnsi="宋体" w:hint="eastAsia"/>
          <w:sz w:val="24"/>
        </w:rPr>
        <w:t xml:space="preserve">1.3  </w:t>
      </w:r>
      <w:r w:rsidRPr="00074DA2">
        <w:rPr>
          <w:rFonts w:hint="eastAsia"/>
          <w:sz w:val="24"/>
        </w:rPr>
        <w:t>投标人提供的</w:t>
      </w:r>
      <w:r w:rsidRPr="00074DA2">
        <w:rPr>
          <w:rFonts w:ascii="宋体" w:hint="eastAsia"/>
          <w:sz w:val="24"/>
        </w:rPr>
        <w:t>产品</w:t>
      </w:r>
      <w:r w:rsidRPr="00074DA2">
        <w:rPr>
          <w:rFonts w:hint="eastAsia"/>
          <w:sz w:val="24"/>
        </w:rPr>
        <w:t>样本，必须是“原件”而非复印件，</w:t>
      </w:r>
      <w:r w:rsidRPr="00074DA2">
        <w:rPr>
          <w:rFonts w:ascii="宋体" w:hint="eastAsia"/>
          <w:sz w:val="24"/>
        </w:rPr>
        <w:t>图表、简图、电路图以及印刷电路板图等都应</w:t>
      </w:r>
      <w:r w:rsidRPr="00074DA2">
        <w:rPr>
          <w:rFonts w:hint="eastAsia"/>
          <w:sz w:val="24"/>
        </w:rPr>
        <w:t>清晰易读。买方有权</w:t>
      </w:r>
      <w:r w:rsidRPr="00074DA2">
        <w:rPr>
          <w:rFonts w:ascii="宋体" w:hint="eastAsia"/>
          <w:sz w:val="24"/>
        </w:rPr>
        <w:t>不付任何附加费用</w:t>
      </w:r>
      <w:r w:rsidRPr="00074DA2">
        <w:rPr>
          <w:rFonts w:hint="eastAsia"/>
          <w:sz w:val="24"/>
        </w:rPr>
        <w:t>复制这些资料</w:t>
      </w:r>
      <w:r w:rsidRPr="00074DA2">
        <w:rPr>
          <w:rFonts w:ascii="宋体" w:hint="eastAsia"/>
          <w:sz w:val="24"/>
        </w:rPr>
        <w:t>以供参考。</w:t>
      </w:r>
    </w:p>
    <w:p w:rsidR="00D33BAF" w:rsidRPr="00074DA2" w:rsidRDefault="00D33BAF" w:rsidP="00D33BAF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4"/>
        </w:rPr>
      </w:pPr>
      <w:r w:rsidRPr="00074DA2">
        <w:rPr>
          <w:rFonts w:ascii="宋体" w:hAnsi="宋体" w:hint="eastAsia"/>
          <w:b/>
          <w:sz w:val="24"/>
        </w:rPr>
        <w:t>2、评标标准</w:t>
      </w:r>
    </w:p>
    <w:p w:rsidR="00D33BAF" w:rsidRPr="00074DA2" w:rsidRDefault="00D33BAF" w:rsidP="00D33BAF">
      <w:pPr>
        <w:spacing w:line="360" w:lineRule="auto"/>
        <w:ind w:left="554" w:hangingChars="231" w:hanging="554"/>
        <w:rPr>
          <w:rFonts w:ascii="宋体" w:hint="eastAsia"/>
          <w:sz w:val="24"/>
        </w:rPr>
      </w:pPr>
      <w:r w:rsidRPr="00074DA2">
        <w:rPr>
          <w:rFonts w:ascii="宋体" w:hAnsi="宋体"/>
          <w:sz w:val="24"/>
        </w:rPr>
        <w:t>2.</w:t>
      </w:r>
      <w:r w:rsidRPr="00074DA2">
        <w:rPr>
          <w:rFonts w:ascii="宋体" w:hAnsi="宋体" w:hint="eastAsia"/>
          <w:sz w:val="24"/>
        </w:rPr>
        <w:t xml:space="preserve">1  </w:t>
      </w:r>
      <w:r w:rsidRPr="00074DA2">
        <w:rPr>
          <w:rFonts w:hint="eastAsia"/>
          <w:sz w:val="24"/>
        </w:rPr>
        <w:t>除招标文件中指定的附件和专用工具外，</w:t>
      </w:r>
      <w:r w:rsidRPr="00074DA2">
        <w:rPr>
          <w:rFonts w:ascii="宋体" w:hint="eastAsia"/>
          <w:sz w:val="24"/>
        </w:rPr>
        <w:t>投标人应提供仪器设备的正常运行和常规保养所需的全套标准附件、专用工具</w:t>
      </w:r>
      <w:r w:rsidRPr="00074DA2">
        <w:rPr>
          <w:rFonts w:hint="eastAsia"/>
          <w:sz w:val="24"/>
        </w:rPr>
        <w:t>和消耗品</w:t>
      </w:r>
      <w:r w:rsidRPr="00074DA2">
        <w:rPr>
          <w:rFonts w:ascii="宋体" w:hint="eastAsia"/>
          <w:sz w:val="24"/>
        </w:rPr>
        <w:t>。投标人在投标书中需列出这些附件和工具的数量和单价的清单，这些附件和工具的报价的总值需计入投标价中。</w:t>
      </w:r>
    </w:p>
    <w:p w:rsidR="00D33BAF" w:rsidRPr="00074DA2" w:rsidRDefault="00D33BAF" w:rsidP="00D33BAF">
      <w:pPr>
        <w:spacing w:line="360" w:lineRule="auto"/>
        <w:ind w:left="554" w:hangingChars="231" w:hanging="554"/>
        <w:rPr>
          <w:rFonts w:hint="eastAsia"/>
          <w:sz w:val="24"/>
        </w:rPr>
      </w:pPr>
      <w:r w:rsidRPr="00074DA2">
        <w:rPr>
          <w:rFonts w:ascii="宋体" w:hAnsi="宋体" w:hint="eastAsia"/>
          <w:sz w:val="24"/>
        </w:rPr>
        <w:t xml:space="preserve">2.2  </w:t>
      </w:r>
      <w:r w:rsidRPr="00074DA2">
        <w:rPr>
          <w:rFonts w:hint="eastAsia"/>
          <w:sz w:val="24"/>
        </w:rPr>
        <w:t>对于标书</w:t>
      </w:r>
      <w:r w:rsidRPr="00074DA2">
        <w:rPr>
          <w:rFonts w:ascii="宋体" w:hint="eastAsia"/>
          <w:sz w:val="24"/>
        </w:rPr>
        <w:t>技术规范中已列</w:t>
      </w:r>
      <w:r w:rsidRPr="00074DA2">
        <w:rPr>
          <w:rFonts w:hint="eastAsia"/>
          <w:sz w:val="24"/>
        </w:rPr>
        <w:t>出的作为查询选件的附件、零配件、专用工具和消耗品，投标书中</w:t>
      </w:r>
      <w:r w:rsidRPr="00074DA2">
        <w:rPr>
          <w:rFonts w:ascii="宋体" w:hint="eastAsia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 w:rsidRPr="00074DA2">
        <w:rPr>
          <w:rFonts w:hint="eastAsia"/>
          <w:sz w:val="24"/>
        </w:rPr>
        <w:t>选件一旦为用户接受，其费用将加入合同价中。</w:t>
      </w:r>
    </w:p>
    <w:p w:rsidR="00D33BAF" w:rsidRPr="00074DA2" w:rsidRDefault="00D33BAF" w:rsidP="00D33BA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074DA2">
        <w:rPr>
          <w:rFonts w:ascii="宋体" w:hAnsi="宋体" w:hint="eastAsia"/>
          <w:sz w:val="24"/>
        </w:rPr>
        <w:t>2.3  为便于用户进行接收仪器的准备工作，卖方应在合同生效后</w:t>
      </w:r>
      <w:r w:rsidRPr="00074DA2">
        <w:rPr>
          <w:rFonts w:ascii="宋体" w:hAnsi="宋体" w:hint="eastAsia"/>
          <w:b/>
          <w:sz w:val="24"/>
        </w:rPr>
        <w:t>60</w:t>
      </w:r>
      <w:r w:rsidRPr="00074DA2">
        <w:rPr>
          <w:rFonts w:ascii="宋体" w:hAnsi="宋体" w:hint="eastAsia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D33BAF" w:rsidRPr="00074DA2" w:rsidRDefault="00D33BAF" w:rsidP="00D33BA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074DA2">
        <w:rPr>
          <w:rFonts w:ascii="宋体" w:hAnsi="宋体" w:hint="eastAsia"/>
          <w:sz w:val="24"/>
        </w:rPr>
        <w:t>2</w:t>
      </w:r>
      <w:r w:rsidRPr="00074DA2">
        <w:rPr>
          <w:rFonts w:ascii="宋体" w:hAnsi="宋体"/>
          <w:sz w:val="24"/>
        </w:rPr>
        <w:t>.</w:t>
      </w:r>
      <w:r w:rsidRPr="00074DA2">
        <w:rPr>
          <w:rFonts w:ascii="宋体" w:hAnsi="宋体" w:hint="eastAsia"/>
          <w:sz w:val="24"/>
        </w:rPr>
        <w:t>4</w:t>
      </w:r>
      <w:r w:rsidRPr="00074DA2">
        <w:rPr>
          <w:rFonts w:ascii="宋体" w:hAnsi="宋体"/>
          <w:sz w:val="24"/>
        </w:rPr>
        <w:t xml:space="preserve"> </w:t>
      </w:r>
      <w:r w:rsidRPr="00074DA2">
        <w:rPr>
          <w:rFonts w:ascii="宋体" w:hAnsi="宋体" w:hint="eastAsia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D33BAF" w:rsidRPr="00074DA2" w:rsidRDefault="00D33BAF" w:rsidP="00D33BAF">
      <w:pPr>
        <w:spacing w:line="360" w:lineRule="auto"/>
        <w:ind w:left="554" w:hangingChars="231" w:hanging="554"/>
        <w:rPr>
          <w:rFonts w:ascii="宋体" w:hAnsi="宋体"/>
          <w:sz w:val="24"/>
        </w:rPr>
      </w:pPr>
      <w:r w:rsidRPr="00074DA2">
        <w:rPr>
          <w:rFonts w:ascii="宋体" w:hAnsi="宋体"/>
          <w:sz w:val="24"/>
        </w:rPr>
        <w:t>2.</w:t>
      </w:r>
      <w:r w:rsidRPr="00074DA2">
        <w:rPr>
          <w:rFonts w:ascii="宋体" w:hAnsi="宋体" w:hint="eastAsia"/>
          <w:sz w:val="24"/>
        </w:rPr>
        <w:t>5  制造厂家提供的培训指的是涉及货物的基本原理、操作使用和保养维修等有关内容的培训。培训教员的培训费、旅费、食宿费等费用和培训场地费及培训资料费</w:t>
      </w:r>
      <w:r w:rsidRPr="00074DA2">
        <w:rPr>
          <w:rFonts w:ascii="宋体" w:hAnsi="宋体" w:hint="eastAsia"/>
          <w:sz w:val="24"/>
        </w:rPr>
        <w:lastRenderedPageBreak/>
        <w:t>均应由卖方支付。</w:t>
      </w:r>
    </w:p>
    <w:p w:rsidR="00D33BAF" w:rsidRPr="00074DA2" w:rsidRDefault="00D33BAF" w:rsidP="00D33BA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074DA2">
        <w:rPr>
          <w:rFonts w:ascii="宋体" w:hAnsi="宋体" w:hint="eastAsia"/>
          <w:sz w:val="24"/>
        </w:rPr>
        <w:t>2</w:t>
      </w:r>
      <w:r w:rsidRPr="00074DA2">
        <w:rPr>
          <w:rFonts w:ascii="宋体" w:hAnsi="宋体"/>
          <w:sz w:val="24"/>
        </w:rPr>
        <w:t>.</w:t>
      </w:r>
      <w:r w:rsidRPr="00074DA2">
        <w:rPr>
          <w:rFonts w:ascii="宋体" w:hAnsi="宋体" w:hint="eastAsia"/>
          <w:sz w:val="24"/>
        </w:rPr>
        <w:t xml:space="preserve">6  </w:t>
      </w:r>
      <w:r w:rsidRPr="00074DA2"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D33BAF" w:rsidRPr="00074DA2" w:rsidRDefault="00D33BAF" w:rsidP="00D33BAF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4"/>
        </w:rPr>
      </w:pPr>
      <w:r w:rsidRPr="00074DA2">
        <w:rPr>
          <w:rFonts w:ascii="宋体" w:hAnsi="宋体" w:hint="eastAsia"/>
          <w:b/>
          <w:sz w:val="24"/>
        </w:rPr>
        <w:t>3、工作条件</w:t>
      </w:r>
    </w:p>
    <w:p w:rsidR="00D33BAF" w:rsidRPr="00074DA2" w:rsidRDefault="00D33BAF" w:rsidP="00D33BAF">
      <w:pPr>
        <w:spacing w:afterLines="100" w:after="312" w:line="360" w:lineRule="auto"/>
        <w:rPr>
          <w:rFonts w:ascii="宋体" w:hAnsi="宋体" w:hint="eastAsia"/>
          <w:sz w:val="24"/>
        </w:rPr>
      </w:pPr>
      <w:r w:rsidRPr="00074DA2">
        <w:rPr>
          <w:rFonts w:ascii="宋体" w:hAnsi="宋体" w:hint="eastAsia"/>
          <w:sz w:val="24"/>
        </w:rPr>
        <w:t>除非在技术规格中另有说明，所有仪器、设备和系统都应符合下列要求：</w:t>
      </w:r>
      <w:r w:rsidRPr="00074DA2">
        <w:rPr>
          <w:rFonts w:ascii="宋体" w:hAnsi="宋体"/>
          <w:sz w:val="24"/>
        </w:rPr>
        <w:t xml:space="preserve"> </w:t>
      </w:r>
    </w:p>
    <w:p w:rsidR="00D33BAF" w:rsidRPr="00074DA2" w:rsidRDefault="00D33BAF" w:rsidP="00D33BA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074DA2">
        <w:rPr>
          <w:rFonts w:ascii="宋体" w:hAnsi="宋体" w:hint="eastAsia"/>
          <w:sz w:val="24"/>
        </w:rPr>
        <w:t>3.1  适于在气温为摄氏</w:t>
      </w:r>
      <w:r w:rsidRPr="00074DA2">
        <w:rPr>
          <w:rFonts w:ascii="宋体" w:hAnsi="宋体"/>
          <w:b/>
          <w:sz w:val="24"/>
        </w:rPr>
        <w:t>-40</w:t>
      </w:r>
      <w:r w:rsidRPr="00074DA2">
        <w:rPr>
          <w:rFonts w:ascii="宋体" w:hAnsi="宋体" w:hint="eastAsia"/>
          <w:b/>
          <w:sz w:val="24"/>
        </w:rPr>
        <w:t>℃～＋</w:t>
      </w:r>
      <w:r w:rsidRPr="00074DA2">
        <w:rPr>
          <w:rFonts w:ascii="宋体" w:hAnsi="宋体"/>
          <w:b/>
          <w:sz w:val="24"/>
        </w:rPr>
        <w:t>50</w:t>
      </w:r>
      <w:r w:rsidRPr="00074DA2">
        <w:rPr>
          <w:rFonts w:ascii="宋体" w:hAnsi="宋体" w:hint="eastAsia"/>
          <w:b/>
          <w:sz w:val="24"/>
        </w:rPr>
        <w:t>℃</w:t>
      </w:r>
      <w:r w:rsidRPr="00074DA2">
        <w:rPr>
          <w:rFonts w:ascii="宋体" w:hAnsi="宋体" w:hint="eastAsia"/>
          <w:sz w:val="24"/>
        </w:rPr>
        <w:t>和相对湿度为</w:t>
      </w:r>
      <w:r w:rsidRPr="00074DA2">
        <w:rPr>
          <w:rFonts w:ascii="宋体" w:hAnsi="宋体"/>
          <w:b/>
          <w:sz w:val="24"/>
        </w:rPr>
        <w:t>90</w:t>
      </w:r>
      <w:r w:rsidRPr="00074DA2">
        <w:rPr>
          <w:rFonts w:ascii="宋体" w:hAnsi="宋体" w:hint="eastAsia"/>
          <w:b/>
          <w:sz w:val="24"/>
        </w:rPr>
        <w:t>％</w:t>
      </w:r>
      <w:r w:rsidRPr="00074DA2">
        <w:rPr>
          <w:rFonts w:ascii="宋体" w:hAnsi="宋体" w:hint="eastAsia"/>
          <w:sz w:val="24"/>
        </w:rPr>
        <w:t>的环境条件下运输和贮存。</w:t>
      </w:r>
    </w:p>
    <w:p w:rsidR="00D33BAF" w:rsidRPr="00074DA2" w:rsidRDefault="00D33BAF" w:rsidP="00D33BA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074DA2">
        <w:rPr>
          <w:rFonts w:ascii="宋体" w:hAnsi="宋体" w:hint="eastAsia"/>
          <w:sz w:val="24"/>
        </w:rPr>
        <w:t>3.2  适于在电源</w:t>
      </w:r>
      <w:r w:rsidRPr="00074DA2">
        <w:rPr>
          <w:rFonts w:ascii="宋体" w:hAnsi="宋体"/>
          <w:b/>
          <w:sz w:val="24"/>
        </w:rPr>
        <w:t>220V</w:t>
      </w:r>
      <w:r w:rsidRPr="00074DA2">
        <w:rPr>
          <w:rFonts w:ascii="宋体" w:hAnsi="宋体" w:hint="eastAsia"/>
          <w:b/>
          <w:sz w:val="24"/>
        </w:rPr>
        <w:t>（</w:t>
      </w:r>
      <w:r w:rsidRPr="00074DA2">
        <w:rPr>
          <w:rFonts w:ascii="宋体" w:hAnsi="宋体"/>
          <w:b/>
          <w:sz w:val="24"/>
        </w:rPr>
        <w:sym w:font="Symbol" w:char="F0B1"/>
      </w:r>
      <w:r w:rsidRPr="00074DA2">
        <w:rPr>
          <w:rFonts w:ascii="宋体" w:hAnsi="宋体"/>
          <w:b/>
          <w:sz w:val="24"/>
        </w:rPr>
        <w:t>10</w:t>
      </w:r>
      <w:r w:rsidRPr="00074DA2">
        <w:rPr>
          <w:rFonts w:ascii="宋体" w:hAnsi="宋体" w:hint="eastAsia"/>
          <w:b/>
          <w:sz w:val="24"/>
        </w:rPr>
        <w:t>％）</w:t>
      </w:r>
      <w:r w:rsidRPr="00074DA2">
        <w:rPr>
          <w:rFonts w:ascii="宋体" w:hAnsi="宋体"/>
          <w:b/>
          <w:sz w:val="24"/>
        </w:rPr>
        <w:t>/50Hz</w:t>
      </w:r>
      <w:r w:rsidRPr="00074DA2">
        <w:rPr>
          <w:rFonts w:ascii="宋体" w:hAnsi="宋体" w:hint="eastAsia"/>
          <w:sz w:val="24"/>
        </w:rPr>
        <w:t>、气温摄氏</w:t>
      </w:r>
      <w:r w:rsidRPr="00074DA2">
        <w:rPr>
          <w:rFonts w:ascii="宋体" w:hAnsi="宋体" w:hint="eastAsia"/>
          <w:b/>
          <w:sz w:val="24"/>
        </w:rPr>
        <w:t>+1</w:t>
      </w:r>
      <w:r w:rsidRPr="00074DA2">
        <w:rPr>
          <w:rFonts w:ascii="宋体" w:hAnsi="宋体"/>
          <w:b/>
          <w:sz w:val="24"/>
        </w:rPr>
        <w:t>5</w:t>
      </w:r>
      <w:r w:rsidRPr="00074DA2">
        <w:rPr>
          <w:rFonts w:ascii="宋体" w:hAnsi="宋体" w:hint="eastAsia"/>
          <w:b/>
          <w:sz w:val="24"/>
        </w:rPr>
        <w:t>℃～＋3</w:t>
      </w:r>
      <w:r w:rsidRPr="00074DA2">
        <w:rPr>
          <w:rFonts w:ascii="宋体" w:hAnsi="宋体"/>
          <w:b/>
          <w:sz w:val="24"/>
        </w:rPr>
        <w:t>0</w:t>
      </w:r>
      <w:r w:rsidRPr="00074DA2">
        <w:rPr>
          <w:rFonts w:ascii="宋体" w:hAnsi="宋体" w:hint="eastAsia"/>
          <w:b/>
          <w:sz w:val="24"/>
        </w:rPr>
        <w:t>℃</w:t>
      </w:r>
      <w:r w:rsidRPr="00074DA2">
        <w:rPr>
          <w:rFonts w:ascii="宋体" w:hAnsi="宋体" w:hint="eastAsia"/>
          <w:sz w:val="24"/>
        </w:rPr>
        <w:t>和相对湿度小于</w:t>
      </w:r>
      <w:r w:rsidRPr="00074DA2">
        <w:rPr>
          <w:rFonts w:ascii="宋体" w:hAnsi="宋体"/>
          <w:b/>
          <w:sz w:val="24"/>
        </w:rPr>
        <w:t>8</w:t>
      </w:r>
      <w:r w:rsidRPr="00074DA2">
        <w:rPr>
          <w:rFonts w:ascii="宋体" w:hAnsi="宋体" w:hint="eastAsia"/>
          <w:b/>
          <w:sz w:val="24"/>
        </w:rPr>
        <w:t>0％</w:t>
      </w:r>
      <w:r w:rsidRPr="00074DA2">
        <w:rPr>
          <w:rFonts w:ascii="宋体" w:hAnsi="宋体" w:hint="eastAsia"/>
          <w:sz w:val="24"/>
        </w:rPr>
        <w:t>的环境条件下运行。</w:t>
      </w:r>
      <w:r w:rsidRPr="00074DA2">
        <w:rPr>
          <w:rFonts w:ascii="宋体" w:hAnsi="宋体" w:hint="eastAsia"/>
          <w:b/>
          <w:sz w:val="24"/>
        </w:rPr>
        <w:t>能够连续正常工作。</w:t>
      </w:r>
    </w:p>
    <w:p w:rsidR="00D33BAF" w:rsidRPr="00074DA2" w:rsidRDefault="00D33BAF" w:rsidP="00D33BA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074DA2">
        <w:rPr>
          <w:rFonts w:ascii="宋体" w:hAnsi="宋体" w:hint="eastAsia"/>
          <w:sz w:val="24"/>
        </w:rPr>
        <w:t>3.3  配置符合中国有关标准要求的插头，如果没有这样的插头，则需</w:t>
      </w:r>
      <w:r w:rsidRPr="00074DA2">
        <w:rPr>
          <w:rFonts w:ascii="宋体" w:hint="eastAsia"/>
          <w:sz w:val="24"/>
        </w:rPr>
        <w:t>提供适当的转</w:t>
      </w:r>
      <w:r w:rsidRPr="00074DA2">
        <w:rPr>
          <w:rFonts w:ascii="宋体" w:hAnsi="宋体" w:hint="eastAsia"/>
          <w:sz w:val="24"/>
        </w:rPr>
        <w:t>换插座。</w:t>
      </w:r>
    </w:p>
    <w:p w:rsidR="00D33BAF" w:rsidRPr="00074DA2" w:rsidRDefault="00D33BAF" w:rsidP="00D33BA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074DA2">
        <w:rPr>
          <w:rFonts w:ascii="宋体" w:hAnsi="宋体" w:hint="eastAsia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 w:rsidR="00D33BAF" w:rsidRPr="00074DA2" w:rsidRDefault="00D33BAF" w:rsidP="00D33BAF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4"/>
        </w:rPr>
      </w:pPr>
      <w:r w:rsidRPr="00074DA2">
        <w:rPr>
          <w:rFonts w:ascii="宋体" w:hAnsi="宋体" w:hint="eastAsia"/>
          <w:b/>
          <w:sz w:val="24"/>
        </w:rPr>
        <w:t>4、验收标准</w:t>
      </w:r>
    </w:p>
    <w:p w:rsidR="00D33BAF" w:rsidRPr="00074DA2" w:rsidRDefault="00D33BAF" w:rsidP="00D33BAF">
      <w:pPr>
        <w:spacing w:afterLines="100" w:after="312" w:line="360" w:lineRule="auto"/>
        <w:rPr>
          <w:rFonts w:ascii="宋体" w:hAnsi="宋体" w:hint="eastAsia"/>
          <w:sz w:val="24"/>
        </w:rPr>
      </w:pPr>
      <w:r w:rsidRPr="00074DA2">
        <w:rPr>
          <w:rFonts w:ascii="宋体" w:hAnsi="宋体" w:hint="eastAsia"/>
          <w:sz w:val="24"/>
        </w:rPr>
        <w:t>除非在技术规格中另有说明，所有仪器、设备和系统按下列要求进行验收：</w:t>
      </w:r>
      <w:r w:rsidRPr="00074DA2">
        <w:rPr>
          <w:rFonts w:ascii="宋体" w:hAnsi="宋体"/>
          <w:sz w:val="24"/>
        </w:rPr>
        <w:t xml:space="preserve"> </w:t>
      </w:r>
    </w:p>
    <w:p w:rsidR="00D33BAF" w:rsidRPr="00074DA2" w:rsidRDefault="00D33BAF" w:rsidP="00D33BA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074DA2">
        <w:rPr>
          <w:rFonts w:ascii="宋体" w:hAnsi="宋体" w:hint="eastAsia"/>
          <w:sz w:val="24"/>
        </w:rPr>
        <w:t>4.1 仪器设备运抵安装现场后，买方将与卖方共同开箱验收</w:t>
      </w:r>
      <w:r w:rsidRPr="00074DA2">
        <w:rPr>
          <w:rFonts w:ascii="宋体" w:hAnsi="宋体"/>
          <w:sz w:val="24"/>
        </w:rPr>
        <w:t xml:space="preserve">, </w:t>
      </w:r>
      <w:r w:rsidRPr="00074DA2">
        <w:rPr>
          <w:rFonts w:ascii="宋体" w:hAnsi="宋体" w:hint="eastAsia"/>
          <w:sz w:val="24"/>
        </w:rPr>
        <w:t>如卖方届时不派人来</w:t>
      </w:r>
      <w:r w:rsidRPr="00074DA2">
        <w:rPr>
          <w:rFonts w:ascii="宋体" w:hAnsi="宋体"/>
          <w:sz w:val="24"/>
        </w:rPr>
        <w:t xml:space="preserve">, </w:t>
      </w:r>
      <w:r w:rsidRPr="00074DA2">
        <w:rPr>
          <w:rFonts w:ascii="宋体" w:hAnsi="宋体" w:hint="eastAsia"/>
          <w:sz w:val="24"/>
        </w:rPr>
        <w:t>则验收结果应以买方的验收报告为最终验收结果。验收时发现短缺、破损</w:t>
      </w:r>
      <w:r w:rsidRPr="00074DA2">
        <w:rPr>
          <w:rFonts w:ascii="宋体" w:hAnsi="宋体"/>
          <w:sz w:val="24"/>
        </w:rPr>
        <w:t xml:space="preserve">, </w:t>
      </w:r>
      <w:r w:rsidRPr="00074DA2">
        <w:rPr>
          <w:rFonts w:ascii="宋体" w:hAnsi="宋体" w:hint="eastAsia"/>
          <w:sz w:val="24"/>
        </w:rPr>
        <w:t>买方有权要求卖方负责更换。</w:t>
      </w:r>
    </w:p>
    <w:p w:rsidR="00D33BAF" w:rsidRPr="00074DA2" w:rsidRDefault="00D33BAF" w:rsidP="00D33BA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074DA2">
        <w:rPr>
          <w:rFonts w:ascii="宋体" w:hAnsi="宋体" w:hint="eastAsia"/>
          <w:sz w:val="24"/>
        </w:rPr>
        <w:t xml:space="preserve">4.2  </w:t>
      </w:r>
      <w:r w:rsidRPr="00074DA2"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D33BAF" w:rsidRPr="00074DA2" w:rsidRDefault="00D33BAF" w:rsidP="00D33BAF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074DA2">
        <w:rPr>
          <w:rFonts w:ascii="宋体" w:hAnsi="宋体" w:hint="eastAsia"/>
          <w:sz w:val="24"/>
        </w:rPr>
        <w:t xml:space="preserve">4.3  </w:t>
      </w:r>
      <w:r w:rsidRPr="00074DA2"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 w:rsidR="00D33BAF" w:rsidRPr="00074DA2" w:rsidRDefault="00D33BAF" w:rsidP="00D33BAF">
      <w:pPr>
        <w:pStyle w:val="a3"/>
        <w:spacing w:line="360" w:lineRule="auto"/>
        <w:ind w:left="410" w:hangingChars="170" w:hanging="410"/>
        <w:rPr>
          <w:rFonts w:hAnsi="宋体" w:hint="eastAsia"/>
          <w:b/>
          <w:sz w:val="24"/>
          <w:szCs w:val="24"/>
        </w:rPr>
      </w:pPr>
      <w:r w:rsidRPr="00074DA2">
        <w:rPr>
          <w:rFonts w:hAnsi="宋体" w:hint="eastAsia"/>
          <w:b/>
          <w:sz w:val="24"/>
          <w:szCs w:val="24"/>
        </w:rPr>
        <w:t>5、本技术规格书中标注“★”号的为关键技术参数，对这些关键技术参数的任何负偏离将导致废标。</w:t>
      </w:r>
    </w:p>
    <w:p w:rsidR="00D33BAF" w:rsidRPr="00074DA2" w:rsidRDefault="00D33BAF" w:rsidP="00D33BAF">
      <w:pPr>
        <w:pStyle w:val="a3"/>
        <w:spacing w:line="360" w:lineRule="auto"/>
        <w:rPr>
          <w:rFonts w:hAnsi="宋体" w:hint="eastAsia"/>
          <w:b/>
          <w:sz w:val="24"/>
          <w:szCs w:val="24"/>
        </w:rPr>
      </w:pPr>
      <w:r w:rsidRPr="00074DA2">
        <w:rPr>
          <w:rFonts w:hAnsi="宋体" w:hint="eastAsia"/>
          <w:b/>
          <w:sz w:val="24"/>
          <w:szCs w:val="24"/>
        </w:rPr>
        <w:t>6、如在具体技术规格中有本总则不一致之处，以具体技术规格中的要求为准。</w:t>
      </w:r>
    </w:p>
    <w:p w:rsidR="00D33BAF" w:rsidRPr="00074DA2" w:rsidRDefault="00D33BAF" w:rsidP="00D33BAF">
      <w:pPr>
        <w:spacing w:afterLines="50" w:after="156"/>
        <w:ind w:left="601" w:hanging="601"/>
        <w:rPr>
          <w:rFonts w:ascii="宋体" w:hAnsi="宋体" w:hint="eastAsia"/>
          <w:b/>
          <w:sz w:val="28"/>
        </w:rPr>
      </w:pPr>
      <w:r w:rsidRPr="00074DA2">
        <w:rPr>
          <w:rFonts w:ascii="宋体" w:hAnsi="宋体"/>
          <w:b/>
          <w:sz w:val="24"/>
        </w:rPr>
        <w:br w:type="page"/>
      </w:r>
      <w:r>
        <w:rPr>
          <w:rFonts w:ascii="宋体" w:hAnsi="宋体" w:hint="eastAsia"/>
          <w:b/>
          <w:sz w:val="28"/>
        </w:rPr>
        <w:lastRenderedPageBreak/>
        <w:t>三</w:t>
      </w:r>
      <w:r w:rsidRPr="00074DA2">
        <w:rPr>
          <w:rFonts w:ascii="宋体" w:hAnsi="宋体" w:hint="eastAsia"/>
          <w:b/>
          <w:sz w:val="28"/>
        </w:rPr>
        <w:t>、具体技术规格</w:t>
      </w:r>
    </w:p>
    <w:p w:rsidR="00D33BAF" w:rsidRPr="00074DA2" w:rsidRDefault="00D33BAF" w:rsidP="00D33BAF">
      <w:pPr>
        <w:spacing w:afterLines="50" w:after="156"/>
        <w:ind w:left="601" w:hanging="601"/>
        <w:jc w:val="center"/>
        <w:rPr>
          <w:rFonts w:ascii="宋体" w:hAnsi="宋体"/>
          <w:b/>
          <w:bCs/>
          <w:sz w:val="24"/>
        </w:rPr>
      </w:pPr>
      <w:r w:rsidRPr="00074DA2">
        <w:rPr>
          <w:rFonts w:ascii="宋体" w:hAnsi="宋体" w:hint="eastAsia"/>
          <w:b/>
          <w:bCs/>
          <w:sz w:val="24"/>
        </w:rPr>
        <w:t>第一包</w:t>
      </w:r>
    </w:p>
    <w:p w:rsidR="00D33BAF" w:rsidRPr="00074DA2" w:rsidRDefault="00D33BAF" w:rsidP="00D33BAF">
      <w:pPr>
        <w:spacing w:line="360" w:lineRule="auto"/>
        <w:ind w:left="601" w:hanging="601"/>
        <w:jc w:val="center"/>
        <w:rPr>
          <w:rFonts w:ascii="宋体" w:hAnsi="宋体" w:hint="eastAsia"/>
          <w:b/>
          <w:bCs/>
          <w:sz w:val="24"/>
        </w:rPr>
      </w:pPr>
    </w:p>
    <w:p w:rsidR="00D33BAF" w:rsidRPr="00074DA2" w:rsidRDefault="00D33BAF" w:rsidP="00D33BAF">
      <w:pPr>
        <w:spacing w:line="360" w:lineRule="auto"/>
        <w:rPr>
          <w:rFonts w:ascii="宋体" w:hAnsi="宋体"/>
          <w:b/>
          <w:bCs/>
          <w:sz w:val="24"/>
        </w:rPr>
      </w:pPr>
      <w:r w:rsidRPr="00074DA2">
        <w:rPr>
          <w:rFonts w:ascii="宋体" w:hAnsi="宋体" w:hint="eastAsia"/>
          <w:b/>
          <w:bCs/>
          <w:sz w:val="24"/>
        </w:rPr>
        <w:t>一．</w:t>
      </w:r>
      <w:r w:rsidRPr="00074DA2">
        <w:rPr>
          <w:rFonts w:ascii="宋体" w:hAnsi="宋体" w:hint="eastAsia"/>
          <w:b/>
          <w:bCs/>
          <w:sz w:val="24"/>
        </w:rPr>
        <w:tab/>
        <w:t>★应用范围（本页不用提供证明资料）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1．</w:t>
      </w:r>
      <w:r w:rsidRPr="00074DA2">
        <w:rPr>
          <w:rFonts w:ascii="宋体" w:hAnsi="宋体" w:hint="eastAsia"/>
          <w:sz w:val="24"/>
        </w:rPr>
        <w:tab/>
        <w:t>用于蛋白质组学：蛋白质组学研究中的蛋白质鉴定、翻译后修饰、生物大分子相互作用、多肽和蛋白质的定量分析。</w:t>
      </w:r>
    </w:p>
    <w:p w:rsidR="00D33BAF" w:rsidRPr="00074DA2" w:rsidRDefault="00D33BAF" w:rsidP="00D33BAF">
      <w:pPr>
        <w:spacing w:line="360" w:lineRule="auto"/>
        <w:rPr>
          <w:rFonts w:ascii="宋体" w:hAnsi="宋体"/>
          <w:b/>
          <w:bCs/>
          <w:sz w:val="24"/>
        </w:rPr>
      </w:pPr>
      <w:r w:rsidRPr="00074DA2">
        <w:rPr>
          <w:rFonts w:ascii="宋体" w:hAnsi="宋体" w:hint="eastAsia"/>
          <w:b/>
          <w:bCs/>
          <w:sz w:val="24"/>
        </w:rPr>
        <w:t>二．</w:t>
      </w:r>
      <w:r w:rsidRPr="00074DA2">
        <w:rPr>
          <w:rFonts w:ascii="宋体" w:hAnsi="宋体" w:hint="eastAsia"/>
          <w:b/>
          <w:bCs/>
          <w:sz w:val="24"/>
        </w:rPr>
        <w:tab/>
        <w:t>技术参数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1．</w:t>
      </w:r>
      <w:r w:rsidRPr="00074DA2">
        <w:rPr>
          <w:rFonts w:ascii="宋体" w:hAnsi="宋体" w:hint="eastAsia"/>
          <w:sz w:val="24"/>
        </w:rPr>
        <w:tab/>
        <w:t>工作条件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1.1</w:t>
      </w:r>
      <w:r w:rsidRPr="00074DA2">
        <w:rPr>
          <w:rFonts w:ascii="宋体" w:hAnsi="宋体" w:hint="eastAsia"/>
          <w:sz w:val="24"/>
        </w:rPr>
        <w:tab/>
        <w:t xml:space="preserve"> 电源：230V±10%，AC(交流)，50/60Hz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1.2</w:t>
      </w:r>
      <w:r w:rsidRPr="00074DA2">
        <w:rPr>
          <w:rFonts w:ascii="宋体" w:hAnsi="宋体" w:hint="eastAsia"/>
          <w:sz w:val="24"/>
        </w:rPr>
        <w:tab/>
        <w:t xml:space="preserve"> 环境温度：18-27℃（最优：18~21℃）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1.3</w:t>
      </w:r>
      <w:r w:rsidRPr="00074DA2">
        <w:rPr>
          <w:rFonts w:ascii="宋体" w:hAnsi="宋体" w:hint="eastAsia"/>
          <w:sz w:val="24"/>
        </w:rPr>
        <w:tab/>
        <w:t xml:space="preserve"> 相对湿度：20-80%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1.4</w:t>
      </w:r>
      <w:r w:rsidRPr="00074DA2">
        <w:rPr>
          <w:rFonts w:ascii="宋体" w:hAnsi="宋体" w:hint="eastAsia"/>
          <w:sz w:val="24"/>
        </w:rPr>
        <w:tab/>
        <w:t xml:space="preserve"> 气体需求：高纯氮气，最大消耗量不大于20L/min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2．</w:t>
      </w:r>
      <w:r w:rsidRPr="00074DA2">
        <w:rPr>
          <w:rFonts w:ascii="宋体" w:hAnsi="宋体" w:hint="eastAsia"/>
          <w:sz w:val="24"/>
        </w:rPr>
        <w:tab/>
        <w:t>质谱部分：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2.1 离子源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2.1.1 独立的可加热电喷雾离子源，集成式气路电路设计，安装离子源时即可实现气路电路连接，自动识别，无需进行额外操作；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2.1.2喷针采用角度喷雾设计，前后，左右，上下位置可调。雾化后，废产物直接进入废液出口，确保离子源腔体洁净；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2.1.3 具有雾化气和辅助雾化气，进一步提高雾化效率和稳定性，具有强的雾化效果抗污染能力；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#</w:t>
      </w:r>
      <w:r w:rsidRPr="00074DA2">
        <w:rPr>
          <w:rFonts w:ascii="宋体" w:hAnsi="宋体"/>
          <w:sz w:val="24"/>
        </w:rPr>
        <w:t>2.1.4</w:t>
      </w:r>
      <w:r w:rsidRPr="00074DA2">
        <w:rPr>
          <w:rFonts w:ascii="宋体" w:hAnsi="宋体" w:hint="eastAsia"/>
          <w:sz w:val="24"/>
        </w:rPr>
        <w:t>纳升离子源无需加热，允许流速：</w:t>
      </w:r>
      <w:r w:rsidRPr="00074DA2">
        <w:rPr>
          <w:rFonts w:ascii="宋体" w:hAnsi="宋体"/>
          <w:sz w:val="24"/>
        </w:rPr>
        <w:t>1</w:t>
      </w:r>
      <w:r w:rsidRPr="00074DA2">
        <w:rPr>
          <w:rFonts w:ascii="宋体" w:hAnsi="宋体" w:hint="eastAsia"/>
          <w:sz w:val="24"/>
        </w:rPr>
        <w:t>0n</w:t>
      </w:r>
      <w:r w:rsidRPr="00074DA2">
        <w:rPr>
          <w:rFonts w:ascii="宋体" w:hAnsi="宋体"/>
          <w:sz w:val="24"/>
        </w:rPr>
        <w:t>l-1000</w:t>
      </w:r>
      <w:r w:rsidRPr="00074DA2">
        <w:rPr>
          <w:rFonts w:ascii="宋体" w:hAnsi="宋体" w:hint="eastAsia"/>
          <w:sz w:val="24"/>
        </w:rPr>
        <w:t>n</w:t>
      </w:r>
      <w:r w:rsidRPr="00074DA2">
        <w:rPr>
          <w:rFonts w:ascii="宋体" w:hAnsi="宋体"/>
          <w:sz w:val="24"/>
        </w:rPr>
        <w:t>l/min</w:t>
      </w:r>
      <w:r w:rsidRPr="00074DA2">
        <w:rPr>
          <w:rFonts w:ascii="宋体" w:hAnsi="宋体" w:hint="eastAsia"/>
          <w:sz w:val="24"/>
        </w:rPr>
        <w:t>；</w:t>
      </w:r>
      <w:r w:rsidRPr="00074DA2">
        <w:rPr>
          <w:rFonts w:ascii="宋体" w:hAnsi="宋体"/>
          <w:sz w:val="24"/>
        </w:rPr>
        <w:t xml:space="preserve"> 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2.1.5 ESI与APCI切换只需更换喷针，快速简便，且整个过程无需拆卸离子源</w:t>
      </w:r>
      <w:r w:rsidRPr="00074DA2">
        <w:rPr>
          <w:rFonts w:ascii="宋体" w:hAnsi="宋体"/>
          <w:sz w:val="24"/>
        </w:rPr>
        <w:t>;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2.1.6 全自动注射泵实现质谱直接进样，自动调谐和校正，可通过软件自动切换模式；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2.1.7 质谱配置软件具备实时监控并反馈喷雾稳定性功能；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2.1.8离子源腔体具有观察窗口，可以直接观察喷雾效果以及离子源腔体洁净程度；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2.2 离子传输系统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2.2.1 离子传输系统配有离子传输管设计，保护分子涡轮泵，减少真空负担；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2.2.2 大口径高容量离子传输管，确保更多离子进入质谱系统，得到更好的信号响应；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2.2.3 离子传输管加热温度≥400℃，提高去溶剂效果和确保离子传输系统抗污染能力；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lastRenderedPageBreak/>
        <w:t>2.2.4 具有真空隔断阀设计，在移去、清洗离子传输部件时，不需破坏真空, 待机时不需要消耗氮气；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2.2.5 电动离子漏斗：有效捕获离子并聚焦提高传输效率；独立一体化设计，不锈钢材质拆卸清洗方便；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#2.2.6带轴向场和过滤作用的双弯曲主动离子束传输组件：高效阻挡中性粒子和高速分子团，降低噪音，提高灵敏度；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2.3 质量分析器部分：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2.3.1质量范围40-6000m/z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2.3.2仪器分辨率：120,000 FWHM  ( m/z≤200)；≥4档可调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2.3.3四极杆隔离窗口宽度：0.4Da-1200Da，MS/MS母离子选择质量范围：40-2500m/z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2.3.4谱内动态范围：≥5,000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2.3.5 质谱采集速率：10Hz；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cs="Arial"/>
          <w:sz w:val="24"/>
        </w:rPr>
        <w:t>★</w:t>
      </w:r>
      <w:r w:rsidRPr="00074DA2">
        <w:rPr>
          <w:rFonts w:ascii="宋体" w:hAnsi="宋体" w:hint="eastAsia"/>
          <w:sz w:val="24"/>
        </w:rPr>
        <w:t>2.3.6 正负离子切换速度：≥1.4Hz；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2.3.7质量精确度：≤3ppm（连续24小时内不再校正， 100fg利血平重复进样）；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 xml:space="preserve">2.3.8 质量准确度： ≤3ppm RMS外标法； ≤1ppm RMS内标法； 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2.3.9 灵敏度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2.3.9.1全扫描Full Scan（m/z 100-900）灵敏度：50fg 利血平进样，S/N&gt;500:1；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2.3.9.2 MS/MS灵敏度：50 fg 利血平进样，S/N 1000:1；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2.3.9.3选择离子扫描SIM灵敏度：50 fg 利血平进样，S/N 1000:1；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2.3.9.4提高仪器分辨率时，设备的灵敏度基本保持不降低；采用利血平标品100fg进样，ESI+模式下，分辨率分别为30000和60000时，其他仪器参数维持不变的前提下，主峰的信号强度值相差不超过20%；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 xml:space="preserve">2.3.10 扫描模式  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高分辨全扫描MS和MS/MS、高分辨选择离子扫描、高分辨全子离子碰撞碎裂扫描、高分辨正负离子切换扫描、高分辨数据依赖子离子扫描、高分辨数据非依赖扫描、高分辨平行反应监测子离子扫描；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cs="Arial"/>
          <w:sz w:val="24"/>
        </w:rPr>
        <w:t>★</w:t>
      </w:r>
      <w:r w:rsidRPr="00074DA2">
        <w:rPr>
          <w:rFonts w:ascii="宋体" w:hAnsi="宋体" w:hint="eastAsia"/>
          <w:sz w:val="24"/>
        </w:rPr>
        <w:t>2.3.11检测器: FT无损检测；如采用微通道板（MCP）或电子倍增器等消耗型检测器，需确保3万小时的连续正常使用寿命，给出具体证据。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3 数据处理系统</w:t>
      </w:r>
    </w:p>
    <w:p w:rsidR="00D33BAF" w:rsidRPr="00074DA2" w:rsidRDefault="00D33BAF" w:rsidP="00D33BAF">
      <w:pPr>
        <w:spacing w:line="360" w:lineRule="auto"/>
        <w:rPr>
          <w:rFonts w:ascii="宋体" w:hAnsi="宋体" w:hint="eastAsia"/>
          <w:sz w:val="24"/>
        </w:rPr>
      </w:pPr>
      <w:r w:rsidRPr="00074DA2">
        <w:rPr>
          <w:rFonts w:ascii="宋体" w:hAnsi="宋体" w:hint="eastAsia"/>
          <w:sz w:val="24"/>
        </w:rPr>
        <w:t>品牌主流电脑工作站（质谱分析软件、Windows与Office软件）一台，提供LC和MS/MS</w:t>
      </w:r>
      <w:r w:rsidRPr="00074DA2">
        <w:rPr>
          <w:rFonts w:ascii="宋体" w:hAnsi="宋体" w:hint="eastAsia"/>
          <w:sz w:val="24"/>
        </w:rPr>
        <w:lastRenderedPageBreak/>
        <w:t>的全自动控制；简洁人性化的操作界面可以实现高效的仪器调谐和方法优化，方法优化还包括碰撞气压力以及碰撞能量的自动优化，并可利用优化后的参数快速便捷地建立分析方法；工作站及软件具备数据采集、数据处理、定性定量分析、建立数据库、谱库检索等功能；Win10正版64位操作系统，软件能够满足当今分析检测实验室需求，提供能够实现最优化痕量分析的全套系统解决方案。</w:t>
      </w:r>
    </w:p>
    <w:p w:rsidR="00D33BAF" w:rsidRPr="00074DA2" w:rsidRDefault="00D33BAF" w:rsidP="00D33BAF">
      <w:pPr>
        <w:spacing w:line="360" w:lineRule="auto"/>
        <w:rPr>
          <w:rFonts w:ascii="宋体" w:hAnsi="宋体"/>
          <w:b/>
          <w:bCs/>
          <w:sz w:val="24"/>
        </w:rPr>
      </w:pPr>
      <w:r w:rsidRPr="00074DA2">
        <w:rPr>
          <w:rFonts w:ascii="宋体" w:hAnsi="宋体" w:hint="eastAsia"/>
          <w:b/>
          <w:bCs/>
          <w:sz w:val="24"/>
        </w:rPr>
        <w:t>三、 ★供货范围（本页不用提供证明资料）</w:t>
      </w:r>
    </w:p>
    <w:p w:rsidR="00D33BAF" w:rsidRPr="00074DA2" w:rsidRDefault="00D33BAF" w:rsidP="00D33BAF">
      <w:pPr>
        <w:spacing w:line="360" w:lineRule="auto"/>
        <w:ind w:firstLine="360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质谱主机，包含ESI离子源，机械泵及分子涡轮泵 1台</w:t>
      </w:r>
    </w:p>
    <w:p w:rsidR="00D33BAF" w:rsidRPr="00074DA2" w:rsidRDefault="00D33BAF" w:rsidP="00D33BAF">
      <w:pPr>
        <w:spacing w:line="360" w:lineRule="auto"/>
        <w:rPr>
          <w:rFonts w:ascii="宋体" w:hAnsi="宋体"/>
          <w:b/>
          <w:bCs/>
          <w:sz w:val="24"/>
        </w:rPr>
      </w:pPr>
      <w:r w:rsidRPr="00074DA2">
        <w:rPr>
          <w:rFonts w:ascii="宋体" w:hAnsi="宋体" w:hint="eastAsia"/>
          <w:b/>
          <w:bCs/>
          <w:sz w:val="24"/>
        </w:rPr>
        <w:t>四、售后服务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cs="Arial"/>
          <w:sz w:val="24"/>
        </w:rPr>
        <w:t>★</w:t>
      </w:r>
      <w:r w:rsidRPr="00074DA2">
        <w:rPr>
          <w:rFonts w:ascii="宋体" w:hAnsi="宋体" w:hint="eastAsia"/>
          <w:sz w:val="24"/>
        </w:rPr>
        <w:t>1、整机免费保修二年。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2、仪器到货后5～10个工作日，专职液质工程师上门安装、调试，并在现场为用户提供上机操作培训；时间一周。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3、在安装半年内或应用户时间要求，用户实验室现场开设培训课程，提供两个免费培训名额，培训内容为仪器构成、维护、工作原理、基本操作、方法建立及应用。</w:t>
      </w:r>
    </w:p>
    <w:p w:rsidR="00D33BAF" w:rsidRPr="00074DA2" w:rsidRDefault="00D33BAF" w:rsidP="00D33BAF">
      <w:pPr>
        <w:spacing w:line="360" w:lineRule="auto"/>
        <w:rPr>
          <w:rFonts w:ascii="宋体" w:hAnsi="宋体"/>
          <w:b/>
          <w:bCs/>
          <w:sz w:val="24"/>
        </w:rPr>
      </w:pPr>
      <w:r w:rsidRPr="00074DA2">
        <w:rPr>
          <w:rFonts w:ascii="宋体" w:hAnsi="宋体" w:hint="eastAsia"/>
          <w:sz w:val="24"/>
        </w:rPr>
        <w:t>五、</w:t>
      </w:r>
      <w:r w:rsidRPr="00074DA2">
        <w:rPr>
          <w:rFonts w:ascii="宋体" w:hAnsi="宋体" w:hint="eastAsia"/>
          <w:b/>
          <w:bCs/>
          <w:sz w:val="24"/>
        </w:rPr>
        <w:t>到货期限和地点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  <w:r w:rsidRPr="00074DA2">
        <w:rPr>
          <w:rFonts w:ascii="宋体" w:hAnsi="宋体" w:hint="eastAsia"/>
          <w:sz w:val="24"/>
        </w:rPr>
        <w:t>1、到货期限: 合同签署后3个月内。</w:t>
      </w:r>
    </w:p>
    <w:p w:rsidR="00D33BAF" w:rsidRPr="00074DA2" w:rsidRDefault="00D33BAF" w:rsidP="00D33BAF">
      <w:pPr>
        <w:spacing w:line="360" w:lineRule="auto"/>
        <w:rPr>
          <w:rFonts w:ascii="宋体" w:hAnsi="宋体" w:hint="eastAsia"/>
          <w:sz w:val="24"/>
        </w:rPr>
      </w:pPr>
      <w:r w:rsidRPr="00074DA2">
        <w:rPr>
          <w:rFonts w:ascii="宋体" w:hAnsi="宋体" w:hint="eastAsia"/>
          <w:sz w:val="24"/>
        </w:rPr>
        <w:t>2、到货地点：大连机场。</w:t>
      </w:r>
    </w:p>
    <w:p w:rsidR="00D33BAF" w:rsidRPr="00074DA2" w:rsidRDefault="00D33BAF" w:rsidP="00D33BAF">
      <w:pPr>
        <w:spacing w:line="360" w:lineRule="auto"/>
        <w:rPr>
          <w:rFonts w:ascii="宋体" w:hAnsi="宋体"/>
          <w:sz w:val="24"/>
        </w:rPr>
      </w:pPr>
    </w:p>
    <w:p w:rsidR="00D33BAF" w:rsidRPr="00074DA2" w:rsidRDefault="00D33BAF" w:rsidP="00D33BAF">
      <w:pPr>
        <w:spacing w:line="360" w:lineRule="auto"/>
        <w:rPr>
          <w:rFonts w:hint="eastAsia"/>
          <w:b/>
          <w:sz w:val="24"/>
        </w:rPr>
      </w:pPr>
    </w:p>
    <w:p w:rsidR="007F3BB3" w:rsidRPr="00D33BAF" w:rsidRDefault="007F3BB3">
      <w:bookmarkStart w:id="0" w:name="_GoBack"/>
      <w:bookmarkEnd w:id="0"/>
    </w:p>
    <w:sectPr w:rsidR="007F3BB3" w:rsidRPr="00D33BAF">
      <w:headerReference w:type="default" r:id="rId6"/>
      <w:footerReference w:type="default" r:id="rId7"/>
      <w:footerReference w:type="first" r:id="rId8"/>
      <w:pgSz w:w="11906" w:h="16838"/>
      <w:pgMar w:top="1418" w:right="1418" w:bottom="1418" w:left="1418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19" w:rsidRDefault="00D33B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D33BAF">
      <w:rPr>
        <w:noProof/>
        <w:lang w:val="zh-CN" w:eastAsia="zh-CN"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19" w:rsidRDefault="00D33BAF">
    <w:pPr>
      <w:pStyle w:val="a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19" w:rsidRDefault="00D33BAF">
    <w:pPr>
      <w:pStyle w:val="a4"/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946"/>
    <w:multiLevelType w:val="multilevel"/>
    <w:tmpl w:val="68F84946"/>
    <w:lvl w:ilvl="0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AF"/>
    <w:rsid w:val="007F3BB3"/>
    <w:rsid w:val="00D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D33BAF"/>
    <w:rPr>
      <w:rFonts w:ascii="宋体" w:hAnsi="Courier New"/>
    </w:rPr>
  </w:style>
  <w:style w:type="paragraph" w:styleId="a3">
    <w:name w:val="Plain Text"/>
    <w:basedOn w:val="a"/>
    <w:link w:val="Char"/>
    <w:rsid w:val="00D33BAF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1"/>
    <w:basedOn w:val="a0"/>
    <w:uiPriority w:val="99"/>
    <w:semiHidden/>
    <w:rsid w:val="00D33BAF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rsid w:val="00D33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33B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rsid w:val="00D33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D33B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D33BAF"/>
    <w:rPr>
      <w:rFonts w:ascii="宋体" w:hAnsi="Courier New"/>
    </w:rPr>
  </w:style>
  <w:style w:type="paragraph" w:styleId="a3">
    <w:name w:val="Plain Text"/>
    <w:basedOn w:val="a"/>
    <w:link w:val="Char"/>
    <w:rsid w:val="00D33BAF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1"/>
    <w:basedOn w:val="a0"/>
    <w:uiPriority w:val="99"/>
    <w:semiHidden/>
    <w:rsid w:val="00D33BAF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rsid w:val="00D33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33B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rsid w:val="00D33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rsid w:val="00D33B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2020-11-04T05:12:00Z</dcterms:created>
  <dcterms:modified xsi:type="dcterms:W3CDTF">2020-11-04T05:13:00Z</dcterms:modified>
</cp:coreProperties>
</file>