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jc w:val="center"/>
        <w:rPr>
          <w:rFonts w:hint="eastAsia" w:ascii="仿宋" w:hAnsi="仿宋" w:eastAsia="仿宋" w:cs="仿宋"/>
          <w:b/>
          <w:kern w:val="0"/>
          <w:szCs w:val="21"/>
        </w:rPr>
      </w:pPr>
      <w:r>
        <w:rPr>
          <w:rFonts w:hint="eastAsia" w:ascii="仿宋" w:hAnsi="仿宋" w:eastAsia="仿宋" w:cs="仿宋"/>
          <w:b/>
          <w:bCs/>
          <w:kern w:val="0"/>
          <w:sz w:val="30"/>
          <w:szCs w:val="30"/>
        </w:rPr>
        <w:t>北京中医药大学生命科学学院2020年双一流仪器设备采购项目</w:t>
      </w:r>
      <w:r>
        <w:rPr>
          <w:rFonts w:hint="eastAsia" w:ascii="仿宋" w:hAnsi="仿宋" w:eastAsia="仿宋" w:cs="仿宋"/>
          <w:b/>
          <w:bCs/>
          <w:kern w:val="0"/>
          <w:sz w:val="30"/>
          <w:szCs w:val="30"/>
          <w:lang w:val="en-US" w:eastAsia="zh-CN"/>
        </w:rPr>
        <w:t>公开招标公告</w:t>
      </w:r>
    </w:p>
    <w:p>
      <w:pPr>
        <w:spacing w:before="100" w:beforeAutospacing="1" w:after="100" w:afterAutospacing="1"/>
        <w:rPr>
          <w:rFonts w:hint="eastAsia" w:ascii="仿宋" w:hAnsi="仿宋" w:eastAsia="仿宋" w:cs="仿宋"/>
          <w:b/>
          <w:kern w:val="0"/>
          <w:szCs w:val="21"/>
        </w:rPr>
      </w:pPr>
      <w:r>
        <w:rPr>
          <w:rFonts w:hint="eastAsia" w:ascii="仿宋" w:hAnsi="仿宋" w:eastAsia="仿宋" w:cs="仿宋"/>
          <w:b/>
          <w:kern w:val="0"/>
          <w:szCs w:val="21"/>
        </w:rPr>
        <w:t>（一）采购人及其委托的采购代理机构的名称、地址和联系方法</w:t>
      </w:r>
    </w:p>
    <w:p>
      <w:pPr>
        <w:spacing w:before="100" w:beforeAutospacing="1" w:after="100" w:afterAutospacing="1"/>
        <w:rPr>
          <w:rFonts w:hint="eastAsia" w:ascii="仿宋" w:hAnsi="仿宋" w:eastAsia="仿宋" w:cs="仿宋"/>
          <w:kern w:val="0"/>
          <w:szCs w:val="21"/>
        </w:rPr>
      </w:pPr>
      <w:r>
        <w:rPr>
          <w:rFonts w:hint="eastAsia" w:ascii="仿宋" w:hAnsi="仿宋" w:eastAsia="仿宋" w:cs="仿宋"/>
          <w:kern w:val="0"/>
          <w:szCs w:val="21"/>
        </w:rPr>
        <w:t xml:space="preserve">采购人名称：北京中医药大学                                </w:t>
      </w:r>
    </w:p>
    <w:p>
      <w:pPr>
        <w:pStyle w:val="3"/>
        <w:rPr>
          <w:rFonts w:hint="eastAsia" w:ascii="仿宋" w:hAnsi="仿宋" w:eastAsia="仿宋" w:cs="仿宋"/>
          <w:sz w:val="21"/>
          <w:szCs w:val="21"/>
          <w:u w:val="single"/>
        </w:rPr>
      </w:pPr>
      <w:r>
        <w:rPr>
          <w:rFonts w:hint="eastAsia" w:ascii="仿宋" w:hAnsi="仿宋" w:eastAsia="仿宋" w:cs="仿宋"/>
          <w:sz w:val="21"/>
          <w:szCs w:val="21"/>
        </w:rPr>
        <w:t>采购人地址：北京市朝阳区北三环东路 11 号    电话：010-64286545</w:t>
      </w:r>
    </w:p>
    <w:p>
      <w:pPr>
        <w:spacing w:before="100" w:beforeAutospacing="1" w:after="100" w:afterAutospacing="1"/>
        <w:rPr>
          <w:rFonts w:hint="eastAsia" w:ascii="仿宋" w:hAnsi="仿宋" w:eastAsia="仿宋" w:cs="仿宋"/>
          <w:kern w:val="0"/>
          <w:szCs w:val="21"/>
        </w:rPr>
      </w:pPr>
      <w:r>
        <w:rPr>
          <w:rFonts w:hint="eastAsia" w:ascii="仿宋" w:hAnsi="仿宋" w:eastAsia="仿宋" w:cs="仿宋"/>
          <w:kern w:val="0"/>
          <w:szCs w:val="21"/>
        </w:rPr>
        <w:t xml:space="preserve">采购代理机构名称：中机国际招标有限公司                                    </w:t>
      </w:r>
    </w:p>
    <w:p>
      <w:pPr>
        <w:spacing w:before="100" w:beforeAutospacing="1" w:after="100" w:afterAutospacing="1"/>
        <w:rPr>
          <w:rFonts w:hint="eastAsia" w:ascii="仿宋" w:hAnsi="仿宋" w:eastAsia="仿宋" w:cs="仿宋"/>
          <w:kern w:val="0"/>
          <w:szCs w:val="21"/>
        </w:rPr>
      </w:pPr>
      <w:r>
        <w:rPr>
          <w:rFonts w:hint="eastAsia" w:ascii="仿宋" w:hAnsi="仿宋" w:eastAsia="仿宋" w:cs="仿宋"/>
          <w:kern w:val="0"/>
          <w:szCs w:val="21"/>
        </w:rPr>
        <w:t xml:space="preserve">采购代理机构地址：北京市丰台区西三环中路90号通用技术大厦1004室                             </w:t>
      </w:r>
    </w:p>
    <w:p>
      <w:pPr>
        <w:spacing w:before="100" w:beforeAutospacing="1" w:after="100" w:afterAutospacing="1"/>
        <w:rPr>
          <w:rFonts w:ascii="仿宋" w:hAnsi="仿宋" w:eastAsia="仿宋" w:cs="仿宋"/>
          <w:kern w:val="0"/>
          <w:szCs w:val="21"/>
          <w:u w:val="single"/>
        </w:rPr>
      </w:pPr>
      <w:r>
        <w:rPr>
          <w:rFonts w:hint="eastAsia" w:ascii="仿宋" w:hAnsi="仿宋" w:eastAsia="仿宋" w:cs="仿宋"/>
          <w:kern w:val="0"/>
          <w:szCs w:val="21"/>
        </w:rPr>
        <w:t>项目经理：张蕊                              电话：010-63348634、8301</w:t>
      </w:r>
    </w:p>
    <w:p>
      <w:pPr>
        <w:spacing w:before="100" w:beforeAutospacing="1" w:after="100" w:afterAutospacing="1"/>
        <w:rPr>
          <w:rFonts w:hint="eastAsia" w:ascii="仿宋" w:hAnsi="仿宋" w:eastAsia="仿宋" w:cs="仿宋"/>
          <w:b/>
          <w:kern w:val="0"/>
          <w:szCs w:val="21"/>
        </w:rPr>
      </w:pPr>
      <w:r>
        <w:rPr>
          <w:rFonts w:hint="eastAsia" w:ascii="仿宋" w:hAnsi="仿宋" w:eastAsia="仿宋" w:cs="仿宋"/>
          <w:b/>
          <w:kern w:val="0"/>
          <w:szCs w:val="21"/>
        </w:rPr>
        <w:t>（二）采购项目的名称、预算金额、最高限价</w:t>
      </w:r>
    </w:p>
    <w:p>
      <w:pPr>
        <w:spacing w:before="100" w:beforeAutospacing="1" w:after="100" w:afterAutospacing="1"/>
        <w:rPr>
          <w:rFonts w:hint="eastAsia" w:ascii="仿宋" w:hAnsi="仿宋" w:eastAsia="仿宋" w:cs="仿宋"/>
          <w:kern w:val="0"/>
          <w:szCs w:val="21"/>
        </w:rPr>
      </w:pPr>
      <w:r>
        <w:rPr>
          <w:rFonts w:hint="eastAsia" w:ascii="仿宋" w:hAnsi="仿宋" w:eastAsia="仿宋" w:cs="仿宋"/>
          <w:kern w:val="0"/>
          <w:szCs w:val="21"/>
        </w:rPr>
        <w:t>采购项目名称：北京中医药大学生命科学学院2020年双一流仪器设备采购项目</w:t>
      </w:r>
      <w:r>
        <w:rPr>
          <w:rFonts w:hint="eastAsia" w:ascii="仿宋" w:hAnsi="仿宋" w:eastAsia="仿宋" w:cs="仿宋"/>
          <w:kern w:val="0"/>
          <w:szCs w:val="21"/>
          <w:lang w:val="en-US" w:eastAsia="zh-CN"/>
        </w:rPr>
        <w:t>(招标编号：0702-20412R15)</w:t>
      </w:r>
      <w:r>
        <w:rPr>
          <w:rFonts w:hint="eastAsia" w:ascii="仿宋" w:hAnsi="仿宋" w:eastAsia="仿宋" w:cs="仿宋"/>
          <w:kern w:val="0"/>
          <w:szCs w:val="21"/>
        </w:rPr>
        <w:t xml:space="preserve">      </w:t>
      </w:r>
    </w:p>
    <w:p>
      <w:pPr>
        <w:spacing w:before="100" w:beforeAutospacing="1" w:after="100" w:afterAutospacing="1"/>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项目预算金额：450万元人民币              最高限价：450万元人民币</w:t>
      </w:r>
    </w:p>
    <w:p>
      <w:pPr>
        <w:spacing w:before="100" w:beforeAutospacing="1" w:after="100" w:afterAutospacing="1"/>
        <w:rPr>
          <w:rFonts w:hint="eastAsia" w:ascii="仿宋" w:hAnsi="仿宋" w:eastAsia="仿宋" w:cs="仿宋"/>
          <w:b/>
          <w:kern w:val="0"/>
          <w:szCs w:val="21"/>
        </w:rPr>
      </w:pPr>
      <w:r>
        <w:rPr>
          <w:rFonts w:hint="eastAsia" w:ascii="仿宋" w:hAnsi="仿宋" w:eastAsia="仿宋" w:cs="仿宋"/>
          <w:b/>
          <w:kern w:val="0"/>
          <w:szCs w:val="21"/>
        </w:rPr>
        <w:t>（三）采购人的采购需求</w:t>
      </w:r>
    </w:p>
    <w:p>
      <w:pPr>
        <w:spacing w:before="100" w:beforeAutospacing="1" w:after="100" w:afterAutospacing="1"/>
        <w:rPr>
          <w:rFonts w:hint="eastAsia" w:ascii="仿宋" w:hAnsi="仿宋" w:eastAsia="仿宋" w:cs="仿宋"/>
          <w:kern w:val="0"/>
          <w:szCs w:val="21"/>
        </w:rPr>
      </w:pPr>
      <w:r>
        <w:rPr>
          <w:rFonts w:hint="eastAsia" w:ascii="仿宋" w:hAnsi="仿宋" w:eastAsia="仿宋" w:cs="仿宋"/>
          <w:kern w:val="0"/>
          <w:szCs w:val="21"/>
        </w:rPr>
        <w:t>1. 采购标的需实现的功能或者目标，以及为落实政府采购政策需满足的要求；</w:t>
      </w:r>
    </w:p>
    <w:p>
      <w:pPr>
        <w:spacing w:before="100" w:beforeAutospacing="1" w:after="100" w:afterAutospacing="1"/>
        <w:ind w:firstLine="420" w:firstLineChars="200"/>
        <w:rPr>
          <w:rFonts w:hint="eastAsia" w:ascii="仿宋" w:hAnsi="仿宋" w:eastAsia="仿宋" w:cs="仿宋"/>
          <w:kern w:val="0"/>
          <w:szCs w:val="21"/>
          <w:lang w:eastAsia="zh-CN"/>
        </w:rPr>
      </w:pPr>
      <w:r>
        <w:rPr>
          <w:rFonts w:hint="eastAsia" w:ascii="仿宋" w:hAnsi="仿宋" w:eastAsia="仿宋" w:cs="仿宋"/>
          <w:kern w:val="0"/>
          <w:szCs w:val="21"/>
        </w:rPr>
        <w:t>采购标的需实现的功能或者目标：满足教学科研需要</w:t>
      </w:r>
      <w:r>
        <w:rPr>
          <w:rFonts w:hint="eastAsia" w:ascii="仿宋" w:hAnsi="仿宋" w:eastAsia="仿宋" w:cs="仿宋"/>
          <w:kern w:val="0"/>
          <w:szCs w:val="21"/>
          <w:lang w:eastAsia="zh-CN"/>
        </w:rPr>
        <w:t>。</w:t>
      </w:r>
    </w:p>
    <w:p>
      <w:pPr>
        <w:spacing w:before="100" w:beforeAutospacing="1" w:after="100" w:afterAutospacing="1"/>
        <w:ind w:firstLine="420" w:firstLineChars="200"/>
        <w:rPr>
          <w:rFonts w:hint="eastAsia" w:ascii="仿宋" w:hAnsi="仿宋" w:eastAsia="仿宋" w:cs="仿宋"/>
          <w:kern w:val="0"/>
          <w:szCs w:val="21"/>
        </w:rPr>
      </w:pPr>
      <w:r>
        <w:rPr>
          <w:rFonts w:hint="eastAsia" w:ascii="仿宋" w:hAnsi="仿宋" w:eastAsia="仿宋" w:cs="仿宋"/>
          <w:kern w:val="0"/>
          <w:szCs w:val="21"/>
        </w:rPr>
        <w:t>采购项目需要落实的政府采购政策：</w:t>
      </w:r>
    </w:p>
    <w:p>
      <w:pPr>
        <w:spacing w:before="100" w:beforeAutospacing="1" w:after="100" w:afterAutospacing="1"/>
        <w:ind w:firstLine="420" w:firstLineChars="200"/>
        <w:rPr>
          <w:rFonts w:hint="eastAsia" w:ascii="仿宋" w:hAnsi="仿宋" w:eastAsia="仿宋" w:cs="仿宋"/>
          <w:kern w:val="0"/>
          <w:szCs w:val="21"/>
        </w:rPr>
      </w:pPr>
      <w:r>
        <w:rPr>
          <w:rFonts w:hint="eastAsia" w:ascii="仿宋" w:hAnsi="仿宋" w:eastAsia="仿宋" w:cs="仿宋"/>
          <w:kern w:val="0"/>
          <w:szCs w:val="21"/>
        </w:rPr>
        <w:t>1）鼓励节能政策：在技术、服务等指标同等条件下，优先采购属于国家公布的品目清单内产品。</w:t>
      </w:r>
    </w:p>
    <w:p>
      <w:pPr>
        <w:spacing w:before="100" w:beforeAutospacing="1" w:after="100" w:afterAutospacing="1"/>
        <w:ind w:firstLine="420" w:firstLineChars="200"/>
        <w:rPr>
          <w:rFonts w:hint="eastAsia" w:ascii="仿宋" w:hAnsi="仿宋" w:eastAsia="仿宋" w:cs="仿宋"/>
          <w:kern w:val="0"/>
          <w:szCs w:val="21"/>
        </w:rPr>
      </w:pPr>
      <w:r>
        <w:rPr>
          <w:rFonts w:hint="eastAsia" w:ascii="仿宋" w:hAnsi="仿宋" w:eastAsia="仿宋" w:cs="仿宋"/>
          <w:kern w:val="0"/>
          <w:szCs w:val="21"/>
        </w:rPr>
        <w:t>2）鼓励环保政策：在性能、技术、服务等指标同等条件下，优先采购国家公布的品目清单内产品。</w:t>
      </w:r>
    </w:p>
    <w:p>
      <w:pPr>
        <w:spacing w:before="100" w:beforeAutospacing="1" w:after="100" w:afterAutospacing="1"/>
        <w:ind w:firstLine="420" w:firstLineChars="200"/>
        <w:rPr>
          <w:rFonts w:hint="eastAsia" w:ascii="仿宋" w:hAnsi="仿宋" w:eastAsia="仿宋" w:cs="仿宋"/>
          <w:kern w:val="0"/>
          <w:szCs w:val="21"/>
        </w:rPr>
      </w:pPr>
      <w:r>
        <w:rPr>
          <w:rFonts w:hint="eastAsia" w:ascii="仿宋" w:hAnsi="仿宋" w:eastAsia="仿宋" w:cs="仿宋"/>
          <w:kern w:val="0"/>
          <w:szCs w:val="21"/>
        </w:rPr>
        <w:t>3）扶持中小企业政策：评审时小型和微型企业产品享受10%的价格折扣。</w:t>
      </w:r>
    </w:p>
    <w:p>
      <w:pPr>
        <w:spacing w:before="100" w:beforeAutospacing="1" w:after="100" w:afterAutospacing="1"/>
        <w:ind w:firstLine="420" w:firstLineChars="200"/>
        <w:rPr>
          <w:rFonts w:hint="eastAsia" w:ascii="仿宋" w:hAnsi="仿宋" w:eastAsia="仿宋" w:cs="仿宋"/>
          <w:kern w:val="0"/>
          <w:szCs w:val="21"/>
        </w:rPr>
      </w:pPr>
      <w:r>
        <w:rPr>
          <w:rFonts w:hint="eastAsia" w:ascii="仿宋" w:hAnsi="仿宋" w:eastAsia="仿宋" w:cs="仿宋"/>
          <w:kern w:val="0"/>
          <w:szCs w:val="21"/>
        </w:rPr>
        <w:t>4）投标产品可以为进口产品。</w:t>
      </w:r>
    </w:p>
    <w:p>
      <w:pPr>
        <w:spacing w:before="100" w:beforeAutospacing="1" w:after="100" w:afterAutospacing="1"/>
        <w:rPr>
          <w:rFonts w:hint="eastAsia" w:ascii="仿宋" w:hAnsi="仿宋" w:eastAsia="仿宋" w:cs="仿宋"/>
          <w:kern w:val="0"/>
          <w:szCs w:val="21"/>
        </w:rPr>
      </w:pPr>
      <w:r>
        <w:rPr>
          <w:rFonts w:hint="eastAsia" w:ascii="仿宋" w:hAnsi="仿宋" w:eastAsia="仿宋" w:cs="仿宋"/>
          <w:kern w:val="0"/>
          <w:szCs w:val="21"/>
        </w:rPr>
        <w:t>2. 采购标的需执行的国家相关标准、行业标准、地方标准或者其他标准、规范；</w:t>
      </w:r>
    </w:p>
    <w:p>
      <w:pPr>
        <w:spacing w:before="100" w:beforeAutospacing="1" w:after="100" w:afterAutospacing="1"/>
        <w:ind w:firstLine="420" w:firstLineChars="200"/>
        <w:rPr>
          <w:rFonts w:hint="eastAsia" w:ascii="仿宋" w:hAnsi="仿宋" w:eastAsia="仿宋" w:cs="仿宋"/>
          <w:kern w:val="0"/>
          <w:szCs w:val="21"/>
        </w:rPr>
      </w:pPr>
      <w:r>
        <w:rPr>
          <w:rFonts w:hint="eastAsia" w:ascii="仿宋" w:hAnsi="仿宋" w:eastAsia="仿宋" w:cs="仿宋"/>
          <w:kern w:val="0"/>
          <w:szCs w:val="21"/>
        </w:rPr>
        <w:t>设备必须符合国家检测标准以及该产品的出厂标准等规范要求。</w:t>
      </w:r>
    </w:p>
    <w:p>
      <w:pPr>
        <w:numPr>
          <w:ilvl w:val="0"/>
          <w:numId w:val="1"/>
        </w:numPr>
        <w:spacing w:before="100" w:beforeAutospacing="1" w:after="100" w:afterAutospacing="1"/>
        <w:rPr>
          <w:rFonts w:hint="eastAsia" w:ascii="仿宋" w:hAnsi="仿宋" w:eastAsia="仿宋" w:cs="仿宋"/>
          <w:kern w:val="0"/>
          <w:szCs w:val="21"/>
        </w:rPr>
      </w:pPr>
      <w:r>
        <w:rPr>
          <w:rFonts w:hint="eastAsia" w:ascii="仿宋" w:hAnsi="仿宋" w:eastAsia="仿宋" w:cs="仿宋"/>
          <w:kern w:val="0"/>
          <w:szCs w:val="21"/>
        </w:rPr>
        <w:t>采购标的需满足的质量、安全、技术规格、物理特性等要求；</w:t>
      </w:r>
    </w:p>
    <w:p>
      <w:pPr>
        <w:spacing w:before="100" w:beforeAutospacing="1" w:after="100" w:afterAutospacing="1" w:line="360" w:lineRule="auto"/>
        <w:ind w:firstLine="420" w:firstLineChars="200"/>
        <w:rPr>
          <w:rFonts w:hint="eastAsia" w:ascii="仿宋" w:hAnsi="仿宋" w:eastAsia="仿宋" w:cs="仿宋"/>
          <w:kern w:val="0"/>
          <w:szCs w:val="21"/>
        </w:rPr>
      </w:pPr>
      <w:r>
        <w:rPr>
          <w:rFonts w:hint="eastAsia" w:ascii="仿宋" w:hAnsi="仿宋" w:eastAsia="仿宋" w:cs="仿宋"/>
          <w:kern w:val="0"/>
          <w:szCs w:val="21"/>
        </w:rPr>
        <w:t xml:space="preserve"> 设备运转需无特殊要求，220V供电，无特殊工具等。。</w:t>
      </w:r>
    </w:p>
    <w:p>
      <w:pPr>
        <w:numPr>
          <w:ilvl w:val="0"/>
          <w:numId w:val="1"/>
        </w:numPr>
        <w:spacing w:before="100" w:beforeAutospacing="1" w:after="100" w:afterAutospacing="1"/>
        <w:rPr>
          <w:rFonts w:hint="eastAsia" w:ascii="仿宋" w:hAnsi="仿宋" w:eastAsia="仿宋" w:cs="仿宋"/>
          <w:kern w:val="0"/>
          <w:szCs w:val="21"/>
        </w:rPr>
      </w:pPr>
      <w:r>
        <w:rPr>
          <w:rFonts w:hint="eastAsia" w:ascii="仿宋" w:hAnsi="仿宋" w:eastAsia="仿宋" w:cs="仿宋"/>
          <w:kern w:val="0"/>
          <w:szCs w:val="21"/>
        </w:rPr>
        <w:t>采购标的的数量、采购项目交付或者实施的时间和地点；</w:t>
      </w:r>
    </w:p>
    <w:tbl>
      <w:tblPr>
        <w:tblStyle w:val="4"/>
        <w:tblW w:w="0" w:type="auto"/>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1905"/>
        <w:gridCol w:w="1263"/>
        <w:gridCol w:w="1950"/>
        <w:gridCol w:w="1537"/>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450" w:type="dxa"/>
            <w:noWrap w:val="0"/>
            <w:vAlign w:val="center"/>
          </w:tcPr>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包号</w:t>
            </w:r>
          </w:p>
        </w:tc>
        <w:tc>
          <w:tcPr>
            <w:tcW w:w="1905" w:type="dxa"/>
            <w:noWrap w:val="0"/>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品目名称</w:t>
            </w:r>
          </w:p>
        </w:tc>
        <w:tc>
          <w:tcPr>
            <w:tcW w:w="1263" w:type="dxa"/>
            <w:noWrap w:val="0"/>
            <w:vAlign w:val="center"/>
          </w:tcPr>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采购数量</w:t>
            </w:r>
          </w:p>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（台/套）</w:t>
            </w:r>
          </w:p>
        </w:tc>
        <w:tc>
          <w:tcPr>
            <w:tcW w:w="1950" w:type="dxa"/>
            <w:noWrap w:val="0"/>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品目控制金额（万元）</w:t>
            </w:r>
          </w:p>
        </w:tc>
        <w:tc>
          <w:tcPr>
            <w:tcW w:w="1537" w:type="dxa"/>
            <w:noWrap w:val="0"/>
            <w:vAlign w:val="center"/>
          </w:tcPr>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交货时间</w:t>
            </w:r>
          </w:p>
        </w:tc>
        <w:tc>
          <w:tcPr>
            <w:tcW w:w="1463" w:type="dxa"/>
            <w:noWrap w:val="0"/>
            <w:vAlign w:val="center"/>
          </w:tcPr>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450" w:type="dxa"/>
            <w:vMerge w:val="restart"/>
            <w:noWrap w:val="0"/>
            <w:vAlign w:val="center"/>
          </w:tcPr>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1</w:t>
            </w:r>
          </w:p>
        </w:tc>
        <w:tc>
          <w:tcPr>
            <w:tcW w:w="1905" w:type="dxa"/>
            <w:noWrap w:val="0"/>
            <w:vAlign w:val="center"/>
          </w:tcPr>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生物分子结合处理分析系统</w:t>
            </w:r>
          </w:p>
        </w:tc>
        <w:tc>
          <w:tcPr>
            <w:tcW w:w="1263" w:type="dxa"/>
            <w:noWrap w:val="0"/>
            <w:vAlign w:val="center"/>
          </w:tcPr>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1</w:t>
            </w:r>
          </w:p>
        </w:tc>
        <w:tc>
          <w:tcPr>
            <w:tcW w:w="1950" w:type="dxa"/>
            <w:vMerge w:val="restart"/>
            <w:noWrap w:val="0"/>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450</w:t>
            </w:r>
          </w:p>
        </w:tc>
        <w:tc>
          <w:tcPr>
            <w:tcW w:w="1537" w:type="dxa"/>
            <w:vMerge w:val="restart"/>
            <w:noWrap w:val="0"/>
            <w:vAlign w:val="center"/>
          </w:tcPr>
          <w:p>
            <w:pPr>
              <w:pStyle w:val="2"/>
              <w:rPr>
                <w:rFonts w:ascii="仿宋" w:hAnsi="仿宋" w:eastAsia="仿宋" w:cs="仿宋"/>
                <w:kern w:val="0"/>
                <w:sz w:val="24"/>
              </w:rPr>
            </w:pPr>
            <w:r>
              <w:rPr>
                <w:rFonts w:hint="eastAsia" w:ascii="仿宋" w:hAnsi="仿宋" w:eastAsia="仿宋" w:cs="仿宋"/>
                <w:kern w:val="0"/>
                <w:sz w:val="24"/>
              </w:rPr>
              <w:t>进口设备合同签订后</w:t>
            </w:r>
            <w:r>
              <w:rPr>
                <w:rFonts w:hint="eastAsia" w:ascii="仿宋" w:hAnsi="仿宋" w:eastAsia="仿宋" w:cs="仿宋"/>
                <w:sz w:val="24"/>
              </w:rPr>
              <w:t>3个月内</w:t>
            </w:r>
            <w:r>
              <w:rPr>
                <w:rFonts w:hint="eastAsia" w:ascii="仿宋" w:hAnsi="仿宋" w:eastAsia="仿宋" w:cs="仿宋"/>
                <w:kern w:val="0"/>
                <w:sz w:val="24"/>
              </w:rPr>
              <w:t>，国产设备合同签订后1个月内</w:t>
            </w:r>
          </w:p>
        </w:tc>
        <w:tc>
          <w:tcPr>
            <w:tcW w:w="1463" w:type="dxa"/>
            <w:vMerge w:val="restart"/>
            <w:noWrap w:val="0"/>
            <w:vAlign w:val="center"/>
          </w:tcPr>
          <w:p>
            <w:pPr>
              <w:spacing w:line="360" w:lineRule="auto"/>
              <w:jc w:val="center"/>
              <w:rPr>
                <w:rFonts w:ascii="仿宋" w:hAnsi="仿宋" w:eastAsia="仿宋" w:cs="仿宋"/>
                <w:kern w:val="0"/>
                <w:sz w:val="24"/>
              </w:rPr>
            </w:pPr>
            <w:r>
              <w:rPr>
                <w:rFonts w:ascii="仿宋" w:hAnsi="仿宋" w:eastAsia="仿宋" w:cs="仿宋"/>
                <w:kern w:val="0"/>
                <w:sz w:val="24"/>
              </w:rPr>
              <w:t>北京中医药大学用户指定地点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450" w:type="dxa"/>
            <w:vMerge w:val="continue"/>
            <w:noWrap w:val="0"/>
            <w:vAlign w:val="center"/>
          </w:tcPr>
          <w:p>
            <w:pPr>
              <w:spacing w:line="360" w:lineRule="auto"/>
              <w:jc w:val="center"/>
            </w:pPr>
          </w:p>
        </w:tc>
        <w:tc>
          <w:tcPr>
            <w:tcW w:w="1905" w:type="dxa"/>
            <w:noWrap w:val="0"/>
            <w:vAlign w:val="center"/>
          </w:tcPr>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生物反应器系统</w:t>
            </w:r>
          </w:p>
        </w:tc>
        <w:tc>
          <w:tcPr>
            <w:tcW w:w="1263" w:type="dxa"/>
            <w:noWrap w:val="0"/>
            <w:vAlign w:val="center"/>
          </w:tcPr>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1</w:t>
            </w:r>
          </w:p>
        </w:tc>
        <w:tc>
          <w:tcPr>
            <w:tcW w:w="1950" w:type="dxa"/>
            <w:vMerge w:val="continue"/>
            <w:noWrap w:val="0"/>
            <w:vAlign w:val="center"/>
          </w:tcPr>
          <w:p>
            <w:pPr>
              <w:spacing w:line="360" w:lineRule="auto"/>
              <w:jc w:val="center"/>
              <w:rPr>
                <w:rFonts w:ascii="仿宋" w:hAnsi="仿宋" w:eastAsia="仿宋" w:cs="仿宋"/>
                <w:kern w:val="0"/>
                <w:sz w:val="24"/>
              </w:rPr>
            </w:pPr>
          </w:p>
        </w:tc>
        <w:tc>
          <w:tcPr>
            <w:tcW w:w="1537" w:type="dxa"/>
            <w:vMerge w:val="continue"/>
            <w:noWrap w:val="0"/>
            <w:vAlign w:val="center"/>
          </w:tcPr>
          <w:p>
            <w:pPr>
              <w:spacing w:line="360" w:lineRule="auto"/>
              <w:jc w:val="center"/>
              <w:rPr>
                <w:rFonts w:hint="eastAsia" w:ascii="仿宋" w:hAnsi="仿宋" w:eastAsia="仿宋" w:cs="仿宋"/>
                <w:kern w:val="0"/>
                <w:sz w:val="24"/>
              </w:rPr>
            </w:pPr>
          </w:p>
        </w:tc>
        <w:tc>
          <w:tcPr>
            <w:tcW w:w="1463" w:type="dxa"/>
            <w:vMerge w:val="continue"/>
            <w:noWrap w:val="0"/>
            <w:vAlign w:val="center"/>
          </w:tcPr>
          <w:p>
            <w:pPr>
              <w:spacing w:line="360" w:lineRule="auto"/>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450" w:type="dxa"/>
            <w:vMerge w:val="continue"/>
            <w:noWrap w:val="0"/>
            <w:vAlign w:val="center"/>
          </w:tcPr>
          <w:p>
            <w:pPr>
              <w:spacing w:line="360" w:lineRule="auto"/>
              <w:jc w:val="center"/>
              <w:rPr>
                <w:rFonts w:hint="eastAsia" w:ascii="仿宋" w:hAnsi="仿宋" w:eastAsia="仿宋" w:cs="仿宋"/>
                <w:kern w:val="0"/>
                <w:sz w:val="24"/>
              </w:rPr>
            </w:pPr>
          </w:p>
        </w:tc>
        <w:tc>
          <w:tcPr>
            <w:tcW w:w="1905" w:type="dxa"/>
            <w:noWrap w:val="0"/>
            <w:vAlign w:val="center"/>
          </w:tcPr>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流式细胞分选仪</w:t>
            </w:r>
          </w:p>
        </w:tc>
        <w:tc>
          <w:tcPr>
            <w:tcW w:w="1263" w:type="dxa"/>
            <w:noWrap w:val="0"/>
            <w:vAlign w:val="center"/>
          </w:tcPr>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1</w:t>
            </w:r>
          </w:p>
        </w:tc>
        <w:tc>
          <w:tcPr>
            <w:tcW w:w="1950" w:type="dxa"/>
            <w:vMerge w:val="continue"/>
            <w:noWrap w:val="0"/>
            <w:vAlign w:val="center"/>
          </w:tcPr>
          <w:p>
            <w:pPr>
              <w:spacing w:line="360" w:lineRule="auto"/>
              <w:jc w:val="center"/>
              <w:rPr>
                <w:rFonts w:ascii="仿宋" w:hAnsi="仿宋" w:eastAsia="仿宋" w:cs="仿宋"/>
                <w:kern w:val="0"/>
                <w:sz w:val="24"/>
              </w:rPr>
            </w:pPr>
          </w:p>
        </w:tc>
        <w:tc>
          <w:tcPr>
            <w:tcW w:w="1537" w:type="dxa"/>
            <w:vMerge w:val="continue"/>
            <w:noWrap w:val="0"/>
            <w:vAlign w:val="center"/>
          </w:tcPr>
          <w:p>
            <w:pPr>
              <w:spacing w:line="360" w:lineRule="auto"/>
              <w:jc w:val="center"/>
              <w:rPr>
                <w:rFonts w:hint="eastAsia" w:ascii="仿宋" w:hAnsi="仿宋" w:eastAsia="仿宋" w:cs="仿宋"/>
                <w:kern w:val="0"/>
                <w:sz w:val="24"/>
              </w:rPr>
            </w:pPr>
          </w:p>
        </w:tc>
        <w:tc>
          <w:tcPr>
            <w:tcW w:w="1463" w:type="dxa"/>
            <w:vMerge w:val="continue"/>
            <w:noWrap w:val="0"/>
            <w:vAlign w:val="center"/>
          </w:tcPr>
          <w:p>
            <w:pPr>
              <w:spacing w:line="360" w:lineRule="auto"/>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450" w:type="dxa"/>
            <w:vMerge w:val="continue"/>
            <w:noWrap w:val="0"/>
            <w:vAlign w:val="center"/>
          </w:tcPr>
          <w:p>
            <w:pPr>
              <w:spacing w:line="360" w:lineRule="auto"/>
              <w:jc w:val="center"/>
              <w:rPr>
                <w:rFonts w:hint="eastAsia" w:ascii="仿宋" w:hAnsi="仿宋" w:eastAsia="仿宋" w:cs="仿宋"/>
                <w:kern w:val="0"/>
                <w:sz w:val="24"/>
              </w:rPr>
            </w:pPr>
          </w:p>
        </w:tc>
        <w:tc>
          <w:tcPr>
            <w:tcW w:w="1905" w:type="dxa"/>
            <w:noWrap w:val="0"/>
            <w:vAlign w:val="center"/>
          </w:tcPr>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真空浓缩仪</w:t>
            </w:r>
          </w:p>
        </w:tc>
        <w:tc>
          <w:tcPr>
            <w:tcW w:w="1263" w:type="dxa"/>
            <w:noWrap w:val="0"/>
            <w:vAlign w:val="center"/>
          </w:tcPr>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1</w:t>
            </w:r>
          </w:p>
        </w:tc>
        <w:tc>
          <w:tcPr>
            <w:tcW w:w="1950" w:type="dxa"/>
            <w:vMerge w:val="continue"/>
            <w:noWrap w:val="0"/>
            <w:vAlign w:val="center"/>
          </w:tcPr>
          <w:p>
            <w:pPr>
              <w:spacing w:line="360" w:lineRule="auto"/>
              <w:jc w:val="center"/>
              <w:rPr>
                <w:rFonts w:ascii="仿宋" w:hAnsi="仿宋" w:eastAsia="仿宋" w:cs="仿宋"/>
                <w:kern w:val="0"/>
                <w:sz w:val="24"/>
              </w:rPr>
            </w:pPr>
          </w:p>
        </w:tc>
        <w:tc>
          <w:tcPr>
            <w:tcW w:w="1537" w:type="dxa"/>
            <w:vMerge w:val="continue"/>
            <w:noWrap w:val="0"/>
            <w:vAlign w:val="center"/>
          </w:tcPr>
          <w:p>
            <w:pPr>
              <w:spacing w:line="360" w:lineRule="auto"/>
              <w:jc w:val="center"/>
              <w:rPr>
                <w:rFonts w:hint="eastAsia" w:ascii="仿宋" w:hAnsi="仿宋" w:eastAsia="仿宋" w:cs="仿宋"/>
                <w:kern w:val="0"/>
                <w:sz w:val="24"/>
              </w:rPr>
            </w:pPr>
          </w:p>
        </w:tc>
        <w:tc>
          <w:tcPr>
            <w:tcW w:w="1463" w:type="dxa"/>
            <w:vMerge w:val="continue"/>
            <w:noWrap w:val="0"/>
            <w:vAlign w:val="center"/>
          </w:tcPr>
          <w:p>
            <w:pPr>
              <w:spacing w:line="360" w:lineRule="auto"/>
              <w:jc w:val="center"/>
              <w:rPr>
                <w:rFonts w:hint="eastAsia" w:ascii="仿宋" w:hAnsi="仿宋" w:eastAsia="仿宋" w:cs="仿宋"/>
                <w:kern w:val="0"/>
                <w:sz w:val="24"/>
              </w:rPr>
            </w:pPr>
          </w:p>
        </w:tc>
      </w:tr>
    </w:tbl>
    <w:p>
      <w:pPr>
        <w:numPr>
          <w:ilvl w:val="0"/>
          <w:numId w:val="1"/>
        </w:numPr>
        <w:spacing w:before="100" w:beforeAutospacing="1" w:after="100" w:afterAutospacing="1"/>
        <w:rPr>
          <w:rFonts w:hint="eastAsia" w:ascii="仿宋" w:hAnsi="仿宋" w:eastAsia="仿宋" w:cs="仿宋"/>
          <w:kern w:val="0"/>
          <w:szCs w:val="21"/>
        </w:rPr>
      </w:pPr>
      <w:r>
        <w:rPr>
          <w:rFonts w:hint="eastAsia" w:ascii="仿宋" w:hAnsi="仿宋" w:eastAsia="仿宋" w:cs="仿宋"/>
          <w:kern w:val="0"/>
          <w:szCs w:val="21"/>
        </w:rPr>
        <w:t>采购标的需满足的服务标准、期限、效率等要求；</w:t>
      </w:r>
    </w:p>
    <w:p>
      <w:pPr>
        <w:numPr>
          <w:ilvl w:val="-1"/>
          <w:numId w:val="0"/>
        </w:numPr>
        <w:spacing w:before="100" w:beforeAutospacing="1" w:after="100" w:afterAutospacing="1"/>
        <w:ind w:firstLine="420" w:firstLineChars="200"/>
        <w:rPr>
          <w:rFonts w:hint="default" w:ascii="仿宋" w:hAnsi="仿宋" w:eastAsia="仿宋" w:cs="仿宋"/>
          <w:kern w:val="0"/>
          <w:szCs w:val="21"/>
          <w:lang w:val="en-US" w:eastAsia="zh-CN"/>
        </w:rPr>
      </w:pPr>
      <w:r>
        <w:rPr>
          <w:rFonts w:hint="eastAsia" w:ascii="仿宋" w:hAnsi="仿宋" w:eastAsia="仿宋" w:cs="仿宋"/>
          <w:kern w:val="0"/>
          <w:szCs w:val="21"/>
        </w:rPr>
        <w:t>质保期：自验收合格之日起一年。</w:t>
      </w:r>
    </w:p>
    <w:p>
      <w:pPr>
        <w:numPr>
          <w:ilvl w:val="0"/>
          <w:numId w:val="1"/>
        </w:numPr>
        <w:spacing w:before="100" w:beforeAutospacing="1" w:after="100" w:afterAutospacing="1" w:line="360" w:lineRule="auto"/>
        <w:rPr>
          <w:rFonts w:hint="eastAsia" w:ascii="仿宋" w:hAnsi="仿宋" w:eastAsia="仿宋" w:cs="仿宋"/>
          <w:kern w:val="0"/>
          <w:szCs w:val="21"/>
        </w:rPr>
      </w:pPr>
      <w:r>
        <w:rPr>
          <w:rFonts w:hint="eastAsia" w:ascii="仿宋" w:hAnsi="仿宋" w:eastAsia="仿宋" w:cs="仿宋"/>
          <w:kern w:val="0"/>
          <w:szCs w:val="21"/>
        </w:rPr>
        <w:t>采购标的的验收标准；</w:t>
      </w:r>
    </w:p>
    <w:p>
      <w:pPr>
        <w:numPr>
          <w:ilvl w:val="-1"/>
          <w:numId w:val="0"/>
        </w:numPr>
        <w:spacing w:before="100" w:beforeAutospacing="1" w:after="100" w:afterAutospacing="1" w:line="360" w:lineRule="auto"/>
        <w:ind w:firstLine="420" w:firstLineChars="200"/>
        <w:rPr>
          <w:rFonts w:hint="eastAsia" w:ascii="仿宋" w:hAnsi="仿宋" w:eastAsia="仿宋" w:cs="仿宋"/>
          <w:kern w:val="0"/>
          <w:szCs w:val="21"/>
        </w:rPr>
      </w:pPr>
      <w:r>
        <w:rPr>
          <w:rFonts w:hint="eastAsia" w:ascii="仿宋" w:hAnsi="仿宋" w:eastAsia="仿宋" w:cs="仿宋"/>
          <w:kern w:val="0"/>
          <w:szCs w:val="21"/>
        </w:rPr>
        <w:t>验收按本招标文件各项技术参数指标要求执行，经测试检验合格后买卖双方签署验收报告。</w:t>
      </w:r>
    </w:p>
    <w:p>
      <w:pPr>
        <w:numPr>
          <w:ilvl w:val="0"/>
          <w:numId w:val="1"/>
        </w:numPr>
        <w:spacing w:before="100" w:beforeAutospacing="1" w:after="100" w:afterAutospacing="1" w:line="360" w:lineRule="auto"/>
        <w:rPr>
          <w:rFonts w:hint="eastAsia" w:ascii="仿宋" w:hAnsi="仿宋" w:eastAsia="仿宋" w:cs="仿宋"/>
          <w:kern w:val="0"/>
          <w:szCs w:val="21"/>
        </w:rPr>
      </w:pPr>
      <w:r>
        <w:rPr>
          <w:rFonts w:hint="eastAsia" w:ascii="仿宋" w:hAnsi="仿宋" w:eastAsia="仿宋" w:cs="仿宋"/>
          <w:kern w:val="0"/>
          <w:szCs w:val="21"/>
        </w:rPr>
        <w:t>采购标的的其他技术、服务等要求。</w:t>
      </w:r>
    </w:p>
    <w:p>
      <w:pPr>
        <w:numPr>
          <w:ilvl w:val="-1"/>
          <w:numId w:val="0"/>
        </w:numPr>
        <w:spacing w:before="100" w:beforeAutospacing="1" w:after="100" w:afterAutospacing="1" w:line="240" w:lineRule="auto"/>
        <w:ind w:firstLine="420" w:firstLineChars="200"/>
        <w:rPr>
          <w:rFonts w:hint="eastAsia" w:ascii="仿宋" w:hAnsi="仿宋" w:eastAsia="仿宋" w:cs="仿宋"/>
          <w:kern w:val="0"/>
          <w:szCs w:val="21"/>
        </w:rPr>
      </w:pPr>
      <w:r>
        <w:rPr>
          <w:rFonts w:hint="eastAsia" w:ascii="仿宋" w:hAnsi="仿宋" w:eastAsia="仿宋" w:cs="仿宋"/>
          <w:kern w:val="0"/>
          <w:szCs w:val="21"/>
        </w:rPr>
        <w:t>生产厂家到最终用户现场安装、调试合格后验收。由生产厂家为用户提供设备仪器使用、维护或其它方面的技术培训。生产厂提供的随机专用软件应具有自主知识产权。生产厂承担质保期内免费为用户提供升级的义务；用户拥有自主选择升级时间的权力</w:t>
      </w:r>
      <w:r>
        <w:rPr>
          <w:rFonts w:hint="eastAsia" w:ascii="仿宋" w:hAnsi="仿宋" w:eastAsia="仿宋" w:cs="仿宋"/>
          <w:kern w:val="0"/>
          <w:szCs w:val="21"/>
          <w:lang w:eastAsia="zh-CN"/>
        </w:rPr>
        <w:t>，</w:t>
      </w:r>
      <w:r>
        <w:rPr>
          <w:rFonts w:hint="eastAsia" w:ascii="仿宋" w:hAnsi="仿宋" w:eastAsia="仿宋" w:cs="仿宋"/>
          <w:kern w:val="0"/>
          <w:szCs w:val="21"/>
          <w:lang w:val="en-US" w:eastAsia="zh-CN"/>
        </w:rPr>
        <w:t>等。</w:t>
      </w:r>
    </w:p>
    <w:p>
      <w:pPr>
        <w:spacing w:before="100" w:beforeAutospacing="1" w:after="100" w:afterAutospacing="1"/>
        <w:rPr>
          <w:rFonts w:hint="eastAsia" w:ascii="仿宋" w:hAnsi="仿宋" w:eastAsia="仿宋" w:cs="仿宋"/>
          <w:b/>
          <w:kern w:val="0"/>
          <w:szCs w:val="21"/>
        </w:rPr>
      </w:pPr>
      <w:r>
        <w:rPr>
          <w:rFonts w:hint="eastAsia" w:ascii="仿宋" w:hAnsi="仿宋" w:eastAsia="仿宋" w:cs="仿宋"/>
          <w:b/>
          <w:kern w:val="0"/>
          <w:szCs w:val="21"/>
        </w:rPr>
        <w:t>（四）投标人的资格要求</w:t>
      </w:r>
    </w:p>
    <w:p>
      <w:pPr>
        <w:spacing w:before="100" w:beforeAutospacing="1" w:after="100" w:afterAutospacing="1"/>
        <w:rPr>
          <w:rFonts w:hint="eastAsia" w:ascii="仿宋" w:hAnsi="仿宋" w:eastAsia="仿宋" w:cs="仿宋"/>
          <w:kern w:val="0"/>
          <w:szCs w:val="21"/>
        </w:rPr>
      </w:pPr>
      <w:r>
        <w:rPr>
          <w:rFonts w:hint="eastAsia" w:ascii="仿宋" w:hAnsi="仿宋" w:eastAsia="仿宋" w:cs="仿宋"/>
          <w:kern w:val="0"/>
          <w:szCs w:val="21"/>
        </w:rPr>
        <w:t>1.投标人应符合《中华人民共和国政府采购法》第二十二条的规定。</w:t>
      </w:r>
    </w:p>
    <w:p>
      <w:pPr>
        <w:spacing w:before="100" w:beforeAutospacing="1" w:after="100" w:afterAutospacing="1"/>
        <w:rPr>
          <w:rFonts w:hint="eastAsia" w:ascii="仿宋" w:hAnsi="仿宋" w:eastAsia="仿宋" w:cs="仿宋"/>
          <w:kern w:val="0"/>
          <w:szCs w:val="21"/>
        </w:rPr>
      </w:pPr>
      <w:r>
        <w:rPr>
          <w:rFonts w:hint="eastAsia" w:ascii="仿宋" w:hAnsi="仿宋" w:eastAsia="仿宋" w:cs="仿宋"/>
          <w:kern w:val="0"/>
          <w:szCs w:val="21"/>
        </w:rPr>
        <w:t>（1）具有独立承担民事责任的能力；</w:t>
      </w:r>
    </w:p>
    <w:p>
      <w:pPr>
        <w:spacing w:before="100" w:beforeAutospacing="1" w:after="100" w:afterAutospacing="1"/>
        <w:rPr>
          <w:rFonts w:hint="eastAsia" w:ascii="仿宋" w:hAnsi="仿宋" w:eastAsia="仿宋" w:cs="仿宋"/>
          <w:kern w:val="0"/>
          <w:szCs w:val="21"/>
        </w:rPr>
      </w:pPr>
      <w:r>
        <w:rPr>
          <w:rFonts w:hint="eastAsia" w:ascii="仿宋" w:hAnsi="仿宋" w:eastAsia="仿宋" w:cs="仿宋"/>
          <w:kern w:val="0"/>
          <w:szCs w:val="21"/>
        </w:rPr>
        <w:t>（2）具有良好的商业信誉和健全的财务会计制度；</w:t>
      </w:r>
    </w:p>
    <w:p>
      <w:pPr>
        <w:spacing w:before="100" w:beforeAutospacing="1" w:after="100" w:afterAutospacing="1"/>
        <w:rPr>
          <w:rFonts w:hint="eastAsia" w:ascii="仿宋" w:hAnsi="仿宋" w:eastAsia="仿宋" w:cs="仿宋"/>
          <w:kern w:val="0"/>
          <w:szCs w:val="21"/>
        </w:rPr>
      </w:pPr>
      <w:r>
        <w:rPr>
          <w:rFonts w:hint="eastAsia" w:ascii="仿宋" w:hAnsi="仿宋" w:eastAsia="仿宋" w:cs="仿宋"/>
          <w:kern w:val="0"/>
          <w:szCs w:val="21"/>
        </w:rPr>
        <w:t>（3）具有履行合同所必需的设备和专业技术能力；</w:t>
      </w:r>
    </w:p>
    <w:p>
      <w:pPr>
        <w:spacing w:before="100" w:beforeAutospacing="1" w:after="100" w:afterAutospacing="1"/>
        <w:rPr>
          <w:rFonts w:hint="eastAsia" w:ascii="仿宋" w:hAnsi="仿宋" w:eastAsia="仿宋" w:cs="仿宋"/>
          <w:kern w:val="0"/>
          <w:szCs w:val="21"/>
        </w:rPr>
      </w:pPr>
      <w:r>
        <w:rPr>
          <w:rFonts w:hint="eastAsia" w:ascii="仿宋" w:hAnsi="仿宋" w:eastAsia="仿宋" w:cs="仿宋"/>
          <w:kern w:val="0"/>
          <w:szCs w:val="21"/>
        </w:rPr>
        <w:t>（4）有依法缴纳税收和社会保障资金的良好记录；</w:t>
      </w:r>
    </w:p>
    <w:p>
      <w:pPr>
        <w:spacing w:before="100" w:beforeAutospacing="1" w:after="100" w:afterAutospacing="1"/>
        <w:rPr>
          <w:rFonts w:hint="eastAsia" w:ascii="仿宋" w:hAnsi="仿宋" w:eastAsia="仿宋" w:cs="仿宋"/>
          <w:kern w:val="0"/>
          <w:szCs w:val="21"/>
        </w:rPr>
      </w:pPr>
      <w:r>
        <w:rPr>
          <w:rFonts w:hint="eastAsia" w:ascii="仿宋" w:hAnsi="仿宋" w:eastAsia="仿宋" w:cs="仿宋"/>
          <w:kern w:val="0"/>
          <w:szCs w:val="21"/>
        </w:rPr>
        <w:t>（5）参加政府采购活动前三年内，在经营活动中没有重大违法记录；</w:t>
      </w:r>
    </w:p>
    <w:p>
      <w:pPr>
        <w:spacing w:before="100" w:beforeAutospacing="1" w:after="100" w:afterAutospacing="1"/>
        <w:rPr>
          <w:rFonts w:hint="eastAsia" w:ascii="仿宋" w:hAnsi="仿宋" w:eastAsia="仿宋" w:cs="仿宋"/>
          <w:kern w:val="0"/>
          <w:szCs w:val="21"/>
        </w:rPr>
      </w:pPr>
      <w:r>
        <w:rPr>
          <w:rFonts w:hint="eastAsia" w:ascii="仿宋" w:hAnsi="仿宋" w:eastAsia="仿宋" w:cs="仿宋"/>
          <w:kern w:val="0"/>
          <w:szCs w:val="21"/>
        </w:rPr>
        <w:t>（6）法律、行政法规规定的其他条件。</w:t>
      </w:r>
    </w:p>
    <w:p>
      <w:pPr>
        <w:spacing w:before="100" w:beforeAutospacing="1" w:after="100" w:afterAutospacing="1"/>
        <w:rPr>
          <w:rFonts w:hint="eastAsia" w:ascii="仿宋" w:hAnsi="仿宋" w:eastAsia="仿宋" w:cs="仿宋"/>
          <w:kern w:val="0"/>
          <w:szCs w:val="21"/>
        </w:rPr>
      </w:pPr>
      <w:r>
        <w:rPr>
          <w:rFonts w:hint="eastAsia" w:ascii="仿宋" w:hAnsi="仿宋" w:eastAsia="仿宋" w:cs="仿宋"/>
          <w:kern w:val="0"/>
          <w:szCs w:val="21"/>
        </w:rPr>
        <w:t>2.本次招标不接受联合体投标；</w:t>
      </w:r>
    </w:p>
    <w:p>
      <w:pPr>
        <w:spacing w:before="100" w:beforeAutospacing="1" w:after="100" w:afterAutospacing="1"/>
        <w:rPr>
          <w:rFonts w:hint="eastAsia" w:ascii="仿宋" w:hAnsi="仿宋" w:eastAsia="仿宋" w:cs="仿宋"/>
          <w:kern w:val="0"/>
          <w:szCs w:val="21"/>
        </w:rPr>
      </w:pPr>
      <w:r>
        <w:rPr>
          <w:rFonts w:hint="eastAsia" w:ascii="仿宋" w:hAnsi="仿宋" w:eastAsia="仿宋" w:cs="仿宋"/>
          <w:kern w:val="0"/>
          <w:szCs w:val="21"/>
        </w:rPr>
        <w:t>3.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信用信息截止时点为开标当日；</w:t>
      </w:r>
    </w:p>
    <w:p>
      <w:pPr>
        <w:spacing w:before="100" w:beforeAutospacing="1" w:after="100" w:afterAutospacing="1"/>
        <w:rPr>
          <w:rFonts w:hint="eastAsia"/>
        </w:rPr>
      </w:pPr>
      <w:r>
        <w:rPr>
          <w:rFonts w:hint="eastAsia" w:ascii="仿宋" w:hAnsi="仿宋" w:eastAsia="仿宋" w:cs="仿宋"/>
          <w:kern w:val="0"/>
          <w:szCs w:val="21"/>
        </w:rPr>
        <w:t>4.投标人如为代理商，应具有所投产品的制造商授权（进口产品适用）。</w:t>
      </w:r>
    </w:p>
    <w:p>
      <w:pPr>
        <w:spacing w:before="100" w:beforeAutospacing="1" w:after="100" w:afterAutospacing="1"/>
        <w:rPr>
          <w:rFonts w:hint="eastAsia" w:ascii="仿宋" w:hAnsi="仿宋" w:eastAsia="仿宋" w:cs="仿宋"/>
          <w:kern w:val="0"/>
          <w:szCs w:val="21"/>
        </w:rPr>
      </w:pPr>
      <w:r>
        <w:rPr>
          <w:rFonts w:hint="eastAsia" w:ascii="仿宋" w:hAnsi="仿宋" w:eastAsia="仿宋" w:cs="仿宋"/>
          <w:kern w:val="0"/>
          <w:szCs w:val="21"/>
        </w:rPr>
        <w:t>5.投标人应购买本项目招标文件。</w:t>
      </w:r>
    </w:p>
    <w:p>
      <w:pPr>
        <w:spacing w:before="100" w:beforeAutospacing="1" w:after="100" w:afterAutospacing="1"/>
        <w:rPr>
          <w:rFonts w:hint="eastAsia" w:ascii="仿宋" w:hAnsi="仿宋" w:eastAsia="仿宋" w:cs="仿宋"/>
          <w:b/>
          <w:kern w:val="0"/>
          <w:szCs w:val="21"/>
        </w:rPr>
      </w:pPr>
      <w:r>
        <w:rPr>
          <w:rFonts w:hint="eastAsia" w:ascii="仿宋" w:hAnsi="仿宋" w:eastAsia="仿宋" w:cs="仿宋"/>
          <w:b/>
          <w:kern w:val="0"/>
          <w:szCs w:val="21"/>
        </w:rPr>
        <w:t>（五）获取招标文件的时间期限、地点、方式及招标文件售价</w:t>
      </w:r>
    </w:p>
    <w:p>
      <w:pPr>
        <w:spacing w:line="400" w:lineRule="exact"/>
        <w:ind w:firstLine="420" w:firstLineChars="200"/>
        <w:rPr>
          <w:rFonts w:ascii="仿宋" w:hAnsi="仿宋" w:eastAsia="仿宋" w:cs="仿宋"/>
          <w:kern w:val="0"/>
          <w:szCs w:val="21"/>
        </w:rPr>
      </w:pPr>
      <w:r>
        <w:rPr>
          <w:rFonts w:hint="eastAsia" w:ascii="仿宋" w:hAnsi="仿宋" w:eastAsia="仿宋" w:cs="仿宋"/>
          <w:kern w:val="0"/>
          <w:szCs w:val="21"/>
        </w:rPr>
        <w:t>1.本项目招标文件采用纸质方式发售（疫情期间可以在中国通用招标网直接下载电子版）。招标文件发售时间：从2020年</w:t>
      </w:r>
      <w:r>
        <w:rPr>
          <w:rFonts w:hint="eastAsia" w:ascii="仿宋" w:hAnsi="仿宋" w:eastAsia="仿宋" w:cs="仿宋"/>
          <w:kern w:val="0"/>
          <w:szCs w:val="21"/>
          <w:lang w:val="en-US" w:eastAsia="zh-CN"/>
        </w:rPr>
        <w:t>5</w:t>
      </w:r>
      <w:r>
        <w:rPr>
          <w:rFonts w:hint="eastAsia" w:ascii="仿宋" w:hAnsi="仿宋" w:eastAsia="仿宋" w:cs="仿宋"/>
          <w:kern w:val="0"/>
          <w:szCs w:val="21"/>
        </w:rPr>
        <w:t>月</w:t>
      </w:r>
      <w:r>
        <w:rPr>
          <w:rFonts w:hint="eastAsia" w:ascii="仿宋" w:hAnsi="仿宋" w:eastAsia="仿宋" w:cs="仿宋"/>
          <w:kern w:val="0"/>
          <w:szCs w:val="21"/>
          <w:lang w:val="en-US" w:eastAsia="zh-CN"/>
        </w:rPr>
        <w:t>15</w:t>
      </w:r>
      <w:r>
        <w:rPr>
          <w:rFonts w:hint="eastAsia" w:ascii="仿宋" w:hAnsi="仿宋" w:eastAsia="仿宋" w:cs="仿宋"/>
          <w:kern w:val="0"/>
          <w:szCs w:val="21"/>
        </w:rPr>
        <w:t>日到2020年</w:t>
      </w:r>
      <w:r>
        <w:rPr>
          <w:rFonts w:hint="eastAsia" w:ascii="仿宋" w:hAnsi="仿宋" w:eastAsia="仿宋" w:cs="仿宋"/>
          <w:kern w:val="0"/>
          <w:szCs w:val="21"/>
          <w:lang w:val="en-US" w:eastAsia="zh-CN"/>
        </w:rPr>
        <w:t>5</w:t>
      </w:r>
      <w:r>
        <w:rPr>
          <w:rFonts w:hint="eastAsia" w:ascii="仿宋" w:hAnsi="仿宋" w:eastAsia="仿宋" w:cs="仿宋"/>
          <w:kern w:val="0"/>
          <w:szCs w:val="21"/>
        </w:rPr>
        <w:t>月</w:t>
      </w:r>
      <w:r>
        <w:rPr>
          <w:rFonts w:hint="eastAsia" w:ascii="仿宋" w:hAnsi="仿宋" w:eastAsia="仿宋" w:cs="仿宋"/>
          <w:kern w:val="0"/>
          <w:szCs w:val="21"/>
          <w:lang w:val="en-US" w:eastAsia="zh-CN"/>
        </w:rPr>
        <w:t>22</w:t>
      </w:r>
      <w:r>
        <w:rPr>
          <w:rFonts w:hint="eastAsia" w:ascii="仿宋" w:hAnsi="仿宋" w:eastAsia="仿宋" w:cs="仿宋"/>
          <w:kern w:val="0"/>
          <w:szCs w:val="21"/>
        </w:rPr>
        <w:t>日16时00分。</w:t>
      </w:r>
    </w:p>
    <w:p>
      <w:pPr>
        <w:spacing w:line="400" w:lineRule="exact"/>
        <w:ind w:firstLine="420" w:firstLineChars="200"/>
        <w:rPr>
          <w:rFonts w:ascii="仿宋" w:hAnsi="仿宋" w:eastAsia="仿宋" w:cs="仿宋"/>
          <w:kern w:val="0"/>
          <w:szCs w:val="21"/>
        </w:rPr>
      </w:pPr>
      <w:r>
        <w:rPr>
          <w:rFonts w:hint="eastAsia" w:ascii="仿宋" w:hAnsi="仿宋" w:eastAsia="仿宋" w:cs="仿宋"/>
          <w:kern w:val="0"/>
          <w:szCs w:val="21"/>
        </w:rPr>
        <w:t>2.有意向的投标人应先在中国通用招标网http://www.china-tender.com.cn免费注册，注册完成后请按照网上操作流程进行购买。中国通用招标网技术支持电话：010-63348126。注册审核电话：010-63348420/010-63348287。</w:t>
      </w:r>
    </w:p>
    <w:p>
      <w:pPr>
        <w:spacing w:line="400" w:lineRule="exact"/>
        <w:ind w:firstLine="420" w:firstLineChars="200"/>
        <w:rPr>
          <w:rFonts w:ascii="仿宋" w:hAnsi="仿宋" w:eastAsia="仿宋" w:cs="仿宋"/>
          <w:kern w:val="0"/>
          <w:szCs w:val="21"/>
        </w:rPr>
      </w:pPr>
      <w:r>
        <w:rPr>
          <w:rFonts w:hint="eastAsia" w:ascii="仿宋" w:hAnsi="仿宋" w:eastAsia="仿宋" w:cs="仿宋"/>
          <w:kern w:val="0"/>
          <w:szCs w:val="21"/>
        </w:rPr>
        <w:t>3.购买标书流程：投标人先在通用招标网招标文件获取一栏中对应的项目（标）下填写招标文件购买申请，填写招标文件购买申请后，具体方式包括：</w:t>
      </w:r>
    </w:p>
    <w:p>
      <w:pPr>
        <w:spacing w:line="400" w:lineRule="exact"/>
        <w:ind w:firstLine="420" w:firstLineChars="200"/>
        <w:rPr>
          <w:rFonts w:ascii="仿宋" w:hAnsi="仿宋" w:eastAsia="仿宋" w:cs="仿宋"/>
          <w:kern w:val="0"/>
          <w:szCs w:val="21"/>
        </w:rPr>
      </w:pPr>
      <w:r>
        <w:rPr>
          <w:rFonts w:hint="eastAsia" w:ascii="仿宋" w:hAnsi="仿宋" w:eastAsia="仿宋" w:cs="仿宋"/>
          <w:kern w:val="0"/>
          <w:szCs w:val="21"/>
        </w:rPr>
        <w:t>1)选择网上支付方式购买招标文件的投标人在标书款支付成功后，可直接下载招标文件，标书款发票也建议选择电子发票；</w:t>
      </w:r>
    </w:p>
    <w:p>
      <w:pPr>
        <w:spacing w:line="400" w:lineRule="exact"/>
        <w:ind w:firstLine="420" w:firstLineChars="200"/>
        <w:rPr>
          <w:rFonts w:hint="eastAsia" w:ascii="仿宋" w:hAnsi="仿宋" w:eastAsia="仿宋" w:cs="仿宋"/>
          <w:kern w:val="0"/>
          <w:szCs w:val="21"/>
        </w:rPr>
      </w:pPr>
      <w:r>
        <w:rPr>
          <w:rFonts w:hint="eastAsia" w:ascii="仿宋" w:hAnsi="仿宋" w:eastAsia="仿宋" w:cs="仿宋"/>
          <w:kern w:val="0"/>
          <w:szCs w:val="21"/>
        </w:rPr>
        <w:t>2)选择以电汇方式购买招标文件的投标人，按照系统提供的账号进行汇款，在汇款成功后，可直接下载招标文件，标书款发票也建议选择电子发票；</w:t>
      </w:r>
    </w:p>
    <w:p>
      <w:pPr>
        <w:spacing w:line="400" w:lineRule="exact"/>
        <w:ind w:firstLine="420" w:firstLineChars="200"/>
        <w:rPr>
          <w:rFonts w:ascii="仿宋" w:hAnsi="仿宋" w:eastAsia="仿宋" w:cs="仿宋"/>
          <w:kern w:val="0"/>
          <w:szCs w:val="21"/>
        </w:rPr>
      </w:pPr>
      <w:r>
        <w:rPr>
          <w:rFonts w:hint="eastAsia" w:ascii="仿宋" w:hAnsi="仿宋" w:eastAsia="仿宋" w:cs="仿宋"/>
          <w:kern w:val="0"/>
          <w:szCs w:val="21"/>
        </w:rPr>
        <w:t>特别提示：每次购买标书申请系统生成的账号不同，请按照系统生成的账号进行付款，不要重复支付；汇款金额必须与系统提示金额相同，否则将会被退回。</w:t>
      </w:r>
    </w:p>
    <w:p>
      <w:pPr>
        <w:spacing w:line="400" w:lineRule="exact"/>
        <w:ind w:firstLine="420" w:firstLineChars="200"/>
        <w:rPr>
          <w:rFonts w:ascii="仿宋" w:hAnsi="仿宋" w:eastAsia="仿宋" w:cs="仿宋"/>
          <w:kern w:val="0"/>
          <w:szCs w:val="21"/>
        </w:rPr>
      </w:pPr>
      <w:r>
        <w:rPr>
          <w:rFonts w:hint="eastAsia" w:ascii="仿宋" w:hAnsi="仿宋" w:eastAsia="仿宋" w:cs="仿宋"/>
          <w:kern w:val="0"/>
          <w:szCs w:val="21"/>
        </w:rPr>
        <w:t>4.招标文件售价：人民币200元/包，售后不退。</w:t>
      </w:r>
    </w:p>
    <w:p>
      <w:pPr>
        <w:spacing w:line="400" w:lineRule="exact"/>
        <w:ind w:firstLine="420" w:firstLineChars="200"/>
        <w:rPr>
          <w:rFonts w:ascii="仿宋" w:hAnsi="仿宋" w:eastAsia="仿宋" w:cs="仿宋"/>
          <w:kern w:val="0"/>
          <w:szCs w:val="21"/>
        </w:rPr>
      </w:pPr>
      <w:r>
        <w:rPr>
          <w:rFonts w:hint="eastAsia" w:ascii="仿宋" w:hAnsi="仿宋" w:eastAsia="仿宋" w:cs="仿宋"/>
          <w:kern w:val="0"/>
          <w:szCs w:val="21"/>
        </w:rPr>
        <w:t>5.通用技术大厦标书室地址：北京市丰台区西三环中路90号通用技术大厦一层。</w:t>
      </w:r>
    </w:p>
    <w:p>
      <w:pPr>
        <w:spacing w:line="400" w:lineRule="exact"/>
        <w:ind w:firstLine="420" w:firstLineChars="200"/>
        <w:rPr>
          <w:rFonts w:ascii="仿宋" w:hAnsi="仿宋" w:eastAsia="仿宋" w:cs="仿宋"/>
          <w:kern w:val="0"/>
          <w:szCs w:val="21"/>
        </w:rPr>
      </w:pPr>
      <w:r>
        <w:rPr>
          <w:rFonts w:hint="eastAsia" w:ascii="仿宋" w:hAnsi="仿宋" w:eastAsia="仿宋" w:cs="仿宋"/>
          <w:kern w:val="0"/>
          <w:szCs w:val="21"/>
        </w:rPr>
        <w:t>6.标书室联系电话：010-63348281，联系人：杜先生。</w:t>
      </w:r>
    </w:p>
    <w:p>
      <w:pPr>
        <w:spacing w:line="400" w:lineRule="exact"/>
        <w:ind w:firstLine="420" w:firstLineChars="200"/>
        <w:rPr>
          <w:rFonts w:ascii="仿宋" w:hAnsi="仿宋" w:eastAsia="仿宋" w:cs="仿宋"/>
          <w:kern w:val="0"/>
          <w:szCs w:val="21"/>
        </w:rPr>
      </w:pPr>
      <w:r>
        <w:rPr>
          <w:rFonts w:hint="eastAsia" w:ascii="仿宋" w:hAnsi="仿宋" w:eastAsia="仿宋" w:cs="仿宋"/>
          <w:kern w:val="0"/>
          <w:szCs w:val="21"/>
        </w:rPr>
        <w:t>7.标书室工作时间：上午9:00－11:00时、下午14:00－16:00时。</w:t>
      </w:r>
    </w:p>
    <w:p>
      <w:pPr>
        <w:spacing w:before="100" w:beforeAutospacing="1" w:after="100" w:afterAutospacing="1"/>
        <w:rPr>
          <w:rFonts w:ascii="仿宋" w:hAnsi="仿宋" w:eastAsia="仿宋" w:cs="仿宋"/>
          <w:b/>
          <w:kern w:val="0"/>
          <w:szCs w:val="21"/>
        </w:rPr>
      </w:pPr>
      <w:r>
        <w:rPr>
          <w:rFonts w:hint="eastAsia" w:ascii="仿宋" w:hAnsi="仿宋" w:eastAsia="仿宋" w:cs="仿宋"/>
          <w:b/>
          <w:kern w:val="0"/>
          <w:szCs w:val="21"/>
        </w:rPr>
        <w:t>（六）公告期限：5个工作日。</w:t>
      </w:r>
    </w:p>
    <w:p>
      <w:pPr>
        <w:spacing w:before="100" w:beforeAutospacing="1" w:after="100" w:afterAutospacing="1"/>
        <w:rPr>
          <w:rFonts w:ascii="仿宋" w:hAnsi="仿宋" w:eastAsia="仿宋" w:cs="仿宋"/>
          <w:b/>
          <w:kern w:val="0"/>
          <w:szCs w:val="21"/>
        </w:rPr>
      </w:pPr>
      <w:r>
        <w:rPr>
          <w:rFonts w:hint="eastAsia" w:ascii="仿宋" w:hAnsi="仿宋" w:eastAsia="仿宋" w:cs="仿宋"/>
          <w:b/>
          <w:kern w:val="0"/>
          <w:szCs w:val="21"/>
        </w:rPr>
        <w:t>（七）投标截止时间、开标时间及地点</w:t>
      </w:r>
    </w:p>
    <w:p>
      <w:pPr>
        <w:spacing w:before="100" w:beforeAutospacing="1" w:after="100" w:afterAutospacing="1"/>
        <w:rPr>
          <w:rFonts w:ascii="仿宋" w:hAnsi="仿宋" w:eastAsia="仿宋" w:cs="仿宋"/>
          <w:kern w:val="0"/>
          <w:szCs w:val="21"/>
        </w:rPr>
      </w:pPr>
      <w:r>
        <w:rPr>
          <w:rFonts w:hint="eastAsia" w:ascii="仿宋" w:hAnsi="仿宋" w:eastAsia="仿宋" w:cs="仿宋"/>
          <w:kern w:val="0"/>
          <w:szCs w:val="21"/>
        </w:rPr>
        <w:t>（1）投标截止时间/开标时间： 2020年</w:t>
      </w:r>
      <w:r>
        <w:rPr>
          <w:rFonts w:hint="eastAsia" w:ascii="仿宋" w:hAnsi="仿宋" w:eastAsia="仿宋" w:cs="仿宋"/>
          <w:kern w:val="0"/>
          <w:szCs w:val="21"/>
          <w:lang w:val="en-US" w:eastAsia="zh-CN"/>
        </w:rPr>
        <w:t>6</w:t>
      </w:r>
      <w:r>
        <w:rPr>
          <w:rFonts w:hint="eastAsia" w:ascii="仿宋" w:hAnsi="仿宋" w:eastAsia="仿宋" w:cs="仿宋"/>
          <w:kern w:val="0"/>
          <w:szCs w:val="21"/>
        </w:rPr>
        <w:t>月</w:t>
      </w:r>
      <w:r>
        <w:rPr>
          <w:rFonts w:hint="eastAsia" w:ascii="仿宋" w:hAnsi="仿宋" w:eastAsia="仿宋" w:cs="仿宋"/>
          <w:kern w:val="0"/>
          <w:szCs w:val="21"/>
          <w:lang w:val="en-US" w:eastAsia="zh-CN"/>
        </w:rPr>
        <w:t>5</w:t>
      </w:r>
      <w:r>
        <w:rPr>
          <w:rFonts w:hint="eastAsia" w:ascii="仿宋" w:hAnsi="仿宋" w:eastAsia="仿宋" w:cs="仿宋"/>
          <w:kern w:val="0"/>
          <w:szCs w:val="21"/>
        </w:rPr>
        <w:t>日09:30时。</w:t>
      </w:r>
    </w:p>
    <w:p>
      <w:pPr>
        <w:spacing w:before="100" w:beforeAutospacing="1" w:after="100" w:afterAutospacing="1"/>
        <w:rPr>
          <w:rFonts w:ascii="仿宋" w:hAnsi="仿宋" w:eastAsia="仿宋" w:cs="仿宋"/>
          <w:kern w:val="0"/>
          <w:szCs w:val="21"/>
        </w:rPr>
      </w:pPr>
      <w:r>
        <w:rPr>
          <w:rFonts w:hint="eastAsia" w:ascii="仿宋" w:hAnsi="仿宋" w:eastAsia="仿宋" w:cs="仿宋"/>
          <w:kern w:val="0"/>
          <w:szCs w:val="21"/>
        </w:rPr>
        <w:t xml:space="preserve">（2）递交投标文件地点/开标地点：北京市丰台区西三环南路14号院首科大厦A座4层405号中国通用咨询投资有限公司会议中心第2评标室。 </w:t>
      </w:r>
    </w:p>
    <w:p>
      <w:pPr>
        <w:spacing w:before="100" w:beforeAutospacing="1" w:after="100" w:afterAutospacing="1"/>
        <w:rPr>
          <w:rFonts w:ascii="仿宋" w:hAnsi="仿宋" w:eastAsia="仿宋" w:cs="仿宋"/>
          <w:kern w:val="0"/>
          <w:szCs w:val="21"/>
        </w:rPr>
      </w:pPr>
      <w:r>
        <w:rPr>
          <w:rFonts w:hint="eastAsia" w:ascii="仿宋" w:hAnsi="仿宋" w:eastAsia="仿宋" w:cs="仿宋"/>
          <w:b/>
          <w:kern w:val="0"/>
          <w:szCs w:val="21"/>
        </w:rPr>
        <w:t>（八）其他：</w:t>
      </w:r>
      <w:r>
        <w:rPr>
          <w:rFonts w:hint="eastAsia" w:ascii="仿宋" w:hAnsi="仿宋" w:eastAsia="仿宋" w:cs="仿宋"/>
          <w:kern w:val="0"/>
          <w:szCs w:val="21"/>
        </w:rPr>
        <w:t>本项目鼓励节能产品、环保产品和中小企业投标（监狱企业、残疾人福利性单位视同小型、微型企业）。详见评标办法。</w:t>
      </w:r>
    </w:p>
    <w:p>
      <w:pPr>
        <w:spacing w:before="100" w:beforeAutospacing="1" w:after="100" w:afterAutospacing="1"/>
        <w:rPr>
          <w:rFonts w:ascii="仿宋" w:hAnsi="仿宋" w:eastAsia="仿宋" w:cs="仿宋"/>
          <w:b/>
          <w:szCs w:val="21"/>
        </w:rPr>
      </w:pPr>
    </w:p>
    <w:p>
      <w:pPr>
        <w:jc w:val="right"/>
        <w:rPr>
          <w:rFonts w:ascii="仿宋" w:hAnsi="仿宋" w:eastAsia="仿宋" w:cs="仿宋"/>
          <w:b/>
          <w:szCs w:val="21"/>
        </w:rPr>
      </w:pPr>
      <w:r>
        <w:rPr>
          <w:rFonts w:hint="eastAsia" w:ascii="仿宋" w:hAnsi="仿宋" w:eastAsia="仿宋" w:cs="仿宋"/>
          <w:b/>
          <w:szCs w:val="21"/>
        </w:rPr>
        <w:t>2020年</w:t>
      </w:r>
      <w:r>
        <w:rPr>
          <w:rFonts w:hint="eastAsia" w:ascii="仿宋" w:hAnsi="仿宋" w:eastAsia="仿宋" w:cs="仿宋"/>
          <w:b/>
          <w:szCs w:val="21"/>
          <w:lang w:val="en-US" w:eastAsia="zh-CN"/>
        </w:rPr>
        <w:t>5</w:t>
      </w:r>
      <w:r>
        <w:rPr>
          <w:rFonts w:hint="eastAsia" w:ascii="仿宋" w:hAnsi="仿宋" w:eastAsia="仿宋" w:cs="仿宋"/>
          <w:b/>
          <w:szCs w:val="21"/>
        </w:rPr>
        <w:t>月</w:t>
      </w:r>
      <w:r>
        <w:rPr>
          <w:rFonts w:hint="eastAsia" w:ascii="仿宋" w:hAnsi="仿宋" w:eastAsia="仿宋" w:cs="仿宋"/>
          <w:b/>
          <w:szCs w:val="21"/>
          <w:lang w:val="en-US" w:eastAsia="zh-CN"/>
        </w:rPr>
        <w:t>15</w:t>
      </w:r>
      <w:r>
        <w:rPr>
          <w:rFonts w:hint="eastAsia" w:ascii="仿宋" w:hAnsi="仿宋" w:eastAsia="仿宋" w:cs="仿宋"/>
          <w:b/>
          <w:szCs w:val="21"/>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BADE6"/>
    <w:multiLevelType w:val="singleLevel"/>
    <w:tmpl w:val="55EBADE6"/>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BC67BB"/>
    <w:rsid w:val="0D6C1C31"/>
    <w:rsid w:val="24E7286D"/>
    <w:rsid w:val="2FBC67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99"/>
    <w:pPr>
      <w:widowControl/>
      <w:spacing w:before="100" w:beforeLines="0" w:beforeAutospacing="1" w:after="100" w:afterLines="0" w:afterAutospacing="1"/>
      <w:jc w:val="left"/>
    </w:pPr>
    <w:rPr>
      <w:rFonts w:ascii="ˎ̥" w:hAnsi="ˎ̥"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2020-05-14T04:58:00Z</dcterms:created>
  <dc:creator>中机招标</dc:creator>
  <cp:lastModifiedBy>中机招标</cp:lastModifiedBy>
  <dcterms:modified xsi:type="dcterms:W3CDTF">2020-05-15T06:09:08Z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