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66" w:rsidRDefault="00764066" w:rsidP="00764066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:rsidR="00764066" w:rsidRDefault="00764066" w:rsidP="00764066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2085"/>
        <w:gridCol w:w="685"/>
        <w:gridCol w:w="2066"/>
        <w:gridCol w:w="2822"/>
      </w:tblGrid>
      <w:tr w:rsidR="00764066" w:rsidTr="00083660">
        <w:trPr>
          <w:trHeight w:val="481"/>
          <w:jc w:val="center"/>
        </w:trPr>
        <w:tc>
          <w:tcPr>
            <w:tcW w:w="722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包号</w:t>
            </w:r>
          </w:p>
        </w:tc>
        <w:tc>
          <w:tcPr>
            <w:tcW w:w="2085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85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2066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2822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764066" w:rsidTr="00083660">
        <w:trPr>
          <w:trHeight w:val="773"/>
          <w:jc w:val="center"/>
        </w:trPr>
        <w:tc>
          <w:tcPr>
            <w:tcW w:w="722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示波器</w:t>
            </w:r>
          </w:p>
        </w:tc>
        <w:tc>
          <w:tcPr>
            <w:tcW w:w="685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2066" w:type="dxa"/>
            <w:vAlign w:val="center"/>
          </w:tcPr>
          <w:p w:rsidR="00764066" w:rsidRDefault="00764066" w:rsidP="0008366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合同签订后的4周内交货；</w:t>
            </w:r>
          </w:p>
        </w:tc>
        <w:tc>
          <w:tcPr>
            <w:tcW w:w="2822" w:type="dxa"/>
            <w:vAlign w:val="center"/>
          </w:tcPr>
          <w:p w:rsidR="00764066" w:rsidRDefault="00764066" w:rsidP="0008366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中国科学院深圳先进技术研究院指定实验室</w:t>
            </w:r>
          </w:p>
        </w:tc>
      </w:tr>
    </w:tbl>
    <w:p w:rsidR="00764066" w:rsidRDefault="00764066" w:rsidP="00764066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764066" w:rsidRDefault="00764066" w:rsidP="00764066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</w:p>
    <w:p w:rsidR="00764066" w:rsidRDefault="00764066" w:rsidP="0076406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764066" w:rsidRDefault="00764066" w:rsidP="0076406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1、投标人须对上述投标内容中完整的一包或几包进行投标，不完整的投标将视为非响应性投标予以拒绝。</w:t>
      </w:r>
    </w:p>
    <w:p w:rsidR="00764066" w:rsidRDefault="00764066" w:rsidP="00764066">
      <w:pPr>
        <w:adjustRightInd w:val="0"/>
        <w:snapToGrid w:val="0"/>
        <w:rPr>
          <w:rFonts w:ascii="宋体" w:hAnsi="宋体" w:hint="eastAsia"/>
          <w:b/>
          <w:sz w:val="24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 xml:space="preserve"> </w:t>
      </w: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szCs w:val="21"/>
        </w:rPr>
      </w:pPr>
    </w:p>
    <w:p w:rsidR="00764066" w:rsidRDefault="00764066" w:rsidP="00764066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764066" w:rsidRDefault="00764066" w:rsidP="00764066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764066" w:rsidRDefault="00764066" w:rsidP="00764066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则</w:t>
      </w: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1.2  </w:t>
      </w:r>
      <w:r>
        <w:rPr>
          <w:rFonts w:ascii="宋体" w:hAnsi="宋体" w:cs="宋体" w:hint="eastAsia"/>
          <w:b/>
          <w:bCs/>
          <w:sz w:val="24"/>
        </w:rPr>
        <w:t>投标人提供的货物须是成熟的全新的产品</w:t>
      </w:r>
      <w:r>
        <w:rPr>
          <w:rFonts w:ascii="宋体" w:hAnsi="宋体" w:cs="宋体" w:hint="eastAsia"/>
          <w:sz w:val="24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764066" w:rsidRDefault="00764066" w:rsidP="00764066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</w:t>
      </w:r>
      <w:r>
        <w:rPr>
          <w:rFonts w:ascii="宋体" w:hAnsi="宋体" w:hint="eastAsia"/>
          <w:sz w:val="24"/>
        </w:rPr>
        <w:lastRenderedPageBreak/>
        <w:t>并应单独列出，供评标使用。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:rsidR="00764066" w:rsidRDefault="00764066" w:rsidP="00764066">
      <w:pPr>
        <w:rPr>
          <w:rFonts w:eastAsia="黑体" w:hint="eastAsia"/>
          <w:b/>
          <w:bCs/>
          <w:kern w:val="44"/>
          <w:sz w:val="24"/>
        </w:rPr>
      </w:pPr>
      <w:r>
        <w:rPr>
          <w:rFonts w:ascii="宋体" w:hAnsi="宋体" w:hint="eastAsia"/>
          <w:sz w:val="24"/>
        </w:rPr>
        <w:t>详见具体技术规格</w:t>
      </w: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:rsidR="00764066" w:rsidRDefault="00764066" w:rsidP="00764066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764066" w:rsidRDefault="00764066" w:rsidP="00764066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764066" w:rsidRDefault="00764066" w:rsidP="00764066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5、本技术规格书中标注“*”号的为关键技术参数，对这些关键技术参数的任何负偏离将导致废标。</w:t>
      </w: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</w:p>
    <w:p w:rsidR="00764066" w:rsidRDefault="00764066" w:rsidP="00764066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6、如在具体技术规格中有本总则不一致之处，以具体技术规格中的要求为准。</w:t>
      </w:r>
    </w:p>
    <w:p w:rsidR="00764066" w:rsidRDefault="00764066" w:rsidP="00764066">
      <w:pPr>
        <w:spacing w:afterLines="50" w:after="156"/>
        <w:ind w:left="601" w:hanging="601"/>
        <w:rPr>
          <w:rFonts w:ascii="宋体" w:hAnsi="宋体" w:cs="宋体" w:hint="eastAsia"/>
          <w:b/>
          <w:sz w:val="24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cs="宋体" w:hint="eastAsia"/>
          <w:b/>
          <w:sz w:val="24"/>
        </w:rPr>
        <w:lastRenderedPageBreak/>
        <w:t>二、具体技术规格</w:t>
      </w:r>
    </w:p>
    <w:p w:rsidR="00764066" w:rsidRDefault="00764066" w:rsidP="00764066">
      <w:pPr>
        <w:widowControl/>
        <w:snapToGrid w:val="0"/>
        <w:spacing w:line="360" w:lineRule="auto"/>
        <w:jc w:val="center"/>
        <w:rPr>
          <w:rFonts w:ascii="宋体" w:hAnsi="宋体" w:hint="eastAsia"/>
          <w:b/>
          <w:sz w:val="24"/>
        </w:rPr>
      </w:pPr>
      <w:bookmarkStart w:id="0" w:name="_Toc178672500"/>
      <w:bookmarkStart w:id="1" w:name="OLE_LINK1"/>
      <w:r>
        <w:rPr>
          <w:rFonts w:hAnsi="宋体" w:hint="eastAsia"/>
          <w:b/>
          <w:sz w:val="28"/>
        </w:rPr>
        <w:t>示波器</w:t>
      </w:r>
    </w:p>
    <w:bookmarkEnd w:id="0"/>
    <w:bookmarkEnd w:id="1"/>
    <w:p w:rsidR="00764066" w:rsidRDefault="00764066" w:rsidP="00764066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设备名称：</w:t>
      </w:r>
    </w:p>
    <w:p w:rsidR="00764066" w:rsidRDefault="00764066" w:rsidP="00764066">
      <w:pPr>
        <w:spacing w:line="360" w:lineRule="auto"/>
        <w:ind w:left="39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示波器</w:t>
      </w:r>
    </w:p>
    <w:p w:rsidR="00764066" w:rsidRDefault="00764066" w:rsidP="00764066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:rsidR="00764066" w:rsidRDefault="00764066" w:rsidP="00764066">
      <w:pPr>
        <w:spacing w:line="360" w:lineRule="auto"/>
        <w:ind w:left="39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1套</w:t>
      </w:r>
    </w:p>
    <w:p w:rsidR="00764066" w:rsidRDefault="00764066" w:rsidP="00764066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设备用途说明：</w:t>
      </w:r>
    </w:p>
    <w:p w:rsidR="00764066" w:rsidRDefault="00764066" w:rsidP="00764066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开展超声神经调控设备电路板信号调试</w:t>
      </w:r>
    </w:p>
    <w:p w:rsidR="00764066" w:rsidRDefault="00764066" w:rsidP="00764066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技术要求及参数：</w:t>
      </w:r>
      <w:r>
        <w:rPr>
          <w:rFonts w:ascii="宋体" w:hAnsi="宋体" w:cs="宋体" w:hint="eastAsia"/>
          <w:sz w:val="24"/>
        </w:rPr>
        <w:t xml:space="preserve"> </w:t>
      </w:r>
    </w:p>
    <w:p w:rsidR="00764066" w:rsidRDefault="00764066" w:rsidP="00764066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详细见：技术性能指标表。</w:t>
      </w:r>
    </w:p>
    <w:p w:rsidR="00764066" w:rsidRDefault="00764066" w:rsidP="00764066">
      <w:pPr>
        <w:widowControl/>
        <w:snapToGrid w:val="0"/>
        <w:spacing w:beforeLines="50" w:before="156" w:afterLines="50" w:after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配置清单及零配件（包括专用工具）：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4510"/>
        <w:gridCol w:w="1260"/>
        <w:gridCol w:w="1269"/>
      </w:tblGrid>
      <w:tr w:rsidR="00764066" w:rsidTr="00083660">
        <w:trPr>
          <w:trHeight w:val="225"/>
        </w:trPr>
        <w:tc>
          <w:tcPr>
            <w:tcW w:w="1291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4510" w:type="dxa"/>
            <w:noWrap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名称</w:t>
            </w:r>
          </w:p>
        </w:tc>
        <w:tc>
          <w:tcPr>
            <w:tcW w:w="1260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1269" w:type="dxa"/>
            <w:noWrap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</w:tr>
      <w:tr w:rsidR="00764066" w:rsidTr="00083660">
        <w:trPr>
          <w:trHeight w:val="225"/>
        </w:trPr>
        <w:tc>
          <w:tcPr>
            <w:tcW w:w="1291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示波器</w:t>
            </w:r>
          </w:p>
        </w:tc>
        <w:tc>
          <w:tcPr>
            <w:tcW w:w="1260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1269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764066" w:rsidTr="00083660">
        <w:trPr>
          <w:trHeight w:val="225"/>
        </w:trPr>
        <w:tc>
          <w:tcPr>
            <w:tcW w:w="1291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10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电流探头</w:t>
            </w:r>
          </w:p>
        </w:tc>
        <w:tc>
          <w:tcPr>
            <w:tcW w:w="1260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269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764066" w:rsidTr="00083660">
        <w:trPr>
          <w:trHeight w:val="225"/>
        </w:trPr>
        <w:tc>
          <w:tcPr>
            <w:tcW w:w="1291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510" w:type="dxa"/>
            <w:vAlign w:val="center"/>
          </w:tcPr>
          <w:p w:rsidR="00764066" w:rsidRDefault="00764066" w:rsidP="00083660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电流放大器</w:t>
            </w:r>
          </w:p>
        </w:tc>
        <w:tc>
          <w:tcPr>
            <w:tcW w:w="1260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269" w:type="dxa"/>
          </w:tcPr>
          <w:p w:rsidR="00764066" w:rsidRDefault="00764066" w:rsidP="00083660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:rsidR="00764066" w:rsidRDefault="00764066" w:rsidP="00764066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</w:p>
    <w:p w:rsidR="00764066" w:rsidRDefault="00764066" w:rsidP="00764066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:rsidR="00764066" w:rsidRDefault="00764066" w:rsidP="00764066">
      <w:pPr>
        <w:widowControl/>
        <w:spacing w:beforeLines="50" w:before="156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1）投标方需为本项目配备足够的售后服务力量，具有国内本地化的服务团队。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2）投标方售后服务响应时间：电话响应时间要求4小时内，到场响应时间要求2个工作日内（指从接到报障至到达故障现场的时间）。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3）投标方免费提供技术支持热线电话。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4）投标方免费提供email技术支持，并且在24小时内回复。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5）投标方提供仪器设备的</w:t>
      </w:r>
      <w:r w:rsidRPr="00AD564E">
        <w:rPr>
          <w:rFonts w:ascii="宋体" w:hAnsi="宋体" w:cs="宋体" w:hint="eastAsia"/>
          <w:b/>
          <w:sz w:val="24"/>
        </w:rPr>
        <w:t>免费保修期一年</w:t>
      </w:r>
      <w:r>
        <w:rPr>
          <w:rFonts w:ascii="宋体" w:hAnsi="宋体" w:cs="宋体" w:hint="eastAsia"/>
          <w:sz w:val="24"/>
        </w:rPr>
        <w:t>（保修期内免费维修并更换除消耗品以外的零部件，维修人员的路费、食宿等自理）。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6）投标方提供该设备的技术使用说明书及外购配件仪器说明书，并指导在使用该设备时的操作注意事项等。</w:t>
      </w:r>
    </w:p>
    <w:p w:rsidR="00764066" w:rsidRDefault="00764066" w:rsidP="00764066">
      <w:pPr>
        <w:widowControl/>
        <w:spacing w:beforeLines="50" w:before="156" w:line="360" w:lineRule="auto"/>
        <w:ind w:firstLineChars="100" w:firstLine="241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培训要求：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1）为保证投标方所提供的仪器设备安全、可靠运行，便于招标方的运行维护，必须对招标方培训合格的维护和管理人员。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2）投标方负责对招标方提供至少一次现场技术培训，以便工作人员在培训后能熟练地掌握系统的维护工作，并能及时排除大部分的系统障碍。</w:t>
      </w:r>
    </w:p>
    <w:p w:rsidR="00764066" w:rsidRDefault="00764066" w:rsidP="00764066">
      <w:pPr>
        <w:widowControl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:rsidR="00764066" w:rsidRDefault="00764066" w:rsidP="00764066">
      <w:pPr>
        <w:widowControl/>
        <w:spacing w:beforeLines="50" w:before="156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764066" w:rsidRDefault="00764066" w:rsidP="00764066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:rsidR="00764066" w:rsidRDefault="00764066" w:rsidP="00764066">
      <w:pPr>
        <w:widowControl/>
        <w:spacing w:beforeLines="50" w:before="156" w:line="360" w:lineRule="auto"/>
        <w:ind w:leftChars="200" w:left="420"/>
        <w:rPr>
          <w:rFonts w:ascii="宋体" w:hAnsi="宋体" w:cs="宋体" w:hint="eastAsia"/>
          <w:sz w:val="24"/>
        </w:rPr>
      </w:pPr>
      <w:bookmarkStart w:id="2" w:name="OLE_LINK3"/>
      <w:r>
        <w:rPr>
          <w:rFonts w:ascii="宋体" w:hAnsi="宋体" w:cs="宋体" w:hint="eastAsia"/>
          <w:sz w:val="24"/>
        </w:rPr>
        <w:t>合同签订后的4周内交货；</w:t>
      </w:r>
    </w:p>
    <w:p w:rsidR="00764066" w:rsidRDefault="00764066" w:rsidP="00764066">
      <w:pPr>
        <w:widowControl/>
        <w:numPr>
          <w:ilvl w:val="0"/>
          <w:numId w:val="2"/>
        </w:numPr>
        <w:tabs>
          <w:tab w:val="left" w:pos="360"/>
        </w:tabs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交货地点：</w:t>
      </w:r>
    </w:p>
    <w:p w:rsidR="00764066" w:rsidRDefault="00764066" w:rsidP="00764066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中国科学院深圳先进技术研究院指定实验室</w:t>
      </w:r>
    </w:p>
    <w:bookmarkEnd w:id="2"/>
    <w:p w:rsidR="00764066" w:rsidRDefault="00764066" w:rsidP="00764066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10 验收标准：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1）仪器设备运抵安装现场后，买方将与卖方共同开箱验收,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2）卖方应提出仪器设备测试的内容、项目、指标和方法,卖方有责任对买方的技术人员提出的问题作出解答。测试应进行详细记录,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3）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764066" w:rsidRDefault="00764066" w:rsidP="00764066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:rsidR="00764066" w:rsidRDefault="00764066" w:rsidP="00764066">
      <w:pPr>
        <w:widowControl/>
        <w:spacing w:beforeLines="50" w:before="156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1）厂家应具备一定规模的科研、生产、技术支持及售后服务能力。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2）厂家在国内设有技术支持中心及维修中心 。</w:t>
      </w:r>
    </w:p>
    <w:p w:rsidR="00764066" w:rsidRDefault="00764066" w:rsidP="00764066">
      <w:pPr>
        <w:widowControl/>
        <w:spacing w:beforeLines="50" w:before="156" w:line="360" w:lineRule="auto"/>
        <w:ind w:left="1080"/>
        <w:jc w:val="left"/>
        <w:rPr>
          <w:rFonts w:ascii="宋体" w:hAnsi="宋体" w:cs="宋体" w:hint="eastAsia"/>
          <w:sz w:val="24"/>
        </w:rPr>
      </w:pPr>
    </w:p>
    <w:p w:rsidR="00764066" w:rsidRDefault="00764066" w:rsidP="00764066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附：技术性能指标表</w:t>
      </w:r>
    </w:p>
    <w:p w:rsidR="00764066" w:rsidRDefault="00764066" w:rsidP="00764066">
      <w:pPr>
        <w:spacing w:line="360" w:lineRule="auto"/>
        <w:rPr>
          <w:rFonts w:ascii="宋体" w:hAnsi="宋体" w:cs="宋体" w:hint="eastAsia"/>
          <w:b/>
          <w:sz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872"/>
        <w:gridCol w:w="5931"/>
      </w:tblGrid>
      <w:tr w:rsidR="00764066" w:rsidTr="00083660">
        <w:trPr>
          <w:trHeight w:val="640"/>
        </w:trPr>
        <w:tc>
          <w:tcPr>
            <w:tcW w:w="474" w:type="pc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1086" w:type="pc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招标技术指标名称</w:t>
            </w:r>
          </w:p>
        </w:tc>
        <w:tc>
          <w:tcPr>
            <w:tcW w:w="3439" w:type="pc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招标技术指标值</w:t>
            </w:r>
          </w:p>
        </w:tc>
      </w:tr>
      <w:tr w:rsidR="00764066" w:rsidTr="00083660">
        <w:trPr>
          <w:trHeight w:val="785"/>
        </w:trPr>
        <w:tc>
          <w:tcPr>
            <w:tcW w:w="474" w:type="pc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应用范围和要求</w:t>
            </w:r>
          </w:p>
        </w:tc>
        <w:tc>
          <w:tcPr>
            <w:tcW w:w="3439" w:type="pct"/>
            <w:vAlign w:val="center"/>
          </w:tcPr>
          <w:p w:rsidR="00764066" w:rsidRDefault="00764066" w:rsidP="00083660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开展超声神经调控设备电路板信号调试</w:t>
            </w:r>
          </w:p>
        </w:tc>
      </w:tr>
      <w:tr w:rsidR="00764066" w:rsidTr="00083660">
        <w:trPr>
          <w:trHeight w:val="452"/>
        </w:trPr>
        <w:tc>
          <w:tcPr>
            <w:tcW w:w="474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bookmarkStart w:id="3" w:name="OLE_LINK12" w:colFirst="1" w:colLast="2"/>
            <w:bookmarkStart w:id="4" w:name="OLE_LINK11" w:colFirst="1" w:colLast="2"/>
            <w:bookmarkStart w:id="5" w:name="_Hlk337632878"/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性能指标</w:t>
            </w:r>
          </w:p>
        </w:tc>
        <w:tc>
          <w:tcPr>
            <w:tcW w:w="3439" w:type="pct"/>
            <w:vAlign w:val="center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示波器参数</w:t>
            </w:r>
          </w:p>
        </w:tc>
      </w:tr>
      <w:tr w:rsidR="00764066" w:rsidTr="00083660">
        <w:trPr>
          <w:trHeight w:val="90"/>
        </w:trPr>
        <w:tc>
          <w:tcPr>
            <w:tcW w:w="474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*1.模拟通道带宽： ≥1GHz</w:t>
            </w:r>
          </w:p>
          <w:p w:rsidR="00764066" w:rsidRDefault="00764066" w:rsidP="00083660">
            <w:pPr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2.≥4个模拟通道，16个数字通道，1个EXT通道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#3.最高实时采样率：≥模拟通道达10 GSa/s，≥数字通道达1.25 GSa/s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#4.最高存储深度：≥模拟通道标配500Mpts，≥数字通道达62.5Mpts/CH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5.波形捕获率高于600,000个波形每秒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6.垂直灵敏度范围：1mV/div~10V/div（1MΩ）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8.时基范围：500ps/div~1 ks/div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9.水平模式：YT, XY, SCAN, ROLL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10.45万帧的硬件实时波形不间断录制和回放功能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11.自动测量：精确测量和普通测量两种模式，支持全内存硬件精确测量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*12.在示波器内部可集成 2路25MHz函数/任意波形发生器功能（非外部转接），13 种预定义波形，两路信号波形最高频率25 MHz，采样率不低于180 MSa/s；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13.示波器内部提供4个硬件解码通道，同时支持4路通道解码；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14.提供数字电压表、6位频率计和48位累加器功能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触发功能：边沿、脉宽、斜率、视频、码型、持续时间、超时、欠幅脉冲、超幅、延迟、建立保持、第N边沿、区域、RS232（选件）、I2C（选件）、SPI（选件）、CAN（选件）、FlexRay（选件）、LIN（选件）、I2S（选件）、MIL-STD-1553（选件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16.串行总线解码功能（选配）：RS232、I2C、SPI、CAN、FlexRay、LIN、I2S、MIL-STD-1553，支持4个解码通道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17.41种波形参数自动测量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18.多种数学运算：加、减、乘、除、FFT、与、或、非、异或、Intg、Diff、Lg、Ln、Exp、Sqrt、Abs、AX+B、低通滤波、高通滤波、带通滤波、带阻滤波，内置增强FFT分析和峰值搜索功能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#19.提供通过失败测试，支持失败图形保存，超限可报警，可设置输出脉冲信号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20.波形直方图分析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21.独立的搜索、导航按键和事件列表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22.电流探头需要兼容市面上所有品牌的示波器，需要具有通用的BNC接口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23.用户可定义的一键快捷操作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24.10.1英寸多点触控电容屏，256级波形灰度显示，带彩色余辉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25.提供模拟通道波形的色温显示，不同颜色表示数据采集的次数或概率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*26.内置（非转接）接口：4个USB Host 、USB Device、LAN(LXI)、HDMI、TRIG OUT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27.支持USB和网络打印机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28.支持电子邮件发送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#29.支持Web Control远程命令控制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30.电流探头带宽：≥100MHz；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31.最小测试电流：≤1mA；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32.电流显示噪声：≤250 μARMS；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33.测试电流：有效值≥30A，峰值≥50A；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#34.电流探头输入阻抗：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 MHz 时为 ≤0.11 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 MHz 时为 ≤0.12 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 MHz 时为 ≤0.35 Ω</w:t>
            </w:r>
          </w:p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 MHz 时为 ≤0.7 Ω</w:t>
            </w:r>
          </w:p>
        </w:tc>
      </w:tr>
      <w:bookmarkEnd w:id="3"/>
      <w:bookmarkEnd w:id="4"/>
      <w:bookmarkEnd w:id="5"/>
      <w:tr w:rsidR="00764066" w:rsidTr="00083660">
        <w:trPr>
          <w:trHeight w:val="402"/>
        </w:trPr>
        <w:tc>
          <w:tcPr>
            <w:tcW w:w="474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</w:t>
            </w:r>
          </w:p>
        </w:tc>
        <w:tc>
          <w:tcPr>
            <w:tcW w:w="1086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调试培训服务</w:t>
            </w:r>
          </w:p>
        </w:tc>
        <w:tc>
          <w:tcPr>
            <w:tcW w:w="3439" w:type="pct"/>
            <w:vAlign w:val="center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1、至少一次现场免费培训</w:t>
            </w:r>
          </w:p>
        </w:tc>
      </w:tr>
      <w:tr w:rsidR="00764066" w:rsidTr="00083660">
        <w:trPr>
          <w:trHeight w:val="404"/>
        </w:trPr>
        <w:tc>
          <w:tcPr>
            <w:tcW w:w="474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2、满足24小时热线服务</w:t>
            </w:r>
          </w:p>
        </w:tc>
      </w:tr>
      <w:tr w:rsidR="00764066" w:rsidTr="00083660">
        <w:trPr>
          <w:trHeight w:val="485"/>
        </w:trPr>
        <w:tc>
          <w:tcPr>
            <w:tcW w:w="474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86" w:type="pct"/>
            <w:vMerge w:val="restart"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其他要求</w:t>
            </w:r>
          </w:p>
        </w:tc>
        <w:tc>
          <w:tcPr>
            <w:tcW w:w="3439" w:type="pct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1、系统使用说明书及培训文档</w:t>
            </w:r>
          </w:p>
        </w:tc>
      </w:tr>
      <w:tr w:rsidR="00764066" w:rsidTr="00083660">
        <w:trPr>
          <w:trHeight w:val="233"/>
        </w:trPr>
        <w:tc>
          <w:tcPr>
            <w:tcW w:w="474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:rsidR="00764066" w:rsidRDefault="00764066" w:rsidP="00083660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</w:tcPr>
          <w:p w:rsidR="00764066" w:rsidRDefault="00764066" w:rsidP="0008366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2、订单确认后1个月内需要提供设备的安装条件</w:t>
            </w:r>
          </w:p>
        </w:tc>
      </w:tr>
    </w:tbl>
    <w:p w:rsidR="005B6833" w:rsidRDefault="005B6833">
      <w:bookmarkStart w:id="6" w:name="_GoBack"/>
      <w:bookmarkEnd w:id="6"/>
    </w:p>
    <w:sectPr w:rsidR="005B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08"/>
    <w:rsid w:val="005A6708"/>
    <w:rsid w:val="005B6833"/>
    <w:rsid w:val="007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D3EB-A9DD-4749-A8EB-63709F6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64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40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066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764066"/>
    <w:rPr>
      <w:rFonts w:ascii="宋体" w:eastAsia="宋体" w:hAnsi="Courier New" w:cs="Times New Roman"/>
      <w:szCs w:val="20"/>
    </w:rPr>
  </w:style>
  <w:style w:type="character" w:customStyle="1" w:styleId="10">
    <w:name w:val="标题 1 字符"/>
    <w:basedOn w:val="a0"/>
    <w:link w:val="1"/>
    <w:uiPriority w:val="9"/>
    <w:rsid w:val="0076406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2021-05-07T10:30:00Z</dcterms:created>
  <dcterms:modified xsi:type="dcterms:W3CDTF">2021-05-07T10:30:00Z</dcterms:modified>
</cp:coreProperties>
</file>