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360" w:lineRule="auto"/>
        <w:ind w:left="1276" w:hanging="1276" w:hangingChars="353"/>
        <w:jc w:val="center"/>
        <w:rPr>
          <w:rFonts w:hint="eastAsia"/>
          <w:b/>
          <w:sz w:val="36"/>
          <w:szCs w:val="36"/>
        </w:rPr>
      </w:pPr>
      <w:bookmarkStart w:id="0" w:name="_Toc470509909"/>
      <w:r>
        <w:rPr>
          <w:rFonts w:hint="eastAsia"/>
          <w:b/>
          <w:sz w:val="36"/>
          <w:szCs w:val="36"/>
        </w:rPr>
        <w:t xml:space="preserve"> 招标项目技术、服务、及其他商务要求</w:t>
      </w:r>
      <w:bookmarkEnd w:id="0"/>
    </w:p>
    <w:p>
      <w:pPr>
        <w:pStyle w:val="8"/>
        <w:rPr>
          <w:rFonts w:hint="eastAsia"/>
        </w:rPr>
      </w:pPr>
    </w:p>
    <w:p>
      <w:pPr>
        <w:pStyle w:val="9"/>
        <w:widowControl/>
        <w:numPr>
          <w:ilvl w:val="0"/>
          <w:numId w:val="2"/>
        </w:numPr>
        <w:spacing w:line="460" w:lineRule="exact"/>
        <w:ind w:firstLineChars="0"/>
        <w:rPr>
          <w:rFonts w:hint="eastAsia" w:ascii="Calibri" w:hAnsi="Calibri"/>
          <w:b/>
          <w:bCs/>
          <w:kern w:val="2"/>
          <w:sz w:val="24"/>
          <w:szCs w:val="24"/>
        </w:rPr>
      </w:pPr>
      <w:r>
        <w:rPr>
          <w:rFonts w:hint="eastAsia" w:ascii="Calibri" w:hAnsi="Calibri"/>
          <w:b/>
          <w:bCs/>
          <w:kern w:val="2"/>
          <w:sz w:val="24"/>
          <w:szCs w:val="24"/>
        </w:rPr>
        <w:t>项目概况</w:t>
      </w:r>
    </w:p>
    <w:p>
      <w:pPr>
        <w:pStyle w:val="9"/>
        <w:widowControl/>
        <w:spacing w:line="440" w:lineRule="exact"/>
        <w:ind w:firstLine="0" w:firstLineChars="0"/>
        <w:rPr>
          <w:rFonts w:hint="eastAsia" w:ascii="Calibri" w:hAnsi="Calibri"/>
          <w:b/>
          <w:bCs/>
          <w:kern w:val="2"/>
          <w:sz w:val="24"/>
          <w:szCs w:val="24"/>
        </w:rPr>
      </w:pPr>
    </w:p>
    <w:tbl>
      <w:tblPr>
        <w:tblStyle w:val="6"/>
        <w:tblW w:w="9150" w:type="dxa"/>
        <w:tblInd w:w="10" w:type="dxa"/>
        <w:tblLayout w:type="fixed"/>
        <w:tblCellMar>
          <w:top w:w="0" w:type="dxa"/>
          <w:left w:w="0" w:type="dxa"/>
          <w:bottom w:w="0" w:type="dxa"/>
          <w:right w:w="0" w:type="dxa"/>
        </w:tblCellMar>
      </w:tblPr>
      <w:tblGrid>
        <w:gridCol w:w="699"/>
        <w:gridCol w:w="2341"/>
        <w:gridCol w:w="1486"/>
        <w:gridCol w:w="1418"/>
        <w:gridCol w:w="1417"/>
        <w:gridCol w:w="1759"/>
        <w:gridCol w:w="30"/>
      </w:tblGrid>
      <w:tr>
        <w:tblPrEx>
          <w:tblCellMar>
            <w:top w:w="0" w:type="dxa"/>
            <w:left w:w="0" w:type="dxa"/>
            <w:bottom w:w="0" w:type="dxa"/>
            <w:right w:w="0" w:type="dxa"/>
          </w:tblCellMar>
        </w:tblPrEx>
        <w:trPr>
          <w:trHeight w:val="285" w:hRule="atLeast"/>
        </w:trPr>
        <w:tc>
          <w:tcPr>
            <w:tcW w:w="699" w:type="dxa"/>
            <w:vMerge w:val="restart"/>
            <w:tcBorders>
              <w:top w:val="single" w:color="auto" w:sz="8" w:space="0"/>
              <w:left w:val="single" w:color="auto" w:sz="8" w:space="0"/>
              <w:right w:val="single" w:color="auto" w:sz="8" w:space="0"/>
            </w:tcBorders>
            <w:noWrap w:val="0"/>
            <w:vAlign w:val="bottom"/>
          </w:tcPr>
          <w:p>
            <w:pPr>
              <w:spacing w:line="240" w:lineRule="exact"/>
              <w:jc w:val="center"/>
              <w:rPr>
                <w:b/>
                <w:sz w:val="20"/>
                <w:szCs w:val="20"/>
              </w:rPr>
            </w:pPr>
            <w:r>
              <w:rPr>
                <w:rFonts w:ascii="宋体" w:hAnsi="宋体" w:cs="宋体"/>
                <w:b/>
                <w:w w:val="95"/>
                <w:szCs w:val="21"/>
              </w:rPr>
              <w:t>包号</w:t>
            </w:r>
          </w:p>
        </w:tc>
        <w:tc>
          <w:tcPr>
            <w:tcW w:w="2341" w:type="dxa"/>
            <w:vMerge w:val="restart"/>
            <w:tcBorders>
              <w:top w:val="single" w:color="auto" w:sz="8" w:space="0"/>
              <w:right w:val="single" w:color="auto" w:sz="8" w:space="0"/>
            </w:tcBorders>
            <w:noWrap w:val="0"/>
            <w:vAlign w:val="bottom"/>
          </w:tcPr>
          <w:p>
            <w:pPr>
              <w:spacing w:line="240" w:lineRule="exact"/>
              <w:jc w:val="center"/>
              <w:rPr>
                <w:b/>
                <w:sz w:val="20"/>
                <w:szCs w:val="20"/>
              </w:rPr>
            </w:pPr>
            <w:r>
              <w:rPr>
                <w:rFonts w:ascii="宋体" w:hAnsi="宋体" w:cs="宋体"/>
                <w:b/>
                <w:w w:val="99"/>
                <w:szCs w:val="21"/>
              </w:rPr>
              <w:t>货物名称</w:t>
            </w:r>
          </w:p>
        </w:tc>
        <w:tc>
          <w:tcPr>
            <w:tcW w:w="1486" w:type="dxa"/>
            <w:vMerge w:val="restart"/>
            <w:tcBorders>
              <w:top w:val="single" w:color="auto" w:sz="8" w:space="0"/>
              <w:right w:val="single" w:color="auto" w:sz="8" w:space="0"/>
            </w:tcBorders>
            <w:noWrap w:val="0"/>
            <w:vAlign w:val="bottom"/>
          </w:tcPr>
          <w:p>
            <w:pPr>
              <w:spacing w:line="240" w:lineRule="exact"/>
              <w:jc w:val="center"/>
              <w:rPr>
                <w:b/>
                <w:sz w:val="20"/>
                <w:szCs w:val="20"/>
              </w:rPr>
            </w:pPr>
            <w:r>
              <w:rPr>
                <w:rFonts w:ascii="宋体" w:hAnsi="宋体" w:cs="宋体"/>
                <w:b/>
                <w:w w:val="99"/>
                <w:szCs w:val="21"/>
              </w:rPr>
              <w:t>数量（台/套）</w:t>
            </w:r>
          </w:p>
        </w:tc>
        <w:tc>
          <w:tcPr>
            <w:tcW w:w="1418" w:type="dxa"/>
            <w:tcBorders>
              <w:top w:val="single" w:color="auto" w:sz="8" w:space="0"/>
              <w:right w:val="single" w:color="auto" w:sz="8" w:space="0"/>
            </w:tcBorders>
            <w:noWrap w:val="0"/>
            <w:vAlign w:val="bottom"/>
          </w:tcPr>
          <w:p>
            <w:pPr>
              <w:spacing w:line="240" w:lineRule="exact"/>
              <w:jc w:val="center"/>
              <w:rPr>
                <w:b/>
                <w:sz w:val="20"/>
                <w:szCs w:val="20"/>
              </w:rPr>
            </w:pPr>
            <w:r>
              <w:rPr>
                <w:rFonts w:hint="eastAsia" w:ascii="宋体" w:hAnsi="宋体" w:cs="宋体"/>
                <w:b/>
                <w:w w:val="97"/>
                <w:szCs w:val="21"/>
              </w:rPr>
              <w:t>单项总价</w:t>
            </w:r>
          </w:p>
        </w:tc>
        <w:tc>
          <w:tcPr>
            <w:tcW w:w="1417" w:type="dxa"/>
            <w:tcBorders>
              <w:top w:val="single" w:color="auto" w:sz="8" w:space="0"/>
              <w:right w:val="single" w:color="auto" w:sz="8" w:space="0"/>
            </w:tcBorders>
            <w:noWrap w:val="0"/>
            <w:vAlign w:val="bottom"/>
          </w:tcPr>
          <w:p>
            <w:pPr>
              <w:spacing w:line="240" w:lineRule="exact"/>
              <w:jc w:val="center"/>
              <w:rPr>
                <w:b/>
                <w:sz w:val="20"/>
                <w:szCs w:val="20"/>
              </w:rPr>
            </w:pPr>
            <w:r>
              <w:rPr>
                <w:rFonts w:ascii="宋体" w:hAnsi="宋体" w:cs="宋体"/>
                <w:b/>
                <w:w w:val="99"/>
                <w:szCs w:val="21"/>
              </w:rPr>
              <w:t>最高限价</w:t>
            </w:r>
          </w:p>
        </w:tc>
        <w:tc>
          <w:tcPr>
            <w:tcW w:w="1759" w:type="dxa"/>
            <w:tcBorders>
              <w:top w:val="single" w:color="auto" w:sz="8" w:space="0"/>
              <w:right w:val="single" w:color="auto" w:sz="8" w:space="0"/>
            </w:tcBorders>
            <w:noWrap w:val="0"/>
            <w:vAlign w:val="bottom"/>
          </w:tcPr>
          <w:p>
            <w:pPr>
              <w:spacing w:line="240" w:lineRule="exact"/>
              <w:jc w:val="center"/>
              <w:rPr>
                <w:b/>
                <w:sz w:val="20"/>
                <w:szCs w:val="20"/>
              </w:rPr>
            </w:pPr>
            <w:r>
              <w:rPr>
                <w:rFonts w:ascii="宋体" w:hAnsi="宋体" w:cs="宋体"/>
                <w:b/>
                <w:w w:val="99"/>
                <w:szCs w:val="21"/>
              </w:rPr>
              <w:t>是否允许</w:t>
            </w:r>
          </w:p>
        </w:tc>
        <w:tc>
          <w:tcPr>
            <w:tcW w:w="30" w:type="dxa"/>
            <w:noWrap w:val="0"/>
            <w:vAlign w:val="bottom"/>
          </w:tcPr>
          <w:p>
            <w:pPr>
              <w:rPr>
                <w:sz w:val="1"/>
                <w:szCs w:val="1"/>
              </w:rPr>
            </w:pPr>
          </w:p>
        </w:tc>
      </w:tr>
      <w:tr>
        <w:tblPrEx>
          <w:tblCellMar>
            <w:top w:w="0" w:type="dxa"/>
            <w:left w:w="0" w:type="dxa"/>
            <w:bottom w:w="0" w:type="dxa"/>
            <w:right w:w="0" w:type="dxa"/>
          </w:tblCellMar>
        </w:tblPrEx>
        <w:trPr>
          <w:trHeight w:val="156" w:hRule="atLeast"/>
        </w:trPr>
        <w:tc>
          <w:tcPr>
            <w:tcW w:w="699" w:type="dxa"/>
            <w:vMerge w:val="continue"/>
            <w:tcBorders>
              <w:left w:val="single" w:color="auto" w:sz="8" w:space="0"/>
              <w:right w:val="single" w:color="auto" w:sz="8" w:space="0"/>
            </w:tcBorders>
            <w:noWrap w:val="0"/>
            <w:vAlign w:val="bottom"/>
          </w:tcPr>
          <w:p>
            <w:pPr>
              <w:rPr>
                <w:b/>
                <w:sz w:val="13"/>
                <w:szCs w:val="13"/>
              </w:rPr>
            </w:pPr>
          </w:p>
        </w:tc>
        <w:tc>
          <w:tcPr>
            <w:tcW w:w="2341" w:type="dxa"/>
            <w:vMerge w:val="continue"/>
            <w:tcBorders>
              <w:right w:val="single" w:color="auto" w:sz="8" w:space="0"/>
            </w:tcBorders>
            <w:noWrap w:val="0"/>
            <w:vAlign w:val="bottom"/>
          </w:tcPr>
          <w:p>
            <w:pPr>
              <w:rPr>
                <w:b/>
                <w:sz w:val="13"/>
                <w:szCs w:val="13"/>
              </w:rPr>
            </w:pPr>
          </w:p>
        </w:tc>
        <w:tc>
          <w:tcPr>
            <w:tcW w:w="1486" w:type="dxa"/>
            <w:vMerge w:val="continue"/>
            <w:tcBorders>
              <w:right w:val="single" w:color="auto" w:sz="8" w:space="0"/>
            </w:tcBorders>
            <w:noWrap w:val="0"/>
            <w:vAlign w:val="bottom"/>
          </w:tcPr>
          <w:p>
            <w:pPr>
              <w:rPr>
                <w:b/>
                <w:sz w:val="13"/>
                <w:szCs w:val="13"/>
              </w:rPr>
            </w:pPr>
          </w:p>
        </w:tc>
        <w:tc>
          <w:tcPr>
            <w:tcW w:w="1418" w:type="dxa"/>
            <w:vMerge w:val="restart"/>
            <w:tcBorders>
              <w:right w:val="single" w:color="auto" w:sz="8" w:space="0"/>
            </w:tcBorders>
            <w:noWrap w:val="0"/>
            <w:vAlign w:val="bottom"/>
          </w:tcPr>
          <w:p>
            <w:pPr>
              <w:spacing w:line="240" w:lineRule="exact"/>
              <w:jc w:val="center"/>
              <w:rPr>
                <w:b/>
                <w:sz w:val="20"/>
                <w:szCs w:val="20"/>
              </w:rPr>
            </w:pPr>
            <w:r>
              <w:rPr>
                <w:rFonts w:ascii="宋体" w:hAnsi="宋体" w:cs="宋体"/>
                <w:b/>
                <w:w w:val="97"/>
                <w:szCs w:val="21"/>
              </w:rPr>
              <w:t>（万元）</w:t>
            </w:r>
          </w:p>
        </w:tc>
        <w:tc>
          <w:tcPr>
            <w:tcW w:w="1417" w:type="dxa"/>
            <w:vMerge w:val="restart"/>
            <w:tcBorders>
              <w:right w:val="single" w:color="auto" w:sz="8" w:space="0"/>
            </w:tcBorders>
            <w:noWrap w:val="0"/>
            <w:vAlign w:val="bottom"/>
          </w:tcPr>
          <w:p>
            <w:pPr>
              <w:spacing w:line="240" w:lineRule="exact"/>
              <w:jc w:val="center"/>
              <w:rPr>
                <w:b/>
                <w:sz w:val="20"/>
                <w:szCs w:val="20"/>
              </w:rPr>
            </w:pPr>
            <w:r>
              <w:rPr>
                <w:rFonts w:ascii="宋体" w:hAnsi="宋体" w:cs="宋体"/>
                <w:b/>
                <w:w w:val="99"/>
                <w:szCs w:val="21"/>
              </w:rPr>
              <w:t>（万元）</w:t>
            </w:r>
          </w:p>
        </w:tc>
        <w:tc>
          <w:tcPr>
            <w:tcW w:w="1759" w:type="dxa"/>
            <w:vMerge w:val="restart"/>
            <w:tcBorders>
              <w:right w:val="single" w:color="auto" w:sz="8" w:space="0"/>
            </w:tcBorders>
            <w:noWrap w:val="0"/>
            <w:vAlign w:val="bottom"/>
          </w:tcPr>
          <w:p>
            <w:pPr>
              <w:spacing w:line="240" w:lineRule="exact"/>
              <w:jc w:val="center"/>
              <w:rPr>
                <w:b/>
                <w:sz w:val="20"/>
                <w:szCs w:val="20"/>
              </w:rPr>
            </w:pPr>
            <w:r>
              <w:rPr>
                <w:rFonts w:ascii="宋体" w:hAnsi="宋体" w:cs="宋体"/>
                <w:b/>
                <w:w w:val="99"/>
                <w:szCs w:val="21"/>
              </w:rPr>
              <w:t>进口产品</w:t>
            </w:r>
          </w:p>
        </w:tc>
        <w:tc>
          <w:tcPr>
            <w:tcW w:w="30" w:type="dxa"/>
            <w:noWrap w:val="0"/>
            <w:vAlign w:val="bottom"/>
          </w:tcPr>
          <w:p>
            <w:pPr>
              <w:rPr>
                <w:sz w:val="1"/>
                <w:szCs w:val="1"/>
              </w:rPr>
            </w:pPr>
          </w:p>
        </w:tc>
      </w:tr>
      <w:tr>
        <w:tblPrEx>
          <w:tblCellMar>
            <w:top w:w="0" w:type="dxa"/>
            <w:left w:w="0" w:type="dxa"/>
            <w:bottom w:w="0" w:type="dxa"/>
            <w:right w:w="0" w:type="dxa"/>
          </w:tblCellMar>
        </w:tblPrEx>
        <w:trPr>
          <w:trHeight w:val="156" w:hRule="atLeast"/>
        </w:trPr>
        <w:tc>
          <w:tcPr>
            <w:tcW w:w="699" w:type="dxa"/>
            <w:tcBorders>
              <w:left w:val="single" w:color="auto" w:sz="8" w:space="0"/>
              <w:right w:val="single" w:color="auto" w:sz="8" w:space="0"/>
            </w:tcBorders>
            <w:noWrap w:val="0"/>
            <w:vAlign w:val="bottom"/>
          </w:tcPr>
          <w:p>
            <w:pPr>
              <w:rPr>
                <w:b/>
                <w:sz w:val="13"/>
                <w:szCs w:val="13"/>
              </w:rPr>
            </w:pPr>
          </w:p>
        </w:tc>
        <w:tc>
          <w:tcPr>
            <w:tcW w:w="2341" w:type="dxa"/>
            <w:tcBorders>
              <w:right w:val="single" w:color="auto" w:sz="8" w:space="0"/>
            </w:tcBorders>
            <w:noWrap w:val="0"/>
            <w:vAlign w:val="bottom"/>
          </w:tcPr>
          <w:p>
            <w:pPr>
              <w:rPr>
                <w:b/>
                <w:sz w:val="13"/>
                <w:szCs w:val="13"/>
              </w:rPr>
            </w:pPr>
          </w:p>
        </w:tc>
        <w:tc>
          <w:tcPr>
            <w:tcW w:w="1486" w:type="dxa"/>
            <w:tcBorders>
              <w:right w:val="single" w:color="auto" w:sz="8" w:space="0"/>
            </w:tcBorders>
            <w:noWrap w:val="0"/>
            <w:vAlign w:val="bottom"/>
          </w:tcPr>
          <w:p>
            <w:pPr>
              <w:rPr>
                <w:b/>
                <w:sz w:val="13"/>
                <w:szCs w:val="13"/>
              </w:rPr>
            </w:pPr>
          </w:p>
        </w:tc>
        <w:tc>
          <w:tcPr>
            <w:tcW w:w="1418" w:type="dxa"/>
            <w:vMerge w:val="continue"/>
            <w:tcBorders>
              <w:right w:val="single" w:color="auto" w:sz="8" w:space="0"/>
            </w:tcBorders>
            <w:noWrap w:val="0"/>
            <w:vAlign w:val="bottom"/>
          </w:tcPr>
          <w:p>
            <w:pPr>
              <w:rPr>
                <w:b/>
                <w:sz w:val="13"/>
                <w:szCs w:val="13"/>
              </w:rPr>
            </w:pPr>
          </w:p>
        </w:tc>
        <w:tc>
          <w:tcPr>
            <w:tcW w:w="1417" w:type="dxa"/>
            <w:vMerge w:val="continue"/>
            <w:tcBorders>
              <w:right w:val="single" w:color="auto" w:sz="8" w:space="0"/>
            </w:tcBorders>
            <w:noWrap w:val="0"/>
            <w:vAlign w:val="bottom"/>
          </w:tcPr>
          <w:p>
            <w:pPr>
              <w:rPr>
                <w:b/>
                <w:sz w:val="13"/>
                <w:szCs w:val="13"/>
              </w:rPr>
            </w:pPr>
          </w:p>
        </w:tc>
        <w:tc>
          <w:tcPr>
            <w:tcW w:w="1759" w:type="dxa"/>
            <w:vMerge w:val="continue"/>
            <w:tcBorders>
              <w:right w:val="single" w:color="auto" w:sz="8" w:space="0"/>
            </w:tcBorders>
            <w:noWrap w:val="0"/>
            <w:vAlign w:val="bottom"/>
          </w:tcPr>
          <w:p>
            <w:pPr>
              <w:rPr>
                <w:b/>
                <w:sz w:val="13"/>
                <w:szCs w:val="13"/>
              </w:rPr>
            </w:pPr>
          </w:p>
        </w:tc>
        <w:tc>
          <w:tcPr>
            <w:tcW w:w="30" w:type="dxa"/>
            <w:noWrap w:val="0"/>
            <w:vAlign w:val="bottom"/>
          </w:tcPr>
          <w:p>
            <w:pPr>
              <w:rPr>
                <w:sz w:val="1"/>
                <w:szCs w:val="1"/>
              </w:rPr>
            </w:pPr>
          </w:p>
        </w:tc>
      </w:tr>
      <w:tr>
        <w:tblPrEx>
          <w:tblCellMar>
            <w:top w:w="0" w:type="dxa"/>
            <w:left w:w="0" w:type="dxa"/>
            <w:bottom w:w="0" w:type="dxa"/>
            <w:right w:w="0" w:type="dxa"/>
          </w:tblCellMar>
        </w:tblPrEx>
        <w:trPr>
          <w:trHeight w:val="67" w:hRule="atLeast"/>
        </w:trPr>
        <w:tc>
          <w:tcPr>
            <w:tcW w:w="699" w:type="dxa"/>
            <w:tcBorders>
              <w:left w:val="single" w:color="auto" w:sz="8" w:space="0"/>
              <w:bottom w:val="single" w:color="auto" w:sz="8" w:space="0"/>
              <w:right w:val="single" w:color="auto" w:sz="8" w:space="0"/>
            </w:tcBorders>
            <w:noWrap w:val="0"/>
            <w:vAlign w:val="bottom"/>
          </w:tcPr>
          <w:p>
            <w:pPr>
              <w:rPr>
                <w:b/>
                <w:sz w:val="5"/>
                <w:szCs w:val="5"/>
              </w:rPr>
            </w:pPr>
          </w:p>
        </w:tc>
        <w:tc>
          <w:tcPr>
            <w:tcW w:w="2341" w:type="dxa"/>
            <w:tcBorders>
              <w:bottom w:val="single" w:color="auto" w:sz="8" w:space="0"/>
              <w:right w:val="single" w:color="auto" w:sz="8" w:space="0"/>
            </w:tcBorders>
            <w:noWrap w:val="0"/>
            <w:vAlign w:val="bottom"/>
          </w:tcPr>
          <w:p>
            <w:pPr>
              <w:rPr>
                <w:b/>
                <w:sz w:val="5"/>
                <w:szCs w:val="5"/>
              </w:rPr>
            </w:pPr>
          </w:p>
        </w:tc>
        <w:tc>
          <w:tcPr>
            <w:tcW w:w="1486" w:type="dxa"/>
            <w:tcBorders>
              <w:bottom w:val="single" w:color="auto" w:sz="8" w:space="0"/>
              <w:right w:val="single" w:color="auto" w:sz="8" w:space="0"/>
            </w:tcBorders>
            <w:noWrap w:val="0"/>
            <w:vAlign w:val="bottom"/>
          </w:tcPr>
          <w:p>
            <w:pPr>
              <w:rPr>
                <w:b/>
                <w:sz w:val="5"/>
                <w:szCs w:val="5"/>
              </w:rPr>
            </w:pPr>
          </w:p>
        </w:tc>
        <w:tc>
          <w:tcPr>
            <w:tcW w:w="1418" w:type="dxa"/>
            <w:tcBorders>
              <w:bottom w:val="single" w:color="auto" w:sz="8" w:space="0"/>
              <w:right w:val="single" w:color="auto" w:sz="8" w:space="0"/>
            </w:tcBorders>
            <w:noWrap w:val="0"/>
            <w:vAlign w:val="bottom"/>
          </w:tcPr>
          <w:p>
            <w:pPr>
              <w:rPr>
                <w:b/>
                <w:sz w:val="5"/>
                <w:szCs w:val="5"/>
              </w:rPr>
            </w:pPr>
          </w:p>
        </w:tc>
        <w:tc>
          <w:tcPr>
            <w:tcW w:w="1417" w:type="dxa"/>
            <w:tcBorders>
              <w:bottom w:val="single" w:color="auto" w:sz="8" w:space="0"/>
              <w:right w:val="single" w:color="auto" w:sz="8" w:space="0"/>
            </w:tcBorders>
            <w:noWrap w:val="0"/>
            <w:vAlign w:val="bottom"/>
          </w:tcPr>
          <w:p>
            <w:pPr>
              <w:rPr>
                <w:b/>
                <w:sz w:val="5"/>
                <w:szCs w:val="5"/>
              </w:rPr>
            </w:pPr>
          </w:p>
        </w:tc>
        <w:tc>
          <w:tcPr>
            <w:tcW w:w="1759" w:type="dxa"/>
            <w:tcBorders>
              <w:bottom w:val="single" w:color="auto" w:sz="8" w:space="0"/>
              <w:right w:val="single" w:color="auto" w:sz="8" w:space="0"/>
            </w:tcBorders>
            <w:noWrap w:val="0"/>
            <w:vAlign w:val="bottom"/>
          </w:tcPr>
          <w:p>
            <w:pPr>
              <w:rPr>
                <w:b/>
                <w:sz w:val="5"/>
                <w:szCs w:val="5"/>
              </w:rPr>
            </w:pPr>
          </w:p>
        </w:tc>
        <w:tc>
          <w:tcPr>
            <w:tcW w:w="30" w:type="dxa"/>
            <w:noWrap w:val="0"/>
            <w:vAlign w:val="bottom"/>
          </w:tcPr>
          <w:p>
            <w:pPr>
              <w:rPr>
                <w:sz w:val="1"/>
                <w:szCs w:val="1"/>
              </w:rPr>
            </w:pPr>
          </w:p>
        </w:tc>
      </w:tr>
      <w:tr>
        <w:tblPrEx>
          <w:tblCellMar>
            <w:top w:w="0" w:type="dxa"/>
            <w:left w:w="0" w:type="dxa"/>
            <w:bottom w:w="0" w:type="dxa"/>
            <w:right w:w="0" w:type="dxa"/>
          </w:tblCellMar>
        </w:tblPrEx>
        <w:trPr>
          <w:trHeight w:val="414" w:hRule="atLeast"/>
        </w:trPr>
        <w:tc>
          <w:tcPr>
            <w:tcW w:w="699" w:type="dxa"/>
            <w:vMerge w:val="restart"/>
            <w:tcBorders>
              <w:left w:val="single" w:color="auto" w:sz="8" w:space="0"/>
              <w:right w:val="single" w:color="auto" w:sz="8" w:space="0"/>
            </w:tcBorders>
            <w:noWrap w:val="0"/>
            <w:vAlign w:val="center"/>
          </w:tcPr>
          <w:p>
            <w:pPr>
              <w:jc w:val="center"/>
              <w:rPr>
                <w:b/>
                <w:sz w:val="19"/>
                <w:szCs w:val="19"/>
              </w:rPr>
            </w:pPr>
            <w:r>
              <w:rPr>
                <w:rFonts w:hint="eastAsia"/>
                <w:b/>
                <w:sz w:val="19"/>
                <w:szCs w:val="19"/>
              </w:rPr>
              <w:t>1</w:t>
            </w:r>
          </w:p>
        </w:tc>
        <w:tc>
          <w:tcPr>
            <w:tcW w:w="2341" w:type="dxa"/>
            <w:vMerge w:val="restart"/>
            <w:tcBorders>
              <w:right w:val="single" w:color="auto" w:sz="8" w:space="0"/>
            </w:tcBorders>
            <w:noWrap w:val="0"/>
            <w:vAlign w:val="center"/>
          </w:tcPr>
          <w:p>
            <w:pPr>
              <w:spacing w:line="240" w:lineRule="exact"/>
              <w:jc w:val="center"/>
              <w:rPr>
                <w:rFonts w:ascii="宋体" w:hAnsi="宋体" w:cs="宋体"/>
                <w:b/>
                <w:szCs w:val="21"/>
              </w:rPr>
            </w:pPr>
            <w:r>
              <w:rPr>
                <w:rFonts w:ascii="宋体" w:hAnsi="宋体" w:cs="宋体"/>
                <w:b/>
                <w:szCs w:val="21"/>
              </w:rPr>
              <w:t>核酸质谱分析系统</w:t>
            </w:r>
          </w:p>
        </w:tc>
        <w:tc>
          <w:tcPr>
            <w:tcW w:w="1486" w:type="dxa"/>
            <w:vMerge w:val="restart"/>
            <w:tcBorders>
              <w:right w:val="single" w:color="auto" w:sz="8" w:space="0"/>
            </w:tcBorders>
            <w:noWrap w:val="0"/>
            <w:vAlign w:val="center"/>
          </w:tcPr>
          <w:p>
            <w:pPr>
              <w:spacing w:line="240" w:lineRule="exact"/>
              <w:jc w:val="center"/>
              <w:rPr>
                <w:rFonts w:ascii="宋体" w:hAnsi="宋体" w:cs="宋体"/>
                <w:b/>
                <w:szCs w:val="21"/>
              </w:rPr>
            </w:pPr>
            <w:r>
              <w:rPr>
                <w:rFonts w:ascii="宋体" w:hAnsi="宋体" w:cs="宋体"/>
                <w:b/>
                <w:szCs w:val="21"/>
              </w:rPr>
              <w:t>1</w:t>
            </w:r>
          </w:p>
        </w:tc>
        <w:tc>
          <w:tcPr>
            <w:tcW w:w="1418" w:type="dxa"/>
            <w:vMerge w:val="restart"/>
            <w:tcBorders>
              <w:right w:val="single" w:color="auto" w:sz="8" w:space="0"/>
            </w:tcBorders>
            <w:noWrap w:val="0"/>
            <w:vAlign w:val="center"/>
          </w:tcPr>
          <w:p>
            <w:pPr>
              <w:spacing w:line="240" w:lineRule="exact"/>
              <w:jc w:val="center"/>
              <w:rPr>
                <w:rFonts w:ascii="宋体" w:hAnsi="宋体" w:cs="宋体"/>
                <w:b/>
                <w:szCs w:val="21"/>
              </w:rPr>
            </w:pPr>
            <w:r>
              <w:rPr>
                <w:rFonts w:hint="eastAsia" w:ascii="宋体" w:hAnsi="宋体" w:cs="宋体"/>
                <w:b/>
                <w:szCs w:val="21"/>
              </w:rPr>
              <w:t>224</w:t>
            </w:r>
          </w:p>
        </w:tc>
        <w:tc>
          <w:tcPr>
            <w:tcW w:w="1417" w:type="dxa"/>
            <w:vMerge w:val="restart"/>
            <w:tcBorders>
              <w:right w:val="single" w:color="auto" w:sz="8" w:space="0"/>
            </w:tcBorders>
            <w:noWrap w:val="0"/>
            <w:vAlign w:val="center"/>
          </w:tcPr>
          <w:p>
            <w:pPr>
              <w:spacing w:line="240" w:lineRule="exact"/>
              <w:jc w:val="center"/>
              <w:rPr>
                <w:rFonts w:ascii="宋体" w:hAnsi="宋体" w:cs="宋体"/>
                <w:b/>
                <w:szCs w:val="21"/>
              </w:rPr>
            </w:pPr>
            <w:r>
              <w:rPr>
                <w:rFonts w:hint="eastAsia" w:ascii="宋体" w:hAnsi="宋体" w:cs="宋体"/>
                <w:b/>
                <w:szCs w:val="21"/>
              </w:rPr>
              <w:t>224</w:t>
            </w:r>
          </w:p>
        </w:tc>
        <w:tc>
          <w:tcPr>
            <w:tcW w:w="1759" w:type="dxa"/>
            <w:vMerge w:val="restart"/>
            <w:tcBorders>
              <w:right w:val="single" w:color="auto" w:sz="8" w:space="0"/>
            </w:tcBorders>
            <w:noWrap w:val="0"/>
            <w:vAlign w:val="center"/>
          </w:tcPr>
          <w:p>
            <w:pPr>
              <w:spacing w:line="240" w:lineRule="exact"/>
              <w:jc w:val="center"/>
              <w:rPr>
                <w:rFonts w:ascii="宋体" w:hAnsi="宋体" w:cs="宋体"/>
                <w:b/>
                <w:szCs w:val="21"/>
              </w:rPr>
            </w:pPr>
            <w:r>
              <w:rPr>
                <w:rFonts w:ascii="宋体" w:hAnsi="宋体" w:cs="宋体"/>
                <w:b/>
                <w:szCs w:val="21"/>
              </w:rPr>
              <w:t>允许</w:t>
            </w:r>
          </w:p>
        </w:tc>
        <w:tc>
          <w:tcPr>
            <w:tcW w:w="30" w:type="dxa"/>
            <w:noWrap w:val="0"/>
            <w:vAlign w:val="bottom"/>
          </w:tcPr>
          <w:p>
            <w:pPr>
              <w:rPr>
                <w:sz w:val="1"/>
                <w:szCs w:val="1"/>
              </w:rPr>
            </w:pPr>
          </w:p>
        </w:tc>
      </w:tr>
      <w:tr>
        <w:tblPrEx>
          <w:tblCellMar>
            <w:top w:w="0" w:type="dxa"/>
            <w:left w:w="0" w:type="dxa"/>
            <w:bottom w:w="0" w:type="dxa"/>
            <w:right w:w="0" w:type="dxa"/>
          </w:tblCellMar>
        </w:tblPrEx>
        <w:trPr>
          <w:trHeight w:val="293" w:hRule="atLeast"/>
        </w:trPr>
        <w:tc>
          <w:tcPr>
            <w:tcW w:w="699" w:type="dxa"/>
            <w:vMerge w:val="continue"/>
            <w:tcBorders>
              <w:left w:val="single" w:color="auto" w:sz="8" w:space="0"/>
              <w:right w:val="single" w:color="auto" w:sz="8" w:space="0"/>
            </w:tcBorders>
            <w:noWrap w:val="0"/>
            <w:vAlign w:val="bottom"/>
          </w:tcPr>
          <w:p>
            <w:pPr>
              <w:rPr>
                <w:b/>
                <w:sz w:val="16"/>
                <w:szCs w:val="16"/>
              </w:rPr>
            </w:pPr>
          </w:p>
        </w:tc>
        <w:tc>
          <w:tcPr>
            <w:tcW w:w="2341" w:type="dxa"/>
            <w:vMerge w:val="continue"/>
            <w:tcBorders>
              <w:bottom w:val="single" w:color="auto" w:sz="8" w:space="0"/>
              <w:right w:val="single" w:color="auto" w:sz="8" w:space="0"/>
            </w:tcBorders>
            <w:noWrap w:val="0"/>
            <w:vAlign w:val="center"/>
          </w:tcPr>
          <w:p>
            <w:pPr>
              <w:spacing w:line="240" w:lineRule="exact"/>
              <w:rPr>
                <w:rFonts w:ascii="宋体" w:hAnsi="宋体" w:cs="宋体"/>
                <w:b/>
                <w:szCs w:val="21"/>
              </w:rPr>
            </w:pPr>
          </w:p>
        </w:tc>
        <w:tc>
          <w:tcPr>
            <w:tcW w:w="1486" w:type="dxa"/>
            <w:vMerge w:val="continue"/>
            <w:tcBorders>
              <w:bottom w:val="single" w:color="auto" w:sz="8" w:space="0"/>
              <w:right w:val="single" w:color="auto" w:sz="8" w:space="0"/>
            </w:tcBorders>
            <w:noWrap w:val="0"/>
            <w:vAlign w:val="center"/>
          </w:tcPr>
          <w:p>
            <w:pPr>
              <w:spacing w:line="240" w:lineRule="exact"/>
              <w:jc w:val="center"/>
              <w:rPr>
                <w:rFonts w:ascii="宋体" w:hAnsi="宋体" w:cs="宋体"/>
                <w:b/>
                <w:szCs w:val="21"/>
              </w:rPr>
            </w:pPr>
          </w:p>
        </w:tc>
        <w:tc>
          <w:tcPr>
            <w:tcW w:w="1418" w:type="dxa"/>
            <w:vMerge w:val="continue"/>
            <w:tcBorders>
              <w:bottom w:val="single" w:color="auto" w:sz="8" w:space="0"/>
              <w:right w:val="single" w:color="auto" w:sz="8" w:space="0"/>
            </w:tcBorders>
            <w:noWrap w:val="0"/>
            <w:vAlign w:val="center"/>
          </w:tcPr>
          <w:p>
            <w:pPr>
              <w:spacing w:line="240" w:lineRule="exact"/>
              <w:jc w:val="center"/>
              <w:rPr>
                <w:rFonts w:ascii="宋体" w:hAnsi="宋体" w:cs="宋体"/>
                <w:b/>
                <w:szCs w:val="21"/>
              </w:rPr>
            </w:pPr>
          </w:p>
        </w:tc>
        <w:tc>
          <w:tcPr>
            <w:tcW w:w="1417" w:type="dxa"/>
            <w:vMerge w:val="continue"/>
            <w:tcBorders>
              <w:bottom w:val="single" w:color="auto" w:sz="8" w:space="0"/>
              <w:right w:val="single" w:color="auto" w:sz="8" w:space="0"/>
            </w:tcBorders>
            <w:noWrap w:val="0"/>
            <w:vAlign w:val="center"/>
          </w:tcPr>
          <w:p>
            <w:pPr>
              <w:spacing w:line="240" w:lineRule="exact"/>
              <w:jc w:val="center"/>
              <w:rPr>
                <w:rFonts w:ascii="宋体" w:hAnsi="宋体" w:cs="宋体"/>
                <w:b/>
                <w:szCs w:val="21"/>
              </w:rPr>
            </w:pPr>
          </w:p>
        </w:tc>
        <w:tc>
          <w:tcPr>
            <w:tcW w:w="1759" w:type="dxa"/>
            <w:vMerge w:val="continue"/>
            <w:tcBorders>
              <w:bottom w:val="single" w:color="auto" w:sz="8" w:space="0"/>
              <w:right w:val="single" w:color="auto" w:sz="8" w:space="0"/>
            </w:tcBorders>
            <w:noWrap w:val="0"/>
            <w:vAlign w:val="center"/>
          </w:tcPr>
          <w:p>
            <w:pPr>
              <w:spacing w:line="240" w:lineRule="exact"/>
              <w:jc w:val="center"/>
              <w:rPr>
                <w:rFonts w:ascii="宋体" w:hAnsi="宋体" w:cs="宋体"/>
                <w:b/>
                <w:szCs w:val="21"/>
              </w:rPr>
            </w:pPr>
          </w:p>
        </w:tc>
        <w:tc>
          <w:tcPr>
            <w:tcW w:w="30" w:type="dxa"/>
            <w:noWrap w:val="0"/>
            <w:vAlign w:val="bottom"/>
          </w:tcPr>
          <w:p>
            <w:pPr>
              <w:rPr>
                <w:sz w:val="1"/>
                <w:szCs w:val="1"/>
              </w:rPr>
            </w:pPr>
          </w:p>
        </w:tc>
      </w:tr>
      <w:tr>
        <w:tblPrEx>
          <w:tblCellMar>
            <w:top w:w="0" w:type="dxa"/>
            <w:left w:w="0" w:type="dxa"/>
            <w:bottom w:w="0" w:type="dxa"/>
            <w:right w:w="0" w:type="dxa"/>
          </w:tblCellMar>
        </w:tblPrEx>
        <w:trPr>
          <w:trHeight w:val="221" w:hRule="atLeast"/>
        </w:trPr>
        <w:tc>
          <w:tcPr>
            <w:tcW w:w="699" w:type="dxa"/>
            <w:vMerge w:val="continue"/>
            <w:tcBorders>
              <w:left w:val="single" w:color="auto" w:sz="8" w:space="0"/>
              <w:right w:val="single" w:color="auto" w:sz="8" w:space="0"/>
            </w:tcBorders>
            <w:noWrap w:val="0"/>
            <w:vAlign w:val="center"/>
          </w:tcPr>
          <w:p>
            <w:pPr>
              <w:rPr>
                <w:b/>
                <w:sz w:val="19"/>
                <w:szCs w:val="19"/>
              </w:rPr>
            </w:pPr>
          </w:p>
        </w:tc>
        <w:tc>
          <w:tcPr>
            <w:tcW w:w="2341" w:type="dxa"/>
            <w:vMerge w:val="restart"/>
            <w:tcBorders>
              <w:right w:val="single" w:color="auto" w:sz="8" w:space="0"/>
            </w:tcBorders>
            <w:noWrap w:val="0"/>
            <w:vAlign w:val="center"/>
          </w:tcPr>
          <w:p>
            <w:pPr>
              <w:spacing w:line="240" w:lineRule="exact"/>
              <w:jc w:val="center"/>
              <w:rPr>
                <w:rFonts w:ascii="宋体" w:hAnsi="宋体" w:cs="宋体"/>
                <w:b/>
                <w:szCs w:val="21"/>
              </w:rPr>
            </w:pPr>
            <w:r>
              <w:rPr>
                <w:rFonts w:ascii="宋体" w:hAnsi="宋体" w:cs="宋体"/>
                <w:b/>
                <w:szCs w:val="21"/>
              </w:rPr>
              <w:t>8 道电动移液器</w:t>
            </w:r>
          </w:p>
        </w:tc>
        <w:tc>
          <w:tcPr>
            <w:tcW w:w="1486" w:type="dxa"/>
            <w:vMerge w:val="restart"/>
            <w:tcBorders>
              <w:right w:val="single" w:color="auto" w:sz="8" w:space="0"/>
            </w:tcBorders>
            <w:noWrap w:val="0"/>
            <w:vAlign w:val="center"/>
          </w:tcPr>
          <w:p>
            <w:pPr>
              <w:spacing w:line="240" w:lineRule="exact"/>
              <w:jc w:val="center"/>
              <w:rPr>
                <w:rFonts w:ascii="宋体" w:hAnsi="宋体" w:cs="宋体"/>
                <w:b/>
                <w:szCs w:val="21"/>
              </w:rPr>
            </w:pPr>
            <w:r>
              <w:rPr>
                <w:rFonts w:ascii="宋体" w:hAnsi="宋体" w:cs="宋体"/>
                <w:b/>
                <w:szCs w:val="21"/>
              </w:rPr>
              <w:t>2</w:t>
            </w:r>
          </w:p>
        </w:tc>
        <w:tc>
          <w:tcPr>
            <w:tcW w:w="1418" w:type="dxa"/>
            <w:vMerge w:val="restart"/>
            <w:tcBorders>
              <w:right w:val="single" w:color="auto" w:sz="8" w:space="0"/>
            </w:tcBorders>
            <w:noWrap w:val="0"/>
            <w:vAlign w:val="center"/>
          </w:tcPr>
          <w:p>
            <w:pPr>
              <w:spacing w:line="240" w:lineRule="exact"/>
              <w:jc w:val="center"/>
              <w:rPr>
                <w:rFonts w:ascii="宋体" w:hAnsi="宋体" w:cs="宋体"/>
                <w:b/>
                <w:szCs w:val="21"/>
              </w:rPr>
            </w:pPr>
            <w:r>
              <w:rPr>
                <w:rFonts w:ascii="宋体" w:hAnsi="宋体" w:cs="宋体"/>
                <w:b/>
                <w:szCs w:val="21"/>
              </w:rPr>
              <w:t>2.4</w:t>
            </w:r>
          </w:p>
        </w:tc>
        <w:tc>
          <w:tcPr>
            <w:tcW w:w="1417" w:type="dxa"/>
            <w:vMerge w:val="restart"/>
            <w:tcBorders>
              <w:right w:val="single" w:color="auto" w:sz="8" w:space="0"/>
            </w:tcBorders>
            <w:noWrap w:val="0"/>
            <w:vAlign w:val="center"/>
          </w:tcPr>
          <w:p>
            <w:pPr>
              <w:spacing w:line="240" w:lineRule="exact"/>
              <w:jc w:val="center"/>
              <w:rPr>
                <w:rFonts w:ascii="宋体" w:hAnsi="宋体" w:cs="宋体"/>
                <w:b/>
                <w:szCs w:val="21"/>
              </w:rPr>
            </w:pPr>
            <w:r>
              <w:rPr>
                <w:rFonts w:ascii="宋体" w:hAnsi="宋体" w:cs="宋体"/>
                <w:b/>
                <w:szCs w:val="21"/>
              </w:rPr>
              <w:t>2.4</w:t>
            </w:r>
          </w:p>
        </w:tc>
        <w:tc>
          <w:tcPr>
            <w:tcW w:w="1759" w:type="dxa"/>
            <w:vMerge w:val="restart"/>
            <w:tcBorders>
              <w:right w:val="single" w:color="auto" w:sz="8"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允许</w:t>
            </w:r>
          </w:p>
        </w:tc>
        <w:tc>
          <w:tcPr>
            <w:tcW w:w="30" w:type="dxa"/>
            <w:noWrap w:val="0"/>
            <w:vAlign w:val="bottom"/>
          </w:tcPr>
          <w:p>
            <w:pPr>
              <w:rPr>
                <w:sz w:val="1"/>
                <w:szCs w:val="1"/>
              </w:rPr>
            </w:pPr>
          </w:p>
        </w:tc>
      </w:tr>
      <w:tr>
        <w:tblPrEx>
          <w:tblCellMar>
            <w:top w:w="0" w:type="dxa"/>
            <w:left w:w="0" w:type="dxa"/>
            <w:bottom w:w="0" w:type="dxa"/>
            <w:right w:w="0" w:type="dxa"/>
          </w:tblCellMar>
        </w:tblPrEx>
        <w:trPr>
          <w:trHeight w:val="194" w:hRule="atLeast"/>
        </w:trPr>
        <w:tc>
          <w:tcPr>
            <w:tcW w:w="699" w:type="dxa"/>
            <w:vMerge w:val="continue"/>
            <w:tcBorders>
              <w:left w:val="single" w:color="auto" w:sz="8" w:space="0"/>
              <w:right w:val="single" w:color="auto" w:sz="8" w:space="0"/>
            </w:tcBorders>
            <w:noWrap w:val="0"/>
            <w:vAlign w:val="center"/>
          </w:tcPr>
          <w:p>
            <w:pPr>
              <w:jc w:val="center"/>
              <w:rPr>
                <w:b/>
                <w:sz w:val="16"/>
                <w:szCs w:val="16"/>
              </w:rPr>
            </w:pPr>
          </w:p>
        </w:tc>
        <w:tc>
          <w:tcPr>
            <w:tcW w:w="2341" w:type="dxa"/>
            <w:vMerge w:val="continue"/>
            <w:tcBorders>
              <w:right w:val="single" w:color="auto" w:sz="8" w:space="0"/>
            </w:tcBorders>
            <w:noWrap w:val="0"/>
            <w:vAlign w:val="center"/>
          </w:tcPr>
          <w:p>
            <w:pPr>
              <w:spacing w:line="240" w:lineRule="exact"/>
              <w:jc w:val="center"/>
              <w:rPr>
                <w:rFonts w:ascii="宋体" w:hAnsi="宋体" w:cs="宋体"/>
                <w:b/>
                <w:szCs w:val="21"/>
              </w:rPr>
            </w:pPr>
          </w:p>
        </w:tc>
        <w:tc>
          <w:tcPr>
            <w:tcW w:w="1486" w:type="dxa"/>
            <w:vMerge w:val="continue"/>
            <w:tcBorders>
              <w:right w:val="single" w:color="auto" w:sz="8" w:space="0"/>
            </w:tcBorders>
            <w:noWrap w:val="0"/>
            <w:vAlign w:val="center"/>
          </w:tcPr>
          <w:p>
            <w:pPr>
              <w:spacing w:line="240" w:lineRule="exact"/>
              <w:jc w:val="center"/>
              <w:rPr>
                <w:rFonts w:ascii="宋体" w:hAnsi="宋体" w:cs="宋体"/>
                <w:b/>
                <w:szCs w:val="21"/>
              </w:rPr>
            </w:pPr>
          </w:p>
        </w:tc>
        <w:tc>
          <w:tcPr>
            <w:tcW w:w="1418" w:type="dxa"/>
            <w:vMerge w:val="continue"/>
            <w:tcBorders>
              <w:right w:val="single" w:color="auto" w:sz="8" w:space="0"/>
            </w:tcBorders>
            <w:noWrap w:val="0"/>
            <w:vAlign w:val="center"/>
          </w:tcPr>
          <w:p>
            <w:pPr>
              <w:spacing w:line="240" w:lineRule="exact"/>
              <w:jc w:val="center"/>
              <w:rPr>
                <w:rFonts w:ascii="宋体" w:hAnsi="宋体" w:cs="宋体"/>
                <w:b/>
                <w:szCs w:val="21"/>
              </w:rPr>
            </w:pPr>
          </w:p>
        </w:tc>
        <w:tc>
          <w:tcPr>
            <w:tcW w:w="1417" w:type="dxa"/>
            <w:vMerge w:val="continue"/>
            <w:tcBorders>
              <w:right w:val="single" w:color="auto" w:sz="8" w:space="0"/>
            </w:tcBorders>
            <w:noWrap w:val="0"/>
            <w:vAlign w:val="center"/>
          </w:tcPr>
          <w:p>
            <w:pPr>
              <w:spacing w:line="240" w:lineRule="exact"/>
              <w:jc w:val="center"/>
              <w:rPr>
                <w:rFonts w:ascii="宋体" w:hAnsi="宋体" w:cs="宋体"/>
                <w:b/>
                <w:szCs w:val="21"/>
              </w:rPr>
            </w:pPr>
          </w:p>
        </w:tc>
        <w:tc>
          <w:tcPr>
            <w:tcW w:w="1759" w:type="dxa"/>
            <w:vMerge w:val="continue"/>
            <w:tcBorders>
              <w:right w:val="single" w:color="auto" w:sz="8" w:space="0"/>
            </w:tcBorders>
            <w:noWrap w:val="0"/>
            <w:vAlign w:val="center"/>
          </w:tcPr>
          <w:p>
            <w:pPr>
              <w:spacing w:line="240" w:lineRule="exact"/>
              <w:jc w:val="center"/>
              <w:rPr>
                <w:rFonts w:ascii="宋体" w:hAnsi="宋体" w:cs="宋体"/>
                <w:b/>
                <w:szCs w:val="21"/>
              </w:rPr>
            </w:pPr>
          </w:p>
        </w:tc>
        <w:tc>
          <w:tcPr>
            <w:tcW w:w="30" w:type="dxa"/>
            <w:noWrap w:val="0"/>
            <w:vAlign w:val="bottom"/>
          </w:tcPr>
          <w:p>
            <w:pPr>
              <w:rPr>
                <w:sz w:val="1"/>
                <w:szCs w:val="1"/>
              </w:rPr>
            </w:pPr>
          </w:p>
        </w:tc>
      </w:tr>
      <w:tr>
        <w:tblPrEx>
          <w:tblCellMar>
            <w:top w:w="0" w:type="dxa"/>
            <w:left w:w="0" w:type="dxa"/>
            <w:bottom w:w="0" w:type="dxa"/>
            <w:right w:w="0" w:type="dxa"/>
          </w:tblCellMar>
        </w:tblPrEx>
        <w:trPr>
          <w:trHeight w:val="275" w:hRule="atLeast"/>
        </w:trPr>
        <w:tc>
          <w:tcPr>
            <w:tcW w:w="699" w:type="dxa"/>
            <w:vMerge w:val="continue"/>
            <w:tcBorders>
              <w:left w:val="single" w:color="auto" w:sz="8" w:space="0"/>
              <w:right w:val="single" w:color="auto" w:sz="8" w:space="0"/>
            </w:tcBorders>
            <w:noWrap w:val="0"/>
            <w:vAlign w:val="bottom"/>
          </w:tcPr>
          <w:p>
            <w:pPr>
              <w:rPr>
                <w:b/>
                <w:sz w:val="16"/>
                <w:szCs w:val="16"/>
              </w:rPr>
            </w:pPr>
          </w:p>
        </w:tc>
        <w:tc>
          <w:tcPr>
            <w:tcW w:w="2341" w:type="dxa"/>
            <w:vMerge w:val="continue"/>
            <w:tcBorders>
              <w:bottom w:val="single" w:color="auto" w:sz="4" w:space="0"/>
              <w:right w:val="single" w:color="auto" w:sz="8" w:space="0"/>
            </w:tcBorders>
            <w:noWrap w:val="0"/>
            <w:vAlign w:val="center"/>
          </w:tcPr>
          <w:p>
            <w:pPr>
              <w:spacing w:line="240" w:lineRule="exact"/>
              <w:jc w:val="center"/>
              <w:rPr>
                <w:rFonts w:ascii="宋体" w:hAnsi="宋体" w:cs="宋体"/>
                <w:b/>
                <w:szCs w:val="21"/>
              </w:rPr>
            </w:pPr>
          </w:p>
        </w:tc>
        <w:tc>
          <w:tcPr>
            <w:tcW w:w="1486" w:type="dxa"/>
            <w:vMerge w:val="continue"/>
            <w:tcBorders>
              <w:bottom w:val="single" w:color="auto" w:sz="4" w:space="0"/>
              <w:right w:val="single" w:color="auto" w:sz="8" w:space="0"/>
            </w:tcBorders>
            <w:noWrap w:val="0"/>
            <w:vAlign w:val="center"/>
          </w:tcPr>
          <w:p>
            <w:pPr>
              <w:spacing w:line="240" w:lineRule="exact"/>
              <w:jc w:val="center"/>
              <w:rPr>
                <w:rFonts w:ascii="宋体" w:hAnsi="宋体" w:cs="宋体"/>
                <w:b/>
                <w:szCs w:val="21"/>
              </w:rPr>
            </w:pPr>
          </w:p>
        </w:tc>
        <w:tc>
          <w:tcPr>
            <w:tcW w:w="1418" w:type="dxa"/>
            <w:vMerge w:val="continue"/>
            <w:tcBorders>
              <w:bottom w:val="single" w:color="auto" w:sz="4" w:space="0"/>
              <w:right w:val="single" w:color="auto" w:sz="8" w:space="0"/>
            </w:tcBorders>
            <w:noWrap w:val="0"/>
            <w:vAlign w:val="center"/>
          </w:tcPr>
          <w:p>
            <w:pPr>
              <w:spacing w:line="240" w:lineRule="exact"/>
              <w:jc w:val="center"/>
              <w:rPr>
                <w:rFonts w:ascii="宋体" w:hAnsi="宋体" w:cs="宋体"/>
                <w:b/>
                <w:szCs w:val="21"/>
              </w:rPr>
            </w:pPr>
          </w:p>
        </w:tc>
        <w:tc>
          <w:tcPr>
            <w:tcW w:w="1417" w:type="dxa"/>
            <w:vMerge w:val="continue"/>
            <w:tcBorders>
              <w:bottom w:val="single" w:color="auto" w:sz="4" w:space="0"/>
              <w:right w:val="single" w:color="auto" w:sz="8" w:space="0"/>
            </w:tcBorders>
            <w:noWrap w:val="0"/>
            <w:vAlign w:val="center"/>
          </w:tcPr>
          <w:p>
            <w:pPr>
              <w:spacing w:line="240" w:lineRule="exact"/>
              <w:jc w:val="center"/>
              <w:rPr>
                <w:rFonts w:ascii="宋体" w:hAnsi="宋体" w:cs="宋体"/>
                <w:b/>
                <w:szCs w:val="21"/>
              </w:rPr>
            </w:pPr>
          </w:p>
        </w:tc>
        <w:tc>
          <w:tcPr>
            <w:tcW w:w="1759" w:type="dxa"/>
            <w:vMerge w:val="continue"/>
            <w:tcBorders>
              <w:bottom w:val="single" w:color="auto" w:sz="4" w:space="0"/>
              <w:right w:val="single" w:color="auto" w:sz="8" w:space="0"/>
            </w:tcBorders>
            <w:noWrap w:val="0"/>
            <w:vAlign w:val="center"/>
          </w:tcPr>
          <w:p>
            <w:pPr>
              <w:spacing w:line="240" w:lineRule="exact"/>
              <w:jc w:val="center"/>
              <w:rPr>
                <w:rFonts w:ascii="宋体" w:hAnsi="宋体" w:cs="宋体"/>
                <w:b/>
                <w:szCs w:val="21"/>
              </w:rPr>
            </w:pPr>
          </w:p>
        </w:tc>
        <w:tc>
          <w:tcPr>
            <w:tcW w:w="30" w:type="dxa"/>
            <w:noWrap w:val="0"/>
            <w:vAlign w:val="bottom"/>
          </w:tcPr>
          <w:p>
            <w:pPr>
              <w:rPr>
                <w:sz w:val="1"/>
                <w:szCs w:val="1"/>
              </w:rPr>
            </w:pPr>
          </w:p>
        </w:tc>
      </w:tr>
      <w:tr>
        <w:tblPrEx>
          <w:tblCellMar>
            <w:top w:w="0" w:type="dxa"/>
            <w:left w:w="0" w:type="dxa"/>
            <w:bottom w:w="0" w:type="dxa"/>
            <w:right w:w="0" w:type="dxa"/>
          </w:tblCellMar>
        </w:tblPrEx>
        <w:trPr>
          <w:trHeight w:val="695" w:hRule="atLeast"/>
        </w:trPr>
        <w:tc>
          <w:tcPr>
            <w:tcW w:w="699" w:type="dxa"/>
            <w:vMerge w:val="continue"/>
            <w:tcBorders>
              <w:left w:val="single" w:color="auto" w:sz="8" w:space="0"/>
              <w:right w:val="single" w:color="auto" w:sz="8" w:space="0"/>
            </w:tcBorders>
            <w:noWrap w:val="0"/>
            <w:vAlign w:val="bottom"/>
          </w:tcPr>
          <w:p>
            <w:pPr>
              <w:rPr>
                <w:b/>
                <w:sz w:val="24"/>
              </w:rPr>
            </w:pPr>
          </w:p>
        </w:tc>
        <w:tc>
          <w:tcPr>
            <w:tcW w:w="23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8道手动移液器</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1</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0.842</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0.842</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允许</w:t>
            </w:r>
          </w:p>
        </w:tc>
        <w:tc>
          <w:tcPr>
            <w:tcW w:w="30" w:type="dxa"/>
            <w:tcBorders>
              <w:left w:val="single" w:color="auto" w:sz="4" w:space="0"/>
            </w:tcBorders>
            <w:noWrap w:val="0"/>
            <w:vAlign w:val="bottom"/>
          </w:tcPr>
          <w:p>
            <w:pPr>
              <w:rPr>
                <w:color w:val="FF0000"/>
                <w:sz w:val="1"/>
                <w:szCs w:val="1"/>
              </w:rPr>
            </w:pPr>
          </w:p>
        </w:tc>
      </w:tr>
      <w:tr>
        <w:tblPrEx>
          <w:tblCellMar>
            <w:top w:w="0" w:type="dxa"/>
            <w:left w:w="0" w:type="dxa"/>
            <w:bottom w:w="0" w:type="dxa"/>
            <w:right w:w="0" w:type="dxa"/>
          </w:tblCellMar>
        </w:tblPrEx>
        <w:trPr>
          <w:trHeight w:val="646" w:hRule="atLeast"/>
        </w:trPr>
        <w:tc>
          <w:tcPr>
            <w:tcW w:w="699" w:type="dxa"/>
            <w:vMerge w:val="continue"/>
            <w:tcBorders>
              <w:left w:val="single" w:color="auto" w:sz="8" w:space="0"/>
              <w:right w:val="single" w:color="auto" w:sz="8" w:space="0"/>
            </w:tcBorders>
            <w:noWrap w:val="0"/>
            <w:vAlign w:val="bottom"/>
          </w:tcPr>
          <w:p>
            <w:pPr>
              <w:rPr>
                <w:b/>
                <w:sz w:val="24"/>
              </w:rPr>
            </w:pPr>
          </w:p>
        </w:tc>
        <w:tc>
          <w:tcPr>
            <w:tcW w:w="23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ascii="宋体" w:hAnsi="宋体" w:cs="宋体"/>
                <w:b/>
                <w:szCs w:val="21"/>
              </w:rPr>
              <w:t>UPS 电源</w:t>
            </w:r>
          </w:p>
        </w:tc>
        <w:tc>
          <w:tcPr>
            <w:tcW w:w="14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hint="eastAsia" w:ascii="宋体" w:hAnsi="宋体" w:cs="宋体"/>
                <w:b/>
                <w:szCs w:val="21"/>
              </w:rPr>
              <w:t>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ascii="宋体" w:hAnsi="宋体" w:cs="宋体"/>
                <w:b/>
                <w:szCs w:val="21"/>
              </w:rPr>
              <w:t>0.</w:t>
            </w:r>
            <w:r>
              <w:rPr>
                <w:rFonts w:hint="eastAsia" w:ascii="宋体" w:hAnsi="宋体" w:cs="宋体"/>
                <w:b/>
                <w:szCs w:val="21"/>
              </w:rPr>
              <w:t>52</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ascii="宋体" w:hAnsi="宋体" w:cs="宋体"/>
                <w:b/>
                <w:szCs w:val="21"/>
              </w:rPr>
              <w:t>0.</w:t>
            </w:r>
            <w:r>
              <w:rPr>
                <w:rFonts w:hint="eastAsia" w:ascii="宋体" w:hAnsi="宋体" w:cs="宋体"/>
                <w:b/>
                <w:szCs w:val="21"/>
              </w:rPr>
              <w:t>52</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cs="宋体"/>
                <w:b/>
                <w:szCs w:val="21"/>
              </w:rPr>
            </w:pPr>
            <w:r>
              <w:rPr>
                <w:rFonts w:ascii="宋体" w:hAnsi="宋体" w:cs="宋体"/>
                <w:b/>
                <w:szCs w:val="21"/>
              </w:rPr>
              <w:t>否</w:t>
            </w:r>
          </w:p>
        </w:tc>
        <w:tc>
          <w:tcPr>
            <w:tcW w:w="30" w:type="dxa"/>
            <w:tcBorders>
              <w:left w:val="single" w:color="auto" w:sz="4" w:space="0"/>
            </w:tcBorders>
            <w:noWrap w:val="0"/>
            <w:vAlign w:val="bottom"/>
          </w:tcPr>
          <w:p>
            <w:pPr>
              <w:rPr>
                <w:sz w:val="1"/>
                <w:szCs w:val="1"/>
              </w:rPr>
            </w:pPr>
          </w:p>
        </w:tc>
      </w:tr>
      <w:tr>
        <w:tblPrEx>
          <w:tblCellMar>
            <w:top w:w="0" w:type="dxa"/>
            <w:left w:w="0" w:type="dxa"/>
            <w:bottom w:w="0" w:type="dxa"/>
            <w:right w:w="0" w:type="dxa"/>
          </w:tblCellMar>
        </w:tblPrEx>
        <w:trPr>
          <w:trHeight w:val="415" w:hRule="atLeast"/>
        </w:trPr>
        <w:tc>
          <w:tcPr>
            <w:tcW w:w="699" w:type="dxa"/>
            <w:vMerge w:val="continue"/>
            <w:tcBorders>
              <w:left w:val="single" w:color="auto" w:sz="8" w:space="0"/>
              <w:right w:val="single" w:color="auto" w:sz="8" w:space="0"/>
            </w:tcBorders>
            <w:noWrap w:val="0"/>
            <w:vAlign w:val="bottom"/>
          </w:tcPr>
          <w:p>
            <w:pPr>
              <w:rPr>
                <w:b/>
                <w:sz w:val="24"/>
              </w:rPr>
            </w:pPr>
          </w:p>
        </w:tc>
        <w:tc>
          <w:tcPr>
            <w:tcW w:w="2341" w:type="dxa"/>
            <w:vMerge w:val="restart"/>
            <w:tcBorders>
              <w:right w:val="single" w:color="auto" w:sz="8" w:space="0"/>
            </w:tcBorders>
            <w:noWrap w:val="0"/>
            <w:vAlign w:val="center"/>
          </w:tcPr>
          <w:p>
            <w:pPr>
              <w:spacing w:line="240" w:lineRule="exact"/>
              <w:jc w:val="center"/>
              <w:rPr>
                <w:rFonts w:ascii="宋体" w:hAnsi="宋体" w:cs="宋体"/>
                <w:b/>
                <w:szCs w:val="21"/>
              </w:rPr>
            </w:pPr>
            <w:r>
              <w:rPr>
                <w:rFonts w:ascii="宋体" w:hAnsi="宋体" w:cs="宋体"/>
                <w:b/>
                <w:szCs w:val="21"/>
              </w:rPr>
              <w:t>涡旋混匀器</w:t>
            </w:r>
          </w:p>
        </w:tc>
        <w:tc>
          <w:tcPr>
            <w:tcW w:w="1486" w:type="dxa"/>
            <w:vMerge w:val="restart"/>
            <w:tcBorders>
              <w:right w:val="single" w:color="auto" w:sz="8" w:space="0"/>
            </w:tcBorders>
            <w:noWrap w:val="0"/>
            <w:vAlign w:val="center"/>
          </w:tcPr>
          <w:p>
            <w:pPr>
              <w:spacing w:line="240" w:lineRule="exact"/>
              <w:jc w:val="center"/>
              <w:rPr>
                <w:rFonts w:ascii="宋体" w:hAnsi="宋体" w:cs="宋体"/>
                <w:b/>
                <w:szCs w:val="21"/>
              </w:rPr>
            </w:pPr>
            <w:r>
              <w:rPr>
                <w:rFonts w:ascii="宋体" w:hAnsi="宋体" w:cs="宋体"/>
                <w:b/>
                <w:szCs w:val="21"/>
              </w:rPr>
              <w:t>1</w:t>
            </w:r>
          </w:p>
        </w:tc>
        <w:tc>
          <w:tcPr>
            <w:tcW w:w="1418" w:type="dxa"/>
            <w:vMerge w:val="restart"/>
            <w:tcBorders>
              <w:right w:val="single" w:color="auto" w:sz="8" w:space="0"/>
            </w:tcBorders>
            <w:noWrap w:val="0"/>
            <w:vAlign w:val="center"/>
          </w:tcPr>
          <w:p>
            <w:pPr>
              <w:spacing w:line="240" w:lineRule="exact"/>
              <w:jc w:val="center"/>
              <w:rPr>
                <w:rFonts w:ascii="宋体" w:hAnsi="宋体" w:cs="宋体"/>
                <w:b/>
                <w:szCs w:val="21"/>
              </w:rPr>
            </w:pPr>
            <w:r>
              <w:rPr>
                <w:rFonts w:ascii="宋体" w:hAnsi="宋体" w:cs="宋体"/>
                <w:b/>
                <w:szCs w:val="21"/>
              </w:rPr>
              <w:t>0.128</w:t>
            </w:r>
          </w:p>
        </w:tc>
        <w:tc>
          <w:tcPr>
            <w:tcW w:w="1417" w:type="dxa"/>
            <w:vMerge w:val="restart"/>
            <w:tcBorders>
              <w:right w:val="single" w:color="auto" w:sz="8" w:space="0"/>
            </w:tcBorders>
            <w:noWrap w:val="0"/>
            <w:vAlign w:val="center"/>
          </w:tcPr>
          <w:p>
            <w:pPr>
              <w:spacing w:line="240" w:lineRule="exact"/>
              <w:jc w:val="center"/>
              <w:rPr>
                <w:rFonts w:ascii="宋体" w:hAnsi="宋体" w:cs="宋体"/>
                <w:b/>
                <w:szCs w:val="21"/>
              </w:rPr>
            </w:pPr>
            <w:r>
              <w:rPr>
                <w:rFonts w:ascii="宋体" w:hAnsi="宋体" w:cs="宋体"/>
                <w:b/>
                <w:szCs w:val="21"/>
              </w:rPr>
              <w:t>0.128</w:t>
            </w:r>
          </w:p>
        </w:tc>
        <w:tc>
          <w:tcPr>
            <w:tcW w:w="1759" w:type="dxa"/>
            <w:vMerge w:val="restart"/>
            <w:tcBorders>
              <w:right w:val="single" w:color="auto" w:sz="8" w:space="0"/>
            </w:tcBorders>
            <w:noWrap w:val="0"/>
            <w:vAlign w:val="center"/>
          </w:tcPr>
          <w:p>
            <w:pPr>
              <w:spacing w:line="240" w:lineRule="exact"/>
              <w:jc w:val="center"/>
              <w:rPr>
                <w:rFonts w:ascii="宋体" w:hAnsi="宋体" w:cs="宋体"/>
                <w:b/>
                <w:szCs w:val="21"/>
              </w:rPr>
            </w:pPr>
            <w:r>
              <w:rPr>
                <w:rFonts w:ascii="宋体" w:hAnsi="宋体" w:cs="宋体"/>
                <w:b/>
                <w:szCs w:val="21"/>
              </w:rPr>
              <w:t>否</w:t>
            </w:r>
          </w:p>
        </w:tc>
        <w:tc>
          <w:tcPr>
            <w:tcW w:w="30" w:type="dxa"/>
            <w:noWrap w:val="0"/>
            <w:vAlign w:val="bottom"/>
          </w:tcPr>
          <w:p>
            <w:pPr>
              <w:rPr>
                <w:sz w:val="1"/>
                <w:szCs w:val="1"/>
              </w:rPr>
            </w:pPr>
          </w:p>
        </w:tc>
      </w:tr>
      <w:tr>
        <w:tblPrEx>
          <w:tblCellMar>
            <w:top w:w="0" w:type="dxa"/>
            <w:left w:w="0" w:type="dxa"/>
            <w:bottom w:w="0" w:type="dxa"/>
            <w:right w:w="0" w:type="dxa"/>
          </w:tblCellMar>
        </w:tblPrEx>
        <w:trPr>
          <w:trHeight w:val="233" w:hRule="atLeast"/>
        </w:trPr>
        <w:tc>
          <w:tcPr>
            <w:tcW w:w="699" w:type="dxa"/>
            <w:vMerge w:val="continue"/>
            <w:tcBorders>
              <w:left w:val="single" w:color="auto" w:sz="8" w:space="0"/>
              <w:right w:val="single" w:color="auto" w:sz="8" w:space="0"/>
            </w:tcBorders>
            <w:noWrap w:val="0"/>
            <w:vAlign w:val="bottom"/>
          </w:tcPr>
          <w:p>
            <w:pPr>
              <w:rPr>
                <w:b/>
                <w:sz w:val="16"/>
                <w:szCs w:val="16"/>
              </w:rPr>
            </w:pPr>
          </w:p>
        </w:tc>
        <w:tc>
          <w:tcPr>
            <w:tcW w:w="2341" w:type="dxa"/>
            <w:vMerge w:val="continue"/>
            <w:tcBorders>
              <w:bottom w:val="single" w:color="auto" w:sz="8" w:space="0"/>
              <w:right w:val="single" w:color="auto" w:sz="8" w:space="0"/>
            </w:tcBorders>
            <w:noWrap w:val="0"/>
            <w:vAlign w:val="center"/>
          </w:tcPr>
          <w:p>
            <w:pPr>
              <w:spacing w:line="240" w:lineRule="exact"/>
              <w:jc w:val="center"/>
              <w:rPr>
                <w:rFonts w:ascii="宋体" w:hAnsi="宋体" w:cs="宋体"/>
                <w:b/>
                <w:szCs w:val="21"/>
              </w:rPr>
            </w:pPr>
          </w:p>
        </w:tc>
        <w:tc>
          <w:tcPr>
            <w:tcW w:w="1486" w:type="dxa"/>
            <w:vMerge w:val="continue"/>
            <w:tcBorders>
              <w:bottom w:val="single" w:color="auto" w:sz="8" w:space="0"/>
              <w:right w:val="single" w:color="auto" w:sz="8" w:space="0"/>
            </w:tcBorders>
            <w:noWrap w:val="0"/>
            <w:vAlign w:val="center"/>
          </w:tcPr>
          <w:p>
            <w:pPr>
              <w:spacing w:line="240" w:lineRule="exact"/>
              <w:jc w:val="center"/>
              <w:rPr>
                <w:rFonts w:ascii="宋体" w:hAnsi="宋体" w:cs="宋体"/>
                <w:b/>
                <w:szCs w:val="21"/>
              </w:rPr>
            </w:pPr>
          </w:p>
        </w:tc>
        <w:tc>
          <w:tcPr>
            <w:tcW w:w="1418" w:type="dxa"/>
            <w:vMerge w:val="continue"/>
            <w:tcBorders>
              <w:bottom w:val="single" w:color="auto" w:sz="8" w:space="0"/>
              <w:right w:val="single" w:color="auto" w:sz="8" w:space="0"/>
            </w:tcBorders>
            <w:noWrap w:val="0"/>
            <w:vAlign w:val="center"/>
          </w:tcPr>
          <w:p>
            <w:pPr>
              <w:spacing w:line="240" w:lineRule="exact"/>
              <w:jc w:val="center"/>
              <w:rPr>
                <w:rFonts w:ascii="宋体" w:hAnsi="宋体" w:cs="宋体"/>
                <w:b/>
                <w:szCs w:val="21"/>
              </w:rPr>
            </w:pPr>
          </w:p>
        </w:tc>
        <w:tc>
          <w:tcPr>
            <w:tcW w:w="1417" w:type="dxa"/>
            <w:vMerge w:val="continue"/>
            <w:tcBorders>
              <w:bottom w:val="single" w:color="auto" w:sz="8" w:space="0"/>
              <w:right w:val="single" w:color="auto" w:sz="8" w:space="0"/>
            </w:tcBorders>
            <w:noWrap w:val="0"/>
            <w:vAlign w:val="center"/>
          </w:tcPr>
          <w:p>
            <w:pPr>
              <w:spacing w:line="240" w:lineRule="exact"/>
              <w:jc w:val="center"/>
              <w:rPr>
                <w:rFonts w:ascii="宋体" w:hAnsi="宋体" w:cs="宋体"/>
                <w:b/>
                <w:szCs w:val="21"/>
              </w:rPr>
            </w:pPr>
          </w:p>
        </w:tc>
        <w:tc>
          <w:tcPr>
            <w:tcW w:w="1759" w:type="dxa"/>
            <w:vMerge w:val="continue"/>
            <w:tcBorders>
              <w:bottom w:val="single" w:color="auto" w:sz="8" w:space="0"/>
              <w:right w:val="single" w:color="auto" w:sz="8" w:space="0"/>
            </w:tcBorders>
            <w:noWrap w:val="0"/>
            <w:vAlign w:val="center"/>
          </w:tcPr>
          <w:p>
            <w:pPr>
              <w:spacing w:line="240" w:lineRule="exact"/>
              <w:jc w:val="center"/>
              <w:rPr>
                <w:rFonts w:ascii="宋体" w:hAnsi="宋体" w:cs="宋体"/>
                <w:b/>
                <w:szCs w:val="21"/>
              </w:rPr>
            </w:pPr>
          </w:p>
        </w:tc>
        <w:tc>
          <w:tcPr>
            <w:tcW w:w="30" w:type="dxa"/>
            <w:noWrap w:val="0"/>
            <w:vAlign w:val="bottom"/>
          </w:tcPr>
          <w:p>
            <w:pPr>
              <w:rPr>
                <w:sz w:val="1"/>
                <w:szCs w:val="1"/>
              </w:rPr>
            </w:pPr>
          </w:p>
        </w:tc>
      </w:tr>
      <w:tr>
        <w:tblPrEx>
          <w:tblCellMar>
            <w:top w:w="0" w:type="dxa"/>
            <w:left w:w="0" w:type="dxa"/>
            <w:bottom w:w="0" w:type="dxa"/>
            <w:right w:w="0" w:type="dxa"/>
          </w:tblCellMar>
        </w:tblPrEx>
        <w:trPr>
          <w:trHeight w:val="531" w:hRule="atLeast"/>
        </w:trPr>
        <w:tc>
          <w:tcPr>
            <w:tcW w:w="699" w:type="dxa"/>
            <w:vMerge w:val="continue"/>
            <w:tcBorders>
              <w:left w:val="single" w:color="auto" w:sz="8" w:space="0"/>
              <w:right w:val="single" w:color="auto" w:sz="8" w:space="0"/>
            </w:tcBorders>
            <w:noWrap w:val="0"/>
            <w:vAlign w:val="bottom"/>
          </w:tcPr>
          <w:p>
            <w:pPr>
              <w:rPr>
                <w:b/>
                <w:sz w:val="24"/>
              </w:rPr>
            </w:pPr>
          </w:p>
        </w:tc>
        <w:tc>
          <w:tcPr>
            <w:tcW w:w="2341" w:type="dxa"/>
            <w:vMerge w:val="restart"/>
            <w:tcBorders>
              <w:right w:val="single" w:color="auto" w:sz="8" w:space="0"/>
            </w:tcBorders>
            <w:noWrap w:val="0"/>
            <w:vAlign w:val="center"/>
          </w:tcPr>
          <w:p>
            <w:pPr>
              <w:spacing w:line="240" w:lineRule="exact"/>
              <w:jc w:val="center"/>
              <w:rPr>
                <w:rFonts w:ascii="宋体" w:hAnsi="宋体" w:cs="宋体"/>
                <w:b/>
                <w:szCs w:val="21"/>
              </w:rPr>
            </w:pPr>
            <w:r>
              <w:rPr>
                <w:rFonts w:ascii="宋体" w:hAnsi="宋体" w:cs="宋体"/>
                <w:b/>
                <w:szCs w:val="21"/>
              </w:rPr>
              <w:t>旋转混匀仪</w:t>
            </w:r>
          </w:p>
        </w:tc>
        <w:tc>
          <w:tcPr>
            <w:tcW w:w="1486" w:type="dxa"/>
            <w:vMerge w:val="restart"/>
            <w:tcBorders>
              <w:right w:val="single" w:color="auto" w:sz="8" w:space="0"/>
            </w:tcBorders>
            <w:noWrap w:val="0"/>
            <w:vAlign w:val="center"/>
          </w:tcPr>
          <w:p>
            <w:pPr>
              <w:spacing w:line="274" w:lineRule="exact"/>
              <w:jc w:val="center"/>
              <w:rPr>
                <w:rFonts w:ascii="宋体" w:hAnsi="宋体" w:cs="宋体"/>
                <w:b/>
                <w:szCs w:val="21"/>
              </w:rPr>
            </w:pPr>
            <w:r>
              <w:rPr>
                <w:rFonts w:ascii="宋体" w:hAnsi="宋体" w:cs="宋体"/>
                <w:b/>
                <w:szCs w:val="21"/>
              </w:rPr>
              <w:t>1</w:t>
            </w:r>
          </w:p>
        </w:tc>
        <w:tc>
          <w:tcPr>
            <w:tcW w:w="1418" w:type="dxa"/>
            <w:vMerge w:val="restart"/>
            <w:tcBorders>
              <w:right w:val="single" w:color="auto" w:sz="8" w:space="0"/>
            </w:tcBorders>
            <w:noWrap w:val="0"/>
            <w:vAlign w:val="center"/>
          </w:tcPr>
          <w:p>
            <w:pPr>
              <w:spacing w:line="240" w:lineRule="exact"/>
              <w:jc w:val="center"/>
              <w:rPr>
                <w:rFonts w:ascii="宋体" w:hAnsi="宋体" w:cs="宋体"/>
                <w:b/>
                <w:szCs w:val="21"/>
              </w:rPr>
            </w:pPr>
            <w:r>
              <w:rPr>
                <w:rFonts w:ascii="宋体" w:hAnsi="宋体" w:cs="宋体"/>
                <w:b/>
                <w:szCs w:val="21"/>
              </w:rPr>
              <w:t>0.11</w:t>
            </w:r>
          </w:p>
        </w:tc>
        <w:tc>
          <w:tcPr>
            <w:tcW w:w="1417" w:type="dxa"/>
            <w:vMerge w:val="restart"/>
            <w:tcBorders>
              <w:right w:val="single" w:color="auto" w:sz="8" w:space="0"/>
            </w:tcBorders>
            <w:noWrap w:val="0"/>
            <w:vAlign w:val="center"/>
          </w:tcPr>
          <w:p>
            <w:pPr>
              <w:spacing w:line="240" w:lineRule="exact"/>
              <w:jc w:val="center"/>
              <w:rPr>
                <w:rFonts w:ascii="宋体" w:hAnsi="宋体" w:cs="宋体"/>
                <w:b/>
                <w:szCs w:val="21"/>
              </w:rPr>
            </w:pPr>
            <w:r>
              <w:rPr>
                <w:rFonts w:ascii="宋体" w:hAnsi="宋体" w:cs="宋体"/>
                <w:b/>
                <w:szCs w:val="21"/>
              </w:rPr>
              <w:t>0.11</w:t>
            </w:r>
          </w:p>
        </w:tc>
        <w:tc>
          <w:tcPr>
            <w:tcW w:w="1759" w:type="dxa"/>
            <w:vMerge w:val="restart"/>
            <w:tcBorders>
              <w:right w:val="single" w:color="auto" w:sz="8" w:space="0"/>
            </w:tcBorders>
            <w:noWrap w:val="0"/>
            <w:vAlign w:val="center"/>
          </w:tcPr>
          <w:p>
            <w:pPr>
              <w:spacing w:line="240" w:lineRule="exact"/>
              <w:jc w:val="center"/>
              <w:rPr>
                <w:rFonts w:ascii="宋体" w:hAnsi="宋体" w:cs="宋体"/>
                <w:b/>
                <w:szCs w:val="21"/>
              </w:rPr>
            </w:pPr>
            <w:r>
              <w:rPr>
                <w:rFonts w:ascii="宋体" w:hAnsi="宋体" w:cs="宋体"/>
                <w:b/>
                <w:szCs w:val="21"/>
              </w:rPr>
              <w:t>否</w:t>
            </w:r>
          </w:p>
        </w:tc>
        <w:tc>
          <w:tcPr>
            <w:tcW w:w="30" w:type="dxa"/>
            <w:noWrap w:val="0"/>
            <w:vAlign w:val="bottom"/>
          </w:tcPr>
          <w:p>
            <w:pPr>
              <w:rPr>
                <w:sz w:val="1"/>
                <w:szCs w:val="1"/>
              </w:rPr>
            </w:pPr>
          </w:p>
        </w:tc>
      </w:tr>
      <w:tr>
        <w:tblPrEx>
          <w:tblCellMar>
            <w:top w:w="0" w:type="dxa"/>
            <w:left w:w="0" w:type="dxa"/>
            <w:bottom w:w="0" w:type="dxa"/>
            <w:right w:w="0" w:type="dxa"/>
          </w:tblCellMar>
        </w:tblPrEx>
        <w:trPr>
          <w:trHeight w:val="90" w:hRule="atLeast"/>
        </w:trPr>
        <w:tc>
          <w:tcPr>
            <w:tcW w:w="699" w:type="dxa"/>
            <w:vMerge w:val="continue"/>
            <w:tcBorders>
              <w:left w:val="single" w:color="auto" w:sz="8" w:space="0"/>
              <w:bottom w:val="single" w:color="auto" w:sz="8" w:space="0"/>
              <w:right w:val="single" w:color="auto" w:sz="8" w:space="0"/>
            </w:tcBorders>
            <w:noWrap w:val="0"/>
            <w:vAlign w:val="bottom"/>
          </w:tcPr>
          <w:p>
            <w:pPr>
              <w:rPr>
                <w:sz w:val="16"/>
                <w:szCs w:val="16"/>
              </w:rPr>
            </w:pPr>
          </w:p>
        </w:tc>
        <w:tc>
          <w:tcPr>
            <w:tcW w:w="2341" w:type="dxa"/>
            <w:vMerge w:val="continue"/>
            <w:tcBorders>
              <w:bottom w:val="single" w:color="auto" w:sz="8" w:space="0"/>
              <w:right w:val="single" w:color="auto" w:sz="8" w:space="0"/>
            </w:tcBorders>
            <w:noWrap w:val="0"/>
            <w:vAlign w:val="center"/>
          </w:tcPr>
          <w:p>
            <w:pPr>
              <w:spacing w:line="240" w:lineRule="exact"/>
              <w:jc w:val="center"/>
              <w:rPr>
                <w:rFonts w:ascii="宋体" w:hAnsi="宋体" w:cs="宋体"/>
                <w:szCs w:val="21"/>
              </w:rPr>
            </w:pPr>
          </w:p>
        </w:tc>
        <w:tc>
          <w:tcPr>
            <w:tcW w:w="1486" w:type="dxa"/>
            <w:vMerge w:val="continue"/>
            <w:tcBorders>
              <w:bottom w:val="single" w:color="auto" w:sz="8" w:space="0"/>
              <w:right w:val="single" w:color="auto" w:sz="8" w:space="0"/>
            </w:tcBorders>
            <w:noWrap w:val="0"/>
            <w:vAlign w:val="center"/>
          </w:tcPr>
          <w:p>
            <w:pPr>
              <w:spacing w:line="240" w:lineRule="exact"/>
              <w:jc w:val="center"/>
              <w:rPr>
                <w:rFonts w:ascii="宋体" w:hAnsi="宋体" w:cs="宋体"/>
                <w:szCs w:val="21"/>
              </w:rPr>
            </w:pPr>
          </w:p>
        </w:tc>
        <w:tc>
          <w:tcPr>
            <w:tcW w:w="1418" w:type="dxa"/>
            <w:vMerge w:val="continue"/>
            <w:tcBorders>
              <w:bottom w:val="single" w:color="auto" w:sz="8" w:space="0"/>
              <w:right w:val="single" w:color="auto" w:sz="8" w:space="0"/>
            </w:tcBorders>
            <w:noWrap w:val="0"/>
            <w:vAlign w:val="center"/>
          </w:tcPr>
          <w:p>
            <w:pPr>
              <w:spacing w:line="240" w:lineRule="exact"/>
              <w:jc w:val="center"/>
              <w:rPr>
                <w:rFonts w:ascii="宋体" w:hAnsi="宋体" w:cs="宋体"/>
                <w:szCs w:val="21"/>
              </w:rPr>
            </w:pPr>
          </w:p>
        </w:tc>
        <w:tc>
          <w:tcPr>
            <w:tcW w:w="1417" w:type="dxa"/>
            <w:vMerge w:val="continue"/>
            <w:tcBorders>
              <w:bottom w:val="single" w:color="auto" w:sz="8" w:space="0"/>
              <w:right w:val="single" w:color="auto" w:sz="8" w:space="0"/>
            </w:tcBorders>
            <w:noWrap w:val="0"/>
            <w:vAlign w:val="center"/>
          </w:tcPr>
          <w:p>
            <w:pPr>
              <w:spacing w:line="240" w:lineRule="exact"/>
              <w:jc w:val="center"/>
              <w:rPr>
                <w:rFonts w:ascii="宋体" w:hAnsi="宋体" w:cs="宋体"/>
                <w:szCs w:val="21"/>
              </w:rPr>
            </w:pPr>
          </w:p>
        </w:tc>
        <w:tc>
          <w:tcPr>
            <w:tcW w:w="1759" w:type="dxa"/>
            <w:vMerge w:val="continue"/>
            <w:tcBorders>
              <w:bottom w:val="single" w:color="auto" w:sz="8" w:space="0"/>
              <w:right w:val="single" w:color="auto" w:sz="8" w:space="0"/>
            </w:tcBorders>
            <w:noWrap w:val="0"/>
            <w:vAlign w:val="center"/>
          </w:tcPr>
          <w:p>
            <w:pPr>
              <w:spacing w:line="240" w:lineRule="exact"/>
              <w:jc w:val="center"/>
              <w:rPr>
                <w:rFonts w:ascii="宋体" w:hAnsi="宋体" w:cs="宋体"/>
                <w:szCs w:val="21"/>
              </w:rPr>
            </w:pPr>
          </w:p>
        </w:tc>
        <w:tc>
          <w:tcPr>
            <w:tcW w:w="30" w:type="dxa"/>
            <w:noWrap w:val="0"/>
            <w:vAlign w:val="bottom"/>
          </w:tcPr>
          <w:p>
            <w:pPr>
              <w:rPr>
                <w:sz w:val="1"/>
                <w:szCs w:val="1"/>
              </w:rPr>
            </w:pPr>
          </w:p>
        </w:tc>
      </w:tr>
    </w:tbl>
    <w:p>
      <w:pPr>
        <w:spacing w:line="360" w:lineRule="auto"/>
        <w:rPr>
          <w:rFonts w:hint="eastAsia"/>
          <w:b/>
          <w:bCs/>
          <w:sz w:val="28"/>
          <w:szCs w:val="28"/>
        </w:rPr>
      </w:pPr>
    </w:p>
    <w:p>
      <w:pPr>
        <w:pStyle w:val="5"/>
        <w:ind w:left="1470" w:right="1470"/>
        <w:rPr>
          <w:rFonts w:hint="eastAsia"/>
        </w:rPr>
      </w:pPr>
    </w:p>
    <w:p>
      <w:pPr>
        <w:spacing w:line="360" w:lineRule="auto"/>
        <w:rPr>
          <w:rFonts w:hint="eastAsia" w:ascii="仿宋" w:hAnsi="仿宋" w:eastAsia="仿宋"/>
          <w:b/>
          <w:bCs/>
          <w:color w:val="000000"/>
          <w:sz w:val="32"/>
          <w:szCs w:val="32"/>
        </w:rPr>
      </w:pPr>
      <w:r>
        <w:rPr>
          <w:rFonts w:hint="eastAsia"/>
          <w:b/>
          <w:bCs/>
          <w:sz w:val="28"/>
          <w:szCs w:val="28"/>
        </w:rPr>
        <w:t>二、本项目“技术参数和服务要求”</w:t>
      </w:r>
    </w:p>
    <w:p>
      <w:pPr>
        <w:rPr>
          <w:rFonts w:hint="eastAsia" w:ascii="仿宋" w:hAnsi="仿宋" w:eastAsia="仿宋"/>
          <w:b/>
          <w:bCs/>
          <w:color w:val="000000"/>
          <w:sz w:val="32"/>
          <w:szCs w:val="32"/>
        </w:rPr>
      </w:pPr>
    </w:p>
    <w:p>
      <w:pPr>
        <w:spacing w:line="366" w:lineRule="exact"/>
        <w:ind w:left="400"/>
        <w:rPr>
          <w:sz w:val="20"/>
          <w:szCs w:val="20"/>
        </w:rPr>
      </w:pPr>
      <w:r>
        <w:rPr>
          <w:rFonts w:ascii="仿宋" w:hAnsi="仿宋" w:eastAsia="仿宋" w:cs="仿宋"/>
          <w:b/>
          <w:bCs/>
          <w:sz w:val="32"/>
          <w:szCs w:val="32"/>
        </w:rPr>
        <w:t>货物 1</w:t>
      </w:r>
      <w:r>
        <w:rPr>
          <w:rFonts w:hint="eastAsia" w:ascii="仿宋" w:hAnsi="仿宋" w:eastAsia="仿宋" w:cs="仿宋"/>
          <w:b/>
          <w:bCs/>
          <w:sz w:val="32"/>
          <w:szCs w:val="32"/>
        </w:rPr>
        <w:t xml:space="preserve">.   </w:t>
      </w:r>
      <w:r>
        <w:rPr>
          <w:rFonts w:ascii="仿宋" w:hAnsi="仿宋" w:eastAsia="仿宋" w:cs="仿宋"/>
          <w:b/>
          <w:bCs/>
          <w:sz w:val="32"/>
          <w:szCs w:val="32"/>
        </w:rPr>
        <w:t>核酸质谱分析系统</w:t>
      </w:r>
    </w:p>
    <w:p>
      <w:pPr>
        <w:spacing w:line="210" w:lineRule="exact"/>
        <w:rPr>
          <w:sz w:val="24"/>
        </w:rPr>
      </w:pPr>
    </w:p>
    <w:p>
      <w:pPr>
        <w:spacing w:line="274" w:lineRule="exact"/>
        <w:ind w:left="400"/>
        <w:rPr>
          <w:sz w:val="20"/>
          <w:szCs w:val="20"/>
        </w:rPr>
      </w:pPr>
      <w:r>
        <w:rPr>
          <w:rFonts w:ascii="宋体" w:hAnsi="宋体" w:cs="宋体"/>
          <w:sz w:val="24"/>
        </w:rPr>
        <w:t>主要技术要求：</w:t>
      </w:r>
    </w:p>
    <w:p>
      <w:pPr>
        <w:spacing w:line="314" w:lineRule="exact"/>
        <w:rPr>
          <w:sz w:val="24"/>
        </w:rPr>
      </w:pPr>
    </w:p>
    <w:p>
      <w:pPr>
        <w:spacing w:line="274" w:lineRule="exact"/>
        <w:ind w:left="400"/>
        <w:rPr>
          <w:sz w:val="24"/>
        </w:rPr>
      </w:pPr>
      <w:r>
        <w:rPr>
          <w:rFonts w:ascii="宋体" w:hAnsi="宋体" w:cs="宋体"/>
          <w:sz w:val="24"/>
        </w:rPr>
        <w:t>★1.方法学基础：基于质谱原理，直接根据碱基分子量直接对基因型进行区分；</w:t>
      </w:r>
    </w:p>
    <w:p>
      <w:pPr>
        <w:spacing w:line="353" w:lineRule="exact"/>
        <w:ind w:left="400" w:right="500"/>
        <w:rPr>
          <w:sz w:val="24"/>
        </w:rPr>
      </w:pPr>
      <w:r>
        <w:rPr>
          <w:rFonts w:ascii="宋体" w:hAnsi="宋体" w:cs="宋体"/>
          <w:b/>
          <w:bCs/>
          <w:sz w:val="24"/>
        </w:rPr>
        <w:t>▲</w:t>
      </w:r>
      <w:r>
        <w:rPr>
          <w:rFonts w:ascii="宋体" w:hAnsi="宋体" w:cs="宋体"/>
          <w:sz w:val="24"/>
        </w:rPr>
        <w:t>2.自动化配置：要求核酸质谱分析系统配备独立的微量分液系统，</w:t>
      </w:r>
      <w:r>
        <w:rPr>
          <w:rFonts w:hint="eastAsia" w:ascii="宋体" w:hAnsi="宋体" w:cs="宋体"/>
          <w:sz w:val="24"/>
        </w:rPr>
        <w:t>而非整合式一体机；</w:t>
      </w:r>
    </w:p>
    <w:p>
      <w:pPr>
        <w:spacing w:line="274" w:lineRule="exact"/>
        <w:ind w:left="400"/>
        <w:rPr>
          <w:sz w:val="20"/>
          <w:szCs w:val="20"/>
        </w:rPr>
      </w:pPr>
      <w:r>
        <w:rPr>
          <w:rFonts w:ascii="宋体" w:hAnsi="宋体" w:cs="宋体"/>
          <w:sz w:val="24"/>
        </w:rPr>
        <w:t>3.工作条件：电源 100-240 VAC 50-60 Hz, 15A, 正确接地；操作温度：16–</w:t>
      </w:r>
    </w:p>
    <w:p>
      <w:pPr>
        <w:spacing w:line="194" w:lineRule="exact"/>
        <w:rPr>
          <w:sz w:val="24"/>
        </w:rPr>
      </w:pPr>
    </w:p>
    <w:p>
      <w:pPr>
        <w:spacing w:line="274" w:lineRule="exact"/>
        <w:ind w:left="400"/>
        <w:rPr>
          <w:sz w:val="24"/>
        </w:rPr>
      </w:pPr>
      <w:r>
        <w:rPr>
          <w:rFonts w:ascii="宋体" w:hAnsi="宋体" w:cs="宋体"/>
          <w:sz w:val="24"/>
        </w:rPr>
        <w:t>26℃；相对湿度：30-75%。</w:t>
      </w:r>
    </w:p>
    <w:p>
      <w:pPr>
        <w:spacing w:line="274" w:lineRule="exact"/>
        <w:ind w:left="400"/>
        <w:rPr>
          <w:sz w:val="20"/>
          <w:szCs w:val="20"/>
        </w:rPr>
      </w:pPr>
      <w:r>
        <w:rPr>
          <w:rFonts w:ascii="宋体" w:hAnsi="宋体" w:cs="宋体"/>
          <w:sz w:val="24"/>
        </w:rPr>
        <w:t>4．核酸质谱分析系统主机：</w:t>
      </w:r>
    </w:p>
    <w:p>
      <w:pPr>
        <w:spacing w:line="114" w:lineRule="exact"/>
        <w:rPr>
          <w:sz w:val="20"/>
          <w:szCs w:val="20"/>
        </w:rPr>
      </w:pPr>
      <w:bookmarkStart w:id="1" w:name="page2"/>
      <w:bookmarkEnd w:id="1"/>
    </w:p>
    <w:p>
      <w:pPr>
        <w:spacing w:line="353" w:lineRule="exact"/>
        <w:ind w:left="360" w:right="266"/>
        <w:rPr>
          <w:color w:val="FF0000"/>
          <w:sz w:val="20"/>
          <w:szCs w:val="20"/>
        </w:rPr>
      </w:pPr>
      <w:r>
        <w:rPr>
          <w:rFonts w:ascii="宋体" w:hAnsi="宋体" w:cs="宋体"/>
          <w:sz w:val="24"/>
        </w:rPr>
        <w:t>★4.1 检测通量：能兼容 96制式芯片，无需凑样上机，最低支持单个样品上样，剩余芯片点可以分多次使用，无需浪费；</w:t>
      </w:r>
    </w:p>
    <w:p>
      <w:pPr>
        <w:spacing w:line="353" w:lineRule="exact"/>
        <w:ind w:left="360" w:right="266"/>
        <w:rPr>
          <w:sz w:val="20"/>
          <w:szCs w:val="20"/>
        </w:rPr>
      </w:pPr>
      <w:r>
        <w:rPr>
          <w:rFonts w:ascii="宋体" w:hAnsi="宋体" w:cs="宋体"/>
          <w:sz w:val="24"/>
        </w:rPr>
        <w:t>4.2 质谱分辨率: 质谱在 8500 道尔顿(Daltons) 位置，其分辨率(Resolution)大于 850；</w:t>
      </w:r>
    </w:p>
    <w:p>
      <w:pPr>
        <w:spacing w:line="274" w:lineRule="exact"/>
        <w:ind w:left="360"/>
        <w:rPr>
          <w:sz w:val="20"/>
          <w:szCs w:val="20"/>
        </w:rPr>
      </w:pPr>
      <w:r>
        <w:rPr>
          <w:rFonts w:ascii="宋体" w:hAnsi="宋体" w:cs="宋体"/>
          <w:sz w:val="24"/>
        </w:rPr>
        <w:t>4.3 激光器: 氮激光器 10 Hz，波长 337nm；</w:t>
      </w:r>
    </w:p>
    <w:p>
      <w:pPr>
        <w:spacing w:line="274" w:lineRule="exact"/>
        <w:ind w:left="360"/>
        <w:rPr>
          <w:sz w:val="20"/>
          <w:szCs w:val="20"/>
        </w:rPr>
      </w:pPr>
      <w:r>
        <w:rPr>
          <w:rFonts w:ascii="宋体" w:hAnsi="宋体" w:cs="宋体"/>
          <w:sz w:val="24"/>
        </w:rPr>
        <w:t>4.4 飞行距离: 800 毫米；</w:t>
      </w:r>
    </w:p>
    <w:p>
      <w:pPr>
        <w:spacing w:line="274" w:lineRule="exact"/>
        <w:ind w:left="360"/>
        <w:rPr>
          <w:sz w:val="20"/>
          <w:szCs w:val="20"/>
        </w:rPr>
      </w:pPr>
      <w:r>
        <w:rPr>
          <w:rFonts w:ascii="宋体" w:hAnsi="宋体" w:cs="宋体"/>
          <w:sz w:val="24"/>
        </w:rPr>
        <w:t>4.5 检测器: 电子倍增管；</w:t>
      </w:r>
    </w:p>
    <w:p>
      <w:pPr>
        <w:spacing w:line="274" w:lineRule="exact"/>
        <w:ind w:left="360"/>
        <w:rPr>
          <w:sz w:val="20"/>
          <w:szCs w:val="20"/>
        </w:rPr>
      </w:pPr>
      <w:r>
        <w:rPr>
          <w:rFonts w:ascii="宋体" w:hAnsi="宋体" w:cs="宋体"/>
          <w:sz w:val="24"/>
        </w:rPr>
        <w:t>4.6 单次运行芯片数量：2 片；</w:t>
      </w:r>
    </w:p>
    <w:p>
      <w:pPr>
        <w:spacing w:line="274" w:lineRule="exact"/>
        <w:ind w:left="360"/>
        <w:rPr>
          <w:sz w:val="20"/>
          <w:szCs w:val="20"/>
        </w:rPr>
      </w:pPr>
      <w:r>
        <w:rPr>
          <w:rFonts w:ascii="宋体" w:hAnsi="宋体" w:cs="宋体"/>
          <w:sz w:val="24"/>
        </w:rPr>
        <w:t>4.7 系统整合有用于样品定位和条形码读取的摄像机；</w:t>
      </w:r>
    </w:p>
    <w:p>
      <w:pPr>
        <w:spacing w:line="354" w:lineRule="exact"/>
        <w:ind w:left="360" w:right="346"/>
        <w:rPr>
          <w:sz w:val="24"/>
        </w:rPr>
      </w:pPr>
      <w:r>
        <w:rPr>
          <w:rFonts w:ascii="宋体" w:hAnsi="宋体" w:cs="宋体"/>
          <w:sz w:val="24"/>
        </w:rPr>
        <w:t>4.8 要求系统检测范围为 4500Da-9000Da,分辨率至少 3Da，并且同一个反应孔内，可同时完成多态性位点的多重检测。可检测三等位基因或四等位基因 SNP；</w:t>
      </w:r>
    </w:p>
    <w:p>
      <w:pPr>
        <w:spacing w:line="353" w:lineRule="exact"/>
        <w:ind w:left="360" w:right="266"/>
        <w:rPr>
          <w:sz w:val="20"/>
          <w:szCs w:val="20"/>
        </w:rPr>
      </w:pPr>
      <w:r>
        <w:rPr>
          <w:rFonts w:ascii="宋体" w:hAnsi="宋体" w:cs="宋体"/>
          <w:sz w:val="24"/>
        </w:rPr>
        <w:t>4.9 要求系统在甲基化分析中，同一个反应内可同时检测 200-600bp 长度的 CpG 岛内全部的甲基化位点；</w:t>
      </w:r>
    </w:p>
    <w:p>
      <w:pPr>
        <w:spacing w:line="353" w:lineRule="exact"/>
        <w:ind w:left="360" w:right="466"/>
        <w:rPr>
          <w:sz w:val="20"/>
          <w:szCs w:val="20"/>
        </w:rPr>
      </w:pPr>
      <w:r>
        <w:rPr>
          <w:rFonts w:ascii="宋体" w:hAnsi="宋体" w:cs="宋体"/>
          <w:sz w:val="24"/>
        </w:rPr>
        <w:t>4.10 多倍体精准分型：要求系统结果具备剂量效应，可以对多倍体进行精准的基因分型。</w:t>
      </w:r>
    </w:p>
    <w:p>
      <w:pPr>
        <w:spacing w:line="392" w:lineRule="exact"/>
        <w:ind w:left="360" w:right="466"/>
        <w:rPr>
          <w:sz w:val="20"/>
          <w:szCs w:val="20"/>
        </w:rPr>
      </w:pPr>
      <w:r>
        <w:rPr>
          <w:rFonts w:ascii="宋体" w:hAnsi="宋体" w:cs="宋体"/>
          <w:sz w:val="24"/>
        </w:rPr>
        <w:t>4.11 集成式计算机：内置电脑为 Windows 操作系统，主要用于数据管理及仪器控制，软件集成了几大模块，分别是 Chip Linker ， SpectroACQUIRE ， AnalyzerControl ， Caller，application software ，Oracle Database。</w:t>
      </w:r>
    </w:p>
    <w:p>
      <w:pPr>
        <w:spacing w:line="274" w:lineRule="exact"/>
        <w:ind w:firstLine="360" w:firstLineChars="150"/>
        <w:rPr>
          <w:sz w:val="20"/>
          <w:szCs w:val="20"/>
        </w:rPr>
      </w:pPr>
      <w:r>
        <w:rPr>
          <w:rFonts w:ascii="宋体" w:hAnsi="宋体" w:cs="宋体"/>
          <w:sz w:val="24"/>
        </w:rPr>
        <w:t>5. 微量芯片点样仪：</w:t>
      </w:r>
    </w:p>
    <w:p>
      <w:pPr>
        <w:spacing w:line="353" w:lineRule="exact"/>
        <w:ind w:left="359" w:leftChars="171" w:right="466"/>
        <w:rPr>
          <w:sz w:val="20"/>
          <w:szCs w:val="20"/>
        </w:rPr>
      </w:pPr>
      <w:r>
        <w:rPr>
          <w:rFonts w:ascii="宋体" w:hAnsi="宋体" w:cs="宋体"/>
          <w:sz w:val="24"/>
        </w:rPr>
        <w:t>5.1 内置计算机控制机械手，将纳升级液体从 PCR 样品板，转移到相应的微阵列芯片上；</w:t>
      </w:r>
    </w:p>
    <w:p>
      <w:pPr>
        <w:spacing w:line="274" w:lineRule="exact"/>
        <w:ind w:firstLine="354" w:firstLineChars="147"/>
        <w:rPr>
          <w:sz w:val="20"/>
          <w:szCs w:val="20"/>
        </w:rPr>
      </w:pPr>
      <w:r>
        <w:rPr>
          <w:rFonts w:ascii="宋体" w:hAnsi="宋体" w:cs="宋体"/>
          <w:b/>
          <w:bCs/>
          <w:sz w:val="24"/>
        </w:rPr>
        <w:t>▲</w:t>
      </w:r>
      <w:r>
        <w:rPr>
          <w:rFonts w:ascii="宋体" w:hAnsi="宋体" w:cs="宋体"/>
          <w:sz w:val="24"/>
        </w:rPr>
        <w:t>5.2</w:t>
      </w:r>
      <w:r>
        <w:rPr>
          <w:rFonts w:ascii="宋体" w:hAnsi="宋体" w:cs="宋体"/>
          <w:b/>
          <w:bCs/>
          <w:sz w:val="24"/>
        </w:rPr>
        <w:t xml:space="preserve"> </w:t>
      </w:r>
      <w:r>
        <w:rPr>
          <w:rFonts w:ascii="宋体" w:hAnsi="宋体" w:cs="宋体"/>
          <w:sz w:val="24"/>
        </w:rPr>
        <w:t>同时具备单针，</w:t>
      </w:r>
      <w:r>
        <w:rPr>
          <w:rFonts w:hint="eastAsia" w:ascii="宋体" w:hAnsi="宋体" w:cs="宋体"/>
          <w:sz w:val="24"/>
        </w:rPr>
        <w:t>多</w:t>
      </w:r>
      <w:r>
        <w:rPr>
          <w:rFonts w:ascii="宋体" w:hAnsi="宋体" w:cs="宋体"/>
          <w:sz w:val="24"/>
        </w:rPr>
        <w:t>针点样功能，分液体积</w:t>
      </w:r>
      <w:r>
        <w:rPr>
          <w:rFonts w:ascii="宋体" w:hAnsi="宋体" w:cs="宋体"/>
          <w:b/>
          <w:bCs/>
          <w:sz w:val="24"/>
        </w:rPr>
        <w:t xml:space="preserve"> </w:t>
      </w:r>
      <w:r>
        <w:rPr>
          <w:rFonts w:ascii="宋体" w:hAnsi="宋体" w:cs="宋体"/>
          <w:sz w:val="24"/>
        </w:rPr>
        <w:t>6-30nl；</w:t>
      </w:r>
    </w:p>
    <w:p>
      <w:pPr>
        <w:spacing w:line="274" w:lineRule="exact"/>
        <w:ind w:firstLine="360" w:firstLineChars="150"/>
        <w:rPr>
          <w:sz w:val="20"/>
          <w:szCs w:val="20"/>
        </w:rPr>
      </w:pPr>
      <w:r>
        <w:rPr>
          <w:rFonts w:ascii="宋体" w:hAnsi="宋体" w:cs="宋体"/>
          <w:sz w:val="24"/>
        </w:rPr>
        <w:t xml:space="preserve">★5.3 </w:t>
      </w:r>
      <w:r>
        <w:rPr>
          <w:rFonts w:hint="eastAsia" w:ascii="宋体" w:hAnsi="宋体" w:cs="宋体"/>
          <w:sz w:val="24"/>
        </w:rPr>
        <w:t>兼容</w:t>
      </w:r>
      <w:r>
        <w:rPr>
          <w:rFonts w:ascii="宋体" w:hAnsi="宋体" w:cs="宋体"/>
          <w:sz w:val="24"/>
        </w:rPr>
        <w:t>96制式芯片；</w:t>
      </w:r>
    </w:p>
    <w:p>
      <w:pPr>
        <w:spacing w:line="274" w:lineRule="exact"/>
        <w:ind w:firstLine="360" w:firstLineChars="150"/>
        <w:rPr>
          <w:sz w:val="20"/>
          <w:szCs w:val="20"/>
        </w:rPr>
      </w:pPr>
      <w:r>
        <w:rPr>
          <w:rFonts w:ascii="宋体" w:hAnsi="宋体" w:cs="宋体"/>
          <w:sz w:val="24"/>
        </w:rPr>
        <w:t>★5.4 同时可放置 10 张微阵列芯片和 2 个孔微板；</w:t>
      </w:r>
    </w:p>
    <w:p>
      <w:pPr>
        <w:spacing w:line="274" w:lineRule="exact"/>
        <w:ind w:firstLine="360" w:firstLineChars="150"/>
        <w:rPr>
          <w:sz w:val="20"/>
          <w:szCs w:val="20"/>
        </w:rPr>
      </w:pPr>
      <w:r>
        <w:rPr>
          <w:rFonts w:ascii="宋体" w:hAnsi="宋体" w:cs="宋体"/>
          <w:sz w:val="24"/>
        </w:rPr>
        <w:t>★5.5 仪器具备触摸屏，方便操作；</w:t>
      </w:r>
    </w:p>
    <w:p>
      <w:pPr>
        <w:numPr>
          <w:ilvl w:val="0"/>
          <w:numId w:val="3"/>
        </w:numPr>
        <w:tabs>
          <w:tab w:val="left" w:pos="840"/>
        </w:tabs>
        <w:spacing w:line="314" w:lineRule="exact"/>
        <w:ind w:left="480" w:right="466"/>
        <w:rPr>
          <w:rFonts w:ascii="宋体" w:hAnsi="宋体" w:cs="宋体"/>
          <w:sz w:val="24"/>
        </w:rPr>
      </w:pPr>
      <w:bookmarkStart w:id="2" w:name="page3"/>
      <w:bookmarkEnd w:id="2"/>
      <w:r>
        <w:rPr>
          <w:rFonts w:ascii="宋体" w:hAnsi="宋体" w:cs="宋体"/>
          <w:sz w:val="24"/>
        </w:rPr>
        <w:t>兼容样品类型：可兼容全血、口腔拭子、石蜡包埋切片、细针穿刺活检样本(FNA)、循环游离 DNA(cfDNA)、循环肿瘤细胞(CTC)等多种样本，可兼容严重降解的短片段模板，可检测降解到 80bp 的 DNA</w:t>
      </w:r>
      <w:r>
        <w:rPr>
          <w:rFonts w:hint="eastAsia" w:ascii="宋体" w:hAnsi="宋体" w:cs="宋体"/>
          <w:sz w:val="24"/>
        </w:rPr>
        <w:t>；</w:t>
      </w:r>
    </w:p>
    <w:p>
      <w:pPr>
        <w:numPr>
          <w:ilvl w:val="0"/>
          <w:numId w:val="3"/>
        </w:numPr>
        <w:tabs>
          <w:tab w:val="left" w:pos="840"/>
        </w:tabs>
        <w:spacing w:line="350" w:lineRule="exact"/>
        <w:ind w:left="840" w:hanging="360"/>
        <w:rPr>
          <w:sz w:val="20"/>
          <w:szCs w:val="20"/>
        </w:rPr>
      </w:pPr>
      <w:r>
        <w:rPr>
          <w:rFonts w:ascii="宋体" w:hAnsi="宋体" w:cs="宋体"/>
          <w:sz w:val="24"/>
        </w:rPr>
        <w:t>肿瘤检测试剂盒：要求系统具备灵敏度达 0.1%的肿瘤多重检测试剂盒；</w:t>
      </w:r>
    </w:p>
    <w:p>
      <w:pPr>
        <w:spacing w:line="353" w:lineRule="exact"/>
        <w:ind w:left="480" w:right="466"/>
        <w:rPr>
          <w:sz w:val="20"/>
          <w:szCs w:val="20"/>
        </w:rPr>
      </w:pPr>
      <w:r>
        <w:rPr>
          <w:rFonts w:ascii="宋体" w:hAnsi="宋体" w:cs="宋体"/>
          <w:sz w:val="24"/>
        </w:rPr>
        <w:t>8.样本鉴定试剂盒：要求系统具备样本鉴定试剂盒，试剂盒在六种主要的 HapMap 人群中选择的异质性为 45-55%的一组 44 个 SNP</w:t>
      </w:r>
      <w:r>
        <w:rPr>
          <w:rFonts w:hint="eastAsia" w:ascii="宋体" w:hAnsi="宋体" w:cs="宋体"/>
          <w:sz w:val="24"/>
        </w:rPr>
        <w:t>；</w:t>
      </w:r>
    </w:p>
    <w:p>
      <w:pPr>
        <w:spacing w:line="353" w:lineRule="exact"/>
        <w:ind w:left="480" w:right="466"/>
        <w:rPr>
          <w:sz w:val="20"/>
          <w:szCs w:val="20"/>
        </w:rPr>
      </w:pPr>
      <w:r>
        <w:rPr>
          <w:rFonts w:ascii="宋体" w:hAnsi="宋体" w:cs="宋体"/>
          <w:sz w:val="24"/>
        </w:rPr>
        <w:t>9.质控试剂盒:要求系统具备用于评估 DNA 鉴定以及可扩增模板拷贝数的试剂盒</w:t>
      </w:r>
      <w:r>
        <w:rPr>
          <w:rFonts w:hint="eastAsia" w:ascii="宋体" w:hAnsi="宋体" w:cs="宋体"/>
          <w:sz w:val="24"/>
        </w:rPr>
        <w:t>；</w:t>
      </w:r>
    </w:p>
    <w:p>
      <w:pPr>
        <w:spacing w:line="353" w:lineRule="exact"/>
        <w:ind w:left="480" w:right="466"/>
        <w:rPr>
          <w:sz w:val="20"/>
          <w:szCs w:val="20"/>
        </w:rPr>
      </w:pPr>
      <w:r>
        <w:rPr>
          <w:rFonts w:ascii="宋体" w:hAnsi="宋体" w:cs="宋体"/>
          <w:sz w:val="24"/>
        </w:rPr>
        <w:t>★10.在线软件配置要求：要求系统具备在线的基因分型和甲基化设计软件，免去后期升级成本，需提供相应软件界面截图；</w:t>
      </w:r>
    </w:p>
    <w:p>
      <w:pPr>
        <w:spacing w:line="423" w:lineRule="exact"/>
        <w:ind w:left="480" w:right="466"/>
        <w:rPr>
          <w:sz w:val="20"/>
          <w:szCs w:val="20"/>
        </w:rPr>
      </w:pPr>
      <w:r>
        <w:rPr>
          <w:rFonts w:ascii="宋体" w:hAnsi="宋体" w:cs="宋体"/>
          <w:sz w:val="24"/>
        </w:rPr>
        <w:t>11.在线基因分型软件功能：要求软件可以用于设计基因分型和突变检测；要求软件引物设计流程自动化，无须担心 PCR 或质谱分析的引物设计准则；要求软件所设计出的检测引物采用通用的热循环条件；要求软件可随着研究或需求的变化而添加或排除特定突变；要求软件能导出检测设计报告，方便引物的合成；</w:t>
      </w:r>
    </w:p>
    <w:p>
      <w:pPr>
        <w:spacing w:line="353" w:lineRule="exact"/>
        <w:ind w:left="480" w:right="466"/>
        <w:rPr>
          <w:sz w:val="20"/>
          <w:szCs w:val="20"/>
        </w:rPr>
      </w:pPr>
      <w:r>
        <w:rPr>
          <w:rFonts w:ascii="宋体" w:hAnsi="宋体" w:cs="宋体"/>
          <w:b/>
          <w:bCs/>
          <w:sz w:val="24"/>
        </w:rPr>
        <w:t>▲</w:t>
      </w:r>
      <w:r>
        <w:rPr>
          <w:rFonts w:ascii="宋体" w:hAnsi="宋体" w:cs="宋体"/>
          <w:sz w:val="24"/>
        </w:rPr>
        <w:t>12.甲基化分析功能：要求系统的</w:t>
      </w:r>
      <w:r>
        <w:rPr>
          <w:rFonts w:ascii="宋体" w:hAnsi="宋体" w:cs="宋体"/>
          <w:b/>
          <w:bCs/>
          <w:sz w:val="24"/>
        </w:rPr>
        <w:t xml:space="preserve"> </w:t>
      </w:r>
      <w:r>
        <w:rPr>
          <w:rFonts w:ascii="宋体" w:hAnsi="宋体" w:cs="宋体"/>
          <w:sz w:val="24"/>
        </w:rPr>
        <w:t>DNA</w:t>
      </w:r>
      <w:r>
        <w:rPr>
          <w:rFonts w:ascii="宋体" w:hAnsi="宋体" w:cs="宋体"/>
          <w:b/>
          <w:bCs/>
          <w:sz w:val="24"/>
        </w:rPr>
        <w:t xml:space="preserve"> </w:t>
      </w:r>
      <w:r>
        <w:rPr>
          <w:rFonts w:ascii="宋体" w:hAnsi="宋体" w:cs="宋体"/>
          <w:sz w:val="24"/>
        </w:rPr>
        <w:t>甲基化分析技术能够在高达</w:t>
      </w:r>
      <w:r>
        <w:rPr>
          <w:rFonts w:ascii="宋体" w:hAnsi="宋体" w:cs="宋体"/>
          <w:b/>
          <w:bCs/>
          <w:sz w:val="24"/>
        </w:rPr>
        <w:t xml:space="preserve"> </w:t>
      </w:r>
      <w:r>
        <w:rPr>
          <w:rFonts w:ascii="宋体" w:hAnsi="宋体" w:cs="宋体"/>
          <w:sz w:val="24"/>
        </w:rPr>
        <w:t>600bp</w:t>
      </w:r>
      <w:r>
        <w:rPr>
          <w:rFonts w:ascii="宋体" w:hAnsi="宋体" w:cs="宋体"/>
          <w:b/>
          <w:bCs/>
          <w:sz w:val="24"/>
        </w:rPr>
        <w:t xml:space="preserve"> </w:t>
      </w:r>
      <w:r>
        <w:rPr>
          <w:rFonts w:ascii="宋体" w:hAnsi="宋体" w:cs="宋体"/>
          <w:sz w:val="24"/>
        </w:rPr>
        <w:t>的扩增子中检测到数十至数百个 CpG；</w:t>
      </w:r>
    </w:p>
    <w:p>
      <w:pPr>
        <w:spacing w:line="274" w:lineRule="exact"/>
        <w:ind w:left="480"/>
        <w:rPr>
          <w:rFonts w:hint="eastAsia" w:ascii="宋体" w:hAnsi="宋体" w:cs="宋体"/>
          <w:sz w:val="24"/>
        </w:rPr>
      </w:pPr>
      <w:r>
        <w:rPr>
          <w:rFonts w:ascii="宋体" w:hAnsi="宋体" w:cs="宋体"/>
          <w:sz w:val="24"/>
        </w:rPr>
        <w:t>13.显示器：不低于 21.5 寸</w:t>
      </w:r>
      <w:r>
        <w:rPr>
          <w:rFonts w:hint="eastAsia" w:ascii="宋体" w:hAnsi="宋体" w:cs="宋体"/>
          <w:sz w:val="24"/>
        </w:rPr>
        <w:t>。</w:t>
      </w:r>
    </w:p>
    <w:p>
      <w:pPr>
        <w:pStyle w:val="2"/>
        <w:ind w:firstLine="420"/>
        <w:rPr>
          <w:rFonts w:hint="eastAsia"/>
          <w:szCs w:val="20"/>
        </w:rPr>
      </w:pPr>
    </w:p>
    <w:p>
      <w:pPr>
        <w:pStyle w:val="2"/>
        <w:ind w:firstLine="420"/>
        <w:rPr>
          <w:szCs w:val="20"/>
        </w:rPr>
      </w:pPr>
    </w:p>
    <w:p>
      <w:pPr>
        <w:spacing w:line="366" w:lineRule="exact"/>
        <w:ind w:left="360"/>
        <w:rPr>
          <w:sz w:val="20"/>
          <w:szCs w:val="20"/>
        </w:rPr>
      </w:pPr>
      <w:r>
        <w:rPr>
          <w:rFonts w:ascii="仿宋" w:hAnsi="仿宋" w:eastAsia="仿宋" w:cs="仿宋"/>
          <w:b/>
          <w:bCs/>
          <w:sz w:val="32"/>
          <w:szCs w:val="32"/>
        </w:rPr>
        <w:t xml:space="preserve">货物 </w:t>
      </w:r>
      <w:r>
        <w:rPr>
          <w:rFonts w:hint="eastAsia" w:ascii="仿宋" w:hAnsi="仿宋" w:eastAsia="仿宋" w:cs="仿宋"/>
          <w:b/>
          <w:bCs/>
          <w:sz w:val="32"/>
          <w:szCs w:val="32"/>
        </w:rPr>
        <w:t xml:space="preserve">2.   </w:t>
      </w:r>
      <w:r>
        <w:rPr>
          <w:rFonts w:ascii="仿宋" w:hAnsi="仿宋" w:eastAsia="仿宋" w:cs="仿宋"/>
          <w:b/>
          <w:bCs/>
          <w:sz w:val="32"/>
          <w:szCs w:val="32"/>
        </w:rPr>
        <w:t>8道电动移液器</w:t>
      </w:r>
    </w:p>
    <w:p>
      <w:pPr>
        <w:adjustRightInd w:val="0"/>
        <w:snapToGrid w:val="0"/>
        <w:spacing w:before="120" w:beforeLines="50"/>
        <w:rPr>
          <w:rFonts w:ascii="宋体" w:hAnsi="宋体" w:cs="宋体"/>
          <w:sz w:val="24"/>
        </w:rPr>
      </w:pPr>
      <w:r>
        <w:rPr>
          <w:rFonts w:ascii="宋体" w:hAnsi="宋体" w:cs="宋体"/>
          <w:sz w:val="24"/>
        </w:rPr>
        <w:t xml:space="preserve">    1.</w:t>
      </w:r>
      <w:r>
        <w:rPr>
          <w:rFonts w:hint="eastAsia" w:ascii="宋体" w:hAnsi="宋体" w:cs="宋体"/>
          <w:sz w:val="24"/>
        </w:rPr>
        <w:t>量程分别为</w:t>
      </w:r>
      <w:r>
        <w:rPr>
          <w:rFonts w:ascii="宋体" w:hAnsi="宋体" w:cs="宋体"/>
          <w:sz w:val="24"/>
        </w:rPr>
        <w:t>5–100 µL</w:t>
      </w:r>
      <w:r>
        <w:rPr>
          <w:rFonts w:hint="eastAsia" w:ascii="宋体" w:hAnsi="宋体" w:cs="宋体"/>
          <w:sz w:val="24"/>
        </w:rPr>
        <w:t>，</w:t>
      </w:r>
      <w:r>
        <w:rPr>
          <w:rFonts w:ascii="宋体" w:hAnsi="宋体" w:cs="宋体"/>
          <w:sz w:val="24"/>
        </w:rPr>
        <w:t>0.5–10 µL</w:t>
      </w:r>
      <w:r>
        <w:rPr>
          <w:rFonts w:hint="eastAsia" w:ascii="宋体" w:hAnsi="宋体" w:cs="宋体"/>
          <w:sz w:val="24"/>
        </w:rPr>
        <w:t>各1把，两把移液器均具备多功能摇杆，液晶显示屏，弹性吸嘴，大容量可充电电池。</w:t>
      </w:r>
    </w:p>
    <w:p>
      <w:pPr>
        <w:spacing w:line="366" w:lineRule="exact"/>
        <w:ind w:left="360"/>
        <w:rPr>
          <w:rFonts w:ascii="仿宋" w:hAnsi="仿宋" w:eastAsia="仿宋" w:cs="仿宋"/>
          <w:b/>
          <w:bCs/>
          <w:sz w:val="32"/>
          <w:szCs w:val="32"/>
        </w:rPr>
      </w:pPr>
    </w:p>
    <w:p>
      <w:pPr>
        <w:spacing w:line="366" w:lineRule="exact"/>
        <w:ind w:left="360"/>
        <w:rPr>
          <w:sz w:val="20"/>
          <w:szCs w:val="20"/>
        </w:rPr>
      </w:pPr>
      <w:r>
        <w:rPr>
          <w:rFonts w:ascii="仿宋" w:hAnsi="仿宋" w:eastAsia="仿宋" w:cs="仿宋"/>
          <w:b/>
          <w:bCs/>
          <w:sz w:val="32"/>
          <w:szCs w:val="32"/>
        </w:rPr>
        <w:t xml:space="preserve">货物 </w:t>
      </w:r>
      <w:r>
        <w:rPr>
          <w:rFonts w:hint="eastAsia" w:ascii="仿宋" w:hAnsi="仿宋" w:eastAsia="仿宋" w:cs="仿宋"/>
          <w:b/>
          <w:bCs/>
          <w:sz w:val="32"/>
          <w:szCs w:val="32"/>
        </w:rPr>
        <w:t xml:space="preserve">3.   </w:t>
      </w:r>
      <w:r>
        <w:rPr>
          <w:rFonts w:ascii="仿宋" w:hAnsi="仿宋" w:eastAsia="仿宋" w:cs="仿宋"/>
          <w:b/>
          <w:bCs/>
          <w:sz w:val="32"/>
          <w:szCs w:val="32"/>
        </w:rPr>
        <w:t>8 道</w:t>
      </w:r>
      <w:r>
        <w:rPr>
          <w:rFonts w:hint="eastAsia" w:ascii="仿宋" w:hAnsi="仿宋" w:eastAsia="仿宋" w:cs="仿宋"/>
          <w:b/>
          <w:bCs/>
          <w:sz w:val="32"/>
          <w:szCs w:val="32"/>
        </w:rPr>
        <w:t>手动</w:t>
      </w:r>
      <w:r>
        <w:rPr>
          <w:rFonts w:ascii="仿宋" w:hAnsi="仿宋" w:eastAsia="仿宋" w:cs="仿宋"/>
          <w:b/>
          <w:bCs/>
          <w:sz w:val="32"/>
          <w:szCs w:val="32"/>
        </w:rPr>
        <w:t>移液器</w:t>
      </w:r>
    </w:p>
    <w:p>
      <w:pPr>
        <w:spacing w:line="258" w:lineRule="exact"/>
        <w:rPr>
          <w:sz w:val="20"/>
          <w:szCs w:val="20"/>
        </w:rPr>
      </w:pPr>
    </w:p>
    <w:p>
      <w:pPr>
        <w:spacing w:line="353" w:lineRule="exact"/>
        <w:ind w:left="360" w:right="626"/>
        <w:rPr>
          <w:rFonts w:ascii="宋体" w:hAnsi="宋体" w:cs="宋体"/>
          <w:sz w:val="24"/>
        </w:rPr>
      </w:pPr>
      <w:r>
        <w:rPr>
          <w:rFonts w:ascii="宋体" w:hAnsi="宋体" w:cs="宋体"/>
          <w:sz w:val="24"/>
        </w:rPr>
        <w:t>1.量程分别为 5–100 μL</w:t>
      </w:r>
      <w:r>
        <w:rPr>
          <w:rFonts w:hint="eastAsia" w:ascii="宋体" w:hAnsi="宋体" w:cs="宋体"/>
          <w:sz w:val="24"/>
        </w:rPr>
        <w:t>手动排枪</w:t>
      </w:r>
      <w:r>
        <w:rPr>
          <w:rFonts w:ascii="宋体" w:hAnsi="宋体" w:cs="宋体"/>
          <w:sz w:val="24"/>
        </w:rPr>
        <w:t xml:space="preserve"> 1 把。</w:t>
      </w:r>
    </w:p>
    <w:p>
      <w:pPr>
        <w:spacing w:line="353" w:lineRule="exact"/>
        <w:ind w:left="360" w:right="626"/>
        <w:rPr>
          <w:sz w:val="20"/>
          <w:szCs w:val="20"/>
        </w:rPr>
      </w:pPr>
    </w:p>
    <w:p>
      <w:pPr>
        <w:spacing w:line="352" w:lineRule="exact"/>
        <w:rPr>
          <w:sz w:val="20"/>
          <w:szCs w:val="20"/>
        </w:rPr>
      </w:pPr>
    </w:p>
    <w:p>
      <w:pPr>
        <w:spacing w:line="366" w:lineRule="exact"/>
        <w:ind w:left="360"/>
        <w:rPr>
          <w:sz w:val="20"/>
          <w:szCs w:val="20"/>
        </w:rPr>
      </w:pPr>
      <w:r>
        <w:rPr>
          <w:rFonts w:ascii="仿宋" w:hAnsi="仿宋" w:eastAsia="仿宋" w:cs="仿宋"/>
          <w:b/>
          <w:bCs/>
          <w:sz w:val="32"/>
          <w:szCs w:val="32"/>
        </w:rPr>
        <w:t xml:space="preserve">货物 </w:t>
      </w:r>
      <w:r>
        <w:rPr>
          <w:rFonts w:hint="eastAsia" w:ascii="仿宋" w:hAnsi="仿宋" w:eastAsia="仿宋" w:cs="仿宋"/>
          <w:b/>
          <w:bCs/>
          <w:sz w:val="32"/>
          <w:szCs w:val="32"/>
        </w:rPr>
        <w:t xml:space="preserve">4.   </w:t>
      </w:r>
      <w:r>
        <w:rPr>
          <w:rFonts w:ascii="仿宋" w:hAnsi="仿宋" w:eastAsia="仿宋" w:cs="仿宋"/>
          <w:b/>
          <w:bCs/>
          <w:sz w:val="32"/>
          <w:szCs w:val="32"/>
        </w:rPr>
        <w:t>UPS 电源</w:t>
      </w:r>
    </w:p>
    <w:p>
      <w:pPr>
        <w:spacing w:line="365" w:lineRule="exact"/>
        <w:rPr>
          <w:sz w:val="20"/>
          <w:szCs w:val="20"/>
        </w:rPr>
      </w:pPr>
    </w:p>
    <w:p>
      <w:pPr>
        <w:spacing w:line="251" w:lineRule="exact"/>
        <w:ind w:left="360"/>
        <w:rPr>
          <w:sz w:val="24"/>
        </w:rPr>
      </w:pPr>
      <w:r>
        <w:rPr>
          <w:rFonts w:ascii="宋体" w:hAnsi="宋体" w:cs="宋体"/>
          <w:sz w:val="24"/>
        </w:rPr>
        <w:t xml:space="preserve">1.UPS 电源 </w:t>
      </w:r>
      <w:r>
        <w:rPr>
          <w:rFonts w:hint="eastAsia" w:ascii="宋体" w:hAnsi="宋体" w:cs="宋体"/>
          <w:sz w:val="24"/>
        </w:rPr>
        <w:t>2</w:t>
      </w:r>
      <w:r>
        <w:rPr>
          <w:rFonts w:ascii="宋体" w:hAnsi="宋体" w:cs="宋体"/>
          <w:sz w:val="24"/>
        </w:rPr>
        <w:t xml:space="preserve"> 台：功率为 3KVA ，可续航至少 10 分钟。</w:t>
      </w:r>
    </w:p>
    <w:p>
      <w:pPr>
        <w:spacing w:line="115" w:lineRule="exact"/>
        <w:rPr>
          <w:sz w:val="20"/>
          <w:szCs w:val="20"/>
        </w:rPr>
      </w:pPr>
      <w:bookmarkStart w:id="3" w:name="page4"/>
      <w:bookmarkEnd w:id="3"/>
    </w:p>
    <w:p>
      <w:pPr>
        <w:spacing w:line="366" w:lineRule="exact"/>
        <w:ind w:left="360"/>
        <w:rPr>
          <w:rFonts w:hint="eastAsia" w:ascii="仿宋" w:hAnsi="仿宋" w:eastAsia="仿宋" w:cs="仿宋"/>
          <w:b/>
          <w:bCs/>
          <w:sz w:val="32"/>
          <w:szCs w:val="32"/>
        </w:rPr>
      </w:pPr>
    </w:p>
    <w:p>
      <w:pPr>
        <w:spacing w:line="366" w:lineRule="exact"/>
        <w:ind w:left="360"/>
        <w:rPr>
          <w:sz w:val="20"/>
          <w:szCs w:val="20"/>
        </w:rPr>
      </w:pPr>
      <w:r>
        <w:rPr>
          <w:rFonts w:ascii="仿宋" w:hAnsi="仿宋" w:eastAsia="仿宋" w:cs="仿宋"/>
          <w:b/>
          <w:bCs/>
          <w:sz w:val="32"/>
          <w:szCs w:val="32"/>
        </w:rPr>
        <w:t xml:space="preserve">货物 </w:t>
      </w:r>
      <w:r>
        <w:rPr>
          <w:rFonts w:hint="eastAsia" w:ascii="仿宋" w:hAnsi="仿宋" w:eastAsia="仿宋" w:cs="仿宋"/>
          <w:b/>
          <w:bCs/>
          <w:sz w:val="32"/>
          <w:szCs w:val="32"/>
        </w:rPr>
        <w:t xml:space="preserve">5.   </w:t>
      </w:r>
      <w:r>
        <w:rPr>
          <w:rFonts w:ascii="仿宋" w:hAnsi="仿宋" w:eastAsia="仿宋" w:cs="仿宋"/>
          <w:b/>
          <w:bCs/>
          <w:sz w:val="32"/>
          <w:szCs w:val="32"/>
        </w:rPr>
        <w:t>涡旋混匀器</w:t>
      </w:r>
    </w:p>
    <w:p>
      <w:pPr>
        <w:spacing w:line="342" w:lineRule="exact"/>
        <w:rPr>
          <w:sz w:val="20"/>
          <w:szCs w:val="20"/>
        </w:rPr>
      </w:pPr>
    </w:p>
    <w:p>
      <w:pPr>
        <w:spacing w:line="274" w:lineRule="exact"/>
        <w:ind w:left="360"/>
        <w:rPr>
          <w:sz w:val="20"/>
          <w:szCs w:val="20"/>
        </w:rPr>
      </w:pPr>
      <w:r>
        <w:rPr>
          <w:rFonts w:ascii="宋体" w:hAnsi="宋体" w:cs="宋体"/>
          <w:sz w:val="24"/>
        </w:rPr>
        <w:t>1.功率为 50W，最大转速为 2800 转/分，具备连续、点触的工作方式。</w:t>
      </w:r>
    </w:p>
    <w:p>
      <w:pPr>
        <w:spacing w:line="351" w:lineRule="exact"/>
        <w:rPr>
          <w:sz w:val="20"/>
          <w:szCs w:val="20"/>
        </w:rPr>
      </w:pPr>
    </w:p>
    <w:p>
      <w:pPr>
        <w:spacing w:line="366" w:lineRule="exact"/>
        <w:ind w:left="360"/>
        <w:rPr>
          <w:sz w:val="20"/>
          <w:szCs w:val="20"/>
        </w:rPr>
      </w:pPr>
      <w:r>
        <w:rPr>
          <w:rFonts w:ascii="仿宋" w:hAnsi="仿宋" w:eastAsia="仿宋" w:cs="仿宋"/>
          <w:b/>
          <w:bCs/>
          <w:sz w:val="32"/>
          <w:szCs w:val="32"/>
        </w:rPr>
        <w:t xml:space="preserve">货物 </w:t>
      </w:r>
      <w:r>
        <w:rPr>
          <w:rFonts w:hint="eastAsia" w:ascii="仿宋" w:hAnsi="仿宋" w:eastAsia="仿宋" w:cs="仿宋"/>
          <w:b/>
          <w:bCs/>
          <w:sz w:val="32"/>
          <w:szCs w:val="32"/>
        </w:rPr>
        <w:t xml:space="preserve">6.   </w:t>
      </w:r>
      <w:r>
        <w:rPr>
          <w:rFonts w:ascii="仿宋" w:hAnsi="仿宋" w:eastAsia="仿宋" w:cs="仿宋"/>
          <w:b/>
          <w:bCs/>
          <w:sz w:val="32"/>
          <w:szCs w:val="32"/>
        </w:rPr>
        <w:t>旋转混匀仪</w:t>
      </w:r>
    </w:p>
    <w:p>
      <w:pPr>
        <w:spacing w:line="342" w:lineRule="exact"/>
        <w:rPr>
          <w:sz w:val="20"/>
          <w:szCs w:val="20"/>
        </w:rPr>
      </w:pPr>
    </w:p>
    <w:p>
      <w:pPr>
        <w:spacing w:line="274" w:lineRule="exact"/>
        <w:ind w:left="360"/>
        <w:rPr>
          <w:sz w:val="20"/>
          <w:szCs w:val="20"/>
        </w:rPr>
      </w:pPr>
      <w:r>
        <w:rPr>
          <w:rFonts w:ascii="宋体" w:hAnsi="宋体" w:cs="宋体"/>
          <w:sz w:val="24"/>
        </w:rPr>
        <w:t>1.功率为 35W，托盘可承载 4kg</w:t>
      </w:r>
      <w:r>
        <w:rPr>
          <w:rFonts w:hint="eastAsia" w:ascii="宋体" w:hAnsi="宋体" w:cs="宋体"/>
          <w:sz w:val="24"/>
        </w:rPr>
        <w:t>，</w:t>
      </w:r>
      <w:r>
        <w:rPr>
          <w:rFonts w:ascii="宋体" w:hAnsi="宋体" w:cs="宋体"/>
          <w:sz w:val="24"/>
        </w:rPr>
        <w:t>旋转速度 10-80 转/分可调。</w:t>
      </w:r>
    </w:p>
    <w:p>
      <w:pPr>
        <w:rPr>
          <w:rFonts w:hint="eastAsia" w:ascii="仿宋" w:hAnsi="仿宋" w:eastAsia="仿宋"/>
          <w:b/>
          <w:bCs/>
          <w:color w:val="000000"/>
          <w:sz w:val="32"/>
          <w:szCs w:val="32"/>
        </w:rPr>
      </w:pPr>
    </w:p>
    <w:p>
      <w:pPr>
        <w:pStyle w:val="3"/>
        <w:spacing w:line="400" w:lineRule="exact"/>
        <w:rPr>
          <w:rFonts w:ascii="仿宋" w:hAnsi="仿宋" w:eastAsia="仿宋"/>
          <w:color w:val="000000"/>
        </w:rPr>
      </w:pPr>
      <w:r>
        <w:rPr>
          <w:rFonts w:hint="eastAsia" w:ascii="仿宋" w:hAnsi="仿宋" w:eastAsia="仿宋"/>
          <w:color w:val="000000"/>
        </w:rPr>
        <w:t>三、商务要求</w:t>
      </w:r>
    </w:p>
    <w:p>
      <w:pPr>
        <w:spacing w:line="360" w:lineRule="auto"/>
        <w:ind w:left="847" w:hanging="847" w:hangingChars="353"/>
        <w:rPr>
          <w:rFonts w:hint="eastAsia"/>
          <w:sz w:val="24"/>
        </w:rPr>
      </w:pPr>
      <w:r>
        <w:rPr>
          <w:rFonts w:hint="eastAsia"/>
          <w:sz w:val="24"/>
        </w:rPr>
        <w:t>1．交货期及地点</w:t>
      </w:r>
    </w:p>
    <w:p>
      <w:pPr>
        <w:pStyle w:val="2"/>
        <w:spacing w:line="400" w:lineRule="exact"/>
        <w:ind w:firstLine="422" w:firstLineChars="176"/>
        <w:rPr>
          <w:rFonts w:hint="eastAsia" w:ascii="宋体" w:hAnsi="宋体"/>
          <w:sz w:val="24"/>
        </w:rPr>
      </w:pPr>
      <w:r>
        <w:rPr>
          <w:rFonts w:hint="eastAsia" w:ascii="宋体" w:hAnsi="宋体"/>
          <w:sz w:val="24"/>
        </w:rPr>
        <w:t>▲1.1 交货期：合同签订后</w:t>
      </w:r>
      <w:r>
        <w:rPr>
          <w:rFonts w:hint="eastAsia" w:ascii="宋体" w:hAnsi="宋体"/>
          <w:sz w:val="24"/>
          <w:u w:val="single"/>
        </w:rPr>
        <w:t>50个</w:t>
      </w:r>
      <w:r>
        <w:rPr>
          <w:rFonts w:hint="eastAsia" w:ascii="宋体" w:hAnsi="宋体"/>
          <w:sz w:val="24"/>
        </w:rPr>
        <w:t>工作日内安装验收合格。</w:t>
      </w:r>
    </w:p>
    <w:p>
      <w:pPr>
        <w:spacing w:line="500" w:lineRule="exact"/>
        <w:ind w:left="1" w:firstLine="422" w:firstLineChars="176"/>
        <w:rPr>
          <w:rFonts w:hint="eastAsia" w:ascii="宋体" w:hAnsi="宋体"/>
          <w:sz w:val="24"/>
        </w:rPr>
      </w:pPr>
      <w:r>
        <w:rPr>
          <w:rFonts w:hint="eastAsia" w:ascii="宋体" w:hAnsi="宋体"/>
          <w:sz w:val="24"/>
        </w:rPr>
        <w:t>▲1.2 交货地点: 四川大学华西</w:t>
      </w:r>
      <w:r>
        <w:rPr>
          <w:rFonts w:hint="eastAsia" w:ascii="宋体" w:hAnsi="宋体"/>
          <w:sz w:val="24"/>
          <w:lang w:eastAsia="zh-CN"/>
        </w:rPr>
        <w:t>口腔医学院</w:t>
      </w:r>
      <w:r>
        <w:rPr>
          <w:rFonts w:hint="eastAsia" w:ascii="宋体" w:hAnsi="宋体"/>
          <w:sz w:val="24"/>
        </w:rPr>
        <w:t>指定地点。</w:t>
      </w:r>
    </w:p>
    <w:p>
      <w:pPr>
        <w:spacing w:line="500" w:lineRule="exact"/>
        <w:ind w:left="1" w:firstLine="422" w:firstLineChars="176"/>
        <w:rPr>
          <w:rFonts w:hint="eastAsia" w:ascii="宋体" w:hAnsi="宋体"/>
          <w:sz w:val="24"/>
        </w:rPr>
      </w:pPr>
      <w:r>
        <w:rPr>
          <w:rFonts w:hint="eastAsia" w:ascii="宋体" w:hAnsi="宋体"/>
          <w:sz w:val="24"/>
        </w:rPr>
        <w:t>▲1.3质保期：≥3年。</w:t>
      </w:r>
    </w:p>
    <w:p>
      <w:pPr>
        <w:spacing w:line="500" w:lineRule="exact"/>
        <w:rPr>
          <w:rFonts w:hint="eastAsia" w:ascii="宋体" w:hAnsi="宋体"/>
          <w:sz w:val="24"/>
        </w:rPr>
      </w:pPr>
      <w:r>
        <w:rPr>
          <w:rFonts w:hint="eastAsia" w:ascii="宋体" w:hAnsi="宋体"/>
          <w:sz w:val="24"/>
        </w:rPr>
        <w:t>▲2.付款方式：</w:t>
      </w:r>
    </w:p>
    <w:p>
      <w:pPr>
        <w:spacing w:line="500" w:lineRule="exact"/>
        <w:ind w:left="1" w:firstLine="422" w:firstLineChars="176"/>
        <w:rPr>
          <w:rFonts w:hint="eastAsia" w:ascii="宋体" w:hAnsi="宋体"/>
          <w:sz w:val="24"/>
        </w:rPr>
      </w:pPr>
      <w:r>
        <w:rPr>
          <w:rFonts w:hint="eastAsia" w:ascii="宋体" w:hAnsi="宋体"/>
          <w:sz w:val="24"/>
        </w:rPr>
        <w:t>2.1进口设备：采购人与所委托的进口代理公司签订代理进口委托协议后，将进口项目货款支付给代理公司指定的银行账户，项目货款仅用于本进口项目的信用证或TT付汇及进口相关费用等。进口代理公司收到采购人合同货款后，按外贸合同要求及时履行与中标人委托的境外代理公司的付款义务。原则上100%不可撤销信用证，设备验收合格后兑付全款。</w:t>
      </w:r>
    </w:p>
    <w:p>
      <w:pPr>
        <w:spacing w:line="500" w:lineRule="exact"/>
        <w:ind w:left="1" w:firstLine="422" w:firstLineChars="176"/>
        <w:rPr>
          <w:sz w:val="24"/>
        </w:rPr>
      </w:pPr>
      <w:r>
        <w:rPr>
          <w:rFonts w:hint="eastAsia" w:ascii="宋体" w:hAnsi="宋体"/>
          <w:sz w:val="24"/>
        </w:rPr>
        <w:t>2.2国产设备：采购人在本合同签订生效之日起后</w:t>
      </w:r>
      <w:r>
        <w:rPr>
          <w:rFonts w:hint="eastAsia" w:ascii="宋体" w:hAnsi="宋体"/>
          <w:sz w:val="24"/>
          <w:u w:val="single"/>
        </w:rPr>
        <w:t xml:space="preserve"> 5 </w:t>
      </w:r>
      <w:r>
        <w:rPr>
          <w:rFonts w:hint="eastAsia" w:ascii="宋体" w:hAnsi="宋体"/>
          <w:sz w:val="24"/>
        </w:rPr>
        <w:t>个工作日内，向中标人支付合同金额百分之四十款项，全部货物安装调试完毕并验收合格建立固定资产后向中标人支付合同总价的百分之六十款项。</w:t>
      </w:r>
    </w:p>
    <w:p>
      <w:pPr>
        <w:pStyle w:val="9"/>
        <w:spacing w:line="440" w:lineRule="exact"/>
        <w:ind w:firstLine="0" w:firstLineChars="0"/>
        <w:rPr>
          <w:rFonts w:hint="eastAsia"/>
          <w:sz w:val="24"/>
        </w:rPr>
      </w:pPr>
      <w:r>
        <w:rPr>
          <w:rFonts w:hint="eastAsia" w:hAnsi="宋体"/>
          <w:bCs/>
          <w:kern w:val="2"/>
          <w:sz w:val="24"/>
          <w:szCs w:val="24"/>
        </w:rPr>
        <w:t>▲</w:t>
      </w:r>
      <w:r>
        <w:rPr>
          <w:rFonts w:hint="eastAsia"/>
          <w:sz w:val="24"/>
        </w:rPr>
        <w:t>3.验收要求：</w:t>
      </w:r>
    </w:p>
    <w:p>
      <w:pPr>
        <w:spacing w:line="500" w:lineRule="exact"/>
        <w:ind w:left="1" w:firstLine="422" w:firstLineChars="176"/>
        <w:rPr>
          <w:rFonts w:hint="eastAsia" w:ascii="宋体" w:hAnsi="宋体"/>
          <w:sz w:val="24"/>
        </w:rPr>
      </w:pPr>
      <w:r>
        <w:rPr>
          <w:rFonts w:hint="eastAsia" w:ascii="宋体" w:hAnsi="宋体"/>
          <w:sz w:val="24"/>
        </w:rPr>
        <w:t>3.1供应商在验收准备完成后通知采购人，采购人在接到通知后</w:t>
      </w:r>
      <w:r>
        <w:rPr>
          <w:rFonts w:hint="eastAsia" w:ascii="宋体" w:hAnsi="宋体"/>
          <w:sz w:val="24"/>
          <w:u w:val="single"/>
        </w:rPr>
        <w:t xml:space="preserve"> 5  </w:t>
      </w:r>
      <w:r>
        <w:rPr>
          <w:rFonts w:hint="eastAsia" w:ascii="宋体" w:hAnsi="宋体"/>
          <w:sz w:val="24"/>
        </w:rPr>
        <w:t xml:space="preserve">日内组织履约验收，验收合格，双方签署《质量验收合格证明书》或质量验收报告； </w:t>
      </w:r>
    </w:p>
    <w:p>
      <w:pPr>
        <w:spacing w:line="500" w:lineRule="exact"/>
        <w:ind w:left="1" w:firstLine="422" w:firstLineChars="176"/>
        <w:rPr>
          <w:rFonts w:hint="eastAsia" w:ascii="宋体" w:hAnsi="宋体"/>
          <w:sz w:val="24"/>
        </w:rPr>
      </w:pPr>
      <w:r>
        <w:rPr>
          <w:rFonts w:hint="eastAsia" w:ascii="宋体" w:hAnsi="宋体"/>
          <w:sz w:val="24"/>
        </w:rPr>
        <w:t>3.2验收标准：按国家有关规定以及招标文件的质量要求和技术指标、供应商的投标文件及承诺与本合同约定标准进行验收；</w:t>
      </w:r>
    </w:p>
    <w:p>
      <w:pPr>
        <w:spacing w:line="500" w:lineRule="exact"/>
        <w:ind w:left="1" w:firstLine="422" w:firstLineChars="176"/>
        <w:rPr>
          <w:rFonts w:hint="eastAsia" w:ascii="宋体" w:hAnsi="宋体"/>
          <w:sz w:val="24"/>
        </w:rPr>
      </w:pPr>
      <w:r>
        <w:rPr>
          <w:rFonts w:hint="eastAsia" w:ascii="宋体" w:hAnsi="宋体"/>
          <w:sz w:val="24"/>
        </w:rPr>
        <w:t>3.3项目验收结果不合格且拒不整改的将不予支付采购资金，上报本项目同级财政部门按照政府采购法律法规等有关规定给予行政处罚或者以失信行为记入诚信档案；</w:t>
      </w:r>
    </w:p>
    <w:p>
      <w:pPr>
        <w:spacing w:line="500" w:lineRule="exact"/>
        <w:ind w:left="1" w:firstLine="422" w:firstLineChars="176"/>
        <w:rPr>
          <w:rFonts w:hint="eastAsia" w:ascii="宋体" w:hAnsi="宋体"/>
          <w:sz w:val="24"/>
        </w:rPr>
      </w:pPr>
      <w:r>
        <w:rPr>
          <w:rFonts w:hint="eastAsia" w:ascii="宋体" w:hAnsi="宋体"/>
          <w:sz w:val="24"/>
        </w:rPr>
        <w:t>3.4其他未尽事宜应严格按照《财政部关于进一步加强政府采购需求和履约验收管理的指导意见》(财库〔2016〕205 号)的要求进行验收。</w:t>
      </w:r>
    </w:p>
    <w:p>
      <w:pPr>
        <w:spacing w:line="500" w:lineRule="exact"/>
        <w:rPr>
          <w:rFonts w:ascii="宋体" w:hAnsi="宋体"/>
          <w:sz w:val="24"/>
        </w:rPr>
      </w:pPr>
      <w:r>
        <w:rPr>
          <w:rFonts w:hint="eastAsia" w:ascii="宋体" w:hAnsi="宋体"/>
          <w:sz w:val="24"/>
        </w:rPr>
        <w:t>▲4.安装、售后服务及其他要求</w:t>
      </w:r>
    </w:p>
    <w:p>
      <w:pPr>
        <w:spacing w:line="500" w:lineRule="exact"/>
        <w:ind w:firstLine="422" w:firstLineChars="176"/>
        <w:rPr>
          <w:rFonts w:ascii="宋体" w:hAnsi="宋体"/>
          <w:sz w:val="24"/>
        </w:rPr>
      </w:pPr>
      <w:r>
        <w:rPr>
          <w:rFonts w:hint="eastAsia" w:ascii="宋体" w:hAnsi="宋体"/>
          <w:sz w:val="24"/>
        </w:rPr>
        <w:t>4.1  安装及培训</w:t>
      </w:r>
    </w:p>
    <w:p>
      <w:pPr>
        <w:spacing w:line="500" w:lineRule="exact"/>
        <w:ind w:left="1" w:firstLine="422" w:firstLineChars="176"/>
        <w:rPr>
          <w:rFonts w:ascii="宋体" w:hAnsi="宋体"/>
          <w:sz w:val="24"/>
        </w:rPr>
      </w:pPr>
      <w:r>
        <w:rPr>
          <w:rFonts w:hint="eastAsia" w:ascii="宋体" w:hAnsi="宋体"/>
          <w:sz w:val="24"/>
        </w:rPr>
        <w:t>4.1.1 合同签订后，中标供应商应按照采购人的要求提供设备安装条件的技术要求予以技术指导。</w:t>
      </w:r>
    </w:p>
    <w:p>
      <w:pPr>
        <w:spacing w:line="500" w:lineRule="exact"/>
        <w:ind w:left="1" w:firstLine="422" w:firstLineChars="176"/>
        <w:rPr>
          <w:rFonts w:ascii="宋体" w:hAnsi="宋体"/>
          <w:sz w:val="24"/>
        </w:rPr>
      </w:pPr>
      <w:r>
        <w:rPr>
          <w:rFonts w:hint="eastAsia" w:ascii="宋体" w:hAnsi="宋体"/>
          <w:sz w:val="24"/>
        </w:rPr>
        <w:t>4.1.2　安装时间：货物到达采购单位现场后，中标供应商在接到采购人通知后派合格的工程师到用户现场进行设备安装、调试，达到正常运作要求，保证采购人正常使用。</w:t>
      </w:r>
    </w:p>
    <w:p>
      <w:pPr>
        <w:spacing w:line="500" w:lineRule="exact"/>
        <w:ind w:left="1" w:firstLine="422" w:firstLineChars="176"/>
        <w:rPr>
          <w:rFonts w:ascii="宋体" w:hAnsi="宋体"/>
          <w:sz w:val="24"/>
        </w:rPr>
      </w:pPr>
      <w:r>
        <w:rPr>
          <w:rFonts w:hint="eastAsia" w:ascii="宋体" w:hAnsi="宋体"/>
          <w:sz w:val="24"/>
        </w:rPr>
        <w:t>4.1.3  中标供应商负责安装调试设备。</w:t>
      </w:r>
    </w:p>
    <w:p>
      <w:pPr>
        <w:spacing w:line="360" w:lineRule="auto"/>
        <w:ind w:left="1" w:firstLine="422" w:firstLineChars="176"/>
        <w:rPr>
          <w:rFonts w:ascii="宋体" w:hAnsi="宋体"/>
          <w:sz w:val="24"/>
        </w:rPr>
      </w:pPr>
      <w:r>
        <w:rPr>
          <w:rFonts w:hint="eastAsia" w:ascii="宋体" w:hAnsi="宋体"/>
          <w:sz w:val="24"/>
        </w:rPr>
        <w:t xml:space="preserve">4.1.4  </w:t>
      </w:r>
      <w:r>
        <w:rPr>
          <w:rFonts w:ascii="宋体" w:hAnsi="宋体"/>
          <w:sz w:val="24"/>
        </w:rPr>
        <w:t>中标供应商应在规定的安装调试期内完成该项工作。如因中标供应商责任而造成延期，所有因延期而产生的费用由中标供应商承担。</w:t>
      </w:r>
    </w:p>
    <w:p>
      <w:pPr>
        <w:pStyle w:val="2"/>
        <w:ind w:firstLine="0" w:firstLineChars="0"/>
        <w:rPr>
          <w:rFonts w:hint="eastAsia" w:hAnsi="宋体"/>
          <w:bCs/>
          <w:sz w:val="24"/>
        </w:rPr>
      </w:pPr>
      <w:r>
        <w:rPr>
          <w:rFonts w:hint="eastAsia" w:hAnsi="宋体"/>
          <w:bCs/>
          <w:sz w:val="24"/>
        </w:rPr>
        <w:t>▲5.进口产品授权要求</w:t>
      </w:r>
    </w:p>
    <w:p>
      <w:pPr>
        <w:pStyle w:val="2"/>
        <w:spacing w:line="400" w:lineRule="exact"/>
        <w:ind w:firstLine="422" w:firstLineChars="176"/>
        <w:rPr>
          <w:rFonts w:hint="eastAsia" w:ascii="宋体" w:hAnsi="宋体"/>
          <w:sz w:val="24"/>
          <w:highlight w:val="yellow"/>
        </w:rPr>
      </w:pPr>
      <w:r>
        <w:rPr>
          <w:rFonts w:hint="eastAsia" w:hAnsi="宋体"/>
          <w:bCs/>
          <w:sz w:val="24"/>
        </w:rPr>
        <w:t>投标人非投标产品（若是进口产品）制造厂家需提供产品制造厂家对投</w:t>
      </w:r>
      <w:r>
        <w:rPr>
          <w:rFonts w:hint="eastAsia" w:ascii="宋体" w:hAnsi="宋体"/>
          <w:sz w:val="24"/>
        </w:rPr>
        <w:t>标产品的授权，或具有授权权限的代理商对投标产品的授权（且需提供该代理商具有有效授权权限的相关证明文件，证明文件须能显示产品制造厂家对投标产品授权链条的完整性）。</w:t>
      </w:r>
    </w:p>
    <w:p>
      <w:pPr>
        <w:pStyle w:val="2"/>
        <w:ind w:firstLine="420"/>
      </w:pPr>
    </w:p>
    <w:p>
      <w:pPr>
        <w:pStyle w:val="4"/>
        <w:rPr>
          <w:rFonts w:hint="eastAsia" w:hAnsi="宋体"/>
          <w:bCs/>
          <w:sz w:val="24"/>
          <w:lang w:val="en-US" w:eastAsia="zh-CN"/>
        </w:rPr>
      </w:pPr>
      <w:r>
        <w:rPr>
          <w:rFonts w:hint="eastAsia" w:hAnsi="宋体"/>
          <w:bCs/>
          <w:sz w:val="24"/>
          <w:lang w:val="en-US" w:eastAsia="zh-CN"/>
        </w:rPr>
        <w:t>6.</w:t>
      </w:r>
      <w:r>
        <w:rPr>
          <w:rFonts w:hint="eastAsia" w:hAnsi="宋体"/>
          <w:bCs/>
          <w:sz w:val="24"/>
        </w:rPr>
        <w:t>合同实质性条款</w:t>
      </w:r>
      <w:r>
        <w:rPr>
          <w:rFonts w:hint="eastAsia" w:hAnsi="宋体"/>
          <w:bCs/>
          <w:sz w:val="24"/>
        </w:rPr>
        <w:br w:type="textWrapping"/>
      </w:r>
      <w:r>
        <w:rPr>
          <w:rFonts w:hint="eastAsia" w:hAnsi="宋体"/>
          <w:bCs/>
          <w:sz w:val="24"/>
          <w:lang w:val="en-US" w:eastAsia="zh-CN"/>
        </w:rPr>
        <w:t xml:space="preserve">   甲乙双方应根据本采购项目的特点，在不违背采购文件的要求、招标承诺的原则下，</w:t>
      </w:r>
    </w:p>
    <w:p>
      <w:pPr>
        <w:pStyle w:val="4"/>
        <w:rPr>
          <w:rFonts w:hint="eastAsia" w:hAnsi="宋体"/>
          <w:bCs/>
          <w:sz w:val="24"/>
          <w:lang w:val="en-US" w:eastAsia="zh-CN"/>
        </w:rPr>
      </w:pPr>
      <w:r>
        <w:rPr>
          <w:rFonts w:hint="eastAsia" w:hAnsi="宋体"/>
          <w:bCs/>
          <w:sz w:val="24"/>
          <w:lang w:val="en-US" w:eastAsia="zh-CN"/>
        </w:rPr>
        <w:t>就具体条款进行修改和增减。</w:t>
      </w:r>
    </w:p>
    <w:p>
      <w:pPr>
        <w:pStyle w:val="4"/>
        <w:spacing w:line="360" w:lineRule="auto"/>
        <w:ind w:left="240" w:hanging="240" w:hangingChars="100"/>
        <w:rPr>
          <w:rFonts w:hint="eastAsia" w:hAnsi="宋体"/>
          <w:bCs/>
          <w:sz w:val="24"/>
          <w:lang w:val="en-US" w:eastAsia="zh-CN"/>
        </w:rPr>
      </w:pPr>
    </w:p>
    <w:p>
      <w:r>
        <w:rPr>
          <w:rFonts w:hint="eastAsia" w:hAnsi="宋体"/>
          <w:bCs/>
          <w:sz w:val="24"/>
          <w:lang w:val="en-US" w:eastAsia="zh-CN"/>
        </w:rPr>
        <w:t>注：</w:t>
      </w:r>
      <w:r>
        <w:rPr>
          <w:rFonts w:hint="eastAsia" w:hAnsi="宋体"/>
          <w:bCs/>
          <w:sz w:val="24"/>
        </w:rPr>
        <w:t>“</w:t>
      </w:r>
      <w:r>
        <w:rPr>
          <w:rFonts w:hint="eastAsia" w:hAnsi="宋体"/>
          <w:bCs/>
          <w:sz w:val="24"/>
          <w:lang w:eastAsia="zh-CN"/>
        </w:rPr>
        <w:t>★</w:t>
      </w:r>
      <w:r>
        <w:rPr>
          <w:rFonts w:hint="eastAsia" w:hAnsi="宋体"/>
          <w:bCs/>
          <w:sz w:val="24"/>
        </w:rPr>
        <w:t>”号参数为重要技术参数要求，若有负偏离，作扣分处理。“▲”号参数为实质性条款，不满足</w:t>
      </w:r>
      <w:r>
        <w:rPr>
          <w:rFonts w:hint="eastAsia" w:hAnsi="宋体"/>
          <w:bCs/>
          <w:sz w:val="24"/>
          <w:lang w:val="en-US" w:eastAsia="zh-CN"/>
        </w:rPr>
        <w:t>作无效处理</w:t>
      </w:r>
      <w:r>
        <w:rPr>
          <w:rFonts w:hint="eastAsia" w:hAnsi="宋体"/>
          <w:bCs/>
          <w:sz w:val="24"/>
        </w:rPr>
        <w:t>。</w:t>
      </w: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2AE"/>
    <w:multiLevelType w:val="multilevel"/>
    <w:tmpl w:val="000072AE"/>
    <w:lvl w:ilvl="0" w:tentative="0">
      <w:start w:val="6"/>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5A4DCAD4"/>
    <w:multiLevelType w:val="singleLevel"/>
    <w:tmpl w:val="5A4DCAD4"/>
    <w:lvl w:ilvl="0" w:tentative="0">
      <w:start w:val="6"/>
      <w:numFmt w:val="chineseCounting"/>
      <w:suff w:val="space"/>
      <w:lvlText w:val="第%1章"/>
      <w:lvlJc w:val="left"/>
    </w:lvl>
  </w:abstractNum>
  <w:abstractNum w:abstractNumId="2">
    <w:nsid w:val="64F54D07"/>
    <w:multiLevelType w:val="multilevel"/>
    <w:tmpl w:val="64F54D0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70144"/>
    <w:rsid w:val="5C870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9"/>
    <w:pPr>
      <w:keepNext/>
      <w:keepLines/>
      <w:widowControl w:val="0"/>
      <w:spacing w:before="260" w:after="260" w:line="415"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4">
    <w:name w:val="Body Text"/>
    <w:basedOn w:val="1"/>
    <w:next w:val="1"/>
    <w:uiPriority w:val="99"/>
    <w:pPr>
      <w:spacing w:after="120" w:afterLines="0"/>
    </w:pPr>
  </w:style>
  <w:style w:type="paragraph" w:styleId="5">
    <w:name w:val="Block Text"/>
    <w:basedOn w:val="1"/>
    <w:qFormat/>
    <w:uiPriority w:val="0"/>
    <w:pPr>
      <w:spacing w:after="120" w:afterLines="0" w:afterAutospacing="0"/>
      <w:ind w:left="1440" w:leftChars="700" w:rightChars="700"/>
    </w:pPr>
  </w:style>
  <w:style w:type="paragraph" w:customStyle="1" w:styleId="8">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9">
    <w:name w:val="List Paragraph"/>
    <w:basedOn w:val="1"/>
    <w:qFormat/>
    <w:uiPriority w:val="34"/>
    <w:pPr>
      <w:ind w:firstLine="420" w:firstLineChars="200"/>
    </w:pPr>
    <w:rPr>
      <w:rFonts w:ascii="宋体" w:hAnsi="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2020-05-20T02:08:00Z</dcterms:created>
  <dc:creator>Powerful</dc:creator>
  <cp:lastModifiedBy>Powerful</cp:lastModifiedBy>
  <dcterms:modified xsi:type="dcterms:W3CDTF">2020-05-20T02:08:30Z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