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公开招标采购公告</w:t>
      </w:r>
    </w:p>
    <w:tbl>
      <w:tblPr>
        <w:tblStyle w:val="5"/>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025"/>
        <w:gridCol w:w="1620"/>
        <w:gridCol w:w="2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44"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项目名称</w:t>
            </w: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r>
              <w:rPr>
                <w:rFonts w:hint="eastAsia" w:ascii="宋体" w:hAnsi="宋体" w:eastAsia="宋体" w:cs="宋体"/>
                <w:b w:val="0"/>
                <w:bCs w:val="0"/>
                <w:sz w:val="24"/>
                <w:szCs w:val="24"/>
                <w:highlight w:val="none"/>
                <w:lang w:eastAsia="zh-CN"/>
              </w:rPr>
              <w:t>四川大学X射线单晶衍射仪设备采购项目(第二次)</w:t>
            </w:r>
          </w:p>
        </w:tc>
        <w:tc>
          <w:tcPr>
            <w:tcW w:w="1620"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项目编号</w:t>
            </w:r>
          </w:p>
        </w:tc>
        <w:tc>
          <w:tcPr>
            <w:tcW w:w="285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sz w:val="24"/>
                <w:szCs w:val="24"/>
                <w:highlight w:val="none"/>
                <w:lang w:eastAsia="zh-CN"/>
              </w:rPr>
              <w:t>ZY20200034ZC-C（2）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944"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采购方式</w:t>
            </w: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公开招标</w:t>
            </w:r>
          </w:p>
        </w:tc>
        <w:tc>
          <w:tcPr>
            <w:tcW w:w="1620"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行政区划</w:t>
            </w:r>
          </w:p>
        </w:tc>
        <w:tc>
          <w:tcPr>
            <w:tcW w:w="285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44"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公告类型</w:t>
            </w: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采购公告</w:t>
            </w:r>
          </w:p>
        </w:tc>
        <w:tc>
          <w:tcPr>
            <w:tcW w:w="1620"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公告发布时间</w:t>
            </w:r>
          </w:p>
        </w:tc>
        <w:tc>
          <w:tcPr>
            <w:tcW w:w="285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2020年4月16日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944"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项目联系人</w:t>
            </w: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刘女士</w:t>
            </w:r>
          </w:p>
        </w:tc>
        <w:tc>
          <w:tcPr>
            <w:tcW w:w="1620"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项目联系电话</w:t>
            </w:r>
          </w:p>
        </w:tc>
        <w:tc>
          <w:tcPr>
            <w:tcW w:w="285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028-87050033转2013，标书售卖问询电话：028-87050033-0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采购单位信息</w:t>
            </w: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采购人</w:t>
            </w:r>
          </w:p>
        </w:tc>
        <w:tc>
          <w:tcPr>
            <w:tcW w:w="4475"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四川大学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44" w:type="dxa"/>
            <w:vMerge w:val="continue"/>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联系人和联系方式</w:t>
            </w:r>
          </w:p>
        </w:tc>
        <w:tc>
          <w:tcPr>
            <w:tcW w:w="4475"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联系人：</w:t>
            </w:r>
            <w:r>
              <w:rPr>
                <w:rFonts w:hint="eastAsia" w:ascii="宋体" w:hAnsi="宋体" w:eastAsia="宋体" w:cs="宋体"/>
                <w:b w:val="0"/>
                <w:bCs w:val="0"/>
                <w:sz w:val="24"/>
                <w:szCs w:val="24"/>
                <w:highlight w:val="none"/>
                <w:lang w:val="en-US" w:eastAsia="zh-CN"/>
              </w:rPr>
              <w:t>李</w:t>
            </w:r>
            <w:r>
              <w:rPr>
                <w:rFonts w:hint="eastAsia" w:ascii="宋体" w:hAnsi="宋体" w:eastAsia="宋体" w:cs="宋体"/>
                <w:b w:val="0"/>
                <w:bCs w:val="0"/>
                <w:sz w:val="24"/>
                <w:szCs w:val="24"/>
                <w:highlight w:val="none"/>
              </w:rPr>
              <w:t>老师</w:t>
            </w:r>
            <w:r>
              <w:rPr>
                <w:rFonts w:hint="eastAsia" w:ascii="宋体" w:hAnsi="宋体" w:eastAsia="宋体" w:cs="宋体"/>
                <w:b w:val="0"/>
                <w:bCs w:val="0"/>
                <w:kern w:val="0"/>
                <w:sz w:val="24"/>
                <w:szCs w:val="24"/>
                <w:highlight w:val="none"/>
                <w:lang w:eastAsia="zh-CN"/>
              </w:rPr>
              <w:t>，联系电话：</w:t>
            </w:r>
            <w:r>
              <w:rPr>
                <w:rFonts w:hint="eastAsia" w:ascii="宋体" w:hAnsi="宋体" w:eastAsia="宋体" w:cs="宋体"/>
                <w:b w:val="0"/>
                <w:bCs w:val="0"/>
                <w:sz w:val="24"/>
                <w:szCs w:val="24"/>
                <w:highlight w:val="none"/>
              </w:rPr>
              <w:t>028-85415658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944" w:type="dxa"/>
            <w:vMerge w:val="continue"/>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联系地址</w:t>
            </w:r>
          </w:p>
        </w:tc>
        <w:tc>
          <w:tcPr>
            <w:tcW w:w="4475"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r>
              <w:rPr>
                <w:rFonts w:hint="eastAsia" w:ascii="宋体" w:hAnsi="宋体" w:eastAsia="宋体" w:cs="宋体"/>
                <w:b w:val="0"/>
                <w:bCs w:val="0"/>
                <w:sz w:val="24"/>
                <w:szCs w:val="24"/>
                <w:highlight w:val="none"/>
              </w:rPr>
              <w:t>成都市一环路南一段24号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44" w:type="dxa"/>
            <w:vMerge w:val="restart"/>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代理机构信息</w:t>
            </w: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单位名称</w:t>
            </w:r>
          </w:p>
        </w:tc>
        <w:tc>
          <w:tcPr>
            <w:tcW w:w="4475"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r>
              <w:rPr>
                <w:rFonts w:hint="eastAsia" w:ascii="宋体" w:hAnsi="宋体" w:eastAsia="宋体" w:cs="宋体"/>
                <w:b w:val="0"/>
                <w:bCs w:val="0"/>
                <w:color w:val="000000"/>
                <w:kern w:val="0"/>
                <w:sz w:val="24"/>
                <w:szCs w:val="24"/>
                <w:highlight w:val="none"/>
              </w:rPr>
              <w:t>四川中意招标有限公司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Merge w:val="continue"/>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联系人和联系方式</w:t>
            </w:r>
          </w:p>
        </w:tc>
        <w:tc>
          <w:tcPr>
            <w:tcW w:w="4475"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刘女士，联系电话：028-87050033，传真：028-87050233，电子邮箱：s.c.zyzb@163.com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944" w:type="dxa"/>
            <w:vMerge w:val="continue"/>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p>
        </w:tc>
        <w:tc>
          <w:tcPr>
            <w:tcW w:w="2025"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kern w:val="0"/>
                <w:sz w:val="24"/>
                <w:szCs w:val="24"/>
                <w:highlight w:val="none"/>
                <w:lang w:eastAsia="zh-CN"/>
              </w:rPr>
              <w:t>联系地址</w:t>
            </w:r>
          </w:p>
        </w:tc>
        <w:tc>
          <w:tcPr>
            <w:tcW w:w="4475" w:type="dxa"/>
            <w:gridSpan w:val="2"/>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kern w:val="0"/>
                <w:sz w:val="24"/>
                <w:szCs w:val="24"/>
                <w:highlight w:val="none"/>
              </w:rPr>
            </w:pPr>
            <w:r>
              <w:rPr>
                <w:rFonts w:hint="eastAsia" w:ascii="宋体" w:hAnsi="宋体" w:eastAsia="宋体" w:cs="宋体"/>
                <w:b w:val="0"/>
                <w:bCs w:val="0"/>
                <w:sz w:val="24"/>
                <w:szCs w:val="24"/>
                <w:highlight w:val="none"/>
              </w:rPr>
              <w:t>四川省成都市高新区天府大道1700号新世纪环球中心</w:t>
            </w:r>
            <w:r>
              <w:rPr>
                <w:rFonts w:hint="eastAsia" w:ascii="宋体" w:hAnsi="宋体" w:eastAsia="宋体" w:cs="宋体"/>
                <w:b w:val="0"/>
                <w:bCs w:val="0"/>
                <w:sz w:val="24"/>
                <w:szCs w:val="24"/>
                <w:highlight w:val="none"/>
                <w:lang w:eastAsia="zh-CN"/>
              </w:rPr>
              <w:t>E3门栋6楼2-1-611-615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预算金额</w:t>
            </w:r>
          </w:p>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（万元）</w:t>
            </w:r>
          </w:p>
        </w:tc>
        <w:tc>
          <w:tcPr>
            <w:tcW w:w="6500" w:type="dxa"/>
            <w:gridSpan w:val="3"/>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bookmarkStart w:id="0" w:name="_GoBack"/>
            <w:bookmarkEnd w:id="0"/>
            <w:r>
              <w:rPr>
                <w:rFonts w:hint="eastAsia" w:ascii="宋体" w:hAnsi="宋体" w:eastAsia="宋体" w:cs="宋体"/>
                <w:b w:val="0"/>
                <w:bCs w:val="0"/>
                <w:sz w:val="24"/>
                <w:szCs w:val="24"/>
                <w:highlight w:val="none"/>
              </w:rPr>
              <w:t>315</w:t>
            </w:r>
            <w:r>
              <w:rPr>
                <w:rFonts w:hint="eastAsia" w:ascii="宋体" w:hAnsi="宋体" w:eastAsia="宋体" w:cs="宋体"/>
                <w:b w:val="0"/>
                <w:bCs w:val="0"/>
                <w:sz w:val="24"/>
                <w:szCs w:val="24"/>
                <w:highlight w:val="none"/>
                <w:lang w:val="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944" w:type="dxa"/>
            <w:vAlign w:val="center"/>
          </w:tcPr>
          <w:p>
            <w:pPr>
              <w:keepNext w:val="0"/>
              <w:keepLines w:val="0"/>
              <w:pageBreakBefore w:val="0"/>
              <w:widowControl/>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kern w:val="0"/>
                <w:sz w:val="24"/>
                <w:szCs w:val="24"/>
                <w:highlight w:val="none"/>
                <w:lang w:eastAsia="zh-CN"/>
              </w:rPr>
              <w:t>获取招标文件时间</w:t>
            </w:r>
          </w:p>
        </w:tc>
        <w:tc>
          <w:tcPr>
            <w:tcW w:w="6500" w:type="dxa"/>
            <w:gridSpan w:val="3"/>
            <w:vAlign w:val="center"/>
          </w:tcPr>
          <w:p>
            <w:pPr>
              <w:keepNext w:val="0"/>
              <w:keepLines w:val="0"/>
              <w:pageBreakBefore w:val="0"/>
              <w:kinsoku/>
              <w:overflowPunct/>
              <w:topLinePunct w:val="0"/>
              <w:bidi w:val="0"/>
              <w:snapToGrid/>
              <w:spacing w:line="240" w:lineRule="auto"/>
              <w:textAlignment w:val="auto"/>
              <w:rPr>
                <w:rFonts w:hint="eastAsia" w:ascii="宋体" w:hAnsi="宋体" w:eastAsia="宋体" w:cs="宋体"/>
                <w:b w:val="0"/>
                <w:bCs w:val="0"/>
                <w:sz w:val="24"/>
                <w:szCs w:val="24"/>
                <w:highlight w:val="none"/>
                <w:vertAlign w:val="baseline"/>
              </w:rPr>
            </w:pPr>
            <w:r>
              <w:rPr>
                <w:rFonts w:hint="eastAsia" w:hAnsi="宋体" w:cs="宋体"/>
                <w:color w:val="auto"/>
                <w:sz w:val="24"/>
                <w:highlight w:val="none"/>
                <w:lang w:val="zh-CN"/>
              </w:rPr>
              <w:t>2020年</w:t>
            </w:r>
            <w:r>
              <w:rPr>
                <w:rFonts w:hint="eastAsia" w:hAnsi="宋体" w:cs="宋体"/>
                <w:color w:val="auto"/>
                <w:sz w:val="24"/>
                <w:highlight w:val="none"/>
              </w:rPr>
              <w:t>4</w:t>
            </w:r>
            <w:r>
              <w:rPr>
                <w:rFonts w:hint="eastAsia" w:hAnsi="宋体" w:cs="宋体"/>
                <w:color w:val="auto"/>
                <w:sz w:val="24"/>
                <w:highlight w:val="none"/>
                <w:lang w:val="zh-CN"/>
              </w:rPr>
              <w:t>月</w:t>
            </w:r>
            <w:r>
              <w:rPr>
                <w:rFonts w:hint="eastAsia" w:hAnsi="宋体" w:cs="宋体"/>
                <w:color w:val="auto"/>
                <w:sz w:val="24"/>
                <w:highlight w:val="none"/>
                <w:lang w:val="en-US" w:eastAsia="zh-CN"/>
              </w:rPr>
              <w:t xml:space="preserve">17 </w:t>
            </w:r>
            <w:r>
              <w:rPr>
                <w:rFonts w:hint="eastAsia" w:hAnsi="宋体" w:cs="宋体"/>
                <w:color w:val="auto"/>
                <w:sz w:val="24"/>
                <w:highlight w:val="none"/>
                <w:lang w:val="zh-CN"/>
              </w:rPr>
              <w:t>日至2020年</w:t>
            </w:r>
            <w:r>
              <w:rPr>
                <w:rFonts w:hint="eastAsia" w:hAnsi="宋体" w:cs="宋体"/>
                <w:color w:val="auto"/>
                <w:sz w:val="24"/>
                <w:highlight w:val="none"/>
              </w:rPr>
              <w:t>4</w:t>
            </w:r>
            <w:r>
              <w:rPr>
                <w:rFonts w:hint="eastAsia" w:hAnsi="宋体" w:cs="宋体"/>
                <w:color w:val="auto"/>
                <w:sz w:val="24"/>
                <w:highlight w:val="none"/>
                <w:lang w:val="zh-CN"/>
              </w:rPr>
              <w:t>月</w:t>
            </w:r>
            <w:r>
              <w:rPr>
                <w:rFonts w:hint="eastAsia" w:hAnsi="宋体" w:cs="宋体"/>
                <w:color w:val="auto"/>
                <w:sz w:val="24"/>
                <w:highlight w:val="none"/>
                <w:lang w:val="en-US" w:eastAsia="zh-CN"/>
              </w:rPr>
              <w:t xml:space="preserve">23 </w:t>
            </w:r>
            <w:r>
              <w:rPr>
                <w:rFonts w:hint="eastAsia" w:hAnsi="宋体" w:cs="宋体"/>
                <w:color w:val="auto"/>
                <w:sz w:val="24"/>
                <w:highlight w:val="none"/>
                <w:lang w:val="zh-CN"/>
              </w:rPr>
              <w:t>日09:00-16:30（北京时间，法定节假日除外）</w:t>
            </w:r>
            <w:r>
              <w:rPr>
                <w:rFonts w:hint="eastAsia" w:ascii="宋体" w:hAnsi="宋体" w:eastAsia="宋体" w:cs="宋体"/>
                <w:b w:val="0"/>
                <w:bCs w:val="0"/>
                <w:sz w:val="24"/>
                <w:szCs w:val="24"/>
                <w:highlight w:val="none"/>
              </w:rPr>
              <w:t>，逾期不售。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kern w:val="0"/>
                <w:sz w:val="24"/>
                <w:szCs w:val="24"/>
                <w:highlight w:val="none"/>
                <w:lang w:eastAsia="zh-CN"/>
              </w:rPr>
              <w:t>获取招标文件的方式或事项</w:t>
            </w:r>
          </w:p>
        </w:tc>
        <w:tc>
          <w:tcPr>
            <w:tcW w:w="6500" w:type="dxa"/>
            <w:gridSpan w:val="3"/>
            <w:vAlign w:val="center"/>
          </w:tcPr>
          <w:p>
            <w:pPr>
              <w:spacing w:line="440" w:lineRule="exact"/>
              <w:ind w:firstLine="480" w:firstLineChars="200"/>
              <w:rPr>
                <w:rFonts w:hint="eastAsia" w:hAnsi="宋体" w:cs="宋体"/>
                <w:color w:val="auto"/>
                <w:sz w:val="24"/>
                <w:highlight w:val="none"/>
                <w:lang w:val="zh-CN"/>
              </w:rPr>
            </w:pPr>
            <w:r>
              <w:rPr>
                <w:rFonts w:hint="eastAsia" w:hAnsi="宋体" w:cs="宋体"/>
                <w:color w:val="auto"/>
                <w:sz w:val="24"/>
                <w:highlight w:val="none"/>
                <w:lang w:val="zh-CN"/>
              </w:rPr>
              <w:t>请投标人通过以下流程进行招标文件购买（此账号仅限报名费用打款）：</w:t>
            </w:r>
          </w:p>
          <w:p>
            <w:pPr>
              <w:pStyle w:val="7"/>
              <w:spacing w:line="440" w:lineRule="exact"/>
              <w:ind w:firstLine="480"/>
              <w:rPr>
                <w:rFonts w:hAnsi="宋体" w:cs="宋体"/>
                <w:color w:val="auto"/>
                <w:sz w:val="24"/>
                <w:highlight w:val="none"/>
              </w:rPr>
            </w:pPr>
            <w:r>
              <w:rPr>
                <w:rFonts w:hint="eastAsia" w:hAnsi="宋体" w:cs="宋体"/>
                <w:color w:val="auto"/>
                <w:sz w:val="24"/>
                <w:szCs w:val="22"/>
                <w:highlight w:val="none"/>
                <w:lang w:val="zh-CN"/>
              </w:rPr>
              <w:t>1、投标人将本公司介绍信（介绍信务必填写购买项目名称及包号）（加盖公章）、经办人身份证复印件（加盖公章）、经办人联系电话、经办人邮箱发送至四川中意招标有限公司邮箱s.c.zyzb@163.com，</w:t>
            </w:r>
            <w:r>
              <w:rPr>
                <w:rFonts w:hint="eastAsia" w:hAnsi="宋体" w:cs="宋体"/>
                <w:color w:val="auto"/>
                <w:sz w:val="24"/>
                <w:szCs w:val="22"/>
                <w:highlight w:val="none"/>
              </w:rPr>
              <w:t>报名联系电话</w:t>
            </w:r>
            <w:r>
              <w:rPr>
                <w:rFonts w:hint="eastAsia" w:hAnsi="宋体" w:cs="宋体"/>
                <w:color w:val="auto"/>
                <w:sz w:val="24"/>
                <w:highlight w:val="none"/>
              </w:rPr>
              <w:t>：028-87050033-0；</w:t>
            </w:r>
          </w:p>
          <w:p>
            <w:pPr>
              <w:spacing w:line="440" w:lineRule="exact"/>
              <w:ind w:firstLine="480" w:firstLineChars="200"/>
              <w:rPr>
                <w:rFonts w:hint="eastAsia" w:hAnsi="宋体" w:cs="宋体"/>
                <w:color w:val="auto"/>
                <w:sz w:val="24"/>
                <w:highlight w:val="none"/>
                <w:lang w:val="zh-CN"/>
              </w:rPr>
            </w:pPr>
            <w:r>
              <w:rPr>
                <w:rFonts w:hint="eastAsia" w:hAnsi="宋体" w:cs="宋体"/>
                <w:color w:val="auto"/>
                <w:sz w:val="24"/>
                <w:highlight w:val="none"/>
                <w:lang w:val="zh-CN"/>
              </w:rPr>
              <w:t>投标人购买招标文件时须如实认真填写项目信息及供应商信息；若因投标人提供的错误信息，对其参与投标事宜造成影响的，由投标人自行承担所有责任。</w:t>
            </w:r>
          </w:p>
          <w:p>
            <w:pPr>
              <w:spacing w:line="440" w:lineRule="exact"/>
              <w:ind w:firstLine="480" w:firstLineChars="200"/>
              <w:rPr>
                <w:rFonts w:hint="eastAsia" w:hAnsi="宋体" w:cs="宋体"/>
                <w:color w:val="auto"/>
                <w:sz w:val="24"/>
                <w:highlight w:val="none"/>
                <w:lang w:val="zh-CN"/>
              </w:rPr>
            </w:pPr>
            <w:r>
              <w:rPr>
                <w:rFonts w:hint="eastAsia" w:hAnsi="宋体" w:cs="宋体"/>
                <w:color w:val="auto"/>
                <w:sz w:val="24"/>
                <w:highlight w:val="none"/>
                <w:lang w:val="zh-CN"/>
              </w:rPr>
              <w:t>2、投标人按照采购公告内规定的报名费用以银行转账形式将报名费转账到四川中意招标有限公司指定账户(转账时请备注公司名称，如无法备注公司名称请在转账成功后将转账图片及公司名称发送至邮箱s.c.zyzb@163.com)：</w:t>
            </w:r>
          </w:p>
          <w:p>
            <w:pPr>
              <w:spacing w:line="440" w:lineRule="exact"/>
              <w:ind w:firstLine="480" w:firstLineChars="200"/>
              <w:rPr>
                <w:rFonts w:hint="eastAsia" w:hAnsi="宋体" w:cs="宋体"/>
                <w:color w:val="auto"/>
                <w:sz w:val="24"/>
                <w:highlight w:val="none"/>
                <w:lang w:val="zh-CN"/>
              </w:rPr>
            </w:pPr>
            <w:r>
              <w:rPr>
                <w:rFonts w:hint="eastAsia" w:hAnsi="宋体" w:cs="宋体"/>
                <w:color w:val="auto"/>
                <w:sz w:val="24"/>
                <w:highlight w:val="none"/>
                <w:lang w:val="zh-CN"/>
              </w:rPr>
              <w:t>收款单位：四川中意招标有限公司</w:t>
            </w:r>
          </w:p>
          <w:p>
            <w:pPr>
              <w:spacing w:line="440" w:lineRule="exact"/>
              <w:ind w:firstLine="480" w:firstLineChars="200"/>
              <w:rPr>
                <w:rFonts w:hint="eastAsia" w:hAnsi="宋体" w:cs="宋体"/>
                <w:color w:val="auto"/>
                <w:sz w:val="24"/>
                <w:highlight w:val="none"/>
                <w:lang w:val="zh-CN"/>
              </w:rPr>
            </w:pPr>
            <w:r>
              <w:rPr>
                <w:rFonts w:hint="eastAsia" w:hAnsi="宋体" w:cs="宋体"/>
                <w:color w:val="auto"/>
                <w:sz w:val="24"/>
                <w:highlight w:val="none"/>
                <w:lang w:val="zh-CN"/>
              </w:rPr>
              <w:t>开户行：中国民生银行股份有限公司成都分行营业部</w:t>
            </w:r>
          </w:p>
          <w:p>
            <w:pPr>
              <w:spacing w:line="440" w:lineRule="exact"/>
              <w:ind w:firstLine="480" w:firstLineChars="200"/>
              <w:rPr>
                <w:rFonts w:hint="eastAsia" w:hAnsi="宋体" w:cs="宋体"/>
                <w:color w:val="auto"/>
                <w:sz w:val="24"/>
                <w:highlight w:val="none"/>
                <w:lang w:val="zh-CN"/>
              </w:rPr>
            </w:pPr>
            <w:r>
              <w:rPr>
                <w:rFonts w:hint="eastAsia" w:hAnsi="宋体" w:cs="宋体"/>
                <w:color w:val="auto"/>
                <w:sz w:val="24"/>
                <w:highlight w:val="none"/>
                <w:lang w:val="zh-CN"/>
              </w:rPr>
              <w:t>银行账号：696637422</w:t>
            </w:r>
          </w:p>
          <w:p>
            <w:pPr>
              <w:spacing w:line="440" w:lineRule="exact"/>
              <w:ind w:firstLine="480" w:firstLineChars="200"/>
              <w:rPr>
                <w:rFonts w:hint="eastAsia" w:hAnsi="宋体" w:cs="宋体"/>
                <w:color w:val="auto"/>
                <w:sz w:val="24"/>
                <w:highlight w:val="none"/>
                <w:lang w:val="zh-CN"/>
              </w:rPr>
            </w:pPr>
            <w:r>
              <w:rPr>
                <w:rFonts w:hint="eastAsia" w:hAnsi="宋体" w:cs="宋体"/>
                <w:color w:val="auto"/>
                <w:sz w:val="24"/>
                <w:highlight w:val="none"/>
                <w:lang w:val="zh-CN"/>
              </w:rPr>
              <w:t>3、待公司确认报名资料及报名费用无误后，将招标文件发送至对应投标人的经办人邮箱。</w:t>
            </w:r>
          </w:p>
          <w:p>
            <w:pPr>
              <w:keepNext w:val="0"/>
              <w:keepLines w:val="0"/>
              <w:pageBreakBefore w:val="0"/>
              <w:widowControl/>
              <w:kinsoku/>
              <w:overflowPunct/>
              <w:topLinePunct w:val="0"/>
              <w:bidi w:val="0"/>
              <w:snapToGrid/>
              <w:spacing w:line="240" w:lineRule="auto"/>
              <w:jc w:val="left"/>
              <w:textAlignment w:val="auto"/>
              <w:rPr>
                <w:rFonts w:hint="eastAsia" w:ascii="宋体" w:hAnsi="宋体" w:eastAsia="宋体" w:cs="宋体"/>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招标文件售价（元）</w:t>
            </w:r>
          </w:p>
        </w:tc>
        <w:tc>
          <w:tcPr>
            <w:tcW w:w="6500" w:type="dxa"/>
            <w:gridSpan w:val="3"/>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val="en-US" w:eastAsia="zh-CN"/>
              </w:rPr>
              <w:t>400</w:t>
            </w:r>
            <w:r>
              <w:rPr>
                <w:rFonts w:hint="eastAsia" w:ascii="宋体" w:hAnsi="宋体" w:eastAsia="宋体" w:cs="宋体"/>
                <w:b w:val="0"/>
                <w:bCs w:val="0"/>
                <w:sz w:val="24"/>
                <w:szCs w:val="24"/>
                <w:highlight w:val="none"/>
                <w:vertAlign w:val="baseline"/>
                <w:lang w:eastAsia="zh-CN"/>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投标人的资格要求</w:t>
            </w:r>
          </w:p>
        </w:tc>
        <w:tc>
          <w:tcPr>
            <w:tcW w:w="6500" w:type="dxa"/>
            <w:gridSpan w:val="3"/>
            <w:vAlign w:val="center"/>
          </w:tcPr>
          <w:p>
            <w:pPr>
              <w:pStyle w:val="7"/>
              <w:spacing w:line="420" w:lineRule="exact"/>
              <w:ind w:firstLine="480"/>
              <w:rPr>
                <w:rFonts w:hint="eastAsia" w:ascii="宋体" w:hAnsi="宋体" w:cs="宋体"/>
                <w:color w:val="auto"/>
                <w:sz w:val="24"/>
                <w:highlight w:val="none"/>
              </w:rPr>
            </w:pPr>
            <w:r>
              <w:rPr>
                <w:rFonts w:hint="eastAsia" w:ascii="宋体" w:hAnsi="宋体" w:cs="宋体"/>
                <w:color w:val="auto"/>
                <w:sz w:val="24"/>
                <w:highlight w:val="none"/>
              </w:rPr>
              <w:t>1、具有独立承担民事责任的能力；</w:t>
            </w:r>
          </w:p>
          <w:p>
            <w:pPr>
              <w:pStyle w:val="7"/>
              <w:spacing w:line="420" w:lineRule="exact"/>
              <w:ind w:firstLine="480"/>
              <w:rPr>
                <w:rFonts w:hint="eastAsia"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pStyle w:val="7"/>
              <w:spacing w:line="420" w:lineRule="exact"/>
              <w:ind w:firstLine="480"/>
              <w:rPr>
                <w:rFonts w:hint="eastAsia" w:ascii="宋体" w:hAnsi="宋体" w:cs="宋体"/>
                <w:color w:val="auto"/>
                <w:sz w:val="24"/>
                <w:highlight w:val="none"/>
              </w:rPr>
            </w:pPr>
            <w:r>
              <w:rPr>
                <w:rFonts w:hint="eastAsia" w:ascii="宋体" w:hAnsi="宋体" w:cs="宋体"/>
                <w:color w:val="auto"/>
                <w:sz w:val="24"/>
                <w:highlight w:val="none"/>
              </w:rPr>
              <w:t>3、具有履行合同所必须的设备和专业技术能力；</w:t>
            </w:r>
          </w:p>
          <w:p>
            <w:pPr>
              <w:pStyle w:val="7"/>
              <w:spacing w:line="420" w:lineRule="exact"/>
              <w:ind w:firstLine="480"/>
              <w:rPr>
                <w:rFonts w:hint="eastAsia" w:ascii="宋体" w:hAnsi="宋体" w:cs="宋体"/>
                <w:color w:val="auto"/>
                <w:sz w:val="24"/>
                <w:highlight w:val="none"/>
              </w:rPr>
            </w:pPr>
            <w:r>
              <w:rPr>
                <w:rFonts w:hint="eastAsia" w:ascii="宋体" w:hAnsi="宋体" w:cs="宋体"/>
                <w:color w:val="auto"/>
                <w:sz w:val="24"/>
                <w:highlight w:val="none"/>
              </w:rPr>
              <w:t>4、具有依法缴纳税收和社会保障资金的良好记录；</w:t>
            </w:r>
          </w:p>
          <w:p>
            <w:pPr>
              <w:pStyle w:val="7"/>
              <w:spacing w:line="420" w:lineRule="exact"/>
              <w:ind w:firstLine="480"/>
              <w:rPr>
                <w:rFonts w:hint="eastAsia" w:ascii="宋体" w:hAnsi="宋体" w:cs="宋体"/>
                <w:color w:val="auto"/>
                <w:sz w:val="24"/>
                <w:highlight w:val="none"/>
              </w:rPr>
            </w:pPr>
            <w:r>
              <w:rPr>
                <w:rFonts w:hint="eastAsia" w:ascii="宋体" w:hAnsi="宋体" w:cs="宋体"/>
                <w:color w:val="auto"/>
                <w:sz w:val="24"/>
                <w:highlight w:val="none"/>
              </w:rPr>
              <w:t>5、参加本次政府采购活动前三年内，在经营活动中没有重大违法记录；</w:t>
            </w:r>
          </w:p>
          <w:p>
            <w:pPr>
              <w:pStyle w:val="7"/>
              <w:spacing w:line="420" w:lineRule="exact"/>
              <w:ind w:firstLine="480"/>
              <w:rPr>
                <w:rFonts w:hint="eastAsia" w:ascii="宋体" w:hAnsi="宋体" w:cs="宋体"/>
                <w:color w:val="auto"/>
                <w:sz w:val="24"/>
                <w:highlight w:val="none"/>
              </w:rPr>
            </w:pPr>
            <w:r>
              <w:rPr>
                <w:rFonts w:hint="eastAsia" w:ascii="宋体" w:hAnsi="宋体" w:cs="宋体"/>
                <w:color w:val="auto"/>
                <w:sz w:val="24"/>
                <w:highlight w:val="none"/>
              </w:rPr>
              <w:t>6、法律、行政法规规定的其他条件；</w:t>
            </w:r>
          </w:p>
          <w:p>
            <w:pPr>
              <w:pStyle w:val="7"/>
              <w:spacing w:line="420" w:lineRule="exact"/>
              <w:ind w:firstLine="480"/>
              <w:rPr>
                <w:rFonts w:hint="eastAsia" w:ascii="宋体" w:hAnsi="宋体" w:cs="宋体"/>
                <w:color w:val="auto"/>
                <w:sz w:val="24"/>
                <w:highlight w:val="none"/>
              </w:rPr>
            </w:pPr>
            <w:r>
              <w:rPr>
                <w:rFonts w:hint="eastAsia" w:ascii="宋体" w:hAnsi="宋体" w:cs="宋体"/>
                <w:color w:val="auto"/>
                <w:sz w:val="24"/>
                <w:highlight w:val="none"/>
              </w:rPr>
              <w:t>7、供应商单位及其现任法定代表人、主要负责人不得具有行贿犯罪记录；</w:t>
            </w:r>
          </w:p>
          <w:p>
            <w:pPr>
              <w:pStyle w:val="7"/>
              <w:spacing w:line="420" w:lineRule="exact"/>
              <w:ind w:firstLine="480"/>
              <w:rPr>
                <w:rFonts w:hint="eastAsia" w:ascii="宋体" w:hAnsi="宋体" w:cs="宋体"/>
                <w:color w:val="auto"/>
                <w:sz w:val="24"/>
                <w:highlight w:val="none"/>
              </w:rPr>
            </w:pPr>
            <w:r>
              <w:rPr>
                <w:rFonts w:hint="eastAsia" w:ascii="宋体" w:hAnsi="宋体" w:cs="宋体"/>
                <w:color w:val="auto"/>
                <w:sz w:val="24"/>
                <w:highlight w:val="none"/>
              </w:rPr>
              <w:t>8、截止至投标截止时间当日，未在“信用中国”、“中国政府采购网”网站等渠道被列入失信被执行人、重大税收违法案件当事人名单、政府采购严重违法失信行为记录名单。</w:t>
            </w:r>
            <w:r>
              <w:rPr>
                <w:rFonts w:hint="eastAsia" w:ascii="宋体" w:hAnsi="宋体" w:cs="宋体"/>
                <w:b/>
                <w:bCs/>
                <w:color w:val="auto"/>
                <w:sz w:val="24"/>
                <w:highlight w:val="none"/>
              </w:rPr>
              <w:t>（如相关失信记录已失效，供应商需提供相关证明资料。若因供应商为事业单位、团体组织、自然人等原因，在“信用中国”、“中国政府采购网”网站等渠道未查询到信息的，视为未被列入失信记录。）</w:t>
            </w:r>
          </w:p>
          <w:p>
            <w:pPr>
              <w:wordWrap w:val="0"/>
              <w:autoSpaceDE w:val="0"/>
              <w:autoSpaceDN w:val="0"/>
              <w:adjustRightInd w:val="0"/>
              <w:spacing w:line="46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9、本项目不允许联合体投标。</w:t>
            </w:r>
          </w:p>
          <w:p>
            <w:pPr>
              <w:spacing w:line="420" w:lineRule="exact"/>
              <w:ind w:firstLine="480" w:firstLineChars="200"/>
              <w:jc w:val="left"/>
              <w:rPr>
                <w:rFonts w:hint="eastAsia"/>
                <w:bCs/>
                <w:color w:val="auto"/>
                <w:sz w:val="24"/>
                <w:highlight w:val="none"/>
              </w:rPr>
            </w:pPr>
            <w:r>
              <w:rPr>
                <w:rFonts w:hint="eastAsia"/>
                <w:bCs/>
                <w:color w:val="auto"/>
                <w:sz w:val="24"/>
                <w:highlight w:val="none"/>
              </w:rPr>
              <w:t>10、供应商非投标产品制造厂家</w:t>
            </w:r>
            <w:r>
              <w:rPr>
                <w:rFonts w:hint="eastAsia"/>
                <w:bCs/>
                <w:color w:val="auto"/>
                <w:sz w:val="24"/>
                <w:highlight w:val="none"/>
                <w:lang w:eastAsia="zh-CN"/>
              </w:rPr>
              <w:t>的，</w:t>
            </w:r>
            <w:r>
              <w:rPr>
                <w:rFonts w:hint="eastAsia"/>
                <w:bCs/>
                <w:color w:val="auto"/>
                <w:sz w:val="24"/>
                <w:highlight w:val="none"/>
              </w:rPr>
              <w:t>需提供产品制造厂家针对投标产品的授权或具有授权权限的代理商对投标产品的授权（且需提供该代理商具有有效授权权限的相关证明文件，证明文件需能显示产品制造厂家对投标产品授权链条的完整性）。（投标人提供进口产品时需提供此条内容）</w:t>
            </w:r>
          </w:p>
          <w:p>
            <w:pPr>
              <w:keepNext w:val="0"/>
              <w:keepLines w:val="0"/>
              <w:pageBreakBefore w:val="0"/>
              <w:kinsoku/>
              <w:wordWrap w:val="0"/>
              <w:overflowPunct/>
              <w:topLinePunct w:val="0"/>
              <w:autoSpaceDE w:val="0"/>
              <w:autoSpaceDN w:val="0"/>
              <w:bidi w:val="0"/>
              <w:adjustRightInd w:val="0"/>
              <w:snapToGrid/>
              <w:spacing w:line="240" w:lineRule="auto"/>
              <w:ind w:firstLine="480" w:firstLineChars="200"/>
              <w:jc w:val="left"/>
              <w:textAlignment w:val="auto"/>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投标截止时间和开标时间</w:t>
            </w:r>
          </w:p>
        </w:tc>
        <w:tc>
          <w:tcPr>
            <w:tcW w:w="6500" w:type="dxa"/>
            <w:gridSpan w:val="3"/>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2020年5月8日10：00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获取招标文件的地点</w:t>
            </w:r>
          </w:p>
        </w:tc>
        <w:tc>
          <w:tcPr>
            <w:tcW w:w="6500" w:type="dxa"/>
            <w:gridSpan w:val="3"/>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rPr>
            </w:pPr>
            <w:r>
              <w:rPr>
                <w:rFonts w:hint="eastAsia" w:ascii="宋体" w:hAnsi="宋体" w:eastAsia="宋体" w:cs="宋体"/>
                <w:b w:val="0"/>
                <w:bCs w:val="0"/>
                <w:sz w:val="24"/>
                <w:szCs w:val="24"/>
                <w:highlight w:val="none"/>
              </w:rPr>
              <w:t>四川省成都市高新区天府大道1700号新世纪环球中心</w:t>
            </w:r>
            <w:r>
              <w:rPr>
                <w:rFonts w:hint="eastAsia" w:ascii="宋体" w:hAnsi="宋体" w:eastAsia="宋体" w:cs="宋体"/>
                <w:b w:val="0"/>
                <w:bCs w:val="0"/>
                <w:sz w:val="24"/>
                <w:szCs w:val="24"/>
                <w:highlight w:val="none"/>
                <w:lang w:eastAsia="zh-CN"/>
              </w:rPr>
              <w:t>E3门栋6楼2-1-611-615</w:t>
            </w:r>
            <w:r>
              <w:rPr>
                <w:rFonts w:hint="eastAsia" w:ascii="宋体" w:hAnsi="宋体" w:eastAsia="宋体" w:cs="宋体"/>
                <w:b w:val="0"/>
                <w:bCs w:val="0"/>
                <w:sz w:val="24"/>
                <w:szCs w:val="24"/>
                <w:highlight w:val="none"/>
              </w:rPr>
              <w:t>四川中意招标有限公司购买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开标地点</w:t>
            </w:r>
          </w:p>
        </w:tc>
        <w:tc>
          <w:tcPr>
            <w:tcW w:w="6500" w:type="dxa"/>
            <w:gridSpan w:val="3"/>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rPr>
            </w:pPr>
            <w:r>
              <w:rPr>
                <w:rFonts w:hint="eastAsia" w:ascii="宋体" w:hAnsi="宋体" w:eastAsia="宋体" w:cs="宋体"/>
                <w:b w:val="0"/>
                <w:bCs w:val="0"/>
                <w:color w:val="auto"/>
                <w:sz w:val="24"/>
                <w:szCs w:val="24"/>
                <w:highlight w:val="none"/>
              </w:rPr>
              <w:t>四川省成都市高新区天府大道1700号新世纪环球中心</w:t>
            </w:r>
            <w:r>
              <w:rPr>
                <w:rFonts w:hint="eastAsia" w:ascii="宋体" w:hAnsi="宋体" w:eastAsia="宋体" w:cs="宋体"/>
                <w:b w:val="0"/>
                <w:bCs w:val="0"/>
                <w:color w:val="auto"/>
                <w:sz w:val="24"/>
                <w:szCs w:val="24"/>
                <w:highlight w:val="none"/>
                <w:lang w:eastAsia="zh-CN"/>
              </w:rPr>
              <w:t>E3门栋6楼2-1-611-615</w:t>
            </w:r>
            <w:r>
              <w:rPr>
                <w:rFonts w:hint="eastAsia" w:ascii="宋体" w:hAnsi="宋体" w:eastAsia="宋体" w:cs="宋体"/>
                <w:b w:val="0"/>
                <w:bCs w:val="0"/>
                <w:color w:val="auto"/>
                <w:sz w:val="24"/>
                <w:szCs w:val="24"/>
                <w:highlight w:val="none"/>
              </w:rPr>
              <w:t>四川中意招标有限公司会议室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采购项目的名称、数量、简要规格描述或项目基本概况介绍</w:t>
            </w:r>
          </w:p>
        </w:tc>
        <w:tc>
          <w:tcPr>
            <w:tcW w:w="6500" w:type="dxa"/>
            <w:gridSpan w:val="3"/>
            <w:vAlign w:val="center"/>
          </w:tcPr>
          <w:p>
            <w:pPr>
              <w:keepNext w:val="0"/>
              <w:keepLines w:val="0"/>
              <w:pageBreakBefore w:val="0"/>
              <w:kinsoku/>
              <w:overflowPunct/>
              <w:topLinePunct w:val="0"/>
              <w:bidi w:val="0"/>
              <w:snapToGrid/>
              <w:spacing w:line="240" w:lineRule="auto"/>
              <w:jc w:val="left"/>
              <w:textAlignment w:val="auto"/>
              <w:rPr>
                <w:rFonts w:hint="eastAsia" w:ascii="宋体" w:hAnsi="宋体" w:eastAsia="宋体" w:cs="宋体"/>
                <w:b w:val="0"/>
                <w:bCs w:val="0"/>
                <w:sz w:val="24"/>
                <w:szCs w:val="24"/>
                <w:highlight w:val="none"/>
                <w:vertAlign w:val="baseline"/>
              </w:rPr>
            </w:pPr>
            <w:r>
              <w:rPr>
                <w:rFonts w:hint="eastAsia" w:ascii="宋体" w:hAnsi="宋体" w:eastAsia="宋体" w:cs="宋体"/>
                <w:b w:val="0"/>
                <w:bCs w:val="0"/>
                <w:sz w:val="24"/>
                <w:szCs w:val="24"/>
                <w:highlight w:val="none"/>
                <w:vertAlign w:val="baseline"/>
              </w:rPr>
              <w:t>1、</w:t>
            </w:r>
            <w:r>
              <w:rPr>
                <w:rFonts w:hint="eastAsia" w:ascii="宋体" w:hAnsi="宋体" w:eastAsia="宋体" w:cs="宋体"/>
                <w:b w:val="0"/>
                <w:bCs w:val="0"/>
                <w:sz w:val="24"/>
                <w:szCs w:val="24"/>
                <w:highlight w:val="none"/>
                <w:lang w:val="zh-CN"/>
              </w:rPr>
              <w:t>四川大学X射线单晶衍射仪设备采购项目(第二次)</w:t>
            </w:r>
            <w:r>
              <w:rPr>
                <w:rFonts w:hint="eastAsia" w:ascii="宋体" w:hAnsi="宋体" w:eastAsia="宋体" w:cs="宋体"/>
                <w:b w:val="0"/>
                <w:bCs w:val="0"/>
                <w:sz w:val="24"/>
                <w:szCs w:val="24"/>
                <w:highlight w:val="none"/>
                <w:vertAlign w:val="baseline"/>
                <w:lang w:eastAsia="zh-CN"/>
              </w:rPr>
              <w:t>，</w:t>
            </w:r>
            <w:r>
              <w:rPr>
                <w:rFonts w:hint="eastAsia" w:ascii="宋体" w:hAnsi="宋体" w:eastAsia="宋体" w:cs="宋体"/>
                <w:b w:val="0"/>
                <w:bCs w:val="0"/>
                <w:sz w:val="24"/>
                <w:szCs w:val="24"/>
                <w:highlight w:val="none"/>
                <w:vertAlign w:val="baseline"/>
              </w:rPr>
              <w:t>中标人个数：</w:t>
            </w:r>
            <w:r>
              <w:rPr>
                <w:rFonts w:hint="eastAsia" w:ascii="宋体" w:hAnsi="宋体" w:eastAsia="宋体" w:cs="宋体"/>
                <w:b w:val="0"/>
                <w:bCs w:val="0"/>
                <w:sz w:val="24"/>
                <w:szCs w:val="24"/>
                <w:highlight w:val="none"/>
                <w:vertAlign w:val="baseline"/>
                <w:lang w:val="en-US" w:eastAsia="zh-CN"/>
              </w:rPr>
              <w:t>1</w:t>
            </w:r>
            <w:r>
              <w:rPr>
                <w:rFonts w:hint="eastAsia" w:ascii="宋体" w:hAnsi="宋体" w:eastAsia="宋体" w:cs="宋体"/>
                <w:b w:val="0"/>
                <w:bCs w:val="0"/>
                <w:sz w:val="24"/>
                <w:szCs w:val="24"/>
                <w:highlight w:val="none"/>
                <w:vertAlign w:val="baseline"/>
                <w:lang w:eastAsia="zh-CN"/>
              </w:rPr>
              <w:t>个</w:t>
            </w:r>
            <w:r>
              <w:rPr>
                <w:rFonts w:hint="eastAsia" w:ascii="宋体" w:hAnsi="宋体" w:eastAsia="宋体" w:cs="宋体"/>
                <w:b w:val="0"/>
                <w:bCs w:val="0"/>
                <w:sz w:val="24"/>
                <w:szCs w:val="24"/>
                <w:highlight w:val="none"/>
                <w:vertAlign w:val="baseline"/>
              </w:rPr>
              <w:t>；</w:t>
            </w:r>
          </w:p>
          <w:p>
            <w:pPr>
              <w:keepNext w:val="0"/>
              <w:keepLines w:val="0"/>
              <w:pageBreakBefore w:val="0"/>
              <w:kinsoku/>
              <w:overflowPunct/>
              <w:topLinePunct w:val="0"/>
              <w:bidi w:val="0"/>
              <w:snapToGrid/>
              <w:spacing w:line="240" w:lineRule="auto"/>
              <w:jc w:val="left"/>
              <w:textAlignment w:val="auto"/>
              <w:rPr>
                <w:rFonts w:hint="eastAsia" w:ascii="宋体" w:hAnsi="宋体" w:eastAsia="宋体" w:cs="宋体"/>
                <w:b w:val="0"/>
                <w:bCs w:val="0"/>
                <w:sz w:val="24"/>
                <w:szCs w:val="24"/>
                <w:highlight w:val="none"/>
                <w:vertAlign w:val="baseline"/>
              </w:rPr>
            </w:pPr>
            <w:r>
              <w:rPr>
                <w:rFonts w:hint="eastAsia" w:ascii="宋体" w:hAnsi="宋体" w:eastAsia="宋体" w:cs="宋体"/>
                <w:b w:val="0"/>
                <w:bCs w:val="0"/>
                <w:sz w:val="24"/>
                <w:szCs w:val="24"/>
                <w:highlight w:val="none"/>
                <w:vertAlign w:val="baseline"/>
              </w:rPr>
              <w:t>2、详见附件。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采购项目需要落实的政府采购政策</w:t>
            </w:r>
          </w:p>
        </w:tc>
        <w:tc>
          <w:tcPr>
            <w:tcW w:w="6500" w:type="dxa"/>
            <w:gridSpan w:val="3"/>
            <w:vAlign w:val="center"/>
          </w:tcPr>
          <w:p>
            <w:pPr>
              <w:keepNext w:val="0"/>
              <w:keepLines w:val="0"/>
              <w:pageBreakBefore w:val="0"/>
              <w:kinsoku/>
              <w:overflowPunct/>
              <w:topLinePunct w:val="0"/>
              <w:bidi w:val="0"/>
              <w:snapToGrid/>
              <w:spacing w:line="240" w:lineRule="auto"/>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政府采购促进中小企业发展政策、政府采购支持监狱企业发展政策、促进残疾人就业政府采购政策、政府采购优先购买节能产品政策、政府采购优先购买环境标志产品政策、强制节能产品清单、优先采购无线局域网产品、</w:t>
            </w:r>
            <w:r>
              <w:rPr>
                <w:rFonts w:hint="eastAsia" w:ascii="宋体" w:hAnsi="宋体" w:eastAsia="宋体" w:cs="宋体"/>
                <w:b w:val="0"/>
                <w:bCs w:val="0"/>
                <w:color w:val="auto"/>
                <w:kern w:val="0"/>
                <w:sz w:val="24"/>
                <w:szCs w:val="24"/>
                <w:highlight w:val="none"/>
                <w:lang w:val="zh-CN" w:eastAsia="zh-CN"/>
              </w:rPr>
              <w:t>扶持不发达地区和少数民族地区。</w:t>
            </w:r>
          </w:p>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944" w:type="dxa"/>
            <w:vAlign w:val="center"/>
          </w:tcPr>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其它补充事宜</w:t>
            </w:r>
          </w:p>
          <w:p>
            <w:pPr>
              <w:keepNext w:val="0"/>
              <w:keepLines w:val="0"/>
              <w:pageBreakBefore w:val="0"/>
              <w:kinsoku/>
              <w:overflowPunct/>
              <w:topLinePunct w:val="0"/>
              <w:bidi w:val="0"/>
              <w:snapToGrid/>
              <w:spacing w:line="240" w:lineRule="auto"/>
              <w:jc w:val="center"/>
              <w:textAlignment w:val="auto"/>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（即备注）</w:t>
            </w:r>
          </w:p>
        </w:tc>
        <w:tc>
          <w:tcPr>
            <w:tcW w:w="6500" w:type="dxa"/>
            <w:gridSpan w:val="3"/>
            <w:vAlign w:val="center"/>
          </w:tcPr>
          <w:p>
            <w:pPr>
              <w:keepNext w:val="0"/>
              <w:keepLines w:val="0"/>
              <w:pageBreakBefore w:val="0"/>
              <w:kinsoku/>
              <w:overflowPunct/>
              <w:topLinePunct w:val="0"/>
              <w:bidi w:val="0"/>
              <w:snapToGrid/>
              <w:spacing w:line="240" w:lineRule="auto"/>
              <w:jc w:val="left"/>
              <w:textAlignment w:val="auto"/>
              <w:rPr>
                <w:rFonts w:hint="eastAsia" w:ascii="宋体" w:hAnsi="宋体" w:eastAsia="宋体" w:cs="宋体"/>
                <w:b w:val="0"/>
                <w:bCs w:val="0"/>
                <w:sz w:val="24"/>
                <w:szCs w:val="24"/>
                <w:highlight w:val="none"/>
                <w:vertAlign w:val="baseline"/>
              </w:rPr>
            </w:pPr>
            <w:r>
              <w:rPr>
                <w:rFonts w:hint="eastAsia" w:ascii="宋体" w:hAnsi="宋体" w:eastAsia="宋体" w:cs="宋体"/>
                <w:b w:val="0"/>
                <w:bCs w:val="0"/>
                <w:sz w:val="24"/>
                <w:szCs w:val="24"/>
                <w:highlight w:val="none"/>
                <w:vertAlign w:val="baseline"/>
              </w:rPr>
              <w:t>1、本采购公告的公告期限为5个工作日；</w:t>
            </w:r>
          </w:p>
          <w:p>
            <w:pPr>
              <w:keepNext w:val="0"/>
              <w:keepLines w:val="0"/>
              <w:pageBreakBefore w:val="0"/>
              <w:kinsoku/>
              <w:overflowPunct/>
              <w:topLinePunct w:val="0"/>
              <w:bidi w:val="0"/>
              <w:snapToGrid/>
              <w:spacing w:line="240" w:lineRule="auto"/>
              <w:jc w:val="left"/>
              <w:textAlignment w:val="auto"/>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rPr>
              <w:t>2、预算：</w:t>
            </w:r>
            <w:r>
              <w:rPr>
                <w:rFonts w:hint="eastAsia" w:ascii="宋体" w:hAnsi="宋体" w:eastAsia="宋体" w:cs="宋体"/>
                <w:b w:val="0"/>
                <w:bCs w:val="0"/>
                <w:sz w:val="24"/>
                <w:szCs w:val="24"/>
                <w:highlight w:val="none"/>
              </w:rPr>
              <w:t>315</w:t>
            </w:r>
            <w:r>
              <w:rPr>
                <w:rFonts w:hint="eastAsia" w:ascii="宋体" w:hAnsi="宋体" w:eastAsia="宋体" w:cs="宋体"/>
                <w:b w:val="0"/>
                <w:bCs w:val="0"/>
                <w:sz w:val="24"/>
                <w:szCs w:val="24"/>
                <w:highlight w:val="none"/>
                <w:lang w:val="zh-CN"/>
              </w:rPr>
              <w:t>万元</w:t>
            </w:r>
            <w:r>
              <w:rPr>
                <w:rFonts w:hint="eastAsia" w:ascii="宋体" w:hAnsi="宋体" w:eastAsia="宋体" w:cs="宋体"/>
                <w:b w:val="0"/>
                <w:bCs w:val="0"/>
                <w:sz w:val="24"/>
                <w:szCs w:val="24"/>
                <w:highlight w:val="none"/>
                <w:vertAlign w:val="baseline"/>
              </w:rPr>
              <w:t>，最高限价：</w:t>
            </w:r>
            <w:r>
              <w:rPr>
                <w:rFonts w:hint="eastAsia" w:ascii="宋体" w:hAnsi="宋体" w:eastAsia="宋体" w:cs="宋体"/>
                <w:b w:val="0"/>
                <w:bCs w:val="0"/>
                <w:sz w:val="24"/>
                <w:szCs w:val="24"/>
                <w:highlight w:val="none"/>
              </w:rPr>
              <w:t>315</w:t>
            </w:r>
            <w:r>
              <w:rPr>
                <w:rFonts w:hint="eastAsia" w:ascii="宋体" w:hAnsi="宋体" w:eastAsia="宋体" w:cs="宋体"/>
                <w:b w:val="0"/>
                <w:bCs w:val="0"/>
                <w:sz w:val="24"/>
                <w:szCs w:val="24"/>
                <w:highlight w:val="none"/>
                <w:lang w:val="zh-CN"/>
              </w:rPr>
              <w:t>万元</w:t>
            </w:r>
            <w:r>
              <w:rPr>
                <w:rFonts w:hint="eastAsia" w:ascii="宋体" w:hAnsi="宋体" w:eastAsia="宋体" w:cs="宋体"/>
                <w:b w:val="0"/>
                <w:bCs w:val="0"/>
                <w:sz w:val="24"/>
                <w:szCs w:val="24"/>
                <w:highlight w:val="none"/>
                <w:vertAlign w:val="baseline"/>
                <w:lang w:eastAsia="zh-CN"/>
              </w:rPr>
              <w:t>。</w:t>
            </w:r>
          </w:p>
        </w:tc>
      </w:tr>
    </w:tbl>
    <w:p>
      <w:pPr>
        <w:rPr>
          <w:highlight w:val="none"/>
        </w:rPr>
      </w:pPr>
    </w:p>
    <w:p>
      <w:pPr>
        <w:rPr>
          <w:rFonts w:hint="eastAsia"/>
          <w:highlight w:val="none"/>
          <w:lang w:eastAsia="zh-CN"/>
        </w:rPr>
      </w:pPr>
    </w:p>
    <w:p>
      <w:pPr>
        <w:rPr>
          <w:rFonts w:hint="eastAsia"/>
          <w:highlight w:val="none"/>
          <w:lang w:eastAsia="zh-CN"/>
        </w:rPr>
      </w:pPr>
    </w:p>
    <w:p>
      <w:pPr>
        <w:rPr>
          <w:rFonts w:hint="eastAsia"/>
          <w:highlight w:val="none"/>
          <w:lang w:eastAsia="zh-CN"/>
        </w:rPr>
      </w:pPr>
    </w:p>
    <w:p>
      <w:pPr>
        <w:rPr>
          <w:rFonts w:hint="eastAsia"/>
          <w:highlight w:val="none"/>
          <w:lang w:eastAsia="zh-CN"/>
        </w:rPr>
      </w:pPr>
    </w:p>
    <w:p>
      <w:pPr>
        <w:rPr>
          <w:rFonts w:hint="eastAsia"/>
          <w:highlight w:val="none"/>
          <w:lang w:eastAsia="zh-CN"/>
        </w:rPr>
      </w:pPr>
    </w:p>
    <w:p>
      <w:pPr>
        <w:rPr>
          <w:rFonts w:hint="eastAsia"/>
          <w:highlight w:val="none"/>
          <w:lang w:eastAsia="zh-CN"/>
        </w:rPr>
      </w:pPr>
    </w:p>
    <w:p>
      <w:pPr>
        <w:rPr>
          <w:rFonts w:hint="eastAsia"/>
          <w:highlight w:val="none"/>
          <w:lang w:eastAsia="zh-CN"/>
        </w:rPr>
      </w:pPr>
    </w:p>
    <w:p>
      <w:pPr>
        <w:rPr>
          <w:rFonts w:hint="eastAsia"/>
          <w:highlight w:val="none"/>
          <w:lang w:eastAsia="zh-CN"/>
        </w:rPr>
      </w:pPr>
      <w:r>
        <w:rPr>
          <w:rFonts w:hint="eastAsia"/>
          <w:highlight w:val="none"/>
          <w:lang w:eastAsia="zh-CN"/>
        </w:rPr>
        <w:t>附件：</w:t>
      </w:r>
    </w:p>
    <w:p>
      <w:pPr>
        <w:spacing w:line="360" w:lineRule="auto"/>
        <w:jc w:val="center"/>
        <w:outlineLvl w:val="1"/>
        <w:rPr>
          <w:rFonts w:hint="eastAsia" w:hAnsi="宋体" w:cs="宋体"/>
          <w:b/>
          <w:color w:val="auto"/>
          <w:sz w:val="32"/>
          <w:szCs w:val="32"/>
          <w:highlight w:val="none"/>
        </w:rPr>
      </w:pPr>
      <w:r>
        <w:rPr>
          <w:rFonts w:hint="eastAsia" w:hAnsi="宋体" w:cs="宋体"/>
          <w:b/>
          <w:color w:val="auto"/>
          <w:sz w:val="32"/>
          <w:szCs w:val="32"/>
          <w:highlight w:val="none"/>
        </w:rPr>
        <w:t>（一）双靶单晶X射线衍射仪（1套）</w:t>
      </w:r>
    </w:p>
    <w:p>
      <w:pPr>
        <w:spacing w:line="360" w:lineRule="auto"/>
        <w:rPr>
          <w:rFonts w:hint="eastAsia" w:hAnsi="宋体" w:cs="宋体"/>
          <w:color w:val="auto"/>
          <w:sz w:val="24"/>
          <w:szCs w:val="24"/>
          <w:highlight w:val="none"/>
        </w:rPr>
      </w:pPr>
      <w:r>
        <w:rPr>
          <w:rFonts w:hint="eastAsia" w:hAnsi="宋体" w:cs="宋体"/>
          <w:b/>
          <w:color w:val="auto"/>
          <w:sz w:val="24"/>
          <w:szCs w:val="24"/>
          <w:highlight w:val="none"/>
        </w:rPr>
        <w:t>一、功能</w:t>
      </w:r>
      <w:r>
        <w:rPr>
          <w:rFonts w:hint="eastAsia" w:hAnsi="宋体" w:cs="宋体"/>
          <w:color w:val="auto"/>
          <w:sz w:val="24"/>
          <w:szCs w:val="24"/>
          <w:highlight w:val="none"/>
        </w:rPr>
        <w:t>：</w:t>
      </w:r>
    </w:p>
    <w:p>
      <w:pPr>
        <w:adjustRightInd w:val="0"/>
        <w:snapToGrid w:val="0"/>
        <w:spacing w:line="360" w:lineRule="auto"/>
        <w:ind w:firstLine="480" w:firstLineChars="200"/>
        <w:jc w:val="left"/>
        <w:rPr>
          <w:rFonts w:hint="eastAsia" w:hAnsi="宋体" w:cs="宋体"/>
          <w:b/>
          <w:color w:val="auto"/>
          <w:sz w:val="24"/>
          <w:szCs w:val="24"/>
          <w:highlight w:val="none"/>
        </w:rPr>
      </w:pPr>
      <w:r>
        <w:rPr>
          <w:rFonts w:hint="eastAsia" w:hAnsi="宋体" w:cs="宋体"/>
          <w:color w:val="auto"/>
          <w:sz w:val="24"/>
          <w:szCs w:val="24"/>
          <w:highlight w:val="none"/>
        </w:rPr>
        <w:t>主要用于快速测定晶体结构，区分和确定晶体空间结构，分析电子云密度，孪晶、无公度晶体、准晶等。同时，能满足超小晶体的结构解析工作；能分析晶体的绝对构型、能完成从有机小分子到蛋白质的结构解析工作。</w:t>
      </w:r>
    </w:p>
    <w:p>
      <w:pPr>
        <w:spacing w:line="360" w:lineRule="auto"/>
        <w:rPr>
          <w:rFonts w:hint="eastAsia" w:hAnsi="宋体" w:cs="宋体"/>
          <w:color w:val="auto"/>
          <w:sz w:val="24"/>
          <w:szCs w:val="24"/>
          <w:highlight w:val="none"/>
        </w:rPr>
      </w:pPr>
      <w:r>
        <w:rPr>
          <w:rFonts w:hint="eastAsia" w:hAnsi="宋体" w:cs="宋体"/>
          <w:b/>
          <w:color w:val="auto"/>
          <w:sz w:val="24"/>
          <w:szCs w:val="24"/>
          <w:highlight w:val="none"/>
        </w:rPr>
        <w:t>二、技术要求</w:t>
      </w:r>
      <w:r>
        <w:rPr>
          <w:rFonts w:hint="eastAsia" w:hAnsi="宋体" w:cs="宋体"/>
          <w:color w:val="auto"/>
          <w:sz w:val="24"/>
          <w:szCs w:val="24"/>
          <w:highlight w:val="none"/>
        </w:rPr>
        <w:t>：</w:t>
      </w:r>
    </w:p>
    <w:p>
      <w:pPr>
        <w:adjustRightInd w:val="0"/>
        <w:snapToGrid w:val="0"/>
        <w:spacing w:line="360" w:lineRule="auto"/>
        <w:jc w:val="left"/>
        <w:rPr>
          <w:rFonts w:hint="eastAsia" w:hAnsi="宋体" w:cs="宋体"/>
          <w:b/>
          <w:bCs/>
          <w:color w:val="auto"/>
          <w:sz w:val="24"/>
          <w:szCs w:val="24"/>
          <w:highlight w:val="none"/>
        </w:rPr>
      </w:pPr>
      <w:r>
        <w:rPr>
          <w:rFonts w:hint="eastAsia" w:hAnsi="宋体" w:cs="宋体"/>
          <w:b/>
          <w:bCs/>
          <w:color w:val="auto"/>
          <w:sz w:val="24"/>
          <w:szCs w:val="24"/>
          <w:highlight w:val="none"/>
        </w:rPr>
        <w:t>2.1二维面探测器</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*2.1.1采用全新CPAD电荷积分像素阵列探测技术</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*2.1.2探测器有效面积≥100X140 mm</w:t>
      </w:r>
      <w:r>
        <w:rPr>
          <w:rFonts w:hint="eastAsia" w:hAnsi="宋体" w:cs="宋体"/>
          <w:color w:val="auto"/>
          <w:sz w:val="24"/>
          <w:szCs w:val="24"/>
          <w:highlight w:val="none"/>
          <w:vertAlign w:val="superscript"/>
        </w:rPr>
        <w:t>2</w:t>
      </w:r>
      <w:r>
        <w:rPr>
          <w:rFonts w:hint="eastAsia" w:hAnsi="宋体" w:cs="宋体"/>
          <w:color w:val="auto"/>
          <w:sz w:val="24"/>
          <w:szCs w:val="24"/>
          <w:highlight w:val="none"/>
        </w:rPr>
        <w:t>，探测器芯片面积≥100X140 mm</w:t>
      </w:r>
      <w:r>
        <w:rPr>
          <w:rFonts w:hint="eastAsia" w:hAnsi="宋体" w:cs="宋体"/>
          <w:color w:val="auto"/>
          <w:sz w:val="24"/>
          <w:szCs w:val="24"/>
          <w:highlight w:val="none"/>
          <w:vertAlign w:val="superscript"/>
        </w:rPr>
        <w:t>2</w:t>
      </w:r>
      <w:r>
        <w:rPr>
          <w:rFonts w:hint="eastAsia" w:hAnsi="宋体" w:cs="宋体"/>
          <w:color w:val="auto"/>
          <w:sz w:val="24"/>
          <w:szCs w:val="24"/>
          <w:highlight w:val="none"/>
        </w:rPr>
        <w:t>，两者1:1耦合，没有缩锥比，且探测器芯片为单芯片</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2.1.3具备shutterfree功能</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*2.1.4探测器采用风冷模式制冷，且无需持续通保护气体</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2.1.5检测量子效率（DQE）对Cu,Mo光源均≥0.95，无电荷分享噪音</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2.1.6同时具备单光子计数和积分计数模式</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2.1.7探测器到样品的距离马达自动可调</w:t>
      </w:r>
    </w:p>
    <w:p>
      <w:pPr>
        <w:adjustRightInd w:val="0"/>
        <w:snapToGrid w:val="0"/>
        <w:spacing w:line="360" w:lineRule="auto"/>
        <w:jc w:val="left"/>
        <w:rPr>
          <w:rFonts w:hint="eastAsia" w:hAnsi="宋体" w:cs="宋体"/>
          <w:b/>
          <w:bCs/>
          <w:color w:val="auto"/>
          <w:sz w:val="24"/>
          <w:szCs w:val="24"/>
          <w:highlight w:val="none"/>
        </w:rPr>
      </w:pPr>
      <w:r>
        <w:rPr>
          <w:rFonts w:hint="eastAsia" w:hAnsi="宋体" w:cs="宋体"/>
          <w:b/>
          <w:bCs/>
          <w:color w:val="auto"/>
          <w:sz w:val="24"/>
          <w:szCs w:val="24"/>
          <w:highlight w:val="none"/>
        </w:rPr>
        <w:t>2.2 X-射线光源:要求采用双光源自动切换系统</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*2.2.1高强度微焦斑Mo光管，&gt;60W，无需水冷，并提供专门匹配微焦点光源的多层膜聚焦镜</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*2.2.2高强度微焦点Cu光管，&gt;50W，无需水冷，并提供专门匹配微焦点光源的多层膜聚焦镜2.2.3无需持续通保护气体</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*2.2.4要求Mo/Cu双靶光源同时安装在设备上，两种光源互换时无需更换任何配件，无需任何光路调整</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2.2.5配备双发生器</w:t>
      </w:r>
    </w:p>
    <w:p>
      <w:pPr>
        <w:adjustRightInd w:val="0"/>
        <w:snapToGrid w:val="0"/>
        <w:spacing w:line="360" w:lineRule="auto"/>
        <w:jc w:val="left"/>
        <w:rPr>
          <w:rFonts w:hint="eastAsia" w:hAnsi="宋体" w:cs="宋体"/>
          <w:b/>
          <w:bCs/>
          <w:color w:val="auto"/>
          <w:sz w:val="24"/>
          <w:szCs w:val="24"/>
          <w:highlight w:val="none"/>
        </w:rPr>
      </w:pPr>
      <w:r>
        <w:rPr>
          <w:rFonts w:hint="eastAsia" w:hAnsi="宋体" w:cs="宋体"/>
          <w:b/>
          <w:bCs/>
          <w:color w:val="auto"/>
          <w:sz w:val="24"/>
          <w:szCs w:val="24"/>
          <w:highlight w:val="none"/>
        </w:rPr>
        <w:t>2.3测角仪部分</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2.3.1测角仪采用光学编码器方式</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2.3.2φ轴：360°旋转，重复精度≤0.001°</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2.3.3ω轴/2θ：-270°-270°旋转，重复精度≤0.0002°</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2.3.4 Kappa：-175°-175°旋转，重复精度≤0.001°</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2.3.5球差保证：对心以后，任何移动，球差不超过7微米</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2.3.6标准测角头3个</w:t>
      </w:r>
    </w:p>
    <w:p>
      <w:pPr>
        <w:adjustRightInd w:val="0"/>
        <w:snapToGrid w:val="0"/>
        <w:spacing w:line="360" w:lineRule="auto"/>
        <w:jc w:val="left"/>
        <w:rPr>
          <w:rFonts w:hint="eastAsia" w:hAnsi="宋体" w:cs="宋体"/>
          <w:b/>
          <w:bCs/>
          <w:color w:val="auto"/>
          <w:sz w:val="24"/>
          <w:szCs w:val="24"/>
          <w:highlight w:val="none"/>
        </w:rPr>
      </w:pPr>
      <w:r>
        <w:rPr>
          <w:rFonts w:hint="eastAsia" w:hAnsi="宋体" w:cs="宋体"/>
          <w:b/>
          <w:bCs/>
          <w:color w:val="auto"/>
          <w:sz w:val="24"/>
          <w:szCs w:val="24"/>
          <w:highlight w:val="none"/>
        </w:rPr>
        <w:t>2.4 X射线光学系统</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2.4.1背靠背多层膜聚焦反射镜：镜子采用真空密封，无需持续通气，并带真空度传感器</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2.4.2有光束限制器;</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2.4.3彩色视频显微镜，放大倍数30~110倍，分辨率3μm</w:t>
      </w:r>
    </w:p>
    <w:p>
      <w:pPr>
        <w:adjustRightInd w:val="0"/>
        <w:snapToGrid w:val="0"/>
        <w:spacing w:line="360" w:lineRule="auto"/>
        <w:jc w:val="left"/>
        <w:rPr>
          <w:rFonts w:hint="eastAsia" w:hAnsi="宋体" w:cs="宋体"/>
          <w:b/>
          <w:bCs/>
          <w:color w:val="auto"/>
          <w:sz w:val="24"/>
          <w:szCs w:val="24"/>
          <w:highlight w:val="none"/>
        </w:rPr>
      </w:pPr>
      <w:r>
        <w:rPr>
          <w:rFonts w:hint="eastAsia" w:hAnsi="宋体" w:cs="宋体"/>
          <w:b/>
          <w:bCs/>
          <w:color w:val="auto"/>
          <w:sz w:val="24"/>
          <w:szCs w:val="24"/>
          <w:highlight w:val="none"/>
        </w:rPr>
        <w:t>2.5.设备控制数据采集终端</w:t>
      </w:r>
    </w:p>
    <w:p>
      <w:pPr>
        <w:adjustRightInd w:val="0"/>
        <w:snapToGrid w:val="0"/>
        <w:spacing w:line="360" w:lineRule="auto"/>
        <w:jc w:val="left"/>
        <w:rPr>
          <w:rFonts w:hint="eastAsia" w:hAnsi="宋体" w:cs="宋体"/>
          <w:b/>
          <w:bCs/>
          <w:color w:val="auto"/>
          <w:sz w:val="24"/>
          <w:szCs w:val="24"/>
          <w:highlight w:val="none"/>
        </w:rPr>
      </w:pPr>
      <w:r>
        <w:rPr>
          <w:rFonts w:hint="eastAsia" w:hAnsi="宋体" w:cs="宋体"/>
          <w:b/>
          <w:bCs/>
          <w:color w:val="auto"/>
          <w:sz w:val="24"/>
          <w:szCs w:val="24"/>
          <w:highlight w:val="none"/>
        </w:rPr>
        <w:t>2.6系统控制、数据采集分析、单晶结构解析软件包</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2.6.1软件成套性并且可工作于WINDOWS平台，预装并有正版软件备份件。</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2.6.2仪器操作控制软件包，全自动控制仪器全部操作，进行数据收集、各种校正和条件设置等；</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2.6.3供货厂家提供正版的商业版晶体结构最新分析SHELXTL软件包，具备晶体结构解析及精修所需要的所有功能。</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2.6.4全自动解结构软件</w:t>
      </w:r>
    </w:p>
    <w:p>
      <w:pPr>
        <w:adjustRightInd w:val="0"/>
        <w:snapToGrid w:val="0"/>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2.6.5提供的所有软件均应是最新版本并且拥有用户的一切使用权。</w:t>
      </w:r>
    </w:p>
    <w:p>
      <w:pPr>
        <w:adjustRightInd w:val="0"/>
        <w:snapToGrid w:val="0"/>
        <w:spacing w:line="360" w:lineRule="auto"/>
        <w:jc w:val="left"/>
        <w:rPr>
          <w:rFonts w:hint="eastAsia" w:hAnsi="宋体" w:cs="宋体"/>
          <w:b/>
          <w:bCs/>
          <w:color w:val="auto"/>
          <w:sz w:val="24"/>
          <w:szCs w:val="24"/>
          <w:highlight w:val="none"/>
        </w:rPr>
      </w:pPr>
      <w:r>
        <w:rPr>
          <w:rFonts w:hint="eastAsia" w:hAnsi="宋体" w:cs="宋体"/>
          <w:b/>
          <w:bCs/>
          <w:color w:val="auto"/>
          <w:sz w:val="24"/>
          <w:szCs w:val="24"/>
          <w:highlight w:val="none"/>
        </w:rPr>
        <w:t>2.7温度配件</w:t>
      </w:r>
    </w:p>
    <w:p>
      <w:pPr>
        <w:adjustRightInd w:val="0"/>
        <w:snapToGrid w:val="0"/>
        <w:spacing w:line="360" w:lineRule="auto"/>
        <w:jc w:val="left"/>
        <w:rPr>
          <w:rFonts w:hint="eastAsia" w:hAnsi="宋体" w:cs="宋体"/>
          <w:b/>
          <w:color w:val="auto"/>
          <w:sz w:val="24"/>
          <w:szCs w:val="24"/>
          <w:highlight w:val="none"/>
        </w:rPr>
      </w:pPr>
      <w:r>
        <w:rPr>
          <w:rFonts w:hint="eastAsia" w:hAnsi="宋体" w:cs="宋体"/>
          <w:color w:val="auto"/>
          <w:sz w:val="24"/>
          <w:szCs w:val="24"/>
          <w:highlight w:val="none"/>
        </w:rPr>
        <w:t>2.7.1液氮低温装置一套，温度范围：80-400 K</w:t>
      </w:r>
    </w:p>
    <w:p>
      <w:pPr>
        <w:spacing w:line="360" w:lineRule="auto"/>
        <w:rPr>
          <w:rFonts w:hint="eastAsia" w:hAnsi="宋体" w:cs="宋体"/>
          <w:b/>
          <w:color w:val="auto"/>
          <w:sz w:val="24"/>
          <w:szCs w:val="24"/>
          <w:highlight w:val="none"/>
        </w:rPr>
      </w:pPr>
      <w:r>
        <w:rPr>
          <w:rFonts w:hint="eastAsia" w:hAnsi="宋体" w:cs="宋体"/>
          <w:b/>
          <w:color w:val="auto"/>
          <w:sz w:val="24"/>
          <w:szCs w:val="24"/>
          <w:highlight w:val="none"/>
        </w:rPr>
        <w:t>三、随机文件资料</w:t>
      </w:r>
    </w:p>
    <w:p>
      <w:pPr>
        <w:spacing w:line="360" w:lineRule="auto"/>
        <w:rPr>
          <w:rFonts w:hint="eastAsia" w:hAnsi="宋体" w:cs="宋体"/>
          <w:bCs/>
          <w:color w:val="auto"/>
          <w:sz w:val="24"/>
          <w:szCs w:val="24"/>
          <w:highlight w:val="none"/>
        </w:rPr>
      </w:pPr>
      <w:r>
        <w:rPr>
          <w:rFonts w:hint="eastAsia" w:hAnsi="宋体" w:cs="宋体"/>
          <w:bCs/>
          <w:color w:val="auto"/>
          <w:sz w:val="24"/>
          <w:szCs w:val="24"/>
          <w:highlight w:val="none"/>
        </w:rPr>
        <w:t>3.1随机文件资料（纸质和电子版）：各一套</w:t>
      </w:r>
    </w:p>
    <w:p>
      <w:pPr>
        <w:spacing w:line="360" w:lineRule="auto"/>
        <w:rPr>
          <w:rFonts w:hint="eastAsia" w:hAnsi="宋体" w:cs="宋体"/>
          <w:bCs/>
          <w:color w:val="auto"/>
          <w:sz w:val="24"/>
          <w:szCs w:val="24"/>
          <w:highlight w:val="none"/>
        </w:rPr>
      </w:pPr>
      <w:r>
        <w:rPr>
          <w:rFonts w:hint="eastAsia" w:hAnsi="宋体" w:cs="宋体"/>
          <w:bCs/>
          <w:color w:val="auto"/>
          <w:sz w:val="24"/>
          <w:szCs w:val="24"/>
          <w:highlight w:val="none"/>
        </w:rPr>
        <w:t>3.2设备操作使用说明书：一套</w:t>
      </w:r>
    </w:p>
    <w:p>
      <w:pPr>
        <w:spacing w:line="360" w:lineRule="auto"/>
        <w:rPr>
          <w:rFonts w:hint="eastAsia" w:hAnsi="宋体" w:cs="宋体"/>
          <w:bCs/>
          <w:color w:val="auto"/>
          <w:sz w:val="24"/>
          <w:szCs w:val="24"/>
          <w:highlight w:val="none"/>
        </w:rPr>
      </w:pPr>
      <w:r>
        <w:rPr>
          <w:rFonts w:hint="eastAsia" w:hAnsi="宋体" w:cs="宋体"/>
          <w:bCs/>
          <w:color w:val="auto"/>
          <w:sz w:val="24"/>
          <w:szCs w:val="24"/>
          <w:highlight w:val="none"/>
        </w:rPr>
        <w:t>3.3设备维护保养指南：一套</w:t>
      </w:r>
    </w:p>
    <w:p>
      <w:pPr>
        <w:spacing w:line="360" w:lineRule="auto"/>
        <w:rPr>
          <w:rFonts w:hint="eastAsia" w:hAnsi="宋体" w:cs="宋体"/>
          <w:color w:val="auto"/>
          <w:sz w:val="24"/>
          <w:szCs w:val="24"/>
          <w:highlight w:val="none"/>
        </w:rPr>
      </w:pPr>
      <w:r>
        <w:rPr>
          <w:rFonts w:hint="eastAsia" w:hAnsi="宋体" w:cs="宋体"/>
          <w:bCs/>
          <w:color w:val="auto"/>
          <w:sz w:val="24"/>
          <w:szCs w:val="24"/>
          <w:highlight w:val="none"/>
        </w:rPr>
        <w:t>3.4其它应附随机资料</w:t>
      </w:r>
    </w:p>
    <w:p>
      <w:pPr>
        <w:spacing w:line="360" w:lineRule="auto"/>
        <w:ind w:firstLine="480" w:firstLineChars="200"/>
        <w:rPr>
          <w:rFonts w:hint="eastAsia" w:hAnsi="宋体" w:cs="宋体"/>
          <w:bCs/>
          <w:color w:val="auto"/>
          <w:sz w:val="24"/>
          <w:szCs w:val="24"/>
          <w:highlight w:val="none"/>
          <w:lang w:val="en-GB"/>
        </w:rPr>
      </w:pPr>
      <w:r>
        <w:rPr>
          <w:rFonts w:hint="eastAsia" w:hAnsi="宋体" w:cs="宋体"/>
          <w:bCs/>
          <w:color w:val="auto"/>
          <w:sz w:val="24"/>
          <w:szCs w:val="24"/>
          <w:highlight w:val="none"/>
          <w:lang w:val="en-GB"/>
        </w:rPr>
        <w:t>供应商应在供货同时向采购人提供所有有关本合同执行的技术文件。如果项目必需但合同又未作规定的要供应商才能提供的技术文件，供应商也应及时向采购人提供。上述技术文件应包含保证采购人能够正确进行安装、操作、检查、维修、维护、测试、调试、验收和运作的需要的所有内容。同时采购人完全按照技术文件的指导进行的任何安装、操作、检查维修、维护、测试、调试、验收所引起的系统和/或设备或其部件的损坏由供应商承担责任；</w:t>
      </w:r>
    </w:p>
    <w:p>
      <w:pPr>
        <w:spacing w:line="360" w:lineRule="auto"/>
        <w:ind w:firstLine="480" w:firstLineChars="200"/>
        <w:rPr>
          <w:rFonts w:hint="eastAsia" w:hAnsi="宋体" w:cs="宋体"/>
          <w:b/>
          <w:color w:val="auto"/>
          <w:sz w:val="24"/>
          <w:szCs w:val="24"/>
          <w:highlight w:val="none"/>
          <w:lang w:val="en-GB"/>
        </w:rPr>
      </w:pPr>
      <w:r>
        <w:rPr>
          <w:rFonts w:hint="eastAsia" w:hAnsi="宋体" w:cs="宋体"/>
          <w:bCs/>
          <w:color w:val="auto"/>
          <w:sz w:val="24"/>
          <w:szCs w:val="24"/>
          <w:highlight w:val="none"/>
          <w:lang w:val="en-GB"/>
        </w:rPr>
        <w:t>所有供应商提供的技术文件的全部费用已包含在合同货物价格中。</w:t>
      </w:r>
    </w:p>
    <w:p>
      <w:pPr>
        <w:spacing w:line="360" w:lineRule="auto"/>
        <w:rPr>
          <w:rFonts w:hint="eastAsia" w:hAnsi="宋体" w:cs="宋体"/>
          <w:b/>
          <w:bCs/>
          <w:color w:val="auto"/>
          <w:sz w:val="24"/>
          <w:szCs w:val="24"/>
          <w:highlight w:val="none"/>
        </w:rPr>
      </w:pPr>
      <w:r>
        <w:rPr>
          <w:rFonts w:hint="eastAsia" w:hAnsi="宋体" w:cs="宋体"/>
          <w:b/>
          <w:color w:val="auto"/>
          <w:sz w:val="24"/>
          <w:szCs w:val="24"/>
          <w:highlight w:val="none"/>
          <w:lang w:val="en-GB"/>
        </w:rPr>
        <w:t>四、</w:t>
      </w:r>
      <w:r>
        <w:rPr>
          <w:rFonts w:hint="eastAsia" w:hAnsi="宋体" w:cs="宋体"/>
          <w:b/>
          <w:bCs/>
          <w:color w:val="auto"/>
          <w:sz w:val="24"/>
          <w:szCs w:val="24"/>
          <w:highlight w:val="none"/>
        </w:rPr>
        <w:t>技术服务</w:t>
      </w:r>
    </w:p>
    <w:p>
      <w:pPr>
        <w:pStyle w:val="8"/>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4.1供应商应在合同生效后的1个月内到用户实验室现场进行预安装检测，用标准样品校准，并向采购人提出详细的安装要求和提供技术咨询。</w:t>
      </w:r>
    </w:p>
    <w:p>
      <w:pPr>
        <w:pStyle w:val="8"/>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4.2仪器到达用户所在地后，在接到用户通知后2周内进行安装调试，直至通过验收。</w:t>
      </w:r>
    </w:p>
    <w:p>
      <w:pPr>
        <w:pStyle w:val="8"/>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4.3技术培训：供应商设备安装调试完成后，供应商应对用户技术人员进行调试、操作、仪器维护、故障排除等方面的现场培训，时间为5个工作日。</w:t>
      </w:r>
    </w:p>
    <w:p>
      <w:pPr>
        <w:pStyle w:val="8"/>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4.4售后服务：制造商家在中国区建立有售后服务热线400电话，并配备专业维修工程师，能提供及时有效的售后服务。</w:t>
      </w:r>
    </w:p>
    <w:p>
      <w:pPr>
        <w:pStyle w:val="8"/>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4.5保修期：供应商提供整机1年的免费保修,光管3年质保。保修期自仪器验收签字之日起计算。</w:t>
      </w:r>
    </w:p>
    <w:p>
      <w:pPr>
        <w:pStyle w:val="8"/>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4.6维修响应时间：供应商应在24小时内对用户的服务要求给以响应；需要在现场解决问题的，应在5个工作日内到达仪器现场。</w:t>
      </w:r>
    </w:p>
    <w:p>
      <w:pPr>
        <w:pStyle w:val="8"/>
        <w:spacing w:line="360" w:lineRule="auto"/>
        <w:jc w:val="left"/>
        <w:rPr>
          <w:rFonts w:hint="eastAsia" w:hAnsi="宋体" w:cs="宋体"/>
          <w:b/>
          <w:color w:val="auto"/>
          <w:sz w:val="24"/>
          <w:szCs w:val="24"/>
          <w:highlight w:val="none"/>
        </w:rPr>
      </w:pPr>
      <w:r>
        <w:rPr>
          <w:rFonts w:hint="eastAsia" w:hAnsi="宋体" w:cs="宋体"/>
          <w:color w:val="auto"/>
          <w:sz w:val="24"/>
          <w:szCs w:val="24"/>
          <w:highlight w:val="none"/>
        </w:rPr>
        <w:t>4.7软、硬件升级：供应商应永久免费向用户提供仪器软件升级，与之相关的硬件升级收取成本费。</w:t>
      </w:r>
    </w:p>
    <w:p>
      <w:pPr>
        <w:tabs>
          <w:tab w:val="left" w:pos="2674"/>
        </w:tabs>
        <w:spacing w:line="360" w:lineRule="auto"/>
        <w:rPr>
          <w:rFonts w:hint="eastAsia" w:hAnsi="宋体" w:cs="宋体"/>
          <w:b/>
          <w:color w:val="auto"/>
          <w:sz w:val="24"/>
          <w:szCs w:val="24"/>
          <w:highlight w:val="none"/>
        </w:rPr>
      </w:pPr>
      <w:r>
        <w:rPr>
          <w:rFonts w:hint="eastAsia" w:hAnsi="宋体" w:cs="宋体"/>
          <w:b/>
          <w:color w:val="auto"/>
          <w:sz w:val="24"/>
          <w:szCs w:val="24"/>
          <w:highlight w:val="none"/>
        </w:rPr>
        <w:t>五、设备包装要求及运输方式</w:t>
      </w:r>
    </w:p>
    <w:p>
      <w:pPr>
        <w:pStyle w:val="8"/>
        <w:spacing w:line="360" w:lineRule="auto"/>
        <w:jc w:val="left"/>
        <w:rPr>
          <w:rFonts w:hint="eastAsia" w:hAnsi="宋体" w:cs="宋体"/>
          <w:color w:val="auto"/>
          <w:sz w:val="24"/>
          <w:szCs w:val="24"/>
          <w:highlight w:val="none"/>
        </w:rPr>
      </w:pPr>
      <w:r>
        <w:rPr>
          <w:rFonts w:hint="eastAsia" w:hAnsi="宋体" w:cs="宋体"/>
          <w:color w:val="auto"/>
          <w:sz w:val="24"/>
          <w:szCs w:val="24"/>
          <w:highlight w:val="none"/>
        </w:rPr>
        <w:t>5.1设备包装应符合海运、陆运、空运的标准，适合长途运输、防潮，防震，防绣；保证设备完好无损；适于海、陆、空运输和整体吊装。</w:t>
      </w:r>
    </w:p>
    <w:p>
      <w:pPr>
        <w:spacing w:line="360" w:lineRule="auto"/>
        <w:ind w:left="353" w:hanging="352" w:hangingChars="147"/>
        <w:outlineLvl w:val="0"/>
        <w:rPr>
          <w:rFonts w:hint="eastAsia" w:hAnsi="宋体" w:cs="宋体"/>
          <w:bCs/>
          <w:color w:val="auto"/>
          <w:sz w:val="24"/>
          <w:szCs w:val="24"/>
          <w:highlight w:val="none"/>
        </w:rPr>
      </w:pPr>
      <w:r>
        <w:rPr>
          <w:rFonts w:hint="eastAsia" w:hAnsi="宋体" w:cs="宋体"/>
          <w:bCs/>
          <w:color w:val="auto"/>
          <w:sz w:val="24"/>
          <w:szCs w:val="24"/>
          <w:highlight w:val="none"/>
        </w:rPr>
        <w:t>5.2由于包装不当所造成的货物锈蚀、损坏和损失均由供应商负责。</w:t>
      </w:r>
    </w:p>
    <w:p>
      <w:pPr>
        <w:rPr>
          <w:rFonts w:hint="eastAsia" w:hAnsi="宋体" w:cs="宋体"/>
          <w:bCs/>
          <w:color w:val="auto"/>
          <w:sz w:val="24"/>
          <w:szCs w:val="24"/>
          <w:highlight w:val="none"/>
        </w:rPr>
      </w:pPr>
      <w:r>
        <w:rPr>
          <w:rFonts w:hint="eastAsia" w:hAnsi="宋体" w:cs="宋体"/>
          <w:bCs/>
          <w:color w:val="auto"/>
          <w:sz w:val="24"/>
          <w:szCs w:val="24"/>
          <w:highlight w:val="none"/>
        </w:rPr>
        <w:t>5.3每份包装箱内应附一份详细装箱清单和质量检验合格证明，另一份在包装箱外。</w:t>
      </w:r>
    </w:p>
    <w:p>
      <w:pPr>
        <w:rPr>
          <w:rFonts w:hint="eastAsia" w:hAnsi="宋体" w:cs="宋体"/>
          <w:bCs/>
          <w:color w:val="auto"/>
          <w:sz w:val="24"/>
          <w:szCs w:val="24"/>
          <w:highlight w:val="none"/>
        </w:rPr>
      </w:pPr>
    </w:p>
    <w:p>
      <w:pPr>
        <w:spacing w:before="120" w:beforeLines="50" w:line="360" w:lineRule="auto"/>
        <w:jc w:val="center"/>
        <w:outlineLvl w:val="1"/>
        <w:rPr>
          <w:rFonts w:hint="eastAsia" w:hAnsi="宋体" w:cs="宋体"/>
          <w:b/>
          <w:color w:val="auto"/>
          <w:sz w:val="32"/>
          <w:szCs w:val="32"/>
          <w:highlight w:val="none"/>
        </w:rPr>
      </w:pPr>
      <w:r>
        <w:rPr>
          <w:rFonts w:hint="eastAsia" w:hAnsi="宋体" w:cs="宋体"/>
          <w:b/>
          <w:color w:val="auto"/>
          <w:sz w:val="32"/>
          <w:szCs w:val="32"/>
          <w:highlight w:val="none"/>
        </w:rPr>
        <w:t>（二）商务要求</w:t>
      </w:r>
    </w:p>
    <w:p>
      <w:pPr>
        <w:spacing w:line="400" w:lineRule="exact"/>
        <w:rPr>
          <w:rFonts w:hint="eastAsia" w:hAnsi="宋体" w:cs="宋体"/>
          <w:b/>
          <w:color w:val="auto"/>
          <w:sz w:val="24"/>
          <w:szCs w:val="24"/>
          <w:highlight w:val="none"/>
        </w:rPr>
      </w:pPr>
      <w:r>
        <w:rPr>
          <w:rFonts w:hint="eastAsia" w:hAnsi="宋体" w:cs="宋体"/>
          <w:b/>
          <w:color w:val="auto"/>
          <w:sz w:val="24"/>
          <w:szCs w:val="24"/>
          <w:highlight w:val="none"/>
        </w:rPr>
        <w:t>1、交货期: 签订合同后</w:t>
      </w:r>
      <w:r>
        <w:rPr>
          <w:rFonts w:hint="eastAsia" w:hAnsi="宋体" w:cs="宋体"/>
          <w:bCs/>
          <w:color w:val="auto"/>
          <w:sz w:val="24"/>
          <w:szCs w:val="24"/>
          <w:highlight w:val="none"/>
        </w:rPr>
        <w:t>五个月。</w:t>
      </w:r>
    </w:p>
    <w:p>
      <w:pPr>
        <w:spacing w:line="400" w:lineRule="exact"/>
        <w:rPr>
          <w:rFonts w:hint="eastAsia" w:hAnsi="宋体" w:cs="宋体"/>
          <w:b/>
          <w:color w:val="auto"/>
          <w:sz w:val="24"/>
          <w:szCs w:val="24"/>
          <w:highlight w:val="none"/>
        </w:rPr>
      </w:pPr>
      <w:r>
        <w:rPr>
          <w:rFonts w:hint="eastAsia" w:hAnsi="宋体" w:cs="宋体"/>
          <w:b/>
          <w:color w:val="auto"/>
          <w:sz w:val="24"/>
          <w:szCs w:val="24"/>
          <w:highlight w:val="none"/>
        </w:rPr>
        <w:t>2、交货地点：</w:t>
      </w:r>
      <w:r>
        <w:rPr>
          <w:rFonts w:hint="eastAsia" w:hAnsi="宋体" w:cs="宋体"/>
          <w:color w:val="auto"/>
          <w:sz w:val="24"/>
          <w:szCs w:val="24"/>
          <w:highlight w:val="none"/>
        </w:rPr>
        <w:t>四川大学。</w:t>
      </w:r>
    </w:p>
    <w:p>
      <w:pPr>
        <w:spacing w:line="400" w:lineRule="exact"/>
        <w:rPr>
          <w:color w:val="auto"/>
          <w:highlight w:val="none"/>
        </w:rPr>
      </w:pPr>
      <w:r>
        <w:rPr>
          <w:rFonts w:hint="eastAsia" w:hAnsi="宋体" w:cs="宋体"/>
          <w:b/>
          <w:color w:val="auto"/>
          <w:sz w:val="24"/>
          <w:szCs w:val="24"/>
          <w:highlight w:val="none"/>
        </w:rPr>
        <w:t>3、付款方式：</w:t>
      </w:r>
    </w:p>
    <w:p>
      <w:pPr>
        <w:spacing w:line="400" w:lineRule="exact"/>
        <w:ind w:firstLine="480" w:firstLineChars="200"/>
        <w:rPr>
          <w:rFonts w:hAnsi="宋体"/>
          <w:color w:val="auto"/>
          <w:sz w:val="24"/>
          <w:szCs w:val="24"/>
          <w:highlight w:val="none"/>
        </w:rPr>
      </w:pPr>
      <w:r>
        <w:rPr>
          <w:rFonts w:hint="eastAsia" w:hAnsi="宋体"/>
          <w:color w:val="auto"/>
          <w:sz w:val="24"/>
          <w:szCs w:val="24"/>
          <w:highlight w:val="none"/>
        </w:rPr>
        <w:t>国产设备付款方式：产品到货验收合格后，100%支付货款。</w:t>
      </w:r>
    </w:p>
    <w:p>
      <w:pPr>
        <w:spacing w:line="400" w:lineRule="exact"/>
        <w:ind w:firstLine="480" w:firstLineChars="200"/>
        <w:rPr>
          <w:color w:val="auto"/>
          <w:highlight w:val="none"/>
        </w:rPr>
      </w:pPr>
      <w:r>
        <w:rPr>
          <w:rFonts w:hint="eastAsia" w:hAnsi="宋体"/>
          <w:color w:val="auto"/>
          <w:sz w:val="24"/>
          <w:szCs w:val="24"/>
          <w:highlight w:val="none"/>
        </w:rPr>
        <w:t>进口设备付款方式：采购人与所委托的进口代理公司签订代理进口委托协议后，将进口项目货款支付给代理公司指定的银行账户，由代理公司开具100%信用证或TT电汇付款；产品到货验收合格后，100%支付货款。</w:t>
      </w:r>
    </w:p>
    <w:p>
      <w:pPr>
        <w:spacing w:line="400" w:lineRule="exact"/>
        <w:rPr>
          <w:rFonts w:hint="eastAsia" w:hAnsi="宋体" w:cs="宋体"/>
          <w:color w:val="auto"/>
          <w:sz w:val="24"/>
          <w:szCs w:val="24"/>
          <w:highlight w:val="none"/>
        </w:rPr>
      </w:pPr>
      <w:r>
        <w:rPr>
          <w:rFonts w:hint="eastAsia" w:hAnsi="宋体" w:cs="宋体"/>
          <w:b/>
          <w:bCs/>
          <w:color w:val="auto"/>
          <w:sz w:val="24"/>
          <w:szCs w:val="24"/>
          <w:highlight w:val="none"/>
        </w:rPr>
        <w:t>4、验收标准</w:t>
      </w:r>
      <w:r>
        <w:rPr>
          <w:rFonts w:hint="eastAsia" w:hAnsi="宋体" w:cs="宋体"/>
          <w:color w:val="auto"/>
          <w:sz w:val="24"/>
          <w:szCs w:val="24"/>
          <w:highlight w:val="none"/>
        </w:rPr>
        <w:t>：</w:t>
      </w:r>
      <w:r>
        <w:rPr>
          <w:rFonts w:hint="eastAsia" w:hAnsi="宋体" w:cs="宋体"/>
          <w:color w:val="auto"/>
          <w:sz w:val="24"/>
          <w:highlight w:val="none"/>
        </w:rPr>
        <w:t>中标</w:t>
      </w:r>
      <w:r>
        <w:rPr>
          <w:rFonts w:hint="eastAsia" w:hAnsi="宋体"/>
          <w:color w:val="auto"/>
          <w:sz w:val="24"/>
          <w:highlight w:val="none"/>
        </w:rPr>
        <w:t>人与采购人将严格按照《财政部关于进一步加强政府采购需求和履约验收管理的指导意见》(财库〔2016〕205号)、四川省财政厅《四川省政府采购项目需求论证和履约验收管理办法》(川财采〔2015〕32号)的要求、合同要求进行验收。</w:t>
      </w:r>
    </w:p>
    <w:p>
      <w:pPr>
        <w:spacing w:line="400" w:lineRule="exact"/>
        <w:rPr>
          <w:rFonts w:hint="eastAsia" w:hAnsi="宋体" w:cs="宋体"/>
          <w:color w:val="auto"/>
          <w:sz w:val="24"/>
          <w:szCs w:val="24"/>
          <w:highlight w:val="none"/>
        </w:rPr>
      </w:pPr>
    </w:p>
    <w:p>
      <w:pPr>
        <w:spacing w:line="360" w:lineRule="auto"/>
        <w:jc w:val="left"/>
        <w:rPr>
          <w:rFonts w:hint="eastAsia" w:hAnsi="宋体" w:cs="宋体"/>
          <w:bCs/>
          <w:color w:val="auto"/>
          <w:sz w:val="24"/>
          <w:szCs w:val="24"/>
          <w:highlight w:val="none"/>
        </w:rPr>
      </w:pPr>
      <w:r>
        <w:rPr>
          <w:rFonts w:hint="eastAsia" w:hAnsi="宋体" w:cs="宋体"/>
          <w:b/>
          <w:color w:val="auto"/>
          <w:sz w:val="24"/>
          <w:szCs w:val="24"/>
          <w:highlight w:val="none"/>
        </w:rPr>
        <w:t>注：1.技术要求中“*”号条款为实质性要求，任意一项不满足的其投标将视为无效。</w:t>
      </w:r>
    </w:p>
    <w:p>
      <w:pPr>
        <w:spacing w:line="400" w:lineRule="exact"/>
        <w:rPr>
          <w:rFonts w:hint="eastAsia" w:hAnsi="宋体" w:cs="宋体"/>
          <w:b/>
          <w:bCs/>
          <w:color w:val="auto"/>
          <w:sz w:val="24"/>
          <w:szCs w:val="24"/>
          <w:highlight w:val="none"/>
        </w:rPr>
      </w:pPr>
      <w:r>
        <w:rPr>
          <w:rFonts w:hint="eastAsia" w:hAnsi="宋体" w:cs="宋体"/>
          <w:b/>
          <w:bCs/>
          <w:color w:val="auto"/>
          <w:sz w:val="24"/>
          <w:szCs w:val="24"/>
          <w:highlight w:val="none"/>
        </w:rPr>
        <w:t>2.若技术要求中指定或变相指定品牌、型号、产地等均不作为招标要求。</w:t>
      </w:r>
    </w:p>
    <w:p>
      <w:pPr>
        <w:spacing w:after="260"/>
        <w:jc w:val="center"/>
        <w:outlineLvl w:val="0"/>
        <w:rPr>
          <w:rFonts w:hint="eastAsia" w:hAnsi="宋体" w:cs="宋体"/>
          <w:b/>
          <w:sz w:val="36"/>
          <w:highlight w:val="none"/>
        </w:rPr>
      </w:pPr>
    </w:p>
    <w:p>
      <w:pPr>
        <w:rPr>
          <w:rFonts w:hint="eastAsi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B4B6D"/>
    <w:rsid w:val="005332D4"/>
    <w:rsid w:val="0E6D674C"/>
    <w:rsid w:val="1F087DEE"/>
    <w:rsid w:val="2E45695B"/>
    <w:rsid w:val="33AC3FB0"/>
    <w:rsid w:val="3CD772D4"/>
    <w:rsid w:val="3DE677EB"/>
    <w:rsid w:val="46823ED7"/>
    <w:rsid w:val="48E9189E"/>
    <w:rsid w:val="4FB062A3"/>
    <w:rsid w:val="570B4B6D"/>
    <w:rsid w:val="57965267"/>
    <w:rsid w:val="6AF253AC"/>
    <w:rsid w:val="6E7314F3"/>
    <w:rsid w:val="746968F7"/>
    <w:rsid w:val="7ACC3E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kern w:val="2"/>
      <w:sz w:val="21"/>
      <w:szCs w:val="24"/>
    </w:rPr>
  </w:style>
  <w:style w:type="paragraph" w:styleId="3">
    <w:name w:val="annotation text"/>
    <w:basedOn w:val="1"/>
    <w:qFormat/>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首行缩进两字符"/>
    <w:basedOn w:val="1"/>
    <w:qFormat/>
    <w:uiPriority w:val="0"/>
    <w:pPr>
      <w:spacing w:line="360" w:lineRule="auto"/>
      <w:ind w:firstLine="200" w:firstLineChars="200"/>
    </w:pPr>
    <w:rPr>
      <w:rFonts w:ascii="Times New Roman"/>
      <w:kern w:val="2"/>
      <w:sz w:val="21"/>
      <w:szCs w:val="24"/>
    </w:rPr>
  </w:style>
  <w:style w:type="paragraph" w:customStyle="1" w:styleId="8">
    <w:name w:val="p0"/>
    <w:basedOn w:val="1"/>
    <w:qFormat/>
    <w:uiPriority w:val="0"/>
    <w:pPr>
      <w:widowControl/>
    </w:pPr>
    <w:rPr>
      <w:rFonts w:ascii="宋体" w:hAnsi="Times New Roman"/>
      <w:kern w:val="0"/>
      <w:sz w:val="3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2019-04-03T07:33:00Z</dcterms:created>
  <dc:creator>ZY_gonggaozhuanyuan</dc:creator>
  <cp:lastModifiedBy>黑*翼*</cp:lastModifiedBy>
  <dcterms:modified xsi:type="dcterms:W3CDTF">2020-04-16T06:00:38Z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