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936" w:beforeLines="300"/>
        <w:jc w:val="center"/>
        <w:rPr>
          <w:rFonts w:hint="eastAsia" w:ascii="黑体" w:eastAsia="黑体"/>
          <w:b/>
          <w:kern w:val="44"/>
          <w:sz w:val="48"/>
          <w:szCs w:val="20"/>
        </w:rPr>
      </w:pPr>
      <w:r>
        <w:rPr>
          <w:rFonts w:hint="eastAsia" w:ascii="黑体" w:eastAsia="黑体"/>
          <w:b/>
          <w:kern w:val="44"/>
          <w:sz w:val="48"/>
          <w:szCs w:val="20"/>
        </w:rPr>
        <w:t>第八部分  技术部分</w:t>
      </w:r>
      <w:r>
        <w:rPr>
          <w:rFonts w:ascii="黑体" w:eastAsia="黑体"/>
          <w:b/>
          <w:kern w:val="44"/>
          <w:sz w:val="48"/>
          <w:szCs w:val="20"/>
        </w:rPr>
        <w:br w:type="page"/>
      </w:r>
    </w:p>
    <w:p>
      <w:pPr>
        <w:numPr>
          <w:ilvl w:val="2"/>
          <w:numId w:val="1"/>
        </w:numPr>
        <w:adjustRightInd w:val="0"/>
        <w:snapToGrid w:val="0"/>
        <w:jc w:val="center"/>
        <w:rPr>
          <w:rFonts w:hint="eastAsia" w:ascii="宋体" w:hAnsi="宋体"/>
          <w:b/>
          <w:sz w:val="30"/>
          <w:szCs w:val="30"/>
        </w:rPr>
      </w:pPr>
      <w:r>
        <w:rPr>
          <w:rFonts w:hint="eastAsia" w:ascii="宋体" w:hAnsi="宋体"/>
          <w:b/>
          <w:sz w:val="30"/>
          <w:szCs w:val="30"/>
        </w:rPr>
        <w:t>货物需求一览表</w:t>
      </w:r>
    </w:p>
    <w:p>
      <w:pPr>
        <w:adjustRightInd w:val="0"/>
        <w:snapToGrid w:val="0"/>
        <w:jc w:val="center"/>
        <w:rPr>
          <w:rFonts w:hint="eastAsia" w:ascii="宋体" w:hAnsi="宋体"/>
          <w:b/>
          <w:sz w:val="30"/>
          <w:szCs w:val="30"/>
        </w:rPr>
      </w:pPr>
    </w:p>
    <w:tbl>
      <w:tblPr>
        <w:tblStyle w:val="5"/>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noWrap w:val="0"/>
            <w:vAlign w:val="center"/>
          </w:tcPr>
          <w:p>
            <w:pPr>
              <w:jc w:val="center"/>
              <w:rPr>
                <w:rFonts w:ascii="宋体" w:hAnsi="Bookman Old Style"/>
                <w:sz w:val="24"/>
              </w:rPr>
            </w:pPr>
            <w:r>
              <w:rPr>
                <w:rFonts w:hint="eastAsia" w:ascii="宋体" w:hAnsi="Bookman Old Style"/>
                <w:sz w:val="24"/>
              </w:rPr>
              <w:t>包号</w:t>
            </w:r>
          </w:p>
        </w:tc>
        <w:tc>
          <w:tcPr>
            <w:tcW w:w="2640" w:type="dxa"/>
            <w:noWrap w:val="0"/>
            <w:vAlign w:val="center"/>
          </w:tcPr>
          <w:p>
            <w:pPr>
              <w:jc w:val="center"/>
              <w:rPr>
                <w:rFonts w:ascii="宋体" w:hAnsi="Bookman Old Style"/>
                <w:sz w:val="24"/>
              </w:rPr>
            </w:pPr>
            <w:r>
              <w:rPr>
                <w:rFonts w:hint="eastAsia" w:ascii="宋体" w:hAnsi="Bookman Old Style"/>
                <w:sz w:val="24"/>
              </w:rPr>
              <w:t>货物名称</w:t>
            </w:r>
          </w:p>
        </w:tc>
        <w:tc>
          <w:tcPr>
            <w:tcW w:w="635" w:type="dxa"/>
            <w:noWrap w:val="0"/>
            <w:vAlign w:val="center"/>
          </w:tcPr>
          <w:p>
            <w:pPr>
              <w:jc w:val="center"/>
              <w:rPr>
                <w:rFonts w:ascii="宋体" w:hAnsi="Bookman Old Style"/>
                <w:sz w:val="24"/>
              </w:rPr>
            </w:pPr>
            <w:r>
              <w:rPr>
                <w:rFonts w:hint="eastAsia" w:ascii="宋体" w:hAnsi="Bookman Old Style"/>
                <w:sz w:val="24"/>
              </w:rPr>
              <w:t>数量</w:t>
            </w:r>
          </w:p>
        </w:tc>
        <w:tc>
          <w:tcPr>
            <w:tcW w:w="1320" w:type="dxa"/>
            <w:noWrap w:val="0"/>
            <w:vAlign w:val="center"/>
          </w:tcPr>
          <w:p>
            <w:pPr>
              <w:jc w:val="center"/>
              <w:rPr>
                <w:rFonts w:ascii="宋体" w:hAnsi="Bookman Old Style"/>
                <w:sz w:val="24"/>
              </w:rPr>
            </w:pPr>
            <w:r>
              <w:rPr>
                <w:rFonts w:hint="eastAsia" w:ascii="宋体" w:hAnsi="Bookman Old Style"/>
                <w:sz w:val="24"/>
              </w:rPr>
              <w:t>交货期</w:t>
            </w:r>
          </w:p>
        </w:tc>
        <w:tc>
          <w:tcPr>
            <w:tcW w:w="1765" w:type="dxa"/>
            <w:noWrap w:val="0"/>
            <w:vAlign w:val="center"/>
          </w:tcPr>
          <w:p>
            <w:pPr>
              <w:jc w:val="center"/>
              <w:rPr>
                <w:rFonts w:hint="eastAsia" w:ascii="宋体" w:hAnsi="Bookman Old Style"/>
                <w:sz w:val="24"/>
              </w:rPr>
            </w:pPr>
            <w:r>
              <w:rPr>
                <w:rFonts w:hint="eastAsia" w:ascii="宋体" w:hAnsi="Bookman Old Style"/>
                <w:sz w:val="24"/>
              </w:rPr>
              <w:t>指定到货港</w:t>
            </w:r>
          </w:p>
        </w:tc>
        <w:tc>
          <w:tcPr>
            <w:tcW w:w="2520" w:type="dxa"/>
            <w:noWrap w:val="0"/>
            <w:vAlign w:val="center"/>
          </w:tcPr>
          <w:p>
            <w:pPr>
              <w:jc w:val="center"/>
              <w:rPr>
                <w:rFonts w:ascii="宋体" w:hAnsi="Bookman Old Style"/>
                <w:sz w:val="24"/>
                <w:shd w:val="pct10" w:color="auto" w:fill="FFFFFF"/>
              </w:rPr>
            </w:pPr>
            <w:r>
              <w:rPr>
                <w:rFonts w:hint="eastAsia" w:ascii="宋体" w:hAnsi="Bookman Old Style"/>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hAnsi="宋体" w:cs="宋体"/>
                <w:sz w:val="24"/>
              </w:rPr>
            </w:pPr>
            <w:r>
              <w:rPr>
                <w:rFonts w:hint="eastAsia" w:ascii="宋体" w:hAnsi="宋体" w:cs="宋体"/>
                <w:sz w:val="24"/>
              </w:rPr>
              <w:t>1</w:t>
            </w:r>
          </w:p>
        </w:tc>
        <w:tc>
          <w:tcPr>
            <w:tcW w:w="2640" w:type="dxa"/>
            <w:noWrap w:val="0"/>
            <w:vAlign w:val="center"/>
          </w:tcPr>
          <w:p>
            <w:pPr>
              <w:jc w:val="center"/>
              <w:rPr>
                <w:rFonts w:hint="eastAsia" w:ascii="宋体" w:hAnsi="宋体" w:cs="宋体"/>
                <w:sz w:val="24"/>
              </w:rPr>
            </w:pPr>
            <w:r>
              <w:rPr>
                <w:rFonts w:hint="eastAsia" w:ascii="宋体" w:hAnsi="Bookman Old Style"/>
                <w:sz w:val="24"/>
              </w:rPr>
              <w:t>混合示波器</w:t>
            </w:r>
          </w:p>
        </w:tc>
        <w:tc>
          <w:tcPr>
            <w:tcW w:w="635" w:type="dxa"/>
            <w:noWrap w:val="0"/>
            <w:vAlign w:val="center"/>
          </w:tcPr>
          <w:p>
            <w:pPr>
              <w:jc w:val="center"/>
              <w:rPr>
                <w:rFonts w:ascii="宋体" w:hAnsi="宋体" w:cs="宋体"/>
                <w:sz w:val="24"/>
              </w:rPr>
            </w:pPr>
            <w:r>
              <w:rPr>
                <w:rFonts w:ascii="宋体" w:hAnsi="Bookman Old Style"/>
                <w:sz w:val="24"/>
              </w:rPr>
              <w:t>1</w:t>
            </w:r>
            <w:r>
              <w:rPr>
                <w:rFonts w:hint="eastAsia" w:ascii="宋体" w:hAnsi="Bookman Old Style"/>
                <w:sz w:val="24"/>
              </w:rPr>
              <w:t>台</w:t>
            </w:r>
          </w:p>
        </w:tc>
        <w:tc>
          <w:tcPr>
            <w:tcW w:w="1320" w:type="dxa"/>
            <w:noWrap w:val="0"/>
            <w:vAlign w:val="center"/>
          </w:tcPr>
          <w:p>
            <w:pPr>
              <w:jc w:val="center"/>
              <w:rPr>
                <w:rFonts w:hint="eastAsia" w:ascii="宋体" w:hAnsi="宋体" w:cs="宋体"/>
                <w:sz w:val="24"/>
              </w:rPr>
            </w:pPr>
            <w:r>
              <w:rPr>
                <w:rFonts w:hint="eastAsia" w:ascii="宋体" w:hAnsi="Bookman Old Style"/>
                <w:sz w:val="24"/>
              </w:rPr>
              <w:t>合同签订后2</w:t>
            </w:r>
            <w:r>
              <w:rPr>
                <w:rFonts w:ascii="宋体" w:hAnsi="Bookman Old Style"/>
                <w:sz w:val="24"/>
              </w:rPr>
              <w:t>4</w:t>
            </w:r>
            <w:r>
              <w:rPr>
                <w:rFonts w:hint="eastAsia" w:ascii="宋体" w:hAnsi="Bookman Old Style"/>
                <w:sz w:val="24"/>
              </w:rPr>
              <w:t>周内</w:t>
            </w:r>
          </w:p>
        </w:tc>
        <w:tc>
          <w:tcPr>
            <w:tcW w:w="1765" w:type="dxa"/>
            <w:noWrap w:val="0"/>
            <w:vAlign w:val="center"/>
          </w:tcPr>
          <w:p>
            <w:pPr>
              <w:jc w:val="center"/>
              <w:rPr>
                <w:rFonts w:hint="eastAsia" w:ascii="宋体" w:hAnsi="宋体" w:cs="宋体"/>
                <w:sz w:val="24"/>
              </w:rPr>
            </w:pPr>
            <w:r>
              <w:rPr>
                <w:rFonts w:hint="eastAsia" w:ascii="宋体" w:hAnsi="宋体" w:cs="宋体"/>
                <w:sz w:val="24"/>
              </w:rPr>
              <w:t>C</w:t>
            </w:r>
            <w:r>
              <w:rPr>
                <w:rFonts w:ascii="宋体" w:hAnsi="宋体" w:cs="宋体"/>
                <w:sz w:val="24"/>
              </w:rPr>
              <w:t>IP</w:t>
            </w:r>
            <w:r>
              <w:rPr>
                <w:rFonts w:hint="eastAsia" w:ascii="宋体" w:hAnsi="宋体" w:cs="宋体"/>
                <w:sz w:val="24"/>
              </w:rPr>
              <w:t>北京</w:t>
            </w:r>
          </w:p>
        </w:tc>
        <w:tc>
          <w:tcPr>
            <w:tcW w:w="2520" w:type="dxa"/>
            <w:noWrap w:val="0"/>
            <w:vAlign w:val="center"/>
          </w:tcPr>
          <w:p>
            <w:pPr>
              <w:jc w:val="center"/>
              <w:rPr>
                <w:rFonts w:hint="eastAsia" w:ascii="宋体" w:hAnsi="Bookman Old Style"/>
                <w:sz w:val="24"/>
              </w:rPr>
            </w:pPr>
            <w:r>
              <w:rPr>
                <w:rFonts w:ascii="宋体" w:hAnsi="宋体" w:cs="宋体"/>
                <w:sz w:val="24"/>
                <w:shd w:val="clear" w:color="auto" w:fill="FFFFFF"/>
              </w:rPr>
              <w:t>中国科学院计算技术研究所</w:t>
            </w:r>
          </w:p>
        </w:tc>
      </w:tr>
    </w:tbl>
    <w:p>
      <w:pPr>
        <w:rPr>
          <w:rFonts w:hint="eastAsia" w:ascii="Bookman Old Style" w:hAnsi="Bookman Old Style"/>
          <w:sz w:val="24"/>
        </w:rPr>
      </w:pPr>
      <w:r>
        <w:rPr>
          <w:rFonts w:hint="eastAsia"/>
          <w:sz w:val="24"/>
        </w:rPr>
        <w:t>注：投标人须对上述投标内容中完整的一包进行投标，</w:t>
      </w:r>
      <w:r>
        <w:rPr>
          <w:rFonts w:hint="eastAsia" w:ascii="Bookman Old Style" w:hAnsi="Bookman Old Style"/>
          <w:sz w:val="24"/>
        </w:rPr>
        <w:t>不完整的投标将视为非响应性投标予以拒绝。</w:t>
      </w:r>
    </w:p>
    <w:p>
      <w:pPr>
        <w:adjustRightInd w:val="0"/>
        <w:snapToGrid w:val="0"/>
        <w:rPr>
          <w:rFonts w:hint="eastAsia" w:ascii="宋体" w:hAnsi="宋体"/>
          <w:b/>
          <w:sz w:val="30"/>
          <w:szCs w:val="30"/>
        </w:rPr>
      </w:pPr>
      <w:r>
        <w:rPr>
          <w:rFonts w:ascii="宋体" w:hAnsi="宋体"/>
          <w:b/>
          <w:sz w:val="30"/>
          <w:szCs w:val="30"/>
        </w:rPr>
        <w:br w:type="page"/>
      </w:r>
    </w:p>
    <w:p>
      <w:pPr>
        <w:numPr>
          <w:ilvl w:val="2"/>
          <w:numId w:val="1"/>
        </w:numPr>
        <w:tabs>
          <w:tab w:val="left" w:pos="720"/>
          <w:tab w:val="clear" w:pos="1560"/>
        </w:tabs>
        <w:adjustRightInd w:val="0"/>
        <w:snapToGrid w:val="0"/>
        <w:ind w:hanging="1560"/>
        <w:jc w:val="center"/>
        <w:rPr>
          <w:rFonts w:ascii="宋体" w:hAnsi="宋体"/>
          <w:b/>
          <w:sz w:val="30"/>
          <w:szCs w:val="30"/>
        </w:rPr>
      </w:pPr>
      <w:r>
        <w:rPr>
          <w:rFonts w:hint="eastAsia" w:ascii="宋体" w:hAnsi="宋体"/>
          <w:b/>
          <w:sz w:val="30"/>
          <w:szCs w:val="30"/>
        </w:rPr>
        <w:t>技术规格</w:t>
      </w:r>
    </w:p>
    <w:p>
      <w:pPr>
        <w:spacing w:line="360" w:lineRule="auto"/>
        <w:ind w:left="600" w:hanging="600"/>
        <w:rPr>
          <w:rFonts w:hint="eastAsia" w:ascii="宋体" w:hAnsi="宋体"/>
          <w:b/>
          <w:sz w:val="30"/>
          <w:szCs w:val="30"/>
        </w:rPr>
      </w:pPr>
      <w:r>
        <w:rPr>
          <w:rFonts w:hint="eastAsia" w:ascii="宋体" w:hAnsi="宋体"/>
          <w:b/>
          <w:sz w:val="30"/>
          <w:szCs w:val="30"/>
        </w:rPr>
        <w:t>一、总</w:t>
      </w:r>
      <w:r>
        <w:rPr>
          <w:rFonts w:ascii="宋体" w:hAnsi="宋体"/>
          <w:b/>
          <w:sz w:val="30"/>
          <w:szCs w:val="30"/>
        </w:rPr>
        <w:t xml:space="preserve">  </w:t>
      </w:r>
      <w:r>
        <w:rPr>
          <w:rFonts w:hint="eastAsia" w:ascii="宋体" w:hAnsi="宋体"/>
          <w:b/>
          <w:sz w:val="30"/>
          <w:szCs w:val="30"/>
        </w:rPr>
        <w:t>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hint="eastAsia"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sz w:val="24"/>
        </w:rPr>
      </w:pPr>
      <w:r>
        <w:rPr>
          <w:rFonts w:hint="eastAsia" w:ascii="宋体" w:hAnsi="宋体"/>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hint="eastAsia"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rFonts w:hint="eastAsia"/>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hint="eastAsia"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b/>
          <w:sz w:val="28"/>
        </w:rPr>
      </w:pPr>
      <w:r>
        <w:rPr>
          <w:rFonts w:hint="eastAsia" w:ascii="宋体" w:hAnsi="宋体"/>
          <w:b/>
          <w:sz w:val="28"/>
        </w:rPr>
        <w:t>3、工作条件</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除非在技术规格中另有说明，所有仪器、设备和系统都应符合下列要求：</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3.1  适于在气温为摄氏</w:t>
      </w:r>
      <w:r>
        <w:rPr>
          <w:rFonts w:ascii="宋体" w:hAnsi="宋体"/>
          <w:b/>
          <w:sz w:val="24"/>
        </w:rPr>
        <w:t>-40</w:t>
      </w:r>
      <w:r>
        <w:rPr>
          <w:rFonts w:hint="eastAsia" w:ascii="宋体" w:hAnsi="宋体"/>
          <w:b/>
          <w:sz w:val="24"/>
        </w:rPr>
        <w:t>℃～＋</w:t>
      </w:r>
      <w:r>
        <w:rPr>
          <w:rFonts w:ascii="宋体" w:hAnsi="宋体"/>
          <w:b/>
          <w:sz w:val="24"/>
        </w:rPr>
        <w:t>50</w:t>
      </w:r>
      <w:r>
        <w:rPr>
          <w:rFonts w:hint="eastAsia" w:ascii="宋体" w:hAnsi="宋体"/>
          <w:b/>
          <w:sz w:val="24"/>
        </w:rPr>
        <w:t>℃</w:t>
      </w:r>
      <w:r>
        <w:rPr>
          <w:rFonts w:hint="eastAsia" w:ascii="宋体" w:hAnsi="宋体"/>
          <w:sz w:val="24"/>
        </w:rPr>
        <w:t>和相对湿度为</w:t>
      </w:r>
      <w:r>
        <w:rPr>
          <w:rFonts w:ascii="宋体" w:hAnsi="宋体"/>
          <w:b/>
          <w:sz w:val="24"/>
        </w:rPr>
        <w:t>90</w:t>
      </w:r>
      <w:r>
        <w:rPr>
          <w:rFonts w:hint="eastAsia" w:ascii="宋体" w:hAnsi="宋体"/>
          <w:b/>
          <w:sz w:val="24"/>
        </w:rPr>
        <w:t>％</w:t>
      </w:r>
      <w:r>
        <w:rPr>
          <w:rFonts w:hint="eastAsia" w:ascii="宋体" w:hAnsi="宋体"/>
          <w:sz w:val="24"/>
        </w:rPr>
        <w:t>的环境条件下运输和贮存。</w:t>
      </w:r>
    </w:p>
    <w:p>
      <w:pPr>
        <w:spacing w:line="360" w:lineRule="auto"/>
        <w:ind w:left="554" w:hanging="554" w:hangingChars="231"/>
        <w:rPr>
          <w:rFonts w:hint="eastAsia" w:ascii="宋体" w:hAnsi="宋体"/>
          <w:sz w:val="24"/>
        </w:rPr>
      </w:pPr>
      <w:r>
        <w:rPr>
          <w:rFonts w:hint="eastAsia" w:ascii="宋体" w:hAnsi="宋体"/>
          <w:sz w:val="24"/>
        </w:rPr>
        <w:t>3.2  适于在电源</w:t>
      </w:r>
      <w:r>
        <w:rPr>
          <w:rFonts w:ascii="宋体" w:hAnsi="宋体"/>
          <w:b/>
          <w:sz w:val="24"/>
        </w:rPr>
        <w:t>220V</w:t>
      </w:r>
      <w:r>
        <w:rPr>
          <w:rFonts w:hint="eastAsia" w:ascii="宋体" w:hAnsi="宋体"/>
          <w:b/>
          <w:sz w:val="24"/>
        </w:rPr>
        <w:t>（</w:t>
      </w:r>
      <w:r>
        <w:rPr>
          <w:rFonts w:ascii="宋体" w:hAnsi="宋体"/>
          <w:b/>
          <w:sz w:val="24"/>
        </w:rPr>
        <w:sym w:font="Symbol" w:char="F0B1"/>
      </w:r>
      <w:r>
        <w:rPr>
          <w:rFonts w:ascii="宋体" w:hAnsi="宋体"/>
          <w:b/>
          <w:sz w:val="24"/>
        </w:rPr>
        <w:t>10</w:t>
      </w:r>
      <w:r>
        <w:rPr>
          <w:rFonts w:hint="eastAsia" w:ascii="宋体" w:hAnsi="宋体"/>
          <w:b/>
          <w:sz w:val="24"/>
        </w:rPr>
        <w:t>％）</w:t>
      </w:r>
      <w:r>
        <w:rPr>
          <w:rFonts w:ascii="宋体" w:hAnsi="宋体"/>
          <w:b/>
          <w:sz w:val="24"/>
        </w:rPr>
        <w:t>/50Hz</w:t>
      </w:r>
      <w:r>
        <w:rPr>
          <w:rFonts w:hint="eastAsia" w:ascii="宋体" w:hAnsi="宋体"/>
          <w:sz w:val="24"/>
        </w:rPr>
        <w:t>、气温摄氏</w:t>
      </w:r>
      <w:r>
        <w:rPr>
          <w:rFonts w:hint="eastAsia" w:ascii="宋体" w:hAnsi="宋体"/>
          <w:b/>
          <w:sz w:val="24"/>
        </w:rPr>
        <w:t>+1</w:t>
      </w:r>
      <w:r>
        <w:rPr>
          <w:rFonts w:ascii="宋体" w:hAnsi="宋体"/>
          <w:b/>
          <w:sz w:val="24"/>
        </w:rPr>
        <w:t>5</w:t>
      </w:r>
      <w:r>
        <w:rPr>
          <w:rFonts w:hint="eastAsia" w:ascii="宋体" w:hAnsi="宋体"/>
          <w:b/>
          <w:sz w:val="24"/>
        </w:rPr>
        <w:t>℃～＋3</w:t>
      </w:r>
      <w:r>
        <w:rPr>
          <w:rFonts w:ascii="宋体" w:hAnsi="宋体"/>
          <w:b/>
          <w:sz w:val="24"/>
        </w:rPr>
        <w:t>0</w:t>
      </w:r>
      <w:r>
        <w:rPr>
          <w:rFonts w:hint="eastAsia" w:ascii="宋体" w:hAnsi="宋体"/>
          <w:b/>
          <w:sz w:val="24"/>
        </w:rPr>
        <w:t>℃</w:t>
      </w:r>
      <w:r>
        <w:rPr>
          <w:rFonts w:hint="eastAsia" w:ascii="宋体" w:hAnsi="宋体"/>
          <w:sz w:val="24"/>
        </w:rPr>
        <w:t>和相对湿度小于</w:t>
      </w:r>
      <w:r>
        <w:rPr>
          <w:rFonts w:ascii="宋体" w:hAnsi="宋体"/>
          <w:b/>
          <w:sz w:val="24"/>
        </w:rPr>
        <w:t>8</w:t>
      </w:r>
      <w:r>
        <w:rPr>
          <w:rFonts w:hint="eastAsia" w:ascii="宋体" w:hAnsi="宋体"/>
          <w:b/>
          <w:sz w:val="24"/>
        </w:rPr>
        <w:t>0％</w:t>
      </w:r>
      <w:r>
        <w:rPr>
          <w:rFonts w:hint="eastAsia" w:ascii="宋体" w:hAnsi="宋体"/>
          <w:sz w:val="24"/>
        </w:rPr>
        <w:t>的环境条件下运行。</w:t>
      </w:r>
      <w:r>
        <w:rPr>
          <w:rFonts w:hint="eastAsia" w:ascii="宋体" w:hAnsi="宋体"/>
          <w:b/>
          <w:sz w:val="24"/>
        </w:rPr>
        <w:t>能够连续正常工作。</w:t>
      </w:r>
    </w:p>
    <w:p>
      <w:pPr>
        <w:spacing w:line="360" w:lineRule="auto"/>
        <w:ind w:left="554" w:hanging="554" w:hangingChars="231"/>
        <w:rPr>
          <w:rFonts w:hint="eastAsia" w:ascii="宋体" w:hAnsi="宋体"/>
          <w:sz w:val="24"/>
        </w:rPr>
      </w:pPr>
      <w:r>
        <w:rPr>
          <w:rFonts w:hint="eastAsia" w:ascii="宋体" w:hAnsi="宋体"/>
          <w:sz w:val="24"/>
        </w:rPr>
        <w:t>3.3  配置符合中国有关标准要求的插头，如果没有这样的插头，则需</w:t>
      </w:r>
      <w:r>
        <w:rPr>
          <w:rFonts w:hint="eastAsia" w:ascii="宋体"/>
          <w:sz w:val="24"/>
        </w:rPr>
        <w:t>提供适当的转</w:t>
      </w:r>
      <w:r>
        <w:rPr>
          <w:rFonts w:hint="eastAsia" w:ascii="宋体" w:hAnsi="宋体"/>
          <w:sz w:val="24"/>
        </w:rPr>
        <w:t>换插座。</w:t>
      </w:r>
    </w:p>
    <w:p>
      <w:pPr>
        <w:spacing w:line="360" w:lineRule="auto"/>
        <w:ind w:left="554" w:hanging="554" w:hangingChars="231"/>
        <w:rPr>
          <w:rFonts w:hint="eastAsia" w:ascii="宋体" w:hAnsi="宋体"/>
          <w:sz w:val="24"/>
        </w:rPr>
      </w:pPr>
      <w:r>
        <w:rPr>
          <w:rFonts w:hint="eastAsia" w:ascii="宋体" w:hAnsi="宋体"/>
          <w:sz w:val="24"/>
        </w:rPr>
        <w:t>3.4  如产品达不到上述要求，投标人应注明其偏差。如仪器设备需要特殊工作条件（如水、电源、磁场强度、温度、湿度、动强度等）投标人应在投标书中加以说明。</w:t>
      </w:r>
    </w:p>
    <w:p>
      <w:pPr>
        <w:rPr>
          <w:rFonts w:hint="eastAsia" w:eastAsia="黑体"/>
          <w:b/>
          <w:bCs/>
          <w:kern w:val="44"/>
          <w:sz w:val="24"/>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4、验收标准</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hint="eastAsia"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2"/>
        <w:spacing w:line="360" w:lineRule="auto"/>
        <w:ind w:left="410" w:hanging="410" w:hangingChars="170"/>
        <w:rPr>
          <w:rFonts w:hint="eastAsia" w:hAnsi="宋体"/>
          <w:b/>
          <w:sz w:val="24"/>
          <w:szCs w:val="24"/>
        </w:rPr>
      </w:pPr>
    </w:p>
    <w:p>
      <w:pPr>
        <w:pStyle w:val="2"/>
        <w:spacing w:line="360" w:lineRule="auto"/>
        <w:ind w:left="410" w:hanging="410" w:hangingChars="170"/>
        <w:rPr>
          <w:rFonts w:hint="eastAsia" w:hAnsi="宋体"/>
          <w:b/>
          <w:sz w:val="24"/>
          <w:szCs w:val="24"/>
        </w:rPr>
      </w:pPr>
      <w:r>
        <w:rPr>
          <w:rFonts w:hint="eastAsia" w:hAnsi="宋体"/>
          <w:b/>
          <w:sz w:val="24"/>
          <w:szCs w:val="24"/>
        </w:rPr>
        <w:t>5、本技术规格书中标注“*”号的为关键技术参数，对这些关键技术参数的任何负偏离将导致废标。</w:t>
      </w:r>
    </w:p>
    <w:p>
      <w:pPr>
        <w:pStyle w:val="2"/>
        <w:spacing w:line="360" w:lineRule="auto"/>
        <w:rPr>
          <w:rFonts w:hint="eastAsia" w:hAnsi="宋体"/>
          <w:b/>
          <w:sz w:val="24"/>
          <w:szCs w:val="24"/>
        </w:rPr>
      </w:pPr>
    </w:p>
    <w:p>
      <w:pPr>
        <w:pStyle w:val="2"/>
        <w:spacing w:line="360" w:lineRule="auto"/>
        <w:rPr>
          <w:rFonts w:hint="eastAsia" w:hAnsi="宋体"/>
          <w:b/>
          <w:sz w:val="24"/>
          <w:szCs w:val="24"/>
        </w:rPr>
      </w:pPr>
      <w:r>
        <w:rPr>
          <w:rFonts w:hint="eastAsia" w:hAnsi="宋体"/>
          <w:b/>
          <w:sz w:val="24"/>
          <w:szCs w:val="24"/>
        </w:rPr>
        <w:t>6、如在具体技术规格中有本总则不一致之处，以具体技术规格中的要求为准。</w:t>
      </w:r>
    </w:p>
    <w:p>
      <w:pPr>
        <w:spacing w:after="156" w:afterLines="50"/>
        <w:ind w:left="601" w:hanging="601"/>
        <w:rPr>
          <w:rFonts w:ascii="宋体" w:hAnsi="宋体"/>
          <w:b/>
          <w:sz w:val="28"/>
        </w:rPr>
      </w:pPr>
      <w:r>
        <w:rPr>
          <w:rFonts w:ascii="宋体" w:hAnsi="宋体"/>
          <w:b/>
          <w:sz w:val="28"/>
        </w:rPr>
        <w:br w:type="page"/>
      </w:r>
      <w:r>
        <w:rPr>
          <w:rFonts w:hint="eastAsia" w:ascii="宋体" w:hAnsi="宋体"/>
          <w:b/>
          <w:sz w:val="28"/>
        </w:rPr>
        <w:t>二、具体技术规格</w:t>
      </w:r>
    </w:p>
    <w:tbl>
      <w:tblPr>
        <w:tblStyle w:val="5"/>
        <w:tblW w:w="906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992"/>
        <w:gridCol w:w="1418"/>
        <w:gridCol w:w="481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5"/>
            <w:shd w:val="clear" w:color="auto" w:fill="auto"/>
            <w:noWrap w:val="0"/>
            <w:vAlign w:val="top"/>
          </w:tcPr>
          <w:p>
            <w:pPr>
              <w:rPr>
                <w:rFonts w:hint="eastAsia"/>
                <w:b/>
                <w:bCs/>
                <w:sz w:val="24"/>
              </w:rPr>
            </w:pPr>
            <w:r>
              <w:rPr>
                <w:rFonts w:hint="eastAsia"/>
                <w:b/>
                <w:bCs/>
                <w:sz w:val="24"/>
              </w:rPr>
              <w:t>1</w:t>
            </w:r>
            <w:r>
              <w:rPr>
                <w:b/>
                <w:bCs/>
                <w:sz w:val="24"/>
              </w:rPr>
              <w:t>.</w:t>
            </w:r>
            <w:r>
              <w:rPr>
                <w:rFonts w:hint="eastAsia"/>
                <w:b/>
                <w:bCs/>
                <w:sz w:val="24"/>
              </w:rPr>
              <w:t>混合</w:t>
            </w:r>
            <w:r>
              <w:rPr>
                <w:b/>
                <w:bCs/>
                <w:sz w:val="24"/>
              </w:rPr>
              <w:t>示波器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rPr>
                <w:b/>
                <w:bCs/>
                <w:sz w:val="24"/>
              </w:rPr>
            </w:pPr>
            <w:r>
              <w:rPr>
                <w:rFonts w:hint="eastAsia"/>
                <w:b/>
                <w:bCs/>
                <w:sz w:val="24"/>
              </w:rPr>
              <w:t>序号</w:t>
            </w:r>
          </w:p>
        </w:tc>
        <w:tc>
          <w:tcPr>
            <w:tcW w:w="992" w:type="dxa"/>
            <w:shd w:val="clear" w:color="auto" w:fill="auto"/>
            <w:noWrap w:val="0"/>
            <w:vAlign w:val="top"/>
          </w:tcPr>
          <w:p>
            <w:pPr>
              <w:rPr>
                <w:b/>
                <w:bCs/>
                <w:sz w:val="24"/>
              </w:rPr>
            </w:pPr>
            <w:r>
              <w:rPr>
                <w:rFonts w:hint="eastAsia"/>
                <w:b/>
                <w:bCs/>
                <w:sz w:val="24"/>
              </w:rPr>
              <w:t>重要性</w:t>
            </w:r>
          </w:p>
        </w:tc>
        <w:tc>
          <w:tcPr>
            <w:tcW w:w="1418" w:type="dxa"/>
            <w:shd w:val="clear" w:color="auto" w:fill="auto"/>
            <w:noWrap w:val="0"/>
            <w:vAlign w:val="top"/>
          </w:tcPr>
          <w:p>
            <w:pPr>
              <w:rPr>
                <w:b/>
                <w:bCs/>
                <w:sz w:val="24"/>
              </w:rPr>
            </w:pPr>
            <w:r>
              <w:rPr>
                <w:rFonts w:hint="eastAsia"/>
                <w:b/>
                <w:bCs/>
                <w:sz w:val="24"/>
              </w:rPr>
              <w:t>指标项</w:t>
            </w:r>
          </w:p>
        </w:tc>
        <w:tc>
          <w:tcPr>
            <w:tcW w:w="4819" w:type="dxa"/>
            <w:shd w:val="clear" w:color="auto" w:fill="auto"/>
            <w:noWrap w:val="0"/>
            <w:vAlign w:val="top"/>
          </w:tcPr>
          <w:p>
            <w:pPr>
              <w:rPr>
                <w:b/>
                <w:bCs/>
                <w:sz w:val="24"/>
              </w:rPr>
            </w:pPr>
            <w:r>
              <w:rPr>
                <w:rFonts w:hint="eastAsia"/>
                <w:b/>
                <w:bCs/>
                <w:sz w:val="24"/>
              </w:rPr>
              <w:t>指标要求</w:t>
            </w:r>
          </w:p>
        </w:tc>
        <w:tc>
          <w:tcPr>
            <w:tcW w:w="992" w:type="dxa"/>
            <w:shd w:val="clear" w:color="auto" w:fill="auto"/>
            <w:noWrap w:val="0"/>
            <w:vAlign w:val="top"/>
          </w:tcPr>
          <w:p>
            <w:pPr>
              <w:rPr>
                <w:b/>
                <w:bCs/>
                <w:sz w:val="24"/>
              </w:rPr>
            </w:pPr>
            <w:r>
              <w:rPr>
                <w:rFonts w:hint="eastAsia"/>
                <w:b/>
                <w:bCs/>
                <w:sz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sz w:val="24"/>
                <w:szCs w:val="24"/>
              </w:rPr>
            </w:pPr>
          </w:p>
        </w:tc>
        <w:tc>
          <w:tcPr>
            <w:tcW w:w="992" w:type="dxa"/>
            <w:shd w:val="clear" w:color="auto" w:fill="auto"/>
            <w:noWrap w:val="0"/>
            <w:vAlign w:val="top"/>
          </w:tcPr>
          <w:p>
            <w:pPr>
              <w:rPr>
                <w:sz w:val="24"/>
              </w:rPr>
            </w:pPr>
            <w:r>
              <w:rPr>
                <w:rFonts w:hint="eastAsia"/>
                <w:sz w:val="24"/>
              </w:rPr>
              <w:t>*</w:t>
            </w:r>
          </w:p>
        </w:tc>
        <w:tc>
          <w:tcPr>
            <w:tcW w:w="1418" w:type="dxa"/>
            <w:shd w:val="clear" w:color="auto" w:fill="auto"/>
            <w:noWrap w:val="0"/>
            <w:vAlign w:val="top"/>
          </w:tcPr>
          <w:p>
            <w:pPr>
              <w:rPr>
                <w:sz w:val="24"/>
              </w:rPr>
            </w:pPr>
            <w:r>
              <w:rPr>
                <w:rFonts w:hint="eastAsia"/>
                <w:sz w:val="24"/>
              </w:rPr>
              <w:t>混合示波器主机基本需求</w:t>
            </w:r>
          </w:p>
        </w:tc>
        <w:tc>
          <w:tcPr>
            <w:tcW w:w="4819" w:type="dxa"/>
            <w:shd w:val="clear" w:color="auto" w:fill="auto"/>
            <w:noWrap w:val="0"/>
            <w:vAlign w:val="top"/>
          </w:tcPr>
          <w:p>
            <w:pPr>
              <w:rPr>
                <w:sz w:val="24"/>
              </w:rPr>
            </w:pPr>
            <w:r>
              <w:rPr>
                <w:rFonts w:hint="eastAsia"/>
                <w:sz w:val="24"/>
              </w:rPr>
              <w:t>通道数≥4个模拟通道和≥1</w:t>
            </w:r>
            <w:r>
              <w:rPr>
                <w:sz w:val="24"/>
              </w:rPr>
              <w:t>6</w:t>
            </w:r>
            <w:r>
              <w:rPr>
                <w:rFonts w:hint="eastAsia"/>
                <w:sz w:val="24"/>
              </w:rPr>
              <w:t>个数字通道；</w:t>
            </w:r>
          </w:p>
          <w:p>
            <w:pPr>
              <w:rPr>
                <w:rFonts w:hint="eastAsia"/>
                <w:sz w:val="24"/>
              </w:rPr>
            </w:pPr>
            <w:r>
              <w:rPr>
                <w:rFonts w:hint="eastAsia"/>
                <w:sz w:val="24"/>
              </w:rPr>
              <w:t>带宽≥</w:t>
            </w:r>
            <w:r>
              <w:rPr>
                <w:sz w:val="24"/>
              </w:rPr>
              <w:t>4GHz</w:t>
            </w:r>
            <w:r>
              <w:rPr>
                <w:rFonts w:hint="eastAsia"/>
                <w:sz w:val="24"/>
              </w:rPr>
              <w:t>；</w:t>
            </w:r>
          </w:p>
          <w:p>
            <w:pPr>
              <w:rPr>
                <w:sz w:val="24"/>
              </w:rPr>
            </w:pPr>
            <w:r>
              <w:rPr>
                <w:rFonts w:hint="eastAsia"/>
                <w:sz w:val="24"/>
              </w:rPr>
              <w:t>采样率：≥</w:t>
            </w:r>
            <w:r>
              <w:rPr>
                <w:sz w:val="24"/>
              </w:rPr>
              <w:t>10GSa</w:t>
            </w:r>
            <w:r>
              <w:rPr>
                <w:rFonts w:hint="eastAsia"/>
                <w:sz w:val="24"/>
              </w:rPr>
              <w:t>/</w:t>
            </w:r>
            <w:r>
              <w:rPr>
                <w:sz w:val="24"/>
              </w:rPr>
              <w:t>s</w:t>
            </w:r>
            <w:r>
              <w:rPr>
                <w:rFonts w:hint="eastAsia"/>
                <w:sz w:val="24"/>
              </w:rPr>
              <w:t>；</w:t>
            </w:r>
          </w:p>
          <w:p>
            <w:pPr>
              <w:rPr>
                <w:rFonts w:hint="eastAsia"/>
                <w:sz w:val="24"/>
              </w:rPr>
            </w:pPr>
            <w:r>
              <w:rPr>
                <w:rFonts w:hint="eastAsia"/>
                <w:sz w:val="24"/>
              </w:rPr>
              <w:t>存储器：每通道≥</w:t>
            </w:r>
            <w:r>
              <w:rPr>
                <w:sz w:val="24"/>
              </w:rPr>
              <w:t>50 Mpts</w:t>
            </w:r>
            <w:r>
              <w:rPr>
                <w:rFonts w:hint="eastAsia"/>
                <w:sz w:val="24"/>
              </w:rPr>
              <w:t>；</w:t>
            </w:r>
          </w:p>
        </w:tc>
        <w:tc>
          <w:tcPr>
            <w:tcW w:w="992" w:type="dxa"/>
            <w:shd w:val="clear" w:color="auto" w:fill="auto"/>
            <w:noWrap w:val="0"/>
            <w:vAlign w:val="top"/>
          </w:tcPr>
          <w:p>
            <w:pPr>
              <w:rPr>
                <w:sz w:val="24"/>
              </w:rPr>
            </w:pPr>
            <w:r>
              <w:rPr>
                <w:rFonts w:hint="eastAsia"/>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sz w:val="24"/>
                <w:szCs w:val="24"/>
              </w:rPr>
            </w:pPr>
          </w:p>
        </w:tc>
        <w:tc>
          <w:tcPr>
            <w:tcW w:w="992" w:type="dxa"/>
            <w:shd w:val="clear" w:color="auto" w:fill="auto"/>
            <w:noWrap w:val="0"/>
            <w:vAlign w:val="top"/>
          </w:tcPr>
          <w:p>
            <w:pPr>
              <w:rPr>
                <w:rFonts w:hint="eastAsia"/>
                <w:sz w:val="24"/>
              </w:rPr>
            </w:pPr>
            <w:r>
              <w:rPr>
                <w:rFonts w:hint="eastAsia"/>
                <w:sz w:val="24"/>
              </w:rPr>
              <w:t>#</w:t>
            </w:r>
          </w:p>
        </w:tc>
        <w:tc>
          <w:tcPr>
            <w:tcW w:w="1418" w:type="dxa"/>
            <w:shd w:val="clear" w:color="auto" w:fill="auto"/>
            <w:noWrap w:val="0"/>
            <w:vAlign w:val="top"/>
          </w:tcPr>
          <w:p>
            <w:pPr>
              <w:rPr>
                <w:rFonts w:hint="eastAsia"/>
                <w:sz w:val="24"/>
              </w:rPr>
            </w:pPr>
            <w:r>
              <w:rPr>
                <w:rFonts w:hint="eastAsia"/>
                <w:sz w:val="24"/>
              </w:rPr>
              <w:t>带宽</w:t>
            </w:r>
          </w:p>
        </w:tc>
        <w:tc>
          <w:tcPr>
            <w:tcW w:w="4819" w:type="dxa"/>
            <w:shd w:val="clear" w:color="auto" w:fill="auto"/>
            <w:noWrap w:val="0"/>
            <w:vAlign w:val="top"/>
          </w:tcPr>
          <w:p>
            <w:pPr>
              <w:rPr>
                <w:rFonts w:hint="eastAsia"/>
                <w:sz w:val="24"/>
              </w:rPr>
            </w:pPr>
            <w:r>
              <w:rPr>
                <w:rFonts w:hint="eastAsia"/>
                <w:sz w:val="24"/>
              </w:rPr>
              <w:t>最高带宽≥</w:t>
            </w:r>
            <w:r>
              <w:rPr>
                <w:sz w:val="24"/>
              </w:rPr>
              <w:t>8GHz</w:t>
            </w:r>
            <w:r>
              <w:rPr>
                <w:rFonts w:hint="eastAsia"/>
                <w:sz w:val="24"/>
              </w:rPr>
              <w:t>；</w:t>
            </w:r>
          </w:p>
        </w:tc>
        <w:tc>
          <w:tcPr>
            <w:tcW w:w="992" w:type="dxa"/>
            <w:shd w:val="clear" w:color="auto" w:fill="auto"/>
            <w:noWrap w:val="0"/>
            <w:vAlign w:val="top"/>
          </w:tcPr>
          <w:p>
            <w:pPr>
              <w:rPr>
                <w:sz w:val="24"/>
              </w:rPr>
            </w:pPr>
            <w:r>
              <w:rPr>
                <w:rFonts w:hint="eastAsia"/>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sz w:val="24"/>
              </w:rPr>
            </w:pPr>
            <w:r>
              <w:rPr>
                <w:rFonts w:hint="eastAsia"/>
                <w:sz w:val="24"/>
              </w:rPr>
              <w:t>#</w:t>
            </w:r>
          </w:p>
        </w:tc>
        <w:tc>
          <w:tcPr>
            <w:tcW w:w="1418" w:type="dxa"/>
            <w:shd w:val="clear" w:color="auto" w:fill="auto"/>
            <w:noWrap w:val="0"/>
            <w:vAlign w:val="top"/>
          </w:tcPr>
          <w:p>
            <w:pPr>
              <w:rPr>
                <w:sz w:val="24"/>
              </w:rPr>
            </w:pPr>
            <w:r>
              <w:rPr>
                <w:rFonts w:hint="eastAsia"/>
                <w:sz w:val="24"/>
              </w:rPr>
              <w:t>采样</w:t>
            </w:r>
          </w:p>
        </w:tc>
        <w:tc>
          <w:tcPr>
            <w:tcW w:w="4819" w:type="dxa"/>
            <w:shd w:val="clear" w:color="auto" w:fill="auto"/>
            <w:noWrap w:val="0"/>
            <w:vAlign w:val="top"/>
          </w:tcPr>
          <w:p>
            <w:pPr>
              <w:rPr>
                <w:sz w:val="24"/>
              </w:rPr>
            </w:pPr>
            <w:r>
              <w:rPr>
                <w:rFonts w:hint="eastAsia"/>
                <w:sz w:val="24"/>
              </w:rPr>
              <w:t>最高采样率：≥2</w:t>
            </w:r>
            <w:r>
              <w:rPr>
                <w:sz w:val="24"/>
              </w:rPr>
              <w:t>0GSa</w:t>
            </w:r>
            <w:r>
              <w:rPr>
                <w:rFonts w:hint="eastAsia"/>
                <w:sz w:val="24"/>
              </w:rPr>
              <w:t>/</w:t>
            </w:r>
            <w:r>
              <w:rPr>
                <w:sz w:val="24"/>
              </w:rPr>
              <w:t>s</w:t>
            </w:r>
          </w:p>
          <w:p>
            <w:pPr>
              <w:rPr>
                <w:sz w:val="24"/>
              </w:rPr>
            </w:pPr>
            <w:r>
              <w:rPr>
                <w:rFonts w:hint="eastAsia"/>
                <w:sz w:val="24"/>
              </w:rPr>
              <w:t>采样模式：实时、峰值检测、高分辨率、等效时间、滚动、分段存储</w:t>
            </w:r>
          </w:p>
        </w:tc>
        <w:tc>
          <w:tcPr>
            <w:tcW w:w="992" w:type="dxa"/>
            <w:shd w:val="clear" w:color="auto" w:fill="auto"/>
            <w:noWrap w:val="0"/>
            <w:vAlign w:val="top"/>
          </w:tcPr>
          <w:p>
            <w:pPr>
              <w:rPr>
                <w:sz w:val="24"/>
              </w:rPr>
            </w:pPr>
            <w:r>
              <w:rPr>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sz w:val="24"/>
              </w:rPr>
            </w:pPr>
            <w:r>
              <w:rPr>
                <w:rFonts w:hint="eastAsia"/>
                <w:sz w:val="24"/>
              </w:rPr>
              <w:t>#</w:t>
            </w:r>
          </w:p>
        </w:tc>
        <w:tc>
          <w:tcPr>
            <w:tcW w:w="1418" w:type="dxa"/>
            <w:shd w:val="clear" w:color="auto" w:fill="auto"/>
            <w:noWrap w:val="0"/>
            <w:vAlign w:val="top"/>
          </w:tcPr>
          <w:p>
            <w:pPr>
              <w:rPr>
                <w:sz w:val="24"/>
              </w:rPr>
            </w:pPr>
            <w:r>
              <w:rPr>
                <w:rFonts w:hint="eastAsia"/>
                <w:sz w:val="24"/>
              </w:rPr>
              <w:t>模数转换器A</w:t>
            </w:r>
            <w:r>
              <w:rPr>
                <w:sz w:val="24"/>
              </w:rPr>
              <w:t>DC</w:t>
            </w:r>
            <w:r>
              <w:rPr>
                <w:rFonts w:hint="eastAsia"/>
                <w:sz w:val="24"/>
              </w:rPr>
              <w:t>位数</w:t>
            </w:r>
          </w:p>
        </w:tc>
        <w:tc>
          <w:tcPr>
            <w:tcW w:w="4819" w:type="dxa"/>
            <w:shd w:val="clear" w:color="auto" w:fill="auto"/>
            <w:noWrap w:val="0"/>
            <w:vAlign w:val="top"/>
          </w:tcPr>
          <w:p>
            <w:pPr>
              <w:rPr>
                <w:sz w:val="24"/>
              </w:rPr>
            </w:pPr>
            <w:r>
              <w:rPr>
                <w:rFonts w:hint="eastAsia" w:ascii="宋体" w:hAnsi="宋体"/>
                <w:sz w:val="24"/>
              </w:rPr>
              <w:t>≥</w:t>
            </w:r>
            <w:r>
              <w:rPr>
                <w:rFonts w:hint="eastAsia"/>
                <w:sz w:val="24"/>
              </w:rPr>
              <w:t>1</w:t>
            </w:r>
            <w:r>
              <w:rPr>
                <w:sz w:val="24"/>
              </w:rPr>
              <w:t>0</w:t>
            </w:r>
            <w:r>
              <w:rPr>
                <w:rFonts w:hint="eastAsia"/>
                <w:sz w:val="24"/>
              </w:rPr>
              <w:t>位</w:t>
            </w:r>
          </w:p>
        </w:tc>
        <w:tc>
          <w:tcPr>
            <w:tcW w:w="992" w:type="dxa"/>
            <w:shd w:val="clear" w:color="auto" w:fill="auto"/>
            <w:noWrap w:val="0"/>
            <w:vAlign w:val="top"/>
          </w:tcPr>
          <w:p>
            <w:pPr>
              <w:rPr>
                <w:sz w:val="24"/>
              </w:rPr>
            </w:pPr>
            <w:r>
              <w:rPr>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rFonts w:hint="eastAsia"/>
                <w:sz w:val="24"/>
              </w:rPr>
            </w:pPr>
            <w:r>
              <w:rPr>
                <w:rFonts w:hint="eastAsia"/>
                <w:sz w:val="24"/>
              </w:rPr>
              <w:t>#</w:t>
            </w:r>
          </w:p>
        </w:tc>
        <w:tc>
          <w:tcPr>
            <w:tcW w:w="1418" w:type="dxa"/>
            <w:shd w:val="clear" w:color="auto" w:fill="auto"/>
            <w:noWrap w:val="0"/>
            <w:vAlign w:val="top"/>
          </w:tcPr>
          <w:p>
            <w:pPr>
              <w:rPr>
                <w:rFonts w:hint="eastAsia"/>
                <w:sz w:val="24"/>
              </w:rPr>
            </w:pPr>
            <w:r>
              <w:rPr>
                <w:rFonts w:hint="eastAsia"/>
                <w:sz w:val="24"/>
              </w:rPr>
              <w:t>内存</w:t>
            </w:r>
          </w:p>
        </w:tc>
        <w:tc>
          <w:tcPr>
            <w:tcW w:w="4819" w:type="dxa"/>
            <w:shd w:val="clear" w:color="auto" w:fill="auto"/>
            <w:noWrap w:val="0"/>
            <w:vAlign w:val="top"/>
          </w:tcPr>
          <w:p>
            <w:pPr>
              <w:rPr>
                <w:rFonts w:hint="eastAsia" w:ascii="宋体" w:hAnsi="宋体"/>
                <w:sz w:val="24"/>
              </w:rPr>
            </w:pPr>
            <w:r>
              <w:rPr>
                <w:sz w:val="24"/>
              </w:rPr>
              <w:t>每通道</w:t>
            </w:r>
            <w:r>
              <w:rPr>
                <w:rFonts w:hint="eastAsia"/>
                <w:sz w:val="24"/>
              </w:rPr>
              <w:t>≥</w:t>
            </w:r>
            <w:r>
              <w:rPr>
                <w:sz w:val="24"/>
              </w:rPr>
              <w:t>100 Mpts</w:t>
            </w:r>
            <w:r>
              <w:rPr>
                <w:rFonts w:hint="eastAsia" w:ascii="宋体" w:hAnsi="宋体"/>
                <w:sz w:val="24"/>
              </w:rPr>
              <w:t xml:space="preserve"> </w:t>
            </w:r>
          </w:p>
        </w:tc>
        <w:tc>
          <w:tcPr>
            <w:tcW w:w="992" w:type="dxa"/>
            <w:shd w:val="clear" w:color="auto" w:fill="auto"/>
            <w:noWrap w:val="0"/>
            <w:vAlign w:val="top"/>
          </w:tcPr>
          <w:p>
            <w:pPr>
              <w:rPr>
                <w:sz w:val="24"/>
              </w:rPr>
            </w:pPr>
            <w:r>
              <w:rPr>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sz w:val="24"/>
              </w:rPr>
            </w:pPr>
          </w:p>
        </w:tc>
        <w:tc>
          <w:tcPr>
            <w:tcW w:w="1418" w:type="dxa"/>
            <w:shd w:val="clear" w:color="auto" w:fill="auto"/>
            <w:noWrap w:val="0"/>
            <w:vAlign w:val="top"/>
          </w:tcPr>
          <w:p>
            <w:pPr>
              <w:rPr>
                <w:sz w:val="24"/>
              </w:rPr>
            </w:pPr>
            <w:r>
              <w:rPr>
                <w:rFonts w:hint="eastAsia"/>
                <w:sz w:val="24"/>
              </w:rPr>
              <w:t>触发类型</w:t>
            </w:r>
          </w:p>
        </w:tc>
        <w:tc>
          <w:tcPr>
            <w:tcW w:w="4819" w:type="dxa"/>
            <w:shd w:val="clear" w:color="auto" w:fill="auto"/>
            <w:noWrap w:val="0"/>
            <w:vAlign w:val="top"/>
          </w:tcPr>
          <w:p>
            <w:pPr>
              <w:rPr>
                <w:sz w:val="24"/>
              </w:rPr>
            </w:pPr>
            <w:r>
              <w:rPr>
                <w:rFonts w:hint="eastAsia"/>
                <w:sz w:val="24"/>
              </w:rPr>
              <w:t>边沿、边沿跳变、边沿到边沿（时间）、边沿到边沿（事件）、脉宽、毛刺、矮脉冲、超时、码型、状态、建立/保持、窗口、协议</w:t>
            </w:r>
          </w:p>
        </w:tc>
        <w:tc>
          <w:tcPr>
            <w:tcW w:w="992" w:type="dxa"/>
            <w:shd w:val="clear" w:color="auto" w:fill="auto"/>
            <w:noWrap w:val="0"/>
            <w:vAlign w:val="top"/>
          </w:tcPr>
          <w:p>
            <w:pPr>
              <w:rPr>
                <w:sz w:val="24"/>
              </w:rPr>
            </w:pP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sz w:val="24"/>
              </w:rPr>
            </w:pPr>
            <w:r>
              <w:rPr>
                <w:rFonts w:hint="eastAsia"/>
                <w:sz w:val="24"/>
              </w:rPr>
              <w:t>#</w:t>
            </w:r>
          </w:p>
        </w:tc>
        <w:tc>
          <w:tcPr>
            <w:tcW w:w="1418" w:type="dxa"/>
            <w:shd w:val="clear" w:color="auto" w:fill="auto"/>
            <w:noWrap w:val="0"/>
            <w:vAlign w:val="top"/>
          </w:tcPr>
          <w:p>
            <w:pPr>
              <w:rPr>
                <w:sz w:val="24"/>
              </w:rPr>
            </w:pPr>
            <w:r>
              <w:rPr>
                <w:rFonts w:hint="eastAsia"/>
                <w:sz w:val="24"/>
              </w:rPr>
              <w:t>测量</w:t>
            </w:r>
          </w:p>
        </w:tc>
        <w:tc>
          <w:tcPr>
            <w:tcW w:w="4819" w:type="dxa"/>
            <w:shd w:val="clear" w:color="auto" w:fill="auto"/>
            <w:noWrap w:val="0"/>
            <w:vAlign w:val="top"/>
          </w:tcPr>
          <w:p>
            <w:pPr>
              <w:rPr>
                <w:sz w:val="24"/>
              </w:rPr>
            </w:pPr>
            <w:r>
              <w:rPr>
                <w:sz w:val="24"/>
              </w:rPr>
              <w:t>幅度、平均值、基准、交叉点、最大值、最小值、过冲和前冲、Vpp对比度、峰峰值、脉冲，RMS、顶部、阈值、电压@时间、上升时间、下降时间、周期、频率、脉宽、占空比、交叉点时间、增量时间、脉冲计数、建立/保持时间。眼图、统计</w:t>
            </w:r>
          </w:p>
        </w:tc>
        <w:tc>
          <w:tcPr>
            <w:tcW w:w="992" w:type="dxa"/>
            <w:shd w:val="clear" w:color="auto" w:fill="auto"/>
            <w:noWrap w:val="0"/>
            <w:vAlign w:val="top"/>
          </w:tcPr>
          <w:p>
            <w:pPr>
              <w:rPr>
                <w:sz w:val="24"/>
              </w:rPr>
            </w:pPr>
            <w:r>
              <w:rPr>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sz w:val="24"/>
              </w:rPr>
            </w:pPr>
            <w:r>
              <w:rPr>
                <w:rFonts w:hint="eastAsia"/>
                <w:sz w:val="24"/>
              </w:rPr>
              <w:t>#</w:t>
            </w:r>
          </w:p>
        </w:tc>
        <w:tc>
          <w:tcPr>
            <w:tcW w:w="1418" w:type="dxa"/>
            <w:shd w:val="clear" w:color="auto" w:fill="auto"/>
            <w:noWrap w:val="0"/>
            <w:vAlign w:val="top"/>
          </w:tcPr>
          <w:p>
            <w:pPr>
              <w:rPr>
                <w:sz w:val="24"/>
              </w:rPr>
            </w:pPr>
            <w:r>
              <w:rPr>
                <w:sz w:val="24"/>
              </w:rPr>
              <w:t>显示器及主机性能</w:t>
            </w:r>
          </w:p>
        </w:tc>
        <w:tc>
          <w:tcPr>
            <w:tcW w:w="4819" w:type="dxa"/>
            <w:shd w:val="clear" w:color="auto" w:fill="auto"/>
            <w:noWrap w:val="0"/>
            <w:vAlign w:val="top"/>
          </w:tcPr>
          <w:p>
            <w:pPr>
              <w:rPr>
                <w:sz w:val="24"/>
              </w:rPr>
            </w:pPr>
            <w:r>
              <w:rPr>
                <w:sz w:val="24"/>
              </w:rPr>
              <w:t>不低于此配置</w:t>
            </w:r>
            <w:r>
              <w:rPr>
                <w:rFonts w:hint="eastAsia"/>
                <w:sz w:val="24"/>
              </w:rPr>
              <w:t>：</w:t>
            </w:r>
            <w:r>
              <w:rPr>
                <w:sz w:val="24"/>
              </w:rPr>
              <w:t>15英寸电容触摸屏</w:t>
            </w:r>
            <w:r>
              <w:rPr>
                <w:rFonts w:hint="eastAsia"/>
                <w:sz w:val="24"/>
              </w:rPr>
              <w:t>；</w:t>
            </w:r>
            <w:r>
              <w:rPr>
                <w:sz w:val="24"/>
              </w:rPr>
              <w:t>240G可拆卸固态硬盘</w:t>
            </w:r>
            <w:r>
              <w:rPr>
                <w:rFonts w:hint="eastAsia"/>
                <w:sz w:val="24"/>
              </w:rPr>
              <w:t>；</w:t>
            </w:r>
            <w:r>
              <w:rPr>
                <w:sz w:val="24"/>
              </w:rPr>
              <w:t>Windows 操作系统</w:t>
            </w:r>
            <w:r>
              <w:rPr>
                <w:rFonts w:hint="eastAsia"/>
                <w:sz w:val="24"/>
              </w:rPr>
              <w:t>；</w:t>
            </w:r>
          </w:p>
          <w:p>
            <w:pPr>
              <w:rPr>
                <w:sz w:val="24"/>
              </w:rPr>
            </w:pPr>
            <w:r>
              <w:rPr>
                <w:sz w:val="24"/>
              </w:rPr>
              <w:t>四核Intel 处理器和8GB内存</w:t>
            </w:r>
            <w:r>
              <w:rPr>
                <w:rFonts w:hint="eastAsia"/>
                <w:sz w:val="24"/>
              </w:rPr>
              <w:t>；</w:t>
            </w:r>
          </w:p>
          <w:p>
            <w:pPr>
              <w:rPr>
                <w:sz w:val="24"/>
              </w:rPr>
            </w:pPr>
            <w:r>
              <w:rPr>
                <w:sz w:val="24"/>
              </w:rPr>
              <w:t>提供以太网10/100/1000BaseT端口和USB3.0端口</w:t>
            </w:r>
            <w:r>
              <w:rPr>
                <w:rFonts w:hint="eastAsia"/>
                <w:sz w:val="24"/>
              </w:rPr>
              <w:t>；</w:t>
            </w:r>
          </w:p>
        </w:tc>
        <w:tc>
          <w:tcPr>
            <w:tcW w:w="992" w:type="dxa"/>
            <w:shd w:val="clear" w:color="auto" w:fill="auto"/>
            <w:noWrap w:val="0"/>
            <w:vAlign w:val="top"/>
          </w:tcPr>
          <w:p>
            <w:pPr>
              <w:rPr>
                <w:sz w:val="24"/>
              </w:rPr>
            </w:pPr>
            <w:r>
              <w:rPr>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sz w:val="24"/>
              </w:rPr>
            </w:pPr>
            <w:r>
              <w:rPr>
                <w:rFonts w:hint="eastAsia"/>
                <w:sz w:val="24"/>
              </w:rPr>
              <w:t>#</w:t>
            </w:r>
          </w:p>
        </w:tc>
        <w:tc>
          <w:tcPr>
            <w:tcW w:w="1418" w:type="dxa"/>
            <w:shd w:val="clear" w:color="auto" w:fill="auto"/>
            <w:noWrap w:val="0"/>
            <w:vAlign w:val="top"/>
          </w:tcPr>
          <w:p>
            <w:pPr>
              <w:rPr>
                <w:sz w:val="24"/>
              </w:rPr>
            </w:pPr>
            <w:r>
              <w:rPr>
                <w:sz w:val="24"/>
              </w:rPr>
              <w:t>协议解码触发软件</w:t>
            </w:r>
          </w:p>
        </w:tc>
        <w:tc>
          <w:tcPr>
            <w:tcW w:w="4819" w:type="dxa"/>
            <w:shd w:val="clear" w:color="auto" w:fill="auto"/>
            <w:noWrap w:val="0"/>
            <w:vAlign w:val="top"/>
          </w:tcPr>
          <w:p>
            <w:pPr>
              <w:rPr>
                <w:sz w:val="24"/>
              </w:rPr>
            </w:pPr>
            <w:r>
              <w:rPr>
                <w:sz w:val="24"/>
              </w:rPr>
              <w:t>I²C、SPI、四路eSPI、RS232、UART、JTAG、I²S、SVID、曼彻斯特 的触发和解码。</w:t>
            </w:r>
          </w:p>
        </w:tc>
        <w:tc>
          <w:tcPr>
            <w:tcW w:w="992" w:type="dxa"/>
            <w:shd w:val="clear" w:color="auto" w:fill="auto"/>
            <w:noWrap w:val="0"/>
            <w:vAlign w:val="top"/>
          </w:tcPr>
          <w:p>
            <w:pPr>
              <w:rPr>
                <w:sz w:val="24"/>
              </w:rPr>
            </w:pPr>
            <w:r>
              <w:rPr>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sz w:val="24"/>
              </w:rPr>
            </w:pPr>
            <w:r>
              <w:rPr>
                <w:sz w:val="24"/>
              </w:rPr>
              <w:t>*</w:t>
            </w:r>
          </w:p>
        </w:tc>
        <w:tc>
          <w:tcPr>
            <w:tcW w:w="1418" w:type="dxa"/>
            <w:shd w:val="clear" w:color="auto" w:fill="auto"/>
            <w:noWrap w:val="0"/>
            <w:vAlign w:val="top"/>
          </w:tcPr>
          <w:p>
            <w:pPr>
              <w:rPr>
                <w:sz w:val="24"/>
              </w:rPr>
            </w:pPr>
            <w:r>
              <w:rPr>
                <w:rFonts w:hint="eastAsia"/>
                <w:sz w:val="24"/>
              </w:rPr>
              <w:t>主机售后服务</w:t>
            </w:r>
          </w:p>
        </w:tc>
        <w:tc>
          <w:tcPr>
            <w:tcW w:w="4819" w:type="dxa"/>
            <w:shd w:val="clear" w:color="auto" w:fill="auto"/>
            <w:noWrap w:val="0"/>
            <w:vAlign w:val="top"/>
          </w:tcPr>
          <w:p>
            <w:pPr>
              <w:rPr>
                <w:sz w:val="24"/>
              </w:rPr>
            </w:pPr>
            <w:r>
              <w:rPr>
                <w:rFonts w:hint="eastAsia"/>
                <w:sz w:val="24"/>
              </w:rPr>
              <w:t>5年保修及技术支持；5年第三方校准服务；</w:t>
            </w:r>
          </w:p>
        </w:tc>
        <w:tc>
          <w:tcPr>
            <w:tcW w:w="992" w:type="dxa"/>
            <w:shd w:val="clear" w:color="auto" w:fill="auto"/>
            <w:noWrap w:val="0"/>
            <w:vAlign w:val="top"/>
          </w:tcPr>
          <w:p>
            <w:pPr>
              <w:rPr>
                <w:rFonts w:hint="eastAsia"/>
                <w:sz w:val="24"/>
              </w:rPr>
            </w:pP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rFonts w:hint="eastAsia"/>
                <w:sz w:val="24"/>
              </w:rPr>
            </w:pPr>
            <w:r>
              <w:rPr>
                <w:rFonts w:hint="eastAsia"/>
                <w:sz w:val="24"/>
              </w:rPr>
              <w:t>*</w:t>
            </w:r>
          </w:p>
        </w:tc>
        <w:tc>
          <w:tcPr>
            <w:tcW w:w="1418" w:type="dxa"/>
            <w:shd w:val="clear" w:color="auto" w:fill="auto"/>
            <w:noWrap w:val="0"/>
            <w:vAlign w:val="top"/>
          </w:tcPr>
          <w:p>
            <w:pPr>
              <w:rPr>
                <w:rFonts w:hint="eastAsia"/>
                <w:sz w:val="24"/>
              </w:rPr>
            </w:pPr>
            <w:r>
              <w:rPr>
                <w:rFonts w:hint="eastAsia"/>
                <w:sz w:val="24"/>
              </w:rPr>
              <w:t>配件-电源探头</w:t>
            </w:r>
          </w:p>
        </w:tc>
        <w:tc>
          <w:tcPr>
            <w:tcW w:w="4819" w:type="dxa"/>
            <w:shd w:val="clear" w:color="auto" w:fill="auto"/>
            <w:noWrap w:val="0"/>
            <w:vAlign w:val="top"/>
          </w:tcPr>
          <w:p>
            <w:pPr>
              <w:rPr>
                <w:sz w:val="24"/>
              </w:rPr>
            </w:pPr>
            <w:r>
              <w:rPr>
                <w:rFonts w:hint="eastAsia"/>
                <w:sz w:val="24"/>
              </w:rPr>
              <w:t>数量：1个；保修5年；（若无特殊说明，下面需求均为单个配件的规格需求）</w:t>
            </w:r>
          </w:p>
          <w:p>
            <w:pPr>
              <w:rPr>
                <w:rFonts w:hint="eastAsia"/>
                <w:sz w:val="24"/>
              </w:rPr>
            </w:pPr>
            <w:r>
              <w:rPr>
                <w:rFonts w:hint="eastAsia"/>
                <w:sz w:val="24"/>
              </w:rPr>
              <w:t>衰减比1:</w:t>
            </w:r>
            <w:r>
              <w:rPr>
                <w:sz w:val="24"/>
              </w:rPr>
              <w:t>1</w:t>
            </w:r>
            <w:r>
              <w:rPr>
                <w:rFonts w:hint="eastAsia"/>
                <w:sz w:val="24"/>
              </w:rPr>
              <w:t xml:space="preserve">； </w:t>
            </w:r>
          </w:p>
        </w:tc>
        <w:tc>
          <w:tcPr>
            <w:tcW w:w="992" w:type="dxa"/>
            <w:shd w:val="clear" w:color="auto" w:fill="auto"/>
            <w:noWrap w:val="0"/>
            <w:vAlign w:val="top"/>
          </w:tcPr>
          <w:p>
            <w:pPr>
              <w:rPr>
                <w:rFonts w:hint="eastAsia"/>
                <w:sz w:val="24"/>
              </w:rPr>
            </w:pP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rFonts w:hint="eastAsia"/>
                <w:sz w:val="24"/>
              </w:rPr>
            </w:pPr>
          </w:p>
        </w:tc>
        <w:tc>
          <w:tcPr>
            <w:tcW w:w="1418" w:type="dxa"/>
            <w:shd w:val="clear" w:color="auto" w:fill="auto"/>
            <w:noWrap w:val="0"/>
            <w:vAlign w:val="top"/>
          </w:tcPr>
          <w:p>
            <w:pPr>
              <w:rPr>
                <w:rFonts w:hint="eastAsia"/>
                <w:sz w:val="24"/>
              </w:rPr>
            </w:pPr>
            <w:r>
              <w:rPr>
                <w:rFonts w:hint="eastAsia"/>
                <w:sz w:val="24"/>
              </w:rPr>
              <w:t>配件-电源探头需求</w:t>
            </w:r>
          </w:p>
        </w:tc>
        <w:tc>
          <w:tcPr>
            <w:tcW w:w="4819" w:type="dxa"/>
            <w:shd w:val="clear" w:color="auto" w:fill="auto"/>
            <w:noWrap w:val="0"/>
            <w:vAlign w:val="top"/>
          </w:tcPr>
          <w:p>
            <w:pPr>
              <w:rPr>
                <w:rFonts w:hint="eastAsia"/>
                <w:sz w:val="24"/>
              </w:rPr>
            </w:pPr>
            <w:r>
              <w:rPr>
                <w:rFonts w:hint="eastAsia"/>
                <w:sz w:val="24"/>
              </w:rPr>
              <w:t>电源探头偏置范围：</w:t>
            </w:r>
            <w:r>
              <w:rPr>
                <w:sz w:val="24"/>
              </w:rPr>
              <w:t>+/-24 V</w:t>
            </w:r>
          </w:p>
        </w:tc>
        <w:tc>
          <w:tcPr>
            <w:tcW w:w="992" w:type="dxa"/>
            <w:shd w:val="clear" w:color="auto" w:fill="auto"/>
            <w:noWrap w:val="0"/>
            <w:vAlign w:val="top"/>
          </w:tcPr>
          <w:p>
            <w:pPr>
              <w:rPr>
                <w:rFonts w:hint="eastAsia"/>
                <w:sz w:val="24"/>
              </w:rPr>
            </w:pP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rFonts w:hint="eastAsia"/>
                <w:sz w:val="24"/>
              </w:rPr>
            </w:pPr>
            <w:r>
              <w:rPr>
                <w:rFonts w:hint="eastAsia"/>
                <w:sz w:val="24"/>
              </w:rPr>
              <w:t>#</w:t>
            </w:r>
          </w:p>
        </w:tc>
        <w:tc>
          <w:tcPr>
            <w:tcW w:w="1418" w:type="dxa"/>
            <w:shd w:val="clear" w:color="auto" w:fill="auto"/>
            <w:noWrap w:val="0"/>
            <w:vAlign w:val="top"/>
          </w:tcPr>
          <w:p>
            <w:pPr>
              <w:rPr>
                <w:rFonts w:hint="eastAsia"/>
                <w:sz w:val="24"/>
              </w:rPr>
            </w:pPr>
            <w:r>
              <w:rPr>
                <w:rFonts w:hint="eastAsia"/>
                <w:sz w:val="24"/>
              </w:rPr>
              <w:t>配件-电源探头高级需求</w:t>
            </w:r>
          </w:p>
        </w:tc>
        <w:tc>
          <w:tcPr>
            <w:tcW w:w="4819" w:type="dxa"/>
            <w:shd w:val="clear" w:color="auto" w:fill="auto"/>
            <w:noWrap w:val="0"/>
            <w:vAlign w:val="top"/>
          </w:tcPr>
          <w:p>
            <w:pPr>
              <w:rPr>
                <w:rFonts w:hint="eastAsia"/>
                <w:sz w:val="24"/>
              </w:rPr>
            </w:pPr>
            <w:r>
              <w:rPr>
                <w:rFonts w:hint="eastAsia"/>
                <w:sz w:val="24"/>
              </w:rPr>
              <w:t>带宽≥</w:t>
            </w:r>
            <w:r>
              <w:rPr>
                <w:sz w:val="24"/>
              </w:rPr>
              <w:t>2 GHz</w:t>
            </w:r>
          </w:p>
        </w:tc>
        <w:tc>
          <w:tcPr>
            <w:tcW w:w="992" w:type="dxa"/>
            <w:shd w:val="clear" w:color="auto" w:fill="auto"/>
            <w:noWrap w:val="0"/>
            <w:vAlign w:val="top"/>
          </w:tcPr>
          <w:p>
            <w:pPr>
              <w:rPr>
                <w:rFonts w:hint="eastAsia"/>
                <w:sz w:val="24"/>
              </w:rPr>
            </w:pPr>
            <w:r>
              <w:rPr>
                <w:rFonts w:hint="eastAsia"/>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rFonts w:hint="eastAsia"/>
                <w:sz w:val="24"/>
              </w:rPr>
            </w:pPr>
            <w:r>
              <w:rPr>
                <w:rFonts w:hint="eastAsia"/>
                <w:sz w:val="24"/>
              </w:rPr>
              <w:t>*</w:t>
            </w:r>
          </w:p>
        </w:tc>
        <w:tc>
          <w:tcPr>
            <w:tcW w:w="1418" w:type="dxa"/>
            <w:shd w:val="clear" w:color="auto" w:fill="auto"/>
            <w:noWrap w:val="0"/>
            <w:vAlign w:val="top"/>
          </w:tcPr>
          <w:p>
            <w:pPr>
              <w:rPr>
                <w:rFonts w:hint="eastAsia"/>
                <w:sz w:val="24"/>
              </w:rPr>
            </w:pPr>
            <w:r>
              <w:rPr>
                <w:rFonts w:hint="eastAsia"/>
                <w:sz w:val="24"/>
              </w:rPr>
              <w:t>配件-差分探头</w:t>
            </w:r>
          </w:p>
        </w:tc>
        <w:tc>
          <w:tcPr>
            <w:tcW w:w="4819" w:type="dxa"/>
            <w:shd w:val="clear" w:color="auto" w:fill="auto"/>
            <w:noWrap w:val="0"/>
            <w:vAlign w:val="top"/>
          </w:tcPr>
          <w:p>
            <w:pPr>
              <w:rPr>
                <w:sz w:val="24"/>
              </w:rPr>
            </w:pPr>
            <w:r>
              <w:rPr>
                <w:rFonts w:hint="eastAsia"/>
                <w:sz w:val="24"/>
              </w:rPr>
              <w:t>数量：2个；保修5年；（若无特殊说明，下面需求均为单个配件的规格需求）</w:t>
            </w:r>
          </w:p>
          <w:p>
            <w:pPr>
              <w:rPr>
                <w:rFonts w:hint="eastAsia"/>
                <w:sz w:val="24"/>
              </w:rPr>
            </w:pPr>
            <w:r>
              <w:rPr>
                <w:rFonts w:hint="eastAsia"/>
                <w:sz w:val="24"/>
              </w:rPr>
              <w:t>带宽≥</w:t>
            </w:r>
            <w:r>
              <w:rPr>
                <w:sz w:val="24"/>
              </w:rPr>
              <w:t>12 GHz</w:t>
            </w:r>
            <w:r>
              <w:rPr>
                <w:rFonts w:hint="eastAsia"/>
                <w:sz w:val="24"/>
              </w:rPr>
              <w:t>；</w:t>
            </w:r>
          </w:p>
        </w:tc>
        <w:tc>
          <w:tcPr>
            <w:tcW w:w="992" w:type="dxa"/>
            <w:shd w:val="clear" w:color="auto" w:fill="auto"/>
            <w:noWrap w:val="0"/>
            <w:vAlign w:val="top"/>
          </w:tcPr>
          <w:p>
            <w:pPr>
              <w:rPr>
                <w:rFonts w:hint="eastAsia"/>
                <w:sz w:val="24"/>
              </w:rPr>
            </w:pP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rFonts w:hint="eastAsia"/>
                <w:sz w:val="24"/>
              </w:rPr>
            </w:pPr>
          </w:p>
        </w:tc>
        <w:tc>
          <w:tcPr>
            <w:tcW w:w="1418" w:type="dxa"/>
            <w:shd w:val="clear" w:color="auto" w:fill="auto"/>
            <w:noWrap w:val="0"/>
            <w:vAlign w:val="top"/>
          </w:tcPr>
          <w:p>
            <w:pPr>
              <w:rPr>
                <w:rFonts w:hint="eastAsia"/>
                <w:sz w:val="24"/>
              </w:rPr>
            </w:pPr>
            <w:r>
              <w:rPr>
                <w:rFonts w:hint="eastAsia"/>
                <w:sz w:val="24"/>
              </w:rPr>
              <w:t>配件-差分探头需求</w:t>
            </w:r>
          </w:p>
        </w:tc>
        <w:tc>
          <w:tcPr>
            <w:tcW w:w="4819" w:type="dxa"/>
            <w:shd w:val="clear" w:color="auto" w:fill="auto"/>
            <w:noWrap w:val="0"/>
            <w:vAlign w:val="top"/>
          </w:tcPr>
          <w:p>
            <w:pPr>
              <w:rPr>
                <w:sz w:val="24"/>
              </w:rPr>
            </w:pPr>
            <w:r>
              <w:rPr>
                <w:rFonts w:hint="eastAsia"/>
                <w:sz w:val="24"/>
              </w:rPr>
              <w:t>动态范围：</w:t>
            </w:r>
            <w:r>
              <w:rPr>
                <w:sz w:val="24"/>
              </w:rPr>
              <w:t>3.3 V 峰峰值</w:t>
            </w:r>
            <w:r>
              <w:rPr>
                <w:rFonts w:hint="eastAsia"/>
                <w:sz w:val="24"/>
              </w:rPr>
              <w:t>；</w:t>
            </w:r>
          </w:p>
          <w:p>
            <w:pPr>
              <w:rPr>
                <w:sz w:val="24"/>
              </w:rPr>
            </w:pPr>
            <w:r>
              <w:rPr>
                <w:rFonts w:hint="eastAsia"/>
                <w:sz w:val="24"/>
              </w:rPr>
              <w:t>直流偏置范围：±</w:t>
            </w:r>
            <w:r>
              <w:rPr>
                <w:sz w:val="24"/>
              </w:rPr>
              <w:t>16V</w:t>
            </w:r>
            <w:r>
              <w:rPr>
                <w:rFonts w:hint="eastAsia"/>
                <w:sz w:val="24"/>
              </w:rPr>
              <w:t>；</w:t>
            </w:r>
          </w:p>
          <w:p>
            <w:pPr>
              <w:rPr>
                <w:sz w:val="24"/>
              </w:rPr>
            </w:pPr>
            <w:r>
              <w:rPr>
                <w:rFonts w:hint="eastAsia"/>
                <w:sz w:val="24"/>
              </w:rPr>
              <w:t>最高电压：±</w:t>
            </w:r>
            <w:r>
              <w:rPr>
                <w:sz w:val="24"/>
              </w:rPr>
              <w:t>30V</w:t>
            </w:r>
            <w:r>
              <w:rPr>
                <w:rFonts w:hint="eastAsia"/>
                <w:sz w:val="24"/>
              </w:rPr>
              <w:t>；</w:t>
            </w:r>
          </w:p>
          <w:p>
            <w:pPr>
              <w:rPr>
                <w:sz w:val="24"/>
              </w:rPr>
            </w:pPr>
            <w:r>
              <w:rPr>
                <w:rFonts w:hint="eastAsia"/>
                <w:sz w:val="24"/>
              </w:rPr>
              <w:t>差分输入电阻：</w:t>
            </w:r>
            <w:r>
              <w:rPr>
                <w:sz w:val="24"/>
              </w:rPr>
              <w:t>50 kΩ</w:t>
            </w:r>
            <w:r>
              <w:rPr>
                <w:rFonts w:hint="eastAsia"/>
                <w:sz w:val="24"/>
              </w:rPr>
              <w:t>；</w:t>
            </w:r>
          </w:p>
          <w:p>
            <w:pPr>
              <w:rPr>
                <w:sz w:val="24"/>
              </w:rPr>
            </w:pPr>
            <w:r>
              <w:rPr>
                <w:rFonts w:hint="eastAsia"/>
                <w:sz w:val="24"/>
              </w:rPr>
              <w:t>差分输入电容：</w:t>
            </w:r>
            <w:r>
              <w:rPr>
                <w:sz w:val="24"/>
              </w:rPr>
              <w:t>0.21 pF</w:t>
            </w:r>
            <w:r>
              <w:rPr>
                <w:rFonts w:hint="eastAsia"/>
                <w:sz w:val="24"/>
              </w:rPr>
              <w:t>；</w:t>
            </w:r>
          </w:p>
          <w:p>
            <w:pPr>
              <w:rPr>
                <w:sz w:val="24"/>
              </w:rPr>
            </w:pPr>
            <w:r>
              <w:rPr>
                <w:rFonts w:hint="eastAsia"/>
                <w:sz w:val="24"/>
              </w:rPr>
              <w:t>单端输入电阻：</w:t>
            </w:r>
            <w:r>
              <w:rPr>
                <w:sz w:val="24"/>
              </w:rPr>
              <w:t>25 kΩ</w:t>
            </w:r>
            <w:r>
              <w:rPr>
                <w:rFonts w:hint="eastAsia"/>
                <w:sz w:val="24"/>
              </w:rPr>
              <w:t>；</w:t>
            </w:r>
          </w:p>
          <w:p>
            <w:pPr>
              <w:rPr>
                <w:sz w:val="24"/>
              </w:rPr>
            </w:pPr>
            <w:r>
              <w:rPr>
                <w:rFonts w:hint="eastAsia"/>
                <w:sz w:val="24"/>
              </w:rPr>
              <w:t>单端输入电容：</w:t>
            </w:r>
            <w:r>
              <w:rPr>
                <w:sz w:val="24"/>
              </w:rPr>
              <w:t>0.35 pF</w:t>
            </w:r>
            <w:r>
              <w:rPr>
                <w:rFonts w:hint="eastAsia"/>
                <w:sz w:val="24"/>
              </w:rPr>
              <w:t>；</w:t>
            </w:r>
          </w:p>
          <w:p>
            <w:pPr>
              <w:rPr>
                <w:sz w:val="24"/>
              </w:rPr>
            </w:pPr>
            <w:r>
              <w:rPr>
                <w:rFonts w:hint="eastAsia"/>
                <w:sz w:val="24"/>
              </w:rPr>
              <w:t>配置</w:t>
            </w:r>
            <w:r>
              <w:rPr>
                <w:sz w:val="24"/>
              </w:rPr>
              <w:t>2 个差分插座式探头前端</w:t>
            </w:r>
            <w:r>
              <w:rPr>
                <w:rFonts w:hint="eastAsia"/>
                <w:sz w:val="24"/>
              </w:rPr>
              <w:t>；</w:t>
            </w:r>
          </w:p>
          <w:p>
            <w:pPr>
              <w:rPr>
                <w:rFonts w:hint="eastAsia"/>
                <w:sz w:val="24"/>
              </w:rPr>
            </w:pPr>
            <w:r>
              <w:rPr>
                <w:rFonts w:hint="eastAsia"/>
                <w:sz w:val="24"/>
              </w:rPr>
              <w:t>配置</w:t>
            </w:r>
            <w:r>
              <w:rPr>
                <w:sz w:val="24"/>
              </w:rPr>
              <w:t>4 个差分焊入式探头前端</w:t>
            </w:r>
            <w:r>
              <w:rPr>
                <w:rFonts w:hint="eastAsia"/>
                <w:sz w:val="24"/>
              </w:rPr>
              <w:t>；</w:t>
            </w:r>
          </w:p>
        </w:tc>
        <w:tc>
          <w:tcPr>
            <w:tcW w:w="992" w:type="dxa"/>
            <w:shd w:val="clear" w:color="auto" w:fill="auto"/>
            <w:noWrap w:val="0"/>
            <w:vAlign w:val="top"/>
          </w:tcPr>
          <w:p>
            <w:pPr>
              <w:rPr>
                <w:rFonts w:hint="eastAsia"/>
                <w:sz w:val="24"/>
              </w:rPr>
            </w:pP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rFonts w:hint="eastAsia"/>
                <w:sz w:val="24"/>
              </w:rPr>
            </w:pPr>
            <w:r>
              <w:rPr>
                <w:rFonts w:hint="eastAsia"/>
                <w:sz w:val="24"/>
              </w:rPr>
              <w:t>#</w:t>
            </w:r>
          </w:p>
        </w:tc>
        <w:tc>
          <w:tcPr>
            <w:tcW w:w="1418" w:type="dxa"/>
            <w:shd w:val="clear" w:color="auto" w:fill="auto"/>
            <w:noWrap w:val="0"/>
            <w:vAlign w:val="top"/>
          </w:tcPr>
          <w:p>
            <w:pPr>
              <w:rPr>
                <w:rFonts w:hint="eastAsia"/>
                <w:sz w:val="24"/>
              </w:rPr>
            </w:pPr>
            <w:r>
              <w:rPr>
                <w:rFonts w:hint="eastAsia"/>
                <w:sz w:val="24"/>
              </w:rPr>
              <w:t>配件-差分探头高级需求</w:t>
            </w:r>
          </w:p>
        </w:tc>
        <w:tc>
          <w:tcPr>
            <w:tcW w:w="4819" w:type="dxa"/>
            <w:shd w:val="clear" w:color="auto" w:fill="auto"/>
            <w:noWrap w:val="0"/>
            <w:vAlign w:val="top"/>
          </w:tcPr>
          <w:p>
            <w:pPr>
              <w:rPr>
                <w:sz w:val="24"/>
              </w:rPr>
            </w:pPr>
            <w:r>
              <w:rPr>
                <w:rFonts w:hint="eastAsia"/>
                <w:sz w:val="24"/>
              </w:rPr>
              <w:t>偏移校正：</w:t>
            </w:r>
          </w:p>
          <w:p>
            <w:pPr>
              <w:rPr>
                <w:sz w:val="24"/>
              </w:rPr>
            </w:pPr>
            <w:r>
              <w:rPr>
                <w:sz w:val="24"/>
              </w:rPr>
              <w:t>1.SMA（阳头）至 SMA（阳头）适配器</w:t>
            </w:r>
          </w:p>
          <w:p>
            <w:pPr>
              <w:rPr>
                <w:sz w:val="24"/>
              </w:rPr>
            </w:pPr>
            <w:r>
              <w:rPr>
                <w:sz w:val="24"/>
              </w:rPr>
              <w:t>2.SMA（阳头）至 BNC（阴头）适配器</w:t>
            </w:r>
          </w:p>
          <w:p>
            <w:pPr>
              <w:rPr>
                <w:sz w:val="24"/>
              </w:rPr>
            </w:pPr>
            <w:r>
              <w:rPr>
                <w:sz w:val="24"/>
              </w:rPr>
              <w:t>3.BNC（阳头）至 SMA（阳头）适配器</w:t>
            </w:r>
          </w:p>
          <w:p>
            <w:pPr>
              <w:rPr>
                <w:sz w:val="24"/>
              </w:rPr>
            </w:pPr>
            <w:r>
              <w:rPr>
                <w:sz w:val="24"/>
              </w:rPr>
              <w:t>4.50 Ω SMA 端接器</w:t>
            </w:r>
          </w:p>
          <w:p>
            <w:pPr>
              <w:rPr>
                <w:rFonts w:hint="eastAsia"/>
                <w:sz w:val="24"/>
              </w:rPr>
            </w:pPr>
            <w:r>
              <w:rPr>
                <w:sz w:val="24"/>
              </w:rPr>
              <w:t>5.偏移校正夹具</w:t>
            </w:r>
          </w:p>
        </w:tc>
        <w:tc>
          <w:tcPr>
            <w:tcW w:w="992" w:type="dxa"/>
            <w:shd w:val="clear" w:color="auto" w:fill="auto"/>
            <w:noWrap w:val="0"/>
            <w:vAlign w:val="top"/>
          </w:tcPr>
          <w:p>
            <w:pPr>
              <w:rPr>
                <w:rFonts w:hint="eastAsia"/>
                <w:sz w:val="24"/>
              </w:rPr>
            </w:pPr>
            <w:r>
              <w:rPr>
                <w:rFonts w:hint="eastAsia"/>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rFonts w:hint="eastAsia"/>
                <w:sz w:val="24"/>
              </w:rPr>
            </w:pPr>
            <w:r>
              <w:rPr>
                <w:rFonts w:hint="eastAsia"/>
                <w:sz w:val="24"/>
              </w:rPr>
              <w:t>*</w:t>
            </w:r>
          </w:p>
        </w:tc>
        <w:tc>
          <w:tcPr>
            <w:tcW w:w="1418" w:type="dxa"/>
            <w:shd w:val="clear" w:color="auto" w:fill="auto"/>
            <w:noWrap w:val="0"/>
            <w:vAlign w:val="top"/>
          </w:tcPr>
          <w:p>
            <w:pPr>
              <w:rPr>
                <w:rFonts w:hint="eastAsia"/>
                <w:sz w:val="24"/>
              </w:rPr>
            </w:pPr>
            <w:r>
              <w:rPr>
                <w:rFonts w:hint="eastAsia"/>
                <w:sz w:val="24"/>
              </w:rPr>
              <w:t>配件-有源单端探头</w:t>
            </w:r>
          </w:p>
        </w:tc>
        <w:tc>
          <w:tcPr>
            <w:tcW w:w="4819" w:type="dxa"/>
            <w:shd w:val="clear" w:color="auto" w:fill="auto"/>
            <w:noWrap w:val="0"/>
            <w:vAlign w:val="top"/>
          </w:tcPr>
          <w:p>
            <w:pPr>
              <w:rPr>
                <w:sz w:val="24"/>
              </w:rPr>
            </w:pPr>
            <w:r>
              <w:rPr>
                <w:rFonts w:hint="eastAsia"/>
                <w:sz w:val="24"/>
              </w:rPr>
              <w:t>数量：4个；保修5年；（若无特殊说明，下面需求均为单个配件的规格需求）</w:t>
            </w:r>
          </w:p>
          <w:p>
            <w:pPr>
              <w:rPr>
                <w:rFonts w:hint="eastAsia"/>
                <w:sz w:val="24"/>
              </w:rPr>
            </w:pPr>
            <w:r>
              <w:rPr>
                <w:sz w:val="24"/>
              </w:rPr>
              <w:t>带宽2GHZ</w:t>
            </w:r>
          </w:p>
        </w:tc>
        <w:tc>
          <w:tcPr>
            <w:tcW w:w="992" w:type="dxa"/>
            <w:shd w:val="clear" w:color="auto" w:fill="auto"/>
            <w:noWrap w:val="0"/>
            <w:vAlign w:val="top"/>
          </w:tcPr>
          <w:p>
            <w:pPr>
              <w:rPr>
                <w:rFonts w:hint="eastAsia"/>
                <w:sz w:val="24"/>
              </w:rPr>
            </w:pP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rFonts w:hint="eastAsia"/>
                <w:sz w:val="24"/>
              </w:rPr>
            </w:pPr>
          </w:p>
        </w:tc>
        <w:tc>
          <w:tcPr>
            <w:tcW w:w="1418" w:type="dxa"/>
            <w:shd w:val="clear" w:color="auto" w:fill="auto"/>
            <w:noWrap w:val="0"/>
            <w:vAlign w:val="top"/>
          </w:tcPr>
          <w:p>
            <w:pPr>
              <w:rPr>
                <w:rFonts w:hint="eastAsia"/>
                <w:sz w:val="24"/>
              </w:rPr>
            </w:pPr>
            <w:r>
              <w:rPr>
                <w:rFonts w:hint="eastAsia"/>
                <w:sz w:val="24"/>
              </w:rPr>
              <w:t>配件-有源单端探头需求</w:t>
            </w:r>
          </w:p>
        </w:tc>
        <w:tc>
          <w:tcPr>
            <w:tcW w:w="4819" w:type="dxa"/>
            <w:shd w:val="clear" w:color="auto" w:fill="auto"/>
            <w:noWrap w:val="0"/>
            <w:vAlign w:val="top"/>
          </w:tcPr>
          <w:p>
            <w:pPr>
              <w:rPr>
                <w:rFonts w:hint="eastAsia"/>
                <w:sz w:val="24"/>
              </w:rPr>
            </w:pPr>
            <w:r>
              <w:rPr>
                <w:rFonts w:hint="eastAsia"/>
                <w:sz w:val="24"/>
              </w:rPr>
              <w:t>上升时间≤175 psec；</w:t>
            </w:r>
          </w:p>
          <w:p>
            <w:pPr>
              <w:rPr>
                <w:rFonts w:hint="eastAsia"/>
                <w:sz w:val="24"/>
              </w:rPr>
            </w:pPr>
            <w:r>
              <w:rPr>
                <w:rFonts w:hint="eastAsia"/>
                <w:sz w:val="24"/>
              </w:rPr>
              <w:t>衰减比10:1 ± 0.5%；</w:t>
            </w:r>
          </w:p>
          <w:p>
            <w:pPr>
              <w:rPr>
                <w:rFonts w:hint="eastAsia"/>
                <w:sz w:val="24"/>
              </w:rPr>
            </w:pPr>
            <w:r>
              <w:rPr>
                <w:rFonts w:hint="eastAsia"/>
                <w:sz w:val="24"/>
              </w:rPr>
              <w:t>动态范围–8 V -+8 V ；</w:t>
            </w:r>
          </w:p>
          <w:p>
            <w:pPr>
              <w:rPr>
                <w:rFonts w:hint="eastAsia"/>
                <w:sz w:val="24"/>
              </w:rPr>
            </w:pPr>
            <w:r>
              <w:rPr>
                <w:rFonts w:hint="eastAsia"/>
                <w:sz w:val="24"/>
              </w:rPr>
              <w:t>最大输入电压–20 V to +20 V；</w:t>
            </w:r>
          </w:p>
          <w:p>
            <w:pPr>
              <w:rPr>
                <w:rFonts w:hint="eastAsia"/>
                <w:sz w:val="24"/>
              </w:rPr>
            </w:pPr>
            <w:r>
              <w:rPr>
                <w:rFonts w:hint="eastAsia"/>
                <w:sz w:val="24"/>
              </w:rPr>
              <w:t>直流偏移误差&lt; ±1 mV；</w:t>
            </w:r>
          </w:p>
          <w:p>
            <w:pPr>
              <w:rPr>
                <w:rFonts w:hint="eastAsia"/>
                <w:sz w:val="24"/>
              </w:rPr>
            </w:pPr>
            <w:r>
              <w:rPr>
                <w:rFonts w:hint="eastAsia"/>
                <w:sz w:val="24"/>
              </w:rPr>
              <w:t>输入电容≤1Pf；</w:t>
            </w:r>
          </w:p>
          <w:p>
            <w:pPr>
              <w:rPr>
                <w:rFonts w:hint="eastAsia"/>
                <w:sz w:val="24"/>
              </w:rPr>
            </w:pPr>
            <w:r>
              <w:rPr>
                <w:rFonts w:hint="eastAsia"/>
                <w:sz w:val="24"/>
              </w:rPr>
              <w:t>噪声&lt; 2.5 mVrms；</w:t>
            </w:r>
          </w:p>
        </w:tc>
        <w:tc>
          <w:tcPr>
            <w:tcW w:w="992" w:type="dxa"/>
            <w:shd w:val="clear" w:color="auto" w:fill="auto"/>
            <w:noWrap w:val="0"/>
            <w:vAlign w:val="top"/>
          </w:tcPr>
          <w:p>
            <w:pPr>
              <w:rPr>
                <w:rFonts w:hint="eastAsia"/>
                <w:sz w:val="24"/>
              </w:rPr>
            </w:pP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rFonts w:hint="eastAsia"/>
                <w:sz w:val="24"/>
              </w:rPr>
            </w:pPr>
            <w:r>
              <w:rPr>
                <w:rFonts w:hint="eastAsia"/>
                <w:sz w:val="24"/>
              </w:rPr>
              <w:t>*</w:t>
            </w:r>
          </w:p>
        </w:tc>
        <w:tc>
          <w:tcPr>
            <w:tcW w:w="1418" w:type="dxa"/>
            <w:shd w:val="clear" w:color="auto" w:fill="auto"/>
            <w:noWrap w:val="0"/>
            <w:vAlign w:val="top"/>
          </w:tcPr>
          <w:p>
            <w:pPr>
              <w:rPr>
                <w:rFonts w:hint="eastAsia"/>
                <w:sz w:val="24"/>
              </w:rPr>
            </w:pPr>
            <w:r>
              <w:rPr>
                <w:rFonts w:hint="eastAsia"/>
                <w:sz w:val="24"/>
              </w:rPr>
              <w:t xml:space="preserve">配件-探头定位器   </w:t>
            </w:r>
          </w:p>
        </w:tc>
        <w:tc>
          <w:tcPr>
            <w:tcW w:w="4819" w:type="dxa"/>
            <w:shd w:val="clear" w:color="auto" w:fill="auto"/>
            <w:noWrap w:val="0"/>
            <w:vAlign w:val="top"/>
          </w:tcPr>
          <w:p>
            <w:pPr>
              <w:rPr>
                <w:rFonts w:hint="eastAsia"/>
                <w:sz w:val="24"/>
              </w:rPr>
            </w:pPr>
            <w:r>
              <w:rPr>
                <w:rFonts w:hint="eastAsia"/>
                <w:sz w:val="24"/>
              </w:rPr>
              <w:t>数量：2个；（若无特殊说明，下面需求均为单个配件的规格需求）</w:t>
            </w:r>
          </w:p>
        </w:tc>
        <w:tc>
          <w:tcPr>
            <w:tcW w:w="992" w:type="dxa"/>
            <w:shd w:val="clear" w:color="auto" w:fill="auto"/>
            <w:noWrap w:val="0"/>
            <w:vAlign w:val="top"/>
          </w:tcPr>
          <w:p>
            <w:pPr>
              <w:rPr>
                <w:rFonts w:hint="eastAsia"/>
                <w:sz w:val="24"/>
              </w:rPr>
            </w:pP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rFonts w:hint="eastAsia"/>
                <w:sz w:val="24"/>
              </w:rPr>
            </w:pPr>
          </w:p>
        </w:tc>
        <w:tc>
          <w:tcPr>
            <w:tcW w:w="1418" w:type="dxa"/>
            <w:shd w:val="clear" w:color="auto" w:fill="auto"/>
            <w:noWrap w:val="0"/>
            <w:vAlign w:val="top"/>
          </w:tcPr>
          <w:p>
            <w:pPr>
              <w:rPr>
                <w:rFonts w:hint="eastAsia"/>
                <w:sz w:val="24"/>
              </w:rPr>
            </w:pPr>
            <w:r>
              <w:rPr>
                <w:rFonts w:hint="eastAsia"/>
                <w:sz w:val="24"/>
              </w:rPr>
              <w:t>配件-探头定位器需求</w:t>
            </w:r>
          </w:p>
        </w:tc>
        <w:tc>
          <w:tcPr>
            <w:tcW w:w="4819" w:type="dxa"/>
            <w:shd w:val="clear" w:color="auto" w:fill="auto"/>
            <w:noWrap w:val="0"/>
            <w:vAlign w:val="top"/>
          </w:tcPr>
          <w:p>
            <w:pPr>
              <w:rPr>
                <w:rFonts w:hint="eastAsia"/>
                <w:sz w:val="24"/>
              </w:rPr>
            </w:pPr>
            <w:r>
              <w:rPr>
                <w:rFonts w:hint="eastAsia"/>
                <w:sz w:val="24"/>
              </w:rPr>
              <w:t>探头臂便于操作，可以实现脱手点测；两个关节臂且配有重型底座；</w:t>
            </w:r>
          </w:p>
          <w:p>
            <w:pPr>
              <w:rPr>
                <w:rFonts w:hint="eastAsia"/>
                <w:sz w:val="24"/>
              </w:rPr>
            </w:pPr>
            <w:r>
              <w:rPr>
                <w:rFonts w:hint="eastAsia"/>
                <w:sz w:val="24"/>
              </w:rPr>
              <w:t>快速而稳定的 XY 定位；</w:t>
            </w:r>
          </w:p>
          <w:p>
            <w:pPr>
              <w:rPr>
                <w:rFonts w:hint="eastAsia"/>
                <w:sz w:val="24"/>
              </w:rPr>
            </w:pPr>
            <w:r>
              <w:rPr>
                <w:rFonts w:hint="eastAsia"/>
                <w:sz w:val="24"/>
              </w:rPr>
              <w:t>探头夹持器采用重量稳定技术，可以对探测点保持恒定压力；</w:t>
            </w:r>
          </w:p>
        </w:tc>
        <w:tc>
          <w:tcPr>
            <w:tcW w:w="992" w:type="dxa"/>
            <w:shd w:val="clear" w:color="auto" w:fill="auto"/>
            <w:noWrap w:val="0"/>
            <w:vAlign w:val="top"/>
          </w:tcPr>
          <w:p>
            <w:pPr>
              <w:rPr>
                <w:rFonts w:hint="eastAsia"/>
                <w:sz w:val="24"/>
              </w:rPr>
            </w:pP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rFonts w:hint="eastAsia"/>
                <w:sz w:val="24"/>
              </w:rPr>
            </w:pPr>
            <w:r>
              <w:rPr>
                <w:rFonts w:hint="eastAsia"/>
                <w:sz w:val="24"/>
              </w:rPr>
              <w:t>*</w:t>
            </w:r>
          </w:p>
        </w:tc>
        <w:tc>
          <w:tcPr>
            <w:tcW w:w="1418" w:type="dxa"/>
            <w:shd w:val="clear" w:color="auto" w:fill="auto"/>
            <w:noWrap w:val="0"/>
            <w:vAlign w:val="top"/>
          </w:tcPr>
          <w:p>
            <w:pPr>
              <w:rPr>
                <w:rFonts w:hint="eastAsia"/>
                <w:sz w:val="24"/>
              </w:rPr>
            </w:pPr>
            <w:r>
              <w:rPr>
                <w:rFonts w:hint="eastAsia"/>
                <w:sz w:val="24"/>
              </w:rPr>
              <w:t>配件-双腿探针定位器</w:t>
            </w:r>
          </w:p>
        </w:tc>
        <w:tc>
          <w:tcPr>
            <w:tcW w:w="4819" w:type="dxa"/>
            <w:shd w:val="clear" w:color="auto" w:fill="auto"/>
            <w:noWrap w:val="0"/>
            <w:vAlign w:val="top"/>
          </w:tcPr>
          <w:p>
            <w:pPr>
              <w:rPr>
                <w:rFonts w:hint="eastAsia"/>
                <w:sz w:val="24"/>
              </w:rPr>
            </w:pPr>
            <w:r>
              <w:rPr>
                <w:rFonts w:hint="eastAsia"/>
                <w:sz w:val="24"/>
              </w:rPr>
              <w:t>数量：2个；（若无特殊说明，下面需求均为单个配件的规格需求）</w:t>
            </w:r>
          </w:p>
        </w:tc>
        <w:tc>
          <w:tcPr>
            <w:tcW w:w="992" w:type="dxa"/>
            <w:shd w:val="clear" w:color="auto" w:fill="auto"/>
            <w:noWrap w:val="0"/>
            <w:vAlign w:val="top"/>
          </w:tcPr>
          <w:p>
            <w:pPr>
              <w:rPr>
                <w:rFonts w:hint="eastAsia"/>
                <w:sz w:val="24"/>
              </w:rPr>
            </w:pP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rFonts w:hint="eastAsia"/>
                <w:sz w:val="24"/>
              </w:rPr>
            </w:pPr>
            <w:r>
              <w:rPr>
                <w:rFonts w:hint="eastAsia"/>
                <w:sz w:val="24"/>
              </w:rPr>
              <w:t>#</w:t>
            </w:r>
          </w:p>
        </w:tc>
        <w:tc>
          <w:tcPr>
            <w:tcW w:w="1418" w:type="dxa"/>
            <w:shd w:val="clear" w:color="auto" w:fill="auto"/>
            <w:noWrap w:val="0"/>
            <w:vAlign w:val="top"/>
          </w:tcPr>
          <w:p>
            <w:pPr>
              <w:rPr>
                <w:rFonts w:hint="eastAsia"/>
                <w:sz w:val="24"/>
              </w:rPr>
            </w:pPr>
            <w:r>
              <w:rPr>
                <w:rFonts w:hint="eastAsia"/>
                <w:sz w:val="24"/>
              </w:rPr>
              <w:t>配件-双腿探针定位器高级需求</w:t>
            </w:r>
          </w:p>
        </w:tc>
        <w:tc>
          <w:tcPr>
            <w:tcW w:w="4819" w:type="dxa"/>
            <w:shd w:val="clear" w:color="auto" w:fill="auto"/>
            <w:noWrap w:val="0"/>
            <w:vAlign w:val="top"/>
          </w:tcPr>
          <w:p>
            <w:pPr>
              <w:rPr>
                <w:sz w:val="24"/>
              </w:rPr>
            </w:pPr>
            <w:r>
              <w:rPr>
                <w:rFonts w:hint="eastAsia"/>
                <w:sz w:val="24"/>
              </w:rPr>
              <w:t>兼容性：</w:t>
            </w:r>
          </w:p>
          <w:p>
            <w:pPr>
              <w:rPr>
                <w:rFonts w:hint="eastAsia"/>
                <w:sz w:val="24"/>
              </w:rPr>
            </w:pPr>
            <w:r>
              <w:rPr>
                <w:rFonts w:hint="eastAsia"/>
                <w:sz w:val="24"/>
              </w:rPr>
              <w:t>三种不同大小的孔径，可以插入不同尺寸的探头，兼容的探头2.5 mm 和 5 mm</w:t>
            </w:r>
          </w:p>
        </w:tc>
        <w:tc>
          <w:tcPr>
            <w:tcW w:w="992" w:type="dxa"/>
            <w:shd w:val="clear" w:color="auto" w:fill="auto"/>
            <w:noWrap w:val="0"/>
            <w:vAlign w:val="top"/>
          </w:tcPr>
          <w:p>
            <w:pPr>
              <w:rPr>
                <w:rFonts w:hint="eastAsia"/>
                <w:sz w:val="24"/>
              </w:rPr>
            </w:pPr>
            <w:r>
              <w:rPr>
                <w:rFonts w:hint="eastAsia"/>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rFonts w:hint="eastAsia"/>
                <w:sz w:val="24"/>
              </w:rPr>
            </w:pPr>
            <w:r>
              <w:rPr>
                <w:rFonts w:hint="eastAsia"/>
                <w:sz w:val="24"/>
              </w:rPr>
              <w:t>*</w:t>
            </w:r>
          </w:p>
        </w:tc>
        <w:tc>
          <w:tcPr>
            <w:tcW w:w="1418" w:type="dxa"/>
            <w:shd w:val="clear" w:color="auto" w:fill="auto"/>
            <w:noWrap w:val="0"/>
            <w:vAlign w:val="top"/>
          </w:tcPr>
          <w:p>
            <w:pPr>
              <w:rPr>
                <w:rFonts w:hint="eastAsia"/>
                <w:sz w:val="24"/>
              </w:rPr>
            </w:pPr>
            <w:r>
              <w:rPr>
                <w:rFonts w:hint="eastAsia"/>
                <w:sz w:val="24"/>
              </w:rPr>
              <w:t>配件-焊入式差分探头前端</w:t>
            </w:r>
          </w:p>
        </w:tc>
        <w:tc>
          <w:tcPr>
            <w:tcW w:w="4819" w:type="dxa"/>
            <w:shd w:val="clear" w:color="auto" w:fill="auto"/>
            <w:noWrap w:val="0"/>
            <w:vAlign w:val="top"/>
          </w:tcPr>
          <w:p>
            <w:pPr>
              <w:rPr>
                <w:sz w:val="24"/>
              </w:rPr>
            </w:pPr>
            <w:r>
              <w:rPr>
                <w:rFonts w:hint="eastAsia"/>
                <w:sz w:val="24"/>
              </w:rPr>
              <w:t>数量：1</w:t>
            </w:r>
            <w:r>
              <w:rPr>
                <w:sz w:val="24"/>
              </w:rPr>
              <w:t>0</w:t>
            </w:r>
            <w:r>
              <w:rPr>
                <w:rFonts w:hint="eastAsia"/>
                <w:sz w:val="24"/>
              </w:rPr>
              <w:t>；（若无特殊说明，下面需求均为单个配件的规格需求）</w:t>
            </w:r>
          </w:p>
          <w:p>
            <w:pPr>
              <w:rPr>
                <w:rFonts w:hint="eastAsia"/>
                <w:sz w:val="24"/>
              </w:rPr>
            </w:pPr>
            <w:r>
              <w:rPr>
                <w:rFonts w:hint="eastAsia"/>
                <w:sz w:val="24"/>
              </w:rPr>
              <w:t>带宽</w:t>
            </w:r>
            <w:r>
              <w:rPr>
                <w:sz w:val="24"/>
              </w:rPr>
              <w:t>12GHZ</w:t>
            </w:r>
            <w:r>
              <w:rPr>
                <w:rFonts w:hint="eastAsia"/>
                <w:sz w:val="24"/>
              </w:rPr>
              <w:t>；</w:t>
            </w:r>
          </w:p>
        </w:tc>
        <w:tc>
          <w:tcPr>
            <w:tcW w:w="992" w:type="dxa"/>
            <w:shd w:val="clear" w:color="auto" w:fill="auto"/>
            <w:noWrap w:val="0"/>
            <w:vAlign w:val="top"/>
          </w:tcPr>
          <w:p>
            <w:pPr>
              <w:rPr>
                <w:rFonts w:hint="eastAsia"/>
                <w:sz w:val="24"/>
              </w:rPr>
            </w:pP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rFonts w:hint="eastAsia"/>
                <w:sz w:val="24"/>
              </w:rPr>
            </w:pPr>
          </w:p>
        </w:tc>
        <w:tc>
          <w:tcPr>
            <w:tcW w:w="1418" w:type="dxa"/>
            <w:shd w:val="clear" w:color="auto" w:fill="auto"/>
            <w:noWrap w:val="0"/>
            <w:vAlign w:val="top"/>
          </w:tcPr>
          <w:p>
            <w:pPr>
              <w:rPr>
                <w:rFonts w:hint="eastAsia"/>
                <w:sz w:val="24"/>
              </w:rPr>
            </w:pPr>
            <w:r>
              <w:rPr>
                <w:rFonts w:hint="eastAsia"/>
                <w:sz w:val="24"/>
              </w:rPr>
              <w:t>配件-焊入式差分探头前端需求</w:t>
            </w:r>
          </w:p>
        </w:tc>
        <w:tc>
          <w:tcPr>
            <w:tcW w:w="4819" w:type="dxa"/>
            <w:shd w:val="clear" w:color="auto" w:fill="auto"/>
            <w:noWrap w:val="0"/>
            <w:vAlign w:val="top"/>
          </w:tcPr>
          <w:p>
            <w:pPr>
              <w:rPr>
                <w:rFonts w:hint="eastAsia"/>
                <w:sz w:val="24"/>
              </w:rPr>
            </w:pPr>
            <w:r>
              <w:rPr>
                <w:rFonts w:hint="eastAsia"/>
                <w:sz w:val="24"/>
              </w:rPr>
              <w:t>差分输入电容≤210pF</w:t>
            </w:r>
          </w:p>
          <w:p>
            <w:pPr>
              <w:rPr>
                <w:rFonts w:hint="eastAsia"/>
                <w:sz w:val="24"/>
              </w:rPr>
            </w:pPr>
            <w:r>
              <w:rPr>
                <w:rFonts w:hint="eastAsia"/>
                <w:sz w:val="24"/>
              </w:rPr>
              <w:t>上升时间≤25.7pS</w:t>
            </w:r>
          </w:p>
        </w:tc>
        <w:tc>
          <w:tcPr>
            <w:tcW w:w="992" w:type="dxa"/>
            <w:shd w:val="clear" w:color="auto" w:fill="auto"/>
            <w:noWrap w:val="0"/>
            <w:vAlign w:val="top"/>
          </w:tcPr>
          <w:p>
            <w:pPr>
              <w:rPr>
                <w:rFonts w:hint="eastAsia"/>
                <w:sz w:val="24"/>
              </w:rPr>
            </w:pP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rFonts w:hint="eastAsia"/>
                <w:sz w:val="24"/>
              </w:rPr>
            </w:pPr>
            <w:r>
              <w:rPr>
                <w:rFonts w:hint="eastAsia"/>
                <w:sz w:val="24"/>
              </w:rPr>
              <w:t>#</w:t>
            </w:r>
          </w:p>
        </w:tc>
        <w:tc>
          <w:tcPr>
            <w:tcW w:w="1418" w:type="dxa"/>
            <w:shd w:val="clear" w:color="auto" w:fill="auto"/>
            <w:noWrap w:val="0"/>
            <w:vAlign w:val="top"/>
          </w:tcPr>
          <w:p>
            <w:pPr>
              <w:rPr>
                <w:rFonts w:hint="eastAsia"/>
                <w:sz w:val="24"/>
              </w:rPr>
            </w:pPr>
            <w:r>
              <w:rPr>
                <w:rFonts w:hint="eastAsia"/>
                <w:sz w:val="24"/>
              </w:rPr>
              <w:t>配件-焊入式差分探头前端高级需求</w:t>
            </w:r>
          </w:p>
        </w:tc>
        <w:tc>
          <w:tcPr>
            <w:tcW w:w="4819" w:type="dxa"/>
            <w:shd w:val="clear" w:color="auto" w:fill="auto"/>
            <w:noWrap w:val="0"/>
            <w:vAlign w:val="top"/>
          </w:tcPr>
          <w:p>
            <w:pPr>
              <w:rPr>
                <w:rFonts w:hint="eastAsia"/>
                <w:sz w:val="24"/>
              </w:rPr>
            </w:pPr>
            <w:r>
              <w:rPr>
                <w:sz w:val="24"/>
              </w:rPr>
              <w:t>引线长度</w:t>
            </w:r>
            <w:r>
              <w:rPr>
                <w:rFonts w:hint="eastAsia"/>
                <w:sz w:val="24"/>
              </w:rPr>
              <w:t>不小于4英寸，可以适应空间狭小的应用；引线间距：0.2mm - 3.3mm</w:t>
            </w:r>
          </w:p>
        </w:tc>
        <w:tc>
          <w:tcPr>
            <w:tcW w:w="992" w:type="dxa"/>
            <w:shd w:val="clear" w:color="auto" w:fill="auto"/>
            <w:noWrap w:val="0"/>
            <w:vAlign w:val="top"/>
          </w:tcPr>
          <w:p>
            <w:pPr>
              <w:rPr>
                <w:rFonts w:hint="eastAsia"/>
                <w:sz w:val="24"/>
              </w:rPr>
            </w:pPr>
            <w:r>
              <w:rPr>
                <w:rFonts w:hint="eastAsia"/>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rFonts w:hint="eastAsia"/>
                <w:sz w:val="24"/>
              </w:rPr>
            </w:pPr>
            <w:r>
              <w:rPr>
                <w:rFonts w:hint="eastAsia"/>
                <w:sz w:val="24"/>
              </w:rPr>
              <w:t>*</w:t>
            </w:r>
          </w:p>
        </w:tc>
        <w:tc>
          <w:tcPr>
            <w:tcW w:w="1418" w:type="dxa"/>
            <w:shd w:val="clear" w:color="auto" w:fill="auto"/>
            <w:noWrap w:val="0"/>
            <w:vAlign w:val="top"/>
          </w:tcPr>
          <w:p>
            <w:pPr>
              <w:rPr>
                <w:rFonts w:hint="eastAsia"/>
                <w:sz w:val="24"/>
              </w:rPr>
            </w:pPr>
            <w:r>
              <w:rPr>
                <w:rFonts w:hint="eastAsia"/>
                <w:sz w:val="24"/>
              </w:rPr>
              <w:t>配件-高灵敏度电流探头</w:t>
            </w:r>
          </w:p>
        </w:tc>
        <w:tc>
          <w:tcPr>
            <w:tcW w:w="4819" w:type="dxa"/>
            <w:shd w:val="clear" w:color="auto" w:fill="auto"/>
            <w:noWrap w:val="0"/>
            <w:vAlign w:val="top"/>
          </w:tcPr>
          <w:p>
            <w:pPr>
              <w:rPr>
                <w:rFonts w:hint="eastAsia"/>
                <w:sz w:val="24"/>
              </w:rPr>
            </w:pPr>
            <w:r>
              <w:rPr>
                <w:rFonts w:hint="eastAsia"/>
                <w:sz w:val="24"/>
              </w:rPr>
              <w:t>数量：1（若无特殊说明，下面需求均为单个配件的规格需求）</w:t>
            </w:r>
          </w:p>
        </w:tc>
        <w:tc>
          <w:tcPr>
            <w:tcW w:w="992" w:type="dxa"/>
            <w:shd w:val="clear" w:color="auto" w:fill="auto"/>
            <w:noWrap w:val="0"/>
            <w:vAlign w:val="top"/>
          </w:tcPr>
          <w:p>
            <w:pPr>
              <w:rPr>
                <w:rFonts w:hint="eastAsia"/>
                <w:sz w:val="24"/>
              </w:rPr>
            </w:pP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pStyle w:val="7"/>
              <w:numPr>
                <w:ilvl w:val="1"/>
                <w:numId w:val="2"/>
              </w:numPr>
              <w:ind w:firstLineChars="0"/>
              <w:rPr>
                <w:rFonts w:hint="eastAsia"/>
                <w:sz w:val="24"/>
                <w:szCs w:val="24"/>
              </w:rPr>
            </w:pPr>
          </w:p>
        </w:tc>
        <w:tc>
          <w:tcPr>
            <w:tcW w:w="992" w:type="dxa"/>
            <w:shd w:val="clear" w:color="auto" w:fill="auto"/>
            <w:noWrap w:val="0"/>
            <w:vAlign w:val="top"/>
          </w:tcPr>
          <w:p>
            <w:pPr>
              <w:rPr>
                <w:rFonts w:hint="eastAsia"/>
                <w:sz w:val="24"/>
              </w:rPr>
            </w:pPr>
            <w:r>
              <w:rPr>
                <w:rFonts w:hint="eastAsia"/>
                <w:sz w:val="24"/>
              </w:rPr>
              <w:t>#</w:t>
            </w:r>
          </w:p>
        </w:tc>
        <w:tc>
          <w:tcPr>
            <w:tcW w:w="1418" w:type="dxa"/>
            <w:shd w:val="clear" w:color="auto" w:fill="auto"/>
            <w:noWrap w:val="0"/>
            <w:vAlign w:val="top"/>
          </w:tcPr>
          <w:p>
            <w:pPr>
              <w:rPr>
                <w:rFonts w:hint="eastAsia"/>
                <w:sz w:val="24"/>
              </w:rPr>
            </w:pPr>
            <w:r>
              <w:rPr>
                <w:rFonts w:hint="eastAsia"/>
                <w:sz w:val="24"/>
              </w:rPr>
              <w:t>配件-高灵敏度电流探头高级需求</w:t>
            </w:r>
          </w:p>
        </w:tc>
        <w:tc>
          <w:tcPr>
            <w:tcW w:w="4819" w:type="dxa"/>
            <w:shd w:val="clear" w:color="auto" w:fill="auto"/>
            <w:noWrap w:val="0"/>
            <w:vAlign w:val="top"/>
          </w:tcPr>
          <w:p>
            <w:pPr>
              <w:rPr>
                <w:rFonts w:hint="eastAsia"/>
                <w:sz w:val="24"/>
              </w:rPr>
            </w:pPr>
            <w:r>
              <w:rPr>
                <w:rFonts w:hint="eastAsia"/>
                <w:sz w:val="24"/>
              </w:rPr>
              <w:t>带宽3MHz，</w:t>
            </w:r>
          </w:p>
          <w:p>
            <w:pPr>
              <w:rPr>
                <w:rFonts w:hint="eastAsia"/>
                <w:sz w:val="24"/>
              </w:rPr>
            </w:pPr>
            <w:r>
              <w:rPr>
                <w:rFonts w:hint="eastAsia"/>
                <w:sz w:val="24"/>
              </w:rPr>
              <w:t>电流范围50 uA-5A</w:t>
            </w:r>
          </w:p>
          <w:p>
            <w:pPr>
              <w:rPr>
                <w:rFonts w:hint="eastAsia"/>
                <w:sz w:val="24"/>
              </w:rPr>
            </w:pPr>
            <w:r>
              <w:rPr>
                <w:rFonts w:hint="eastAsia"/>
                <w:sz w:val="24"/>
              </w:rPr>
              <w:t>精度± 3% 或10μA</w:t>
            </w:r>
          </w:p>
          <w:p>
            <w:pPr>
              <w:rPr>
                <w:rFonts w:hint="eastAsia"/>
                <w:sz w:val="24"/>
              </w:rPr>
            </w:pPr>
            <w:r>
              <w:rPr>
                <w:rFonts w:hint="eastAsia"/>
                <w:sz w:val="24"/>
              </w:rPr>
              <w:t>动态范围20000:1或86 dB</w:t>
            </w:r>
          </w:p>
          <w:p>
            <w:pPr>
              <w:rPr>
                <w:rFonts w:hint="eastAsia"/>
                <w:sz w:val="24"/>
              </w:rPr>
            </w:pPr>
            <w:r>
              <w:rPr>
                <w:rFonts w:hint="eastAsia"/>
                <w:sz w:val="24"/>
              </w:rPr>
              <w:t>最大输入电压±12V</w:t>
            </w:r>
          </w:p>
        </w:tc>
        <w:tc>
          <w:tcPr>
            <w:tcW w:w="992" w:type="dxa"/>
            <w:shd w:val="clear" w:color="auto" w:fill="auto"/>
            <w:noWrap w:val="0"/>
            <w:vAlign w:val="top"/>
          </w:tcPr>
          <w:p>
            <w:pPr>
              <w:rPr>
                <w:rFonts w:hint="eastAsia"/>
                <w:sz w:val="24"/>
              </w:rPr>
            </w:pPr>
            <w:r>
              <w:rPr>
                <w:rFonts w:hint="eastAsia"/>
                <w:sz w:val="24"/>
              </w:rPr>
              <w:t>是</w:t>
            </w:r>
          </w:p>
        </w:tc>
      </w:tr>
    </w:tbl>
    <w:p>
      <w:pPr>
        <w:spacing w:after="156" w:afterLines="50"/>
        <w:rPr>
          <w:rFonts w:ascii="宋体" w:hAnsi="宋体"/>
          <w:b/>
          <w:sz w:val="28"/>
        </w:rPr>
      </w:pPr>
      <w:r>
        <w:rPr>
          <w:rFonts w:hint="eastAsia" w:ascii="宋体" w:hAnsi="宋体"/>
          <w:b/>
          <w:sz w:val="28"/>
        </w:rPr>
        <w:t>安装调试、售后及技术支持服务方案</w:t>
      </w:r>
    </w:p>
    <w:p>
      <w:pPr>
        <w:numPr>
          <w:ilvl w:val="0"/>
          <w:numId w:val="3"/>
        </w:numPr>
        <w:adjustRightInd w:val="0"/>
        <w:snapToGrid w:val="0"/>
        <w:spacing w:line="300" w:lineRule="auto"/>
        <w:rPr>
          <w:rFonts w:ascii="宋体" w:hAnsi="宋体"/>
          <w:b/>
          <w:sz w:val="24"/>
        </w:rPr>
      </w:pPr>
      <w:r>
        <w:rPr>
          <w:rFonts w:hint="eastAsia" w:ascii="宋体" w:hAnsi="宋体"/>
          <w:b/>
          <w:sz w:val="24"/>
        </w:rPr>
        <w:t>开箱验货</w:t>
      </w:r>
    </w:p>
    <w:p>
      <w:pPr>
        <w:adjustRightInd w:val="0"/>
        <w:snapToGrid w:val="0"/>
        <w:spacing w:line="300" w:lineRule="auto"/>
        <w:ind w:left="210" w:firstLine="480" w:firstLineChars="200"/>
        <w:rPr>
          <w:rFonts w:hint="eastAsia" w:ascii="宋体" w:hAnsi="宋体"/>
          <w:sz w:val="24"/>
        </w:rPr>
      </w:pPr>
      <w:r>
        <w:rPr>
          <w:rFonts w:hint="eastAsia" w:ascii="宋体" w:hAnsi="宋体"/>
          <w:sz w:val="24"/>
        </w:rPr>
        <w:t>设备到买方现场后，由买方组织人员开箱验货，卖方应派检查人员到现场参加检验工作。如发现设备有任何损坏、缺陷、短少或不符合本招标文件规定的问题，买卖双方检验人员应作详细记录，并由买卖双方代表签字。</w:t>
      </w:r>
    </w:p>
    <w:p>
      <w:pPr>
        <w:adjustRightInd w:val="0"/>
        <w:snapToGrid w:val="0"/>
        <w:spacing w:line="300" w:lineRule="auto"/>
        <w:ind w:left="210" w:firstLine="480" w:firstLineChars="200"/>
        <w:rPr>
          <w:rFonts w:hint="eastAsia" w:ascii="宋体" w:hAnsi="宋体"/>
          <w:sz w:val="24"/>
        </w:rPr>
      </w:pPr>
      <w:r>
        <w:rPr>
          <w:rFonts w:hint="eastAsia" w:ascii="宋体" w:hAnsi="宋体"/>
          <w:sz w:val="24"/>
        </w:rPr>
        <w:t>对不符合本招标文件规定的部分，卖方应无偿换货或补发短缺，并负担由此产生的所有费用及买方由此产生的利息和其它损失。</w:t>
      </w:r>
    </w:p>
    <w:p>
      <w:pPr>
        <w:tabs>
          <w:tab w:val="left" w:pos="636"/>
        </w:tabs>
        <w:adjustRightInd w:val="0"/>
        <w:snapToGrid w:val="0"/>
        <w:spacing w:line="300" w:lineRule="auto"/>
        <w:ind w:left="210" w:leftChars="100" w:firstLine="480" w:firstLineChars="200"/>
        <w:rPr>
          <w:rFonts w:hint="eastAsia" w:ascii="宋体" w:hAnsi="宋体"/>
          <w:sz w:val="24"/>
        </w:rPr>
      </w:pPr>
      <w:r>
        <w:rPr>
          <w:rFonts w:hint="eastAsia" w:ascii="宋体" w:hAnsi="宋体"/>
          <w:sz w:val="24"/>
        </w:rPr>
        <w:t>如买卖双方对货物质量、规格发生意见分歧，买方可委托中国国家认可的质量检测机构对货物进行复检，检测机构出具的检测报告即为买方向卖方提出修理、补齐、更换和索赔的有效证据。卖方除承担上述条款所规定的费用外，还须承担货物检测费用。</w:t>
      </w:r>
    </w:p>
    <w:p>
      <w:pPr>
        <w:numPr>
          <w:ilvl w:val="0"/>
          <w:numId w:val="3"/>
        </w:numPr>
        <w:tabs>
          <w:tab w:val="left" w:pos="636"/>
        </w:tabs>
        <w:adjustRightInd w:val="0"/>
        <w:snapToGrid w:val="0"/>
        <w:spacing w:line="300" w:lineRule="auto"/>
        <w:rPr>
          <w:rFonts w:hint="eastAsia" w:ascii="宋体" w:hAnsi="宋体"/>
          <w:b/>
          <w:sz w:val="24"/>
        </w:rPr>
      </w:pPr>
      <w:r>
        <w:rPr>
          <w:rFonts w:hint="eastAsia" w:ascii="宋体" w:hAnsi="宋体"/>
          <w:b/>
          <w:sz w:val="24"/>
        </w:rPr>
        <w:t>安装及调试</w:t>
      </w:r>
    </w:p>
    <w:p>
      <w:pPr>
        <w:tabs>
          <w:tab w:val="left" w:pos="636"/>
        </w:tabs>
        <w:adjustRightInd w:val="0"/>
        <w:snapToGrid w:val="0"/>
        <w:spacing w:line="300" w:lineRule="auto"/>
        <w:ind w:left="210" w:leftChars="100" w:firstLine="480" w:firstLineChars="200"/>
        <w:rPr>
          <w:rFonts w:hint="eastAsia" w:ascii="宋体" w:hAnsi="宋体"/>
          <w:sz w:val="24"/>
        </w:rPr>
      </w:pPr>
      <w:r>
        <w:rPr>
          <w:rFonts w:hint="eastAsia" w:ascii="宋体" w:hAnsi="宋体"/>
          <w:sz w:val="24"/>
        </w:rPr>
        <w:t>卖方应在合同生效后的1个月内向用户提供详细的安装要求并提供技术咨询；仪器到达用户所在地，在接到用户通知后一月内进行安装调试，直至通过验收。投标方承担有关费用。</w:t>
      </w:r>
    </w:p>
    <w:p>
      <w:pPr>
        <w:tabs>
          <w:tab w:val="left" w:pos="636"/>
        </w:tabs>
        <w:adjustRightInd w:val="0"/>
        <w:snapToGrid w:val="0"/>
        <w:spacing w:line="300" w:lineRule="auto"/>
        <w:ind w:left="210" w:leftChars="100" w:firstLine="480" w:firstLineChars="200"/>
        <w:rPr>
          <w:rFonts w:hint="eastAsia" w:ascii="宋体" w:hAnsi="宋体"/>
          <w:sz w:val="24"/>
        </w:rPr>
      </w:pPr>
      <w:r>
        <w:rPr>
          <w:rFonts w:hint="eastAsia" w:ascii="宋体" w:hAnsi="宋体"/>
          <w:sz w:val="24"/>
        </w:rPr>
        <w:t>双方当面开箱，仪器的外观和结构应该完好无损，并且根据随机附带的装箱单逐一清点仪器及备件的种类和数量，符合合同的相关规定。</w:t>
      </w:r>
    </w:p>
    <w:p>
      <w:pPr>
        <w:tabs>
          <w:tab w:val="left" w:pos="636"/>
        </w:tabs>
        <w:adjustRightInd w:val="0"/>
        <w:snapToGrid w:val="0"/>
        <w:spacing w:line="300" w:lineRule="auto"/>
        <w:ind w:left="210" w:leftChars="100" w:firstLine="480" w:firstLineChars="200"/>
        <w:rPr>
          <w:rFonts w:hint="eastAsia" w:ascii="宋体" w:hAnsi="宋体"/>
          <w:b/>
          <w:sz w:val="24"/>
        </w:rPr>
      </w:pPr>
      <w:r>
        <w:rPr>
          <w:rFonts w:hint="eastAsia" w:ascii="宋体" w:hAnsi="宋体"/>
          <w:sz w:val="24"/>
        </w:rPr>
        <w:t>随机的技术资料应该齐全，其中包括生产厂的仪器质量合格证书，原产地证明、仪器使用说明书，技术手册，设备装箱单等资料，由仪器制造商的专业工程师免费安装</w:t>
      </w:r>
      <w:r>
        <w:rPr>
          <w:rFonts w:hint="eastAsia" w:ascii="宋体" w:hAnsi="宋体"/>
          <w:b/>
          <w:sz w:val="24"/>
        </w:rPr>
        <w:t>。</w:t>
      </w:r>
    </w:p>
    <w:p>
      <w:pPr>
        <w:numPr>
          <w:ilvl w:val="0"/>
          <w:numId w:val="3"/>
        </w:numPr>
        <w:tabs>
          <w:tab w:val="left" w:pos="636"/>
        </w:tabs>
        <w:adjustRightInd w:val="0"/>
        <w:snapToGrid w:val="0"/>
        <w:spacing w:line="300" w:lineRule="auto"/>
        <w:rPr>
          <w:rFonts w:hint="eastAsia" w:ascii="宋体" w:hAnsi="宋体"/>
          <w:b/>
          <w:sz w:val="24"/>
        </w:rPr>
      </w:pPr>
      <w:bookmarkStart w:id="0" w:name="OLE_LINK1"/>
      <w:r>
        <w:rPr>
          <w:rFonts w:hint="eastAsia" w:ascii="宋体" w:hAnsi="宋体"/>
          <w:b/>
          <w:sz w:val="24"/>
        </w:rPr>
        <w:t>终验标准和程序</w:t>
      </w:r>
    </w:p>
    <w:p>
      <w:pPr>
        <w:tabs>
          <w:tab w:val="left" w:pos="636"/>
        </w:tabs>
        <w:adjustRightInd w:val="0"/>
        <w:snapToGrid w:val="0"/>
        <w:spacing w:line="300" w:lineRule="auto"/>
        <w:ind w:left="210" w:leftChars="100" w:firstLine="480" w:firstLineChars="200"/>
        <w:rPr>
          <w:rFonts w:hint="eastAsia" w:ascii="宋体" w:hAnsi="宋体"/>
          <w:sz w:val="24"/>
        </w:rPr>
      </w:pPr>
      <w:r>
        <w:rPr>
          <w:rFonts w:hint="eastAsia" w:ascii="宋体" w:hAnsi="宋体"/>
          <w:sz w:val="24"/>
        </w:rPr>
        <w:t>终验收应按设备出厂检验标准、招标文件技术规格、合同及技术协议、以及相关的国家标准等作为标准进行验收，必要时，由买方指定中国国家认可的质量检测机构对货物进行计量检测，出具正式检测报告，作为是否最终验收合格的依据。</w:t>
      </w:r>
    </w:p>
    <w:p>
      <w:pPr>
        <w:tabs>
          <w:tab w:val="left" w:pos="636"/>
        </w:tabs>
        <w:adjustRightInd w:val="0"/>
        <w:snapToGrid w:val="0"/>
        <w:spacing w:line="300" w:lineRule="auto"/>
        <w:ind w:left="210" w:leftChars="100" w:firstLine="480" w:firstLineChars="200"/>
        <w:rPr>
          <w:rFonts w:ascii="宋体" w:hAnsi="宋体"/>
          <w:sz w:val="24"/>
        </w:rPr>
      </w:pPr>
      <w:r>
        <w:rPr>
          <w:rFonts w:hint="eastAsia" w:ascii="宋体" w:hAnsi="宋体"/>
          <w:sz w:val="24"/>
        </w:rPr>
        <w:t>设备及系统在使用现场安装、调试、测试及试运行达到要求，方可进行终验收。</w:t>
      </w:r>
    </w:p>
    <w:p>
      <w:pPr>
        <w:tabs>
          <w:tab w:val="left" w:pos="636"/>
        </w:tabs>
        <w:adjustRightInd w:val="0"/>
        <w:snapToGrid w:val="0"/>
        <w:spacing w:line="300" w:lineRule="auto"/>
        <w:ind w:left="210" w:leftChars="100" w:firstLine="480" w:firstLineChars="200"/>
        <w:rPr>
          <w:rFonts w:hint="eastAsia" w:ascii="宋体" w:hAnsi="宋体"/>
          <w:sz w:val="24"/>
        </w:rPr>
      </w:pPr>
      <w:r>
        <w:rPr>
          <w:rFonts w:hint="eastAsia" w:ascii="宋体" w:hAnsi="宋体"/>
          <w:sz w:val="24"/>
        </w:rPr>
        <w:t>终</w:t>
      </w:r>
      <w:r>
        <w:rPr>
          <w:rFonts w:ascii="宋体" w:hAnsi="宋体"/>
          <w:sz w:val="24"/>
        </w:rPr>
        <w:t>验收在</w:t>
      </w:r>
      <w:r>
        <w:rPr>
          <w:rFonts w:hint="eastAsia" w:ascii="宋体" w:hAnsi="宋体"/>
          <w:sz w:val="24"/>
        </w:rPr>
        <w:t>买卖双</w:t>
      </w:r>
      <w:r>
        <w:rPr>
          <w:rFonts w:ascii="宋体" w:hAnsi="宋体"/>
          <w:sz w:val="24"/>
        </w:rPr>
        <w:t>方授权代表在场的情况下</w:t>
      </w:r>
      <w:r>
        <w:rPr>
          <w:rFonts w:hint="eastAsia" w:ascii="宋体" w:hAnsi="宋体"/>
          <w:sz w:val="24"/>
        </w:rPr>
        <w:t>在买方现场</w:t>
      </w:r>
      <w:r>
        <w:rPr>
          <w:rFonts w:ascii="宋体" w:hAnsi="宋体"/>
          <w:sz w:val="24"/>
        </w:rPr>
        <w:t>逐项</w:t>
      </w:r>
      <w:r>
        <w:rPr>
          <w:rFonts w:hint="eastAsia" w:ascii="宋体" w:hAnsi="宋体"/>
          <w:sz w:val="24"/>
        </w:rPr>
        <w:t>进行。卖方需提供工作报告以证明向买方提供的设备及系统集成服务符合本招标文件规定的各项要求。验收合格后，由双</w:t>
      </w:r>
      <w:r>
        <w:rPr>
          <w:rFonts w:ascii="宋体" w:hAnsi="宋体"/>
          <w:sz w:val="24"/>
        </w:rPr>
        <w:t>方签署验收报告，</w:t>
      </w:r>
      <w:r>
        <w:rPr>
          <w:rFonts w:hint="eastAsia" w:ascii="宋体" w:hAnsi="宋体"/>
          <w:sz w:val="24"/>
        </w:rPr>
        <w:t>验收方完毕并可正式交付买方使用。</w:t>
      </w:r>
    </w:p>
    <w:p>
      <w:pPr>
        <w:tabs>
          <w:tab w:val="left" w:pos="636"/>
        </w:tabs>
        <w:adjustRightInd w:val="0"/>
        <w:snapToGrid w:val="0"/>
        <w:spacing w:line="300" w:lineRule="auto"/>
        <w:ind w:left="210" w:leftChars="100" w:firstLine="480" w:firstLineChars="200"/>
        <w:rPr>
          <w:rFonts w:hint="eastAsia" w:ascii="宋体" w:hAnsi="宋体"/>
          <w:sz w:val="24"/>
        </w:rPr>
      </w:pPr>
      <w:r>
        <w:rPr>
          <w:rFonts w:hint="eastAsia" w:ascii="宋体" w:hAnsi="宋体"/>
          <w:sz w:val="24"/>
        </w:rPr>
        <w:t>若设备及系统经检查或在运行时，发现与本招标文件提出的要求不相符，买方有权要求卖方减价、或无偿更换和退货，并保留向卖方索取利息及其它损失赔偿的权利。</w:t>
      </w:r>
    </w:p>
    <w:p>
      <w:pPr>
        <w:numPr>
          <w:ilvl w:val="0"/>
          <w:numId w:val="3"/>
        </w:numPr>
        <w:tabs>
          <w:tab w:val="left" w:pos="636"/>
        </w:tabs>
        <w:adjustRightInd w:val="0"/>
        <w:snapToGrid w:val="0"/>
        <w:spacing w:line="300" w:lineRule="auto"/>
        <w:rPr>
          <w:rFonts w:ascii="宋体" w:hAnsi="宋体"/>
          <w:b/>
          <w:sz w:val="24"/>
        </w:rPr>
      </w:pPr>
      <w:r>
        <w:rPr>
          <w:rFonts w:hint="eastAsia" w:ascii="宋体" w:hAnsi="宋体"/>
          <w:b/>
          <w:sz w:val="24"/>
        </w:rPr>
        <w:t xml:space="preserve">质量保证和售后服务 </w:t>
      </w:r>
    </w:p>
    <w:p>
      <w:pPr>
        <w:tabs>
          <w:tab w:val="left" w:pos="636"/>
        </w:tabs>
        <w:adjustRightInd w:val="0"/>
        <w:snapToGrid w:val="0"/>
        <w:spacing w:line="300" w:lineRule="auto"/>
        <w:ind w:left="210" w:leftChars="100" w:firstLine="480" w:firstLineChars="200"/>
        <w:rPr>
          <w:rFonts w:hint="eastAsia" w:ascii="宋体" w:hAnsi="宋体"/>
          <w:sz w:val="24"/>
        </w:rPr>
      </w:pPr>
      <w:r>
        <w:rPr>
          <w:rFonts w:hint="eastAsia" w:ascii="宋体" w:hAnsi="宋体"/>
          <w:sz w:val="24"/>
        </w:rPr>
        <w:t>卖方应保证所供设备是投标型号或优于它的新型号，必须是制造厂设计成熟的产品，应含有招标文件要求的设计和材料的全部最新改进，并且是全新的、未使用过的产品，无任何旧货或翻新的零部件和附件。卖方应保证所提供的全部货物没有设计、材料或工艺上的缺陷，这些缺陷是所供货物在最终目的地现行条件下正常使用可能产生的。</w:t>
      </w:r>
    </w:p>
    <w:p>
      <w:pPr>
        <w:tabs>
          <w:tab w:val="left" w:pos="636"/>
        </w:tabs>
        <w:adjustRightInd w:val="0"/>
        <w:snapToGrid w:val="0"/>
        <w:spacing w:line="300" w:lineRule="auto"/>
        <w:ind w:left="210" w:leftChars="100" w:firstLine="480" w:firstLineChars="200"/>
        <w:rPr>
          <w:rFonts w:hint="eastAsia" w:ascii="宋体" w:hAnsi="宋体"/>
          <w:sz w:val="24"/>
        </w:rPr>
      </w:pPr>
      <w:r>
        <w:rPr>
          <w:rFonts w:hint="eastAsia" w:ascii="宋体" w:hAnsi="宋体"/>
          <w:sz w:val="24"/>
        </w:rPr>
        <w:t>保修期自到货验收之日起计算。保修期间非人为引起的维修及零件更换费用由卖方负担。同时，应按本条款的上述规定，相应延长所更换部件的保修期。</w:t>
      </w:r>
    </w:p>
    <w:p>
      <w:pPr>
        <w:tabs>
          <w:tab w:val="left" w:pos="636"/>
        </w:tabs>
        <w:adjustRightInd w:val="0"/>
        <w:snapToGrid w:val="0"/>
        <w:spacing w:line="300" w:lineRule="auto"/>
        <w:ind w:left="210" w:leftChars="100" w:firstLine="480" w:firstLineChars="200"/>
        <w:rPr>
          <w:rFonts w:hint="eastAsia" w:ascii="宋体" w:hAnsi="宋体"/>
          <w:sz w:val="24"/>
        </w:rPr>
      </w:pPr>
      <w:r>
        <w:rPr>
          <w:rFonts w:hint="eastAsia" w:ascii="宋体" w:hAnsi="宋体"/>
          <w:sz w:val="24"/>
        </w:rPr>
        <w:t>设备保修期内任何由于产品质量问题导致的费用由设备供应商承担。在系统工作寿命内，任何硬件或软件出现异常或损坏，设备供应商应在24小时内做出响应，48小时内给出解决方案或72小时内到达用户现场排除故障。设备供应商应提供免费的终身应用咨询、技术帮助。</w:t>
      </w:r>
    </w:p>
    <w:bookmarkEnd w:id="0"/>
    <w:p>
      <w:pPr>
        <w:tabs>
          <w:tab w:val="left" w:pos="636"/>
        </w:tabs>
        <w:adjustRightInd w:val="0"/>
        <w:snapToGrid w:val="0"/>
        <w:spacing w:line="300" w:lineRule="auto"/>
        <w:ind w:left="210" w:leftChars="100" w:firstLine="480" w:firstLineChars="200"/>
        <w:rPr>
          <w:rFonts w:hint="eastAsia" w:ascii="宋体" w:hAnsi="宋体"/>
          <w:sz w:val="24"/>
        </w:rPr>
      </w:pPr>
      <w:r>
        <w:rPr>
          <w:rFonts w:hint="eastAsia" w:ascii="宋体" w:hAnsi="宋体"/>
          <w:sz w:val="24"/>
        </w:rPr>
        <w:t>如果卖方接到故障信息后在合同规定的时间内没有以合理的速度弥补缺陷，买方可采取必要的补救措施，但其风险和费用将由卖方承担，买方根据合同规定对卖方行使的其他权力不受影响。</w:t>
      </w:r>
    </w:p>
    <w:p>
      <w:pPr>
        <w:tabs>
          <w:tab w:val="left" w:pos="636"/>
          <w:tab w:val="left" w:pos="1266"/>
        </w:tabs>
        <w:adjustRightInd w:val="0"/>
        <w:snapToGrid w:val="0"/>
        <w:spacing w:line="300" w:lineRule="auto"/>
        <w:ind w:left="210" w:leftChars="100" w:firstLine="480" w:firstLineChars="200"/>
        <w:rPr>
          <w:rFonts w:hint="eastAsia" w:ascii="宋体" w:hAnsi="宋体"/>
          <w:sz w:val="24"/>
        </w:rPr>
      </w:pPr>
      <w:r>
        <w:rPr>
          <w:rFonts w:hint="eastAsia" w:ascii="宋体" w:hAnsi="宋体"/>
          <w:sz w:val="24"/>
        </w:rPr>
        <w:t>设备保修期过后，卖方或设备制造厂应保证对买方所购设备提供终生优惠的备件供应、维修服务和技术支持。应对设备软、硬件升级及加工能力扩展所需的软、硬件购置费予以优惠。</w:t>
      </w:r>
    </w:p>
    <w:p>
      <w:pPr>
        <w:numPr>
          <w:ilvl w:val="0"/>
          <w:numId w:val="3"/>
        </w:numPr>
        <w:tabs>
          <w:tab w:val="left" w:pos="636"/>
        </w:tabs>
        <w:adjustRightInd w:val="0"/>
        <w:snapToGrid w:val="0"/>
        <w:spacing w:line="300" w:lineRule="auto"/>
        <w:rPr>
          <w:rFonts w:ascii="宋体" w:hAnsi="宋体"/>
          <w:b/>
          <w:sz w:val="24"/>
        </w:rPr>
      </w:pPr>
      <w:r>
        <w:rPr>
          <w:rFonts w:hint="eastAsia" w:ascii="宋体" w:hAnsi="宋体"/>
          <w:b/>
          <w:sz w:val="24"/>
        </w:rPr>
        <w:t>培训方案</w:t>
      </w:r>
    </w:p>
    <w:p>
      <w:pPr>
        <w:adjustRightInd w:val="0"/>
        <w:snapToGrid w:val="0"/>
        <w:spacing w:line="300" w:lineRule="auto"/>
        <w:ind w:firstLine="480" w:firstLineChars="200"/>
        <w:rPr>
          <w:rFonts w:ascii="宋体" w:hAnsi="宋体"/>
          <w:bCs/>
          <w:sz w:val="24"/>
        </w:rPr>
      </w:pPr>
      <w:r>
        <w:rPr>
          <w:rFonts w:ascii="宋体" w:hAnsi="宋体"/>
          <w:bCs/>
          <w:sz w:val="24"/>
        </w:rPr>
        <w:t>在用户所在地对用户进行</w:t>
      </w:r>
      <w:r>
        <w:rPr>
          <w:rFonts w:hint="eastAsia" w:ascii="宋体" w:hAnsi="宋体"/>
          <w:bCs/>
          <w:sz w:val="24"/>
        </w:rPr>
        <w:t>2人以上的免费使用培训</w:t>
      </w:r>
      <w:r>
        <w:rPr>
          <w:rFonts w:ascii="宋体" w:hAnsi="宋体"/>
          <w:bCs/>
          <w:sz w:val="24"/>
        </w:rPr>
        <w:t>。培训内容包括</w:t>
      </w:r>
      <w:r>
        <w:rPr>
          <w:rFonts w:hint="eastAsia" w:ascii="宋体" w:hAnsi="宋体"/>
          <w:bCs/>
          <w:sz w:val="24"/>
        </w:rPr>
        <w:t>设备</w:t>
      </w:r>
      <w:r>
        <w:rPr>
          <w:rFonts w:ascii="宋体" w:hAnsi="宋体"/>
          <w:bCs/>
          <w:sz w:val="24"/>
        </w:rPr>
        <w:t>的技术原理、操作、基本维护等</w:t>
      </w:r>
      <w:r>
        <w:rPr>
          <w:rFonts w:hint="eastAsia" w:ascii="宋体" w:hAnsi="宋体"/>
          <w:bCs/>
          <w:sz w:val="24"/>
        </w:rPr>
        <w:t>。</w:t>
      </w:r>
    </w:p>
    <w:p>
      <w:pPr>
        <w:adjustRightInd w:val="0"/>
        <w:snapToGrid w:val="0"/>
        <w:spacing w:line="300" w:lineRule="auto"/>
        <w:ind w:firstLine="480" w:firstLineChars="200"/>
        <w:rPr>
          <w:rFonts w:hint="eastAsia" w:ascii="宋体" w:hAnsi="宋体"/>
          <w:sz w:val="24"/>
        </w:rPr>
      </w:pPr>
      <w:r>
        <w:rPr>
          <w:rFonts w:ascii="宋体" w:hAnsi="宋体"/>
          <w:bCs/>
          <w:sz w:val="24"/>
        </w:rPr>
        <w:t>培训结束后</w:t>
      </w:r>
      <w:r>
        <w:rPr>
          <w:rFonts w:hint="eastAsia" w:ascii="宋体" w:hAnsi="宋体"/>
          <w:bCs/>
          <w:sz w:val="24"/>
        </w:rPr>
        <w:t>，</w:t>
      </w:r>
      <w:r>
        <w:rPr>
          <w:rFonts w:ascii="宋体" w:hAnsi="宋体"/>
          <w:bCs/>
          <w:sz w:val="24"/>
        </w:rPr>
        <w:t>卖方需提供给买方完整的设备操作手册</w:t>
      </w:r>
      <w:r>
        <w:rPr>
          <w:rFonts w:hint="eastAsia" w:ascii="宋体" w:hAnsi="宋体"/>
          <w:bCs/>
          <w:sz w:val="24"/>
        </w:rPr>
        <w:t>。</w:t>
      </w:r>
    </w:p>
    <w:p>
      <w:bookmarkStart w:id="1" w:name="_GoBack"/>
      <w:bookmarkEnd w:id="1"/>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E57B32"/>
    <w:multiLevelType w:val="multilevel"/>
    <w:tmpl w:val="29E57B32"/>
    <w:lvl w:ilvl="0" w:tentative="0">
      <w:start w:val="1"/>
      <w:numFmt w:val="decimal"/>
      <w:lvlText w:val="%1."/>
      <w:lvlJc w:val="left"/>
      <w:pPr>
        <w:ind w:left="840" w:hanging="420"/>
      </w:pPr>
      <w:rPr>
        <w:rFonts w:hint="default"/>
      </w:rPr>
    </w:lvl>
    <w:lvl w:ilvl="1" w:tentative="0">
      <w:start w:val="1"/>
      <w:numFmt w:val="decimal"/>
      <w:lvlText w:val="%2."/>
      <w:lvlJc w:val="left"/>
      <w:pPr>
        <w:ind w:left="1260" w:hanging="420"/>
      </w:pPr>
      <w:rPr>
        <w:rFonts w:hint="default"/>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5003384F"/>
    <w:multiLevelType w:val="multilevel"/>
    <w:tmpl w:val="5003384F"/>
    <w:lvl w:ilvl="0" w:tentative="0">
      <w:start w:val="1"/>
      <w:numFmt w:val="decimal"/>
      <w:lvlText w:val="%1"/>
      <w:lvlJc w:val="left"/>
      <w:pPr>
        <w:ind w:left="425" w:hanging="425"/>
      </w:pPr>
    </w:lvl>
    <w:lvl w:ilvl="1" w:tentative="0">
      <w:start w:val="1"/>
      <w:numFmt w:val="decimal"/>
      <w:lvlText w:val="%1.%2"/>
      <w:lvlJc w:val="left"/>
      <w:pPr>
        <w:ind w:left="709"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65C07"/>
    <w:rsid w:val="15D65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2022-04-15T07:13:00Z</dcterms:created>
  <dc:creator>godjiao</dc:creator>
  <cp:lastModifiedBy>godjiao</cp:lastModifiedBy>
  <dcterms:modified xsi:type="dcterms:W3CDTF">2022-04-15T07:13:57Z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2A440971DCEA44ECB77152CBFF9866C7</vt:lpwstr>
  </property>
</Properties>
</file>