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Bookman Old Style" w:hAnsi="Bookman Old Style"/>
                <w:sz w:val="24"/>
              </w:rPr>
            </w:pPr>
            <w:r>
              <w:rPr>
                <w:rFonts w:hint="eastAsia" w:ascii="Bookman Old Style" w:hAnsi="Bookman Old Style"/>
                <w:sz w:val="24"/>
              </w:rPr>
              <w:t>飞秒泵浦探测时间分辨光谱仪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合同签订后6个月内到货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北京机场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中国科学院理化技术研究所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jc w:val="left"/>
        <w:rPr>
          <w:rFonts w:hint="eastAsia" w:ascii="宋体" w:hAnsi="宋体" w:cs="宋体"/>
          <w:bCs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一、功能及用途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本设备主要用于飞秒泵浦探测时间分辨光谱的测量，研究光物理、光化学等过程中的激发态光谱及其动力学过程。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二、工作条件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电源：AC 220V±10% 50Hz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三、主要技术规格及要求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钛宝石飞秒放大器</w:t>
      </w:r>
    </w:p>
    <w:p>
      <w:pPr>
        <w:spacing w:line="360" w:lineRule="auto"/>
        <w:ind w:firstLine="22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 飞秒振荡器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1.1.1 一体式，全自动波长带宽（脉冲宽度）可调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#1.1.2 输出功率：&gt; 750mW（最小带宽）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#1.1.3 带宽可调谐，范围：10 ~ 60nm（计算机自动调谐）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1.1.4 波长可调谐，范围：780 ~ 820nm（计算机自动调谐）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1.1.5 重复频率：84MHz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1.1.6 稳定工作环境温度变化范围不小于±10℃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1.1.7 噪声：&lt; 0.05 % RMS（2小时）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1.1.8 功率稳定性：&lt; ± 1%（2小时）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1.1.9 横模：TEM</w:t>
      </w:r>
      <w:r>
        <w:rPr>
          <w:rFonts w:hint="eastAsia" w:ascii="宋体" w:hAnsi="宋体" w:cs="宋体"/>
          <w:sz w:val="24"/>
          <w:vertAlign w:val="subscript"/>
        </w:rPr>
        <w:t>00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1.1.10 光束直径：≤1.5mm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1.1.11 光束发散角：≤1mrad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1.1.12 光束指向稳定性：≤10μrad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1.1.13 偏振方向：水平</w:t>
      </w:r>
    </w:p>
    <w:p>
      <w:pPr>
        <w:spacing w:line="360" w:lineRule="auto"/>
        <w:ind w:firstLine="22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 飞秒放大器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1.2.1 脉冲宽度：≤120fs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bookmarkStart w:id="0" w:name="_Hlk76030102"/>
      <w:r>
        <w:rPr>
          <w:rFonts w:hint="eastAsia" w:ascii="宋体" w:hAnsi="宋体" w:cs="宋体"/>
          <w:sz w:val="24"/>
        </w:rPr>
        <w:t>#</w:t>
      </w:r>
      <w:bookmarkEnd w:id="0"/>
      <w:r>
        <w:rPr>
          <w:rFonts w:hint="eastAsia" w:ascii="宋体" w:hAnsi="宋体" w:cs="宋体"/>
          <w:sz w:val="24"/>
        </w:rPr>
        <w:t>1.2.2 单脉冲能量：≥7.0mJ@1kHz（可升级成二级放大，单脉冲能量可达13mJ）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1.2.3 重复频率：1kHz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1.2.4 对比度(Pre-Pulse Contrast Ratio)：&gt;1000:1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1.2.5 能量稳定性：&lt; 0.5% RMS（24小时）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1.2.6 波长范围：780 ~ 820nm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#1.2.7 光束指向稳定性：&lt;5μrad（恒温）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#1.2.8 横模：TEM</w:t>
      </w:r>
      <w:r>
        <w:rPr>
          <w:rFonts w:hint="eastAsia" w:ascii="宋体" w:hAnsi="宋体" w:cs="宋体"/>
          <w:sz w:val="24"/>
          <w:vertAlign w:val="subscript"/>
        </w:rPr>
        <w:t>00</w:t>
      </w:r>
      <w:r>
        <w:rPr>
          <w:rFonts w:hint="eastAsia" w:ascii="宋体" w:hAnsi="宋体" w:cs="宋体"/>
          <w:sz w:val="24"/>
        </w:rPr>
        <w:t>（M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&lt;1.3，X和Y轴同时）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#1.2.9 具有脉宽锁定功能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1.2.10 激光腔结构：消像散光路设计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1.2.11 时序同步接口：至少5个，其中至少3个可独立使用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1.2.12 时序同步方式：全数字，计算机控制</w:t>
      </w:r>
    </w:p>
    <w:p>
      <w:pPr>
        <w:spacing w:line="360" w:lineRule="auto"/>
        <w:ind w:firstLine="22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 放大器泵浦源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1.3.1 单脉冲能量：&gt;35mJ@1kHz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1.3.2 能量稳定性：&lt;1% RMS（8小时）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1.3.3 波长：527nm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1.3.4 横模：多模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1.3.5 重复频率：1kHz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飞秒瞬态吸收光谱单元</w:t>
      </w:r>
    </w:p>
    <w:p>
      <w:pPr>
        <w:spacing w:line="360" w:lineRule="auto"/>
        <w:ind w:firstLine="22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 自动化光学参量放大器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2.1.1 单一端口输出，内置等光程补偿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2.1.2 输出波长调谐范围：240 ~ 2600 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2.1.3 输入功率范围：0.5W ~ 2W（1kHz）</w:t>
      </w:r>
    </w:p>
    <w:p>
      <w:pPr>
        <w:spacing w:line="360" w:lineRule="auto"/>
        <w:ind w:firstLine="227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 自动化飞秒瞬态吸收光谱仪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 测量时间窗口：8ns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 时间延时线由直线电机驱动，无螺杆等机械传动机构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2.2.3 延迟线反射镜采用低色散介质膜镜片，激光经过延时线功率损失&lt;10%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2.2.4 延迟时间分辨率：&lt;14 fs（</w:t>
      </w:r>
      <w:r>
        <w:rPr>
          <w:rFonts w:hint="eastAsia" w:ascii="宋体" w:hAnsi="宋体" w:cs="宋体"/>
          <w:sz w:val="24"/>
        </w:rPr>
        <w:sym w:font="Symbol" w:char="F0B1"/>
      </w:r>
      <w:r>
        <w:rPr>
          <w:rFonts w:hint="eastAsia" w:ascii="宋体" w:hAnsi="宋体" w:cs="宋体"/>
          <w:sz w:val="24"/>
        </w:rPr>
        <w:t>7 fs）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2.2.5 系统时间分辨能力（IRF）：1.4倍激光脉冲时间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2.2.6 宽带紫外光探测波段：320 ~ 650 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2.2.7 宽带可见光探测波段：420 ~ 780 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2.2.8 宽带近红外探测波段：820 ~ 1600 nm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2.2.9 可扩展为纳秒光脉冲的长延迟时间测量，测量时间窗口：400 μs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2.2.10 扩展的长延迟时间测量延迟时间分辨率：≤100 ps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2.2.11 扩展的长延迟时间测量超连续纳秒光脉冲输出波段：350 ~ 2200 nm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2.2.12 扩展的长延迟时间测量纳秒探测光脉冲时间：≤1ns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2.2.13 扩展的长延迟时间测量纳秒探测光时序抖动：&lt;1ns</w:t>
      </w:r>
    </w:p>
    <w:p>
      <w:pPr>
        <w:spacing w:line="360" w:lineRule="auto"/>
        <w:ind w:left="227" w:firstLine="19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2.2.14 扩展的长延迟时间测量探测波段：350~900 nm，800~1600 nm</w:t>
      </w:r>
    </w:p>
    <w:p>
      <w:pPr>
        <w:spacing w:line="360" w:lineRule="auto"/>
        <w:ind w:left="993" w:hanging="57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2.2.15 配备线阵列背照式薄型CCD光谱仪，像素数不小于2048，像素高度0.5 mm，应包含专用光纤、光栅、成像单色仪和背照式薄型CCD传感器等结构，测量带宽600 nm，最大数据采集速率达到2000条光谱/秒</w:t>
      </w:r>
    </w:p>
    <w:p>
      <w:pPr>
        <w:spacing w:line="360" w:lineRule="auto"/>
        <w:ind w:left="993" w:hanging="57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2.2.16 配备线阵列铟镓砷近红外光谱仪，像素数不小于256，像素高度0.5 mm，应包含专用近红外光纤、光栅、成像单色仪和铟镓砷传感器，测量带宽800 nm，最大数据采集速率达到5000条光谱/秒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2.2.17 程控切换紫外、可见、近红外探测光谱波段，程控切换fs和ns探测光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2.2.18 程控对齐探测光，延时线后的光束指向偏移&lt;10μm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2.2.19 程控对齐泵浦光，在样品处的光束指向偏移&lt;10μm</w:t>
      </w:r>
    </w:p>
    <w:p>
      <w:pPr>
        <w:spacing w:line="360" w:lineRule="auto"/>
        <w:ind w:left="993" w:hanging="573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2.2.20 程控扫描式固体样品架，可承载最厚12mm的固体样品，可设置随机位移扫描，扫描过程中可避免出现尖锐的转角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2.2.21 包括3种泵浦/探测模式：小角度非共线式、背向、反射，可自由切换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2.2.22 专用的数据分析软件，可自由安装和使用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2.2.23 可执行1~5元指数拟合，自动计算IRF和零点时间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2.2.24 啁啾校正、漫射光扣除、背景扣除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2.2.25 具备全局拟合（Global Fit）功能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2.2.26 数字化：16 bit ADC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2.2.27 光路中增加第2个程控斩波器，用于调制探测光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2.2.28 可升级50</w:t>
      </w:r>
      <w:r>
        <w:rPr>
          <w:rFonts w:hint="eastAsia" w:ascii="宋体" w:hAnsi="宋体" w:cs="宋体"/>
          <w:sz w:val="24"/>
        </w:rPr>
        <w:sym w:font="Symbol" w:char="F0B4"/>
      </w:r>
      <w:r>
        <w:rPr>
          <w:rFonts w:hint="eastAsia" w:ascii="宋体" w:hAnsi="宋体" w:cs="宋体"/>
          <w:sz w:val="24"/>
        </w:rPr>
        <w:t>放大微区瞬态吸收光谱扩展，外置独立模块</w:t>
      </w:r>
    </w:p>
    <w:p>
      <w:pPr>
        <w:spacing w:line="360" w:lineRule="auto"/>
        <w:ind w:left="851" w:hanging="43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2.2.29 可升级100</w:t>
      </w:r>
      <w:r>
        <w:rPr>
          <w:rFonts w:hint="eastAsia" w:ascii="宋体" w:hAnsi="宋体" w:cs="宋体"/>
          <w:sz w:val="24"/>
        </w:rPr>
        <w:sym w:font="Symbol" w:char="F0B4"/>
      </w:r>
      <w:r>
        <w:rPr>
          <w:rFonts w:hint="eastAsia" w:ascii="宋体" w:hAnsi="宋体" w:cs="宋体"/>
          <w:sz w:val="24"/>
        </w:rPr>
        <w:t>放大瞬态吸收显微成像扩展，外置独立模块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3. 配置要求：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钛宝石飞秒放大器  1台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飞秒瞬态吸收光谱单元  1台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4. 售后服务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到货期限： 合同签订后6个月内到货。送货地点：中国科学院理化技术研究所。延期交货，按照甲方和乙方所签合同规定的罚则执行。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安装、调试：由设备供应商负责，仪器设备校准按对应设备标准执行。测定结果与产品标准的结果差值应符合测量精度要求。确保所有指标验收合格。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性能试验：应对仪器设备的质量、规格、性能、数量进行详细和全面的检查，并出具检验证明，如有缺失，应负责赔偿。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培训</w:t>
      </w:r>
    </w:p>
    <w:p>
      <w:pPr>
        <w:spacing w:line="360" w:lineRule="auto"/>
        <w:ind w:left="605" w:leftChars="134" w:hanging="324" w:hangingChars="13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4.1 生产厂家为用户提供不少于2人的仪器使用培训，培训内容指的是仪器设备的基本原理、安装、调试、操作使用和日常保养维修等，直到使用人员完全独立操作。 </w:t>
      </w:r>
    </w:p>
    <w:p>
      <w:pPr>
        <w:spacing w:line="360" w:lineRule="auto"/>
        <w:ind w:left="605" w:leftChars="134" w:hanging="324" w:hangingChars="13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 定期进行技术应用与维修培训班，解决存在的问题，定期对用户作不定期的电话回访，提醒并指导用户对仪器进行定期的保养工作，应用户的要求可进行回访，免费提供软件升级服务。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保修期</w:t>
      </w:r>
    </w:p>
    <w:p>
      <w:pPr>
        <w:spacing w:line="360" w:lineRule="auto"/>
        <w:ind w:left="605" w:leftChars="134" w:hanging="324" w:hangingChars="13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5.1 自设备验收合格之日起，乙方提供免费保修服务，整机免费保修期限为12个月</w:t>
      </w:r>
    </w:p>
    <w:p>
      <w:pPr>
        <w:spacing w:line="360" w:lineRule="auto"/>
        <w:ind w:left="605" w:leftChars="134" w:hanging="324" w:hangingChars="13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5.2 在保修期内，供货厂商在接到用户要求对所购仪器设备进行维修时，应在24小时之内给予答复，并派出维修人员在48小时内到达用户现场进行维修服务。</w:t>
      </w:r>
    </w:p>
    <w:p>
      <w:pPr>
        <w:spacing w:line="360" w:lineRule="auto"/>
        <w:ind w:left="605" w:leftChars="134" w:hanging="324" w:hangingChars="13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5.3 保修期外负责仪器的终身维修：超出保修期后，供货厂商也需要根据客户需求提供相应的维修服务，对于用户提出的维修需求，供货及响应情况应与保修期内相同。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5. 技术资料</w:t>
      </w:r>
    </w:p>
    <w:p>
      <w:pPr>
        <w:spacing w:line="360" w:lineRule="auto"/>
        <w:ind w:left="323" w:leftChars="1" w:hanging="321" w:hangingChars="13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免费提供全套、完整的技术资料，包括设备详细配置图、设备清单、说明书、操作指南等，以及其他应该提交的资料。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after="156" w:afterLines="50"/>
        <w:ind w:left="601" w:hanging="601"/>
        <w:rPr>
          <w:rFonts w:hint="eastAsia" w:ascii="宋体" w:hAnsi="宋体"/>
          <w:b/>
          <w:sz w:val="30"/>
          <w:szCs w:val="30"/>
        </w:rPr>
      </w:pPr>
    </w:p>
    <w:p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2C92"/>
    <w:rsid w:val="542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媛儿</dc:creator>
  <cp:lastModifiedBy>媛儿</cp:lastModifiedBy>
  <dcterms:modified xsi:type="dcterms:W3CDTF">2021-07-26T02:33:28Z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527C28FC00334B0DA585C0FA0D33DABD</vt:lpwstr>
  </property>
</Properties>
</file>