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6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多功能光电催化反应装置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Bookman Old Style"/>
                <w:bCs/>
                <w:sz w:val="24"/>
              </w:rPr>
              <w:t>合同生效后</w:t>
            </w:r>
            <w:r>
              <w:rPr>
                <w:rFonts w:ascii="宋体" w:hAnsi="Bookman Old Style"/>
                <w:bCs/>
                <w:sz w:val="24"/>
              </w:rPr>
              <w:t>3</w:t>
            </w:r>
            <w:r>
              <w:rPr>
                <w:rFonts w:hint="eastAsia" w:ascii="宋体" w:hAnsi="Bookman Old Style"/>
                <w:bCs/>
                <w:sz w:val="24"/>
              </w:rPr>
              <w:t>个月内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中科院理化所中关村园区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b/>
          <w:sz w:val="30"/>
          <w:szCs w:val="30"/>
        </w:rPr>
      </w:pP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设备名称： 多功能光电催化反应装置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技术要求：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1、工作条件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1.1工作电压：</w:t>
      </w:r>
      <w:r>
        <w:rPr>
          <w:sz w:val="24"/>
        </w:rPr>
        <w:t>220 V</w:t>
      </w:r>
      <w:r>
        <w:rPr>
          <w:rFonts w:hint="eastAsia"/>
          <w:sz w:val="24"/>
        </w:rPr>
        <w:t>（</w:t>
      </w:r>
      <w:r>
        <w:rPr>
          <w:sz w:val="24"/>
        </w:rPr>
        <w:sym w:font="Symbol" w:char="F0B1"/>
      </w:r>
      <w:r>
        <w:rPr>
          <w:sz w:val="24"/>
        </w:rPr>
        <w:t>10</w:t>
      </w:r>
      <w:r>
        <w:rPr>
          <w:rFonts w:hint="eastAsia"/>
          <w:sz w:val="24"/>
        </w:rPr>
        <w:t>％）</w:t>
      </w:r>
      <w:r>
        <w:rPr>
          <w:sz w:val="24"/>
        </w:rPr>
        <w:t>/50 Hz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1.2工作温度：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室温~180</w:t>
      </w:r>
      <w:r>
        <w:rPr>
          <w:sz w:val="24"/>
        </w:rPr>
        <w:t xml:space="preserve"> </w:t>
      </w:r>
      <w:r>
        <w:rPr>
          <w:rFonts w:hint="eastAsia"/>
          <w:sz w:val="24"/>
        </w:rPr>
        <w:t>℃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1.3 工作相对湿度：相对湿度小于</w:t>
      </w:r>
      <w:r>
        <w:rPr>
          <w:sz w:val="24"/>
        </w:rPr>
        <w:t>8</w:t>
      </w:r>
      <w:r>
        <w:rPr>
          <w:rFonts w:hint="eastAsia"/>
          <w:sz w:val="24"/>
        </w:rPr>
        <w:t>0％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2、性能指标</w:t>
      </w:r>
    </w:p>
    <w:p>
      <w:pPr>
        <w:spacing w:line="360" w:lineRule="auto"/>
        <w:rPr>
          <w:sz w:val="24"/>
        </w:rPr>
      </w:pPr>
      <w:r>
        <w:rPr>
          <w:sz w:val="24"/>
        </w:rPr>
        <w:t>（一）. AAA级太阳光模拟器（给光电催化反应装置提供光源）</w:t>
      </w:r>
    </w:p>
    <w:p>
      <w:pPr>
        <w:spacing w:line="360" w:lineRule="auto"/>
        <w:rPr>
          <w:sz w:val="24"/>
        </w:rPr>
      </w:pPr>
      <w:r>
        <w:rPr>
          <w:sz w:val="24"/>
        </w:rPr>
        <w:t>#1.1光斑尺寸：2×2in，光斑均匀性：≤2%，光束发散角：＜±4</w:t>
      </w:r>
      <w:r>
        <w:rPr>
          <w:sz w:val="24"/>
        </w:rPr>
        <w:sym w:font="Symbol" w:char="F0B0"/>
      </w:r>
      <w:r>
        <w:rPr>
          <w:sz w:val="24"/>
        </w:rPr>
        <w:t>；</w:t>
      </w:r>
    </w:p>
    <w:p>
      <w:pPr>
        <w:pStyle w:val="8"/>
        <w:spacing w:line="360" w:lineRule="auto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</w:t>
      </w:r>
      <w:r>
        <w:rPr>
          <w:rFonts w:ascii="Times New Roman" w:hAnsi="Times New Roman"/>
          <w:sz w:val="24"/>
          <w:szCs w:val="24"/>
        </w:rPr>
        <w:t>1.2光谱匹配度等级：A (IEC 60904-9 2007) A (JIS 8904-9 2017) A (ASTM E927-10 2015) ；</w:t>
      </w:r>
    </w:p>
    <w:p>
      <w:pPr>
        <w:pStyle w:val="8"/>
        <w:spacing w:line="360" w:lineRule="auto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</w:t>
      </w:r>
      <w:r>
        <w:rPr>
          <w:rFonts w:ascii="Times New Roman" w:hAnsi="Times New Roman"/>
          <w:sz w:val="24"/>
          <w:szCs w:val="24"/>
        </w:rPr>
        <w:t>1.3时间不稳定性等级：A (IEC 60904-9 2007) A (JIS 8904-9 2017) A (ASTM E927-10 2015) ；</w:t>
      </w:r>
    </w:p>
    <w:p>
      <w:pPr>
        <w:pStyle w:val="8"/>
        <w:spacing w:line="360" w:lineRule="auto"/>
        <w:ind w:firstLine="0" w:firstLineChars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</w:t>
      </w:r>
      <w:r>
        <w:rPr>
          <w:rFonts w:ascii="Times New Roman" w:hAnsi="Times New Roman"/>
          <w:sz w:val="24"/>
          <w:szCs w:val="24"/>
        </w:rPr>
        <w:t>1.4均匀性等级：A (IEC 60904-9 2007) A (JIS 8904-9 2017) A (ASTM E927-10 2015)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（二）. AAA级太阳光模拟器</w:t>
      </w:r>
      <w:r>
        <w:rPr>
          <w:sz w:val="24"/>
        </w:rPr>
        <w:t>（给</w:t>
      </w:r>
      <w:r>
        <w:rPr>
          <w:bCs/>
          <w:sz w:val="24"/>
        </w:rPr>
        <w:t>高温高压催化剂光/光电性能测试系统</w:t>
      </w:r>
      <w:r>
        <w:rPr>
          <w:sz w:val="24"/>
        </w:rPr>
        <w:t>提供光源）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sz w:val="24"/>
          <w:shd w:val="clear" w:color="auto" w:fill="FFFFFF"/>
        </w:rPr>
        <w:t>#</w:t>
      </w:r>
      <w:r>
        <w:rPr>
          <w:bCs/>
          <w:sz w:val="24"/>
          <w:shd w:val="clear" w:color="auto" w:fill="FFFFFF"/>
        </w:rPr>
        <w:t>2.1氙灯功率</w:t>
      </w:r>
      <w:r>
        <w:rPr>
          <w:rFonts w:hint="eastAsia"/>
          <w:bCs/>
          <w:sz w:val="24"/>
          <w:shd w:val="clear" w:color="auto" w:fill="FFFFFF"/>
        </w:rPr>
        <w:t>小于</w:t>
      </w:r>
      <w:r>
        <w:rPr>
          <w:bCs/>
          <w:sz w:val="24"/>
          <w:shd w:val="clear" w:color="auto" w:fill="FFFFFF"/>
        </w:rPr>
        <w:t xml:space="preserve">150W，镜头式光输出方式，光照强度连续可调，照射方向四向可调； 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sz w:val="24"/>
          <w:shd w:val="clear" w:color="auto" w:fill="FFFFFF"/>
        </w:rPr>
        <w:t>#</w:t>
      </w:r>
      <w:r>
        <w:rPr>
          <w:bCs/>
          <w:sz w:val="24"/>
          <w:shd w:val="clear" w:color="auto" w:fill="FFFFFF"/>
        </w:rPr>
        <w:t>2.2防反光设计；高度集成一体机，光室和控制单元整合在同一腔体中；AAA级有效方型光斑面积为40 mm×40 mm；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#2.3安全自锁功能；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#2.4光谱不匹配性，光强不稳定性，光强不均匀性均满足ASTM E927-5 3A标准、IEC60904-9 2007 Ed2 3A标准、JIS C8912 3A标准；</w:t>
      </w:r>
    </w:p>
    <w:p>
      <w:pPr>
        <w:shd w:val="clear" w:color="auto" w:fill="FFFFFF"/>
        <w:autoSpaceDE w:val="0"/>
        <w:autoSpaceDN w:val="0"/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（三）.</w:t>
      </w:r>
      <w:r>
        <w:rPr>
          <w:sz w:val="24"/>
        </w:rPr>
        <w:t>光电催化反应装置</w:t>
      </w:r>
    </w:p>
    <w:p>
      <w:pPr>
        <w:autoSpaceDE w:val="0"/>
        <w:autoSpaceDN w:val="0"/>
        <w:spacing w:line="360" w:lineRule="auto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 xml:space="preserve">3.1 全玻璃高气密性系统，采用多通高真空阀自动取样，取样程序在反应系统上可视化操作完成； </w:t>
      </w:r>
    </w:p>
    <w:p>
      <w:pPr>
        <w:autoSpaceDE w:val="0"/>
        <w:autoSpaceDN w:val="0"/>
        <w:spacing w:line="360" w:lineRule="auto"/>
        <w:rPr>
          <w:bCs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#3.2 </w:t>
      </w:r>
      <w:r>
        <w:rPr>
          <w:bCs/>
          <w:sz w:val="24"/>
          <w:shd w:val="clear" w:color="auto" w:fill="FFFFFF"/>
        </w:rPr>
        <w:t>标准曲线线性回归度：系统内氢气含量为100uL~10mL范围时R</w:t>
      </w:r>
      <w:r>
        <w:rPr>
          <w:bCs/>
          <w:sz w:val="24"/>
          <w:shd w:val="clear" w:color="auto" w:fill="FFFFFF"/>
          <w:vertAlign w:val="superscript"/>
        </w:rPr>
        <w:t>2</w:t>
      </w:r>
      <w:r>
        <w:rPr>
          <w:bCs/>
          <w:sz w:val="24"/>
          <w:shd w:val="clear" w:color="auto" w:fill="FFFFFF"/>
        </w:rPr>
        <w:t>≥0.9995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sz w:val="24"/>
        </w:rPr>
        <w:t>3.3</w:t>
      </w:r>
      <w:r>
        <w:rPr>
          <w:bCs/>
          <w:sz w:val="24"/>
          <w:shd w:val="clear" w:color="auto" w:fill="FFFFFF"/>
        </w:rPr>
        <w:t>循环效率：高效柱塞泵，在负压、微负压、常压（二氧化碳还原实验），均能提供循环驱动力；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#</w:t>
      </w:r>
      <w:r>
        <w:rPr>
          <w:bCs/>
          <w:sz w:val="24"/>
          <w:shd w:val="clear" w:color="auto" w:fill="FFFFFF"/>
        </w:rPr>
        <w:t xml:space="preserve">3.4 </w:t>
      </w:r>
      <w:r>
        <w:rPr>
          <w:sz w:val="24"/>
          <w:shd w:val="clear" w:color="auto" w:fill="FFFFFF"/>
        </w:rPr>
        <w:t>4.5寸TFT彩色液晶显示，可直接在液晶屏上进行程序设定并可观察反应步骤或故障显示；</w:t>
      </w:r>
    </w:p>
    <w:p>
      <w:pPr>
        <w:spacing w:line="360" w:lineRule="auto"/>
        <w:rPr>
          <w:bCs/>
          <w:sz w:val="24"/>
          <w:shd w:val="clear" w:color="auto" w:fill="FFFFFF"/>
        </w:rPr>
      </w:pPr>
      <w:r>
        <w:rPr>
          <w:sz w:val="24"/>
          <w:shd w:val="clear" w:color="auto" w:fill="FFFFFF"/>
        </w:rPr>
        <w:t>#3.5</w:t>
      </w:r>
      <w:r>
        <w:rPr>
          <w:bCs/>
          <w:sz w:val="24"/>
          <w:shd w:val="clear" w:color="auto" w:fill="FFFFFF"/>
        </w:rPr>
        <w:t>阀门数量：不大于7个，避免阀门数量过多引起的漏点多加速泄漏率；</w:t>
      </w:r>
    </w:p>
    <w:p>
      <w:pPr>
        <w:spacing w:line="360" w:lineRule="auto"/>
        <w:rPr>
          <w:bCs/>
          <w:sz w:val="24"/>
          <w:lang w:bidi="en-US"/>
        </w:rPr>
      </w:pPr>
      <w:r>
        <w:rPr>
          <w:sz w:val="24"/>
          <w:shd w:val="clear" w:color="auto" w:fill="FFFFFF"/>
        </w:rPr>
        <w:t>#</w:t>
      </w:r>
      <w:r>
        <w:rPr>
          <w:bCs/>
          <w:sz w:val="24"/>
          <w:lang w:bidi="en-US"/>
        </w:rPr>
        <w:t>3.</w:t>
      </w:r>
      <w:r>
        <w:rPr>
          <w:rFonts w:hint="eastAsia"/>
          <w:bCs/>
          <w:sz w:val="24"/>
          <w:lang w:bidi="en-US"/>
        </w:rPr>
        <w:t>6</w:t>
      </w:r>
      <w:r>
        <w:rPr>
          <w:bCs/>
          <w:sz w:val="24"/>
          <w:lang w:bidi="en-US"/>
        </w:rPr>
        <w:t>触发方式：一体式高压触发（触发器必须在灯箱里避免高压传输风险）；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</w:t>
      </w:r>
      <w:r>
        <w:rPr>
          <w:sz w:val="24"/>
        </w:rPr>
        <w:t>3.</w:t>
      </w:r>
      <w:r>
        <w:rPr>
          <w:rFonts w:hint="eastAsia"/>
          <w:sz w:val="24"/>
        </w:rPr>
        <w:t>7</w:t>
      </w:r>
      <w:r>
        <w:rPr>
          <w:sz w:val="24"/>
        </w:rPr>
        <w:t>载气采用AFC气路控制，辅助气采用AFS（Advanced Flow Scout）监控（也可选用全机械阀系统），气路控制非常灵活；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</w:t>
      </w:r>
      <w:r>
        <w:rPr>
          <w:sz w:val="24"/>
        </w:rPr>
        <w:t>3.</w:t>
      </w:r>
      <w:r>
        <w:rPr>
          <w:rFonts w:hint="eastAsia"/>
          <w:sz w:val="24"/>
        </w:rPr>
        <w:t>8</w:t>
      </w:r>
      <w:r>
        <w:rPr>
          <w:sz w:val="24"/>
        </w:rPr>
        <w:t>降温速率：柱箱温度从200 ℃降至100℃时间不大于3min；</w:t>
      </w:r>
    </w:p>
    <w:p>
      <w:pPr>
        <w:spacing w:line="360" w:lineRule="auto"/>
        <w:rPr>
          <w:sz w:val="24"/>
        </w:rPr>
      </w:pPr>
      <w:r>
        <w:rPr>
          <w:rFonts w:cs="Segoe UI Symbol"/>
          <w:sz w:val="24"/>
          <w:shd w:val="clear" w:color="auto" w:fill="FFFFFF"/>
        </w:rPr>
        <w:t>*</w:t>
      </w:r>
      <w:r>
        <w:rPr>
          <w:sz w:val="24"/>
        </w:rPr>
        <w:t>3.</w:t>
      </w:r>
      <w:r>
        <w:rPr>
          <w:rFonts w:hint="eastAsia"/>
          <w:sz w:val="24"/>
        </w:rPr>
        <w:t>9</w:t>
      </w:r>
      <w:r>
        <w:rPr>
          <w:sz w:val="24"/>
        </w:rPr>
        <w:t>支持项目加密，用户可对访问及谱图处理权限进行设置；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(四). 催化剂产氢量子效率测试系统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</w:t>
      </w:r>
      <w:r>
        <w:rPr>
          <w:sz w:val="24"/>
        </w:rPr>
        <w:t>4.</w:t>
      </w:r>
      <w:r>
        <w:rPr>
          <w:rFonts w:hint="eastAsia"/>
          <w:sz w:val="24"/>
        </w:rPr>
        <w:t>1</w:t>
      </w:r>
      <w:r>
        <w:rPr>
          <w:sz w:val="24"/>
        </w:rPr>
        <w:t>自动气体置换，实时在线测量；用于气体置换的阀组置于主机内部；</w:t>
      </w:r>
    </w:p>
    <w:p>
      <w:pPr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2</w:t>
      </w:r>
      <w:r>
        <w:rPr>
          <w:sz w:val="24"/>
        </w:rPr>
        <w:t>激光光源“浸入式”内置；标配单色激光光源，单色性好且无发散角；</w:t>
      </w:r>
    </w:p>
    <w:p>
      <w:pPr>
        <w:spacing w:line="360" w:lineRule="auto"/>
        <w:rPr>
          <w:sz w:val="24"/>
        </w:rPr>
      </w:pPr>
      <w:r>
        <w:rPr>
          <w:sz w:val="24"/>
        </w:rPr>
        <w:t>#4.</w:t>
      </w:r>
      <w:r>
        <w:rPr>
          <w:rFonts w:hint="eastAsia"/>
          <w:sz w:val="24"/>
        </w:rPr>
        <w:t>3</w:t>
      </w:r>
      <w:r>
        <w:rPr>
          <w:sz w:val="24"/>
        </w:rPr>
        <w:t>检测范围：500 ppm H</w:t>
      </w:r>
      <w:r>
        <w:rPr>
          <w:sz w:val="24"/>
          <w:vertAlign w:val="subscript"/>
        </w:rPr>
        <w:t>2</w:t>
      </w:r>
      <w:r>
        <w:rPr>
          <w:sz w:val="24"/>
        </w:rPr>
        <w:t>@N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，1 </w:t>
      </w:r>
      <w:r>
        <w:rPr>
          <w:rFonts w:hint="eastAsia"/>
          <w:sz w:val="24"/>
        </w:rPr>
        <w:t>µ</w:t>
      </w:r>
      <w:r>
        <w:rPr>
          <w:sz w:val="24"/>
        </w:rPr>
        <w:t>mol/h，0.1%~95.0%；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</w:t>
      </w:r>
      <w:r>
        <w:rPr>
          <w:sz w:val="24"/>
        </w:rPr>
        <w:t>4.</w:t>
      </w:r>
      <w:r>
        <w:rPr>
          <w:rFonts w:hint="eastAsia"/>
          <w:sz w:val="24"/>
        </w:rPr>
        <w:t>4</w:t>
      </w:r>
      <w:r>
        <w:rPr>
          <w:sz w:val="24"/>
        </w:rPr>
        <w:t>数据运算：自动计算产氢速率、产氢量、量子产率等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（五）.高温高压催化剂光/光电性能测试系统</w:t>
      </w:r>
    </w:p>
    <w:p>
      <w:pPr>
        <w:spacing w:line="360" w:lineRule="auto"/>
        <w:rPr>
          <w:sz w:val="24"/>
        </w:rPr>
      </w:pPr>
      <w:r>
        <w:rPr>
          <w:rFonts w:cs="Segoe UI Symbol"/>
          <w:sz w:val="24"/>
          <w:shd w:val="clear" w:color="auto" w:fill="FFFFFF"/>
        </w:rPr>
        <w:t>*</w:t>
      </w:r>
      <w:r>
        <w:rPr>
          <w:sz w:val="24"/>
        </w:rPr>
        <w:t>5.1工作温度：室温~180 ℃；温控精度：±0.5 ℃，工作压力：50 kPa-0.9 Mpa（表压，绝对压力50 kPa-1.0 MPa）；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#5.</w:t>
      </w:r>
      <w:r>
        <w:rPr>
          <w:sz w:val="24"/>
        </w:rPr>
        <w:t>2负压自动取样，取样压力范围：80 KPa~0.9 MPa（绝压），最小取样周期：3 min，气样取样量：100 μl；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#5.3</w:t>
      </w:r>
      <w:r>
        <w:rPr>
          <w:sz w:val="24"/>
        </w:rPr>
        <w:t>内部定时模式（设备触发色谱）、外部触发模式（色谱触发设备），全自动触发色谱进样；</w:t>
      </w:r>
    </w:p>
    <w:p>
      <w:pPr>
        <w:spacing w:line="360" w:lineRule="auto"/>
        <w:rPr>
          <w:sz w:val="24"/>
        </w:rPr>
      </w:pPr>
      <w:r>
        <w:rPr>
          <w:sz w:val="24"/>
          <w:shd w:val="clear" w:color="auto" w:fill="FFFFFF"/>
        </w:rPr>
        <w:t>5.4</w:t>
      </w:r>
      <w:r>
        <w:rPr>
          <w:sz w:val="24"/>
        </w:rPr>
        <w:t>所有均可在主机显示屏幕上触摸式设定操作，带有自动泄压保护，具有外保护箱体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4、配置要求：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1）AAA太阳光模拟器，数量2套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2）光电催化反应装置，数量1套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3）催化剂产氢量子效率测试系统，数量1套，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4）高温高压催化剂光/光电性能测试系统，数量1套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5）计算机，数量1台</w:t>
      </w: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、售后服务条款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 设备安装调试</w:t>
      </w:r>
    </w:p>
    <w:p>
      <w:pPr>
        <w:spacing w:line="360" w:lineRule="auto"/>
        <w:ind w:left="811" w:leftChars="215" w:hanging="360" w:hangingChars="15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.1.1 仪器到达用户所在地后, 在接到用户通知后1周内执行安装调试直至达到验收指标。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.1.2每台仪器的安装调试-验收期不应长于10个工作日。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.2  技术培训</w:t>
      </w:r>
    </w:p>
    <w:p>
      <w:pPr>
        <w:pStyle w:val="3"/>
        <w:spacing w:line="360" w:lineRule="auto"/>
        <w:ind w:left="811" w:leftChars="215" w:hanging="360" w:hangingChars="15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.2.1 在用户所在地对用户进行2</w:t>
      </w:r>
      <w:r>
        <w:rPr>
          <w:rFonts w:hint="eastAsia"/>
          <w:sz w:val="24"/>
        </w:rPr>
        <w:t>-3</w:t>
      </w:r>
      <w:r>
        <w:rPr>
          <w:sz w:val="24"/>
        </w:rPr>
        <w:t>人、为期1周的免费培训。培训内容包括仪器的技术原理、操作、数据处理、基本维护等。</w:t>
      </w:r>
    </w:p>
    <w:p>
      <w:pPr>
        <w:spacing w:line="360" w:lineRule="auto"/>
        <w:ind w:left="390" w:leftChars="100" w:hanging="180" w:hangingChars="75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.3 保修期：提供1年或1年以上的免费保修，保修期自用户签署最终验收报告之日起计算。保修期满前1个月内卖方应负责一次免费全面检查，并写出正式报告，如发现潜在问题，应负责排除。</w:t>
      </w:r>
    </w:p>
    <w:p>
      <w:pPr>
        <w:spacing w:line="360" w:lineRule="auto"/>
        <w:ind w:left="210" w:leftChars="1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.4 维修响应时间：卖方应在12小时内对用户的服务要求作出响应，一般问题应在24小时内解决，重大问题或其它无法迅速解决的问题应在72小时内解决或提出明确解决方案，否则卖方应赔偿相应损失。在此期间，设备发生任何非误操作造成的故障和损坏，均由供货方负责免费修复，失效零件予以免费更换，更换时所发生的费用均由供货方负担。质量保证期内，停机待修时间不得超过15自然天，若超过15自然天，则保修期延长待机时间的5倍。</w:t>
      </w:r>
    </w:p>
    <w:p>
      <w:pPr>
        <w:spacing w:line="360" w:lineRule="auto"/>
        <w:ind w:left="390" w:leftChars="100" w:hanging="180" w:hangingChars="75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.5 软、硬件升级：卖方应免费向用户提供自验收之后未来5年的仪器软件升级和优惠提供与之相关的硬件升级。</w:t>
      </w:r>
    </w:p>
    <w:p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、订货数量：</w:t>
      </w:r>
      <w:r>
        <w:rPr>
          <w:sz w:val="24"/>
        </w:rPr>
        <w:t xml:space="preserve"> </w:t>
      </w:r>
      <w:r>
        <w:rPr>
          <w:rFonts w:hint="eastAsia"/>
          <w:sz w:val="24"/>
        </w:rPr>
        <w:t>1套</w:t>
      </w:r>
    </w:p>
    <w:p>
      <w:pPr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、交货地点：中国科学院理化技术研究所中关村园区1号楼518室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8</w:t>
      </w:r>
      <w:r>
        <w:rPr>
          <w:rFonts w:hint="eastAsia"/>
          <w:sz w:val="24"/>
        </w:rPr>
        <w:t>、交货时间：合同生效后三个月内</w:t>
      </w:r>
    </w:p>
    <w:p>
      <w:pPr>
        <w:spacing w:line="360" w:lineRule="auto"/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  <w:i/>
      </w:rPr>
      <w:t>中国科学院理化技术研究所招标文件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3179"/>
    <w:multiLevelType w:val="multilevel"/>
    <w:tmpl w:val="60823179"/>
    <w:lvl w:ilvl="0" w:tentative="0">
      <w:start w:val="1"/>
      <w:numFmt w:val="japaneseCounting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媛儿</cp:lastModifiedBy>
  <dcterms:modified xsi:type="dcterms:W3CDTF">2019-12-05T10:47:28Z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