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936" w:beforeLines="300"/>
        <w:jc w:val="center"/>
        <w:rPr>
          <w:rFonts w:hint="eastAsia" w:ascii="黑体" w:eastAsia="黑体"/>
          <w:b/>
          <w:kern w:val="44"/>
          <w:sz w:val="48"/>
          <w:szCs w:val="20"/>
        </w:rPr>
      </w:pPr>
      <w:r>
        <w:rPr>
          <w:rFonts w:hint="eastAsia" w:ascii="黑体" w:eastAsia="黑体"/>
          <w:b/>
          <w:kern w:val="44"/>
          <w:sz w:val="48"/>
          <w:szCs w:val="20"/>
        </w:rPr>
        <w:t>第八部分  技术部分</w:t>
      </w:r>
      <w:r>
        <w:rPr>
          <w:rFonts w:ascii="黑体" w:eastAsia="黑体"/>
          <w:b/>
          <w:kern w:val="44"/>
          <w:sz w:val="48"/>
          <w:szCs w:val="20"/>
        </w:rPr>
        <w:br w:type="page"/>
      </w:r>
    </w:p>
    <w:p>
      <w:pPr>
        <w:numPr>
          <w:ilvl w:val="2"/>
          <w:numId w:val="1"/>
        </w:numPr>
        <w:adjustRightInd w:val="0"/>
        <w:snapToGrid w:val="0"/>
        <w:jc w:val="center"/>
        <w:rPr>
          <w:rFonts w:hint="eastAsia"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货物需求一览表</w:t>
      </w:r>
    </w:p>
    <w:p>
      <w:pPr>
        <w:adjustRightInd w:val="0"/>
        <w:snapToGrid w:val="0"/>
        <w:jc w:val="center"/>
        <w:rPr>
          <w:rFonts w:hint="eastAsia" w:ascii="宋体" w:hAnsi="宋体"/>
          <w:b/>
          <w:sz w:val="30"/>
          <w:szCs w:val="30"/>
        </w:rPr>
      </w:pPr>
    </w:p>
    <w:tbl>
      <w:tblPr>
        <w:tblStyle w:val="5"/>
        <w:tblW w:w="9642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62"/>
        <w:gridCol w:w="2640"/>
        <w:gridCol w:w="635"/>
        <w:gridCol w:w="1320"/>
        <w:gridCol w:w="1765"/>
        <w:gridCol w:w="252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2" w:hRule="atLeast"/>
          <w:jc w:val="center"/>
        </w:trPr>
        <w:tc>
          <w:tcPr>
            <w:tcW w:w="76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包号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货物名称</w:t>
            </w:r>
          </w:p>
        </w:tc>
        <w:tc>
          <w:tcPr>
            <w:tcW w:w="63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数量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交货期</w:t>
            </w:r>
          </w:p>
        </w:tc>
        <w:tc>
          <w:tcPr>
            <w:tcW w:w="176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指定到货港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hd w:val="pct10" w:color="auto" w:fill="FFFFFF"/>
              </w:rPr>
            </w:pPr>
            <w:r>
              <w:rPr>
                <w:rFonts w:hint="eastAsia" w:ascii="宋体" w:hAnsi="宋体"/>
                <w:sz w:val="24"/>
              </w:rPr>
              <w:t>项目现场（交货地点）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63" w:hRule="atLeast"/>
          <w:jc w:val="center"/>
        </w:trPr>
        <w:tc>
          <w:tcPr>
            <w:tcW w:w="76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差示扫描量热仪</w:t>
            </w:r>
          </w:p>
        </w:tc>
        <w:tc>
          <w:tcPr>
            <w:tcW w:w="63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1套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2个月</w:t>
            </w:r>
          </w:p>
        </w:tc>
        <w:tc>
          <w:tcPr>
            <w:tcW w:w="176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北京机场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中国科学院理化所</w:t>
            </w:r>
          </w:p>
        </w:tc>
      </w:tr>
    </w:tbl>
    <w:p>
      <w:pPr>
        <w:adjustRightInd w:val="0"/>
        <w:snapToGrid w:val="0"/>
        <w:jc w:val="center"/>
        <w:rPr>
          <w:rFonts w:hint="eastAsia" w:ascii="宋体" w:hAnsi="宋体"/>
          <w:b/>
          <w:sz w:val="30"/>
          <w:szCs w:val="30"/>
        </w:rPr>
      </w:pPr>
    </w:p>
    <w:p>
      <w:pPr>
        <w:adjustRightInd w:val="0"/>
        <w:snapToGrid w:val="0"/>
        <w:jc w:val="center"/>
        <w:rPr>
          <w:rFonts w:hint="eastAsia" w:ascii="宋体" w:hAnsi="宋体"/>
          <w:b/>
          <w:sz w:val="30"/>
          <w:szCs w:val="30"/>
        </w:rPr>
      </w:pPr>
    </w:p>
    <w:p>
      <w:pPr>
        <w:adjustRightInd w:val="0"/>
        <w:snapToGrid w:val="0"/>
        <w:jc w:val="center"/>
        <w:rPr>
          <w:rFonts w:hint="eastAsia" w:ascii="宋体" w:hAnsi="宋体"/>
          <w:b/>
          <w:sz w:val="30"/>
          <w:szCs w:val="30"/>
        </w:rPr>
      </w:pPr>
    </w:p>
    <w:p>
      <w:pPr>
        <w:rPr>
          <w:rFonts w:hint="eastAsia" w:ascii="Bookman Old Style" w:hAnsi="Bookman Old Style"/>
          <w:sz w:val="24"/>
        </w:rPr>
      </w:pPr>
      <w:r>
        <w:rPr>
          <w:rFonts w:hint="eastAsia"/>
          <w:sz w:val="24"/>
        </w:rPr>
        <w:t>注：投标人须对上述投标内容中完整的一包或几包进行投标，</w:t>
      </w:r>
      <w:r>
        <w:rPr>
          <w:rFonts w:hint="eastAsia" w:ascii="Bookman Old Style" w:hAnsi="Bookman Old Style"/>
          <w:sz w:val="24"/>
        </w:rPr>
        <w:t>不完整的投标将视为非响应性投标予以拒绝。</w:t>
      </w:r>
    </w:p>
    <w:p>
      <w:pPr>
        <w:adjustRightInd w:val="0"/>
        <w:snapToGrid w:val="0"/>
        <w:rPr>
          <w:rFonts w:hint="eastAsia" w:ascii="宋体" w:hAnsi="宋体"/>
          <w:szCs w:val="21"/>
        </w:rPr>
      </w:pPr>
    </w:p>
    <w:p>
      <w:pPr>
        <w:adjustRightInd w:val="0"/>
        <w:snapToGrid w:val="0"/>
        <w:rPr>
          <w:rFonts w:hint="eastAsia" w:ascii="宋体" w:hAnsi="宋体"/>
          <w:szCs w:val="21"/>
        </w:rPr>
      </w:pPr>
    </w:p>
    <w:p>
      <w:pPr>
        <w:adjustRightInd w:val="0"/>
        <w:snapToGrid w:val="0"/>
        <w:rPr>
          <w:rFonts w:hint="eastAsia" w:ascii="宋体" w:hAnsi="宋体"/>
          <w:szCs w:val="21"/>
        </w:rPr>
      </w:pPr>
    </w:p>
    <w:p>
      <w:pPr>
        <w:adjustRightInd w:val="0"/>
        <w:snapToGrid w:val="0"/>
        <w:rPr>
          <w:rFonts w:hint="eastAsia" w:ascii="宋体" w:hAnsi="宋体"/>
          <w:szCs w:val="21"/>
        </w:rPr>
      </w:pPr>
    </w:p>
    <w:p>
      <w:pPr>
        <w:adjustRightInd w:val="0"/>
        <w:snapToGrid w:val="0"/>
        <w:rPr>
          <w:rFonts w:hint="eastAsia" w:ascii="宋体" w:hAnsi="宋体"/>
          <w:szCs w:val="21"/>
        </w:rPr>
      </w:pPr>
    </w:p>
    <w:p>
      <w:pPr>
        <w:adjustRightInd w:val="0"/>
        <w:snapToGrid w:val="0"/>
        <w:rPr>
          <w:rFonts w:hint="eastAsia" w:ascii="宋体" w:hAnsi="宋体"/>
          <w:szCs w:val="21"/>
        </w:rPr>
      </w:pPr>
    </w:p>
    <w:p>
      <w:pPr>
        <w:adjustRightInd w:val="0"/>
        <w:snapToGrid w:val="0"/>
        <w:rPr>
          <w:rFonts w:hint="eastAsia" w:ascii="宋体" w:hAnsi="宋体"/>
          <w:szCs w:val="21"/>
        </w:rPr>
      </w:pPr>
    </w:p>
    <w:p>
      <w:pPr>
        <w:adjustRightInd w:val="0"/>
        <w:snapToGrid w:val="0"/>
        <w:rPr>
          <w:rFonts w:hint="eastAsia" w:ascii="宋体" w:hAnsi="宋体"/>
          <w:szCs w:val="21"/>
        </w:rPr>
      </w:pPr>
    </w:p>
    <w:p>
      <w:pPr>
        <w:adjustRightInd w:val="0"/>
        <w:snapToGrid w:val="0"/>
        <w:rPr>
          <w:rFonts w:hint="eastAsia" w:ascii="宋体" w:hAnsi="宋体"/>
          <w:szCs w:val="21"/>
        </w:rPr>
      </w:pPr>
    </w:p>
    <w:p>
      <w:pPr>
        <w:adjustRightInd w:val="0"/>
        <w:snapToGrid w:val="0"/>
        <w:rPr>
          <w:rFonts w:hint="eastAsia" w:ascii="宋体" w:hAnsi="宋体"/>
          <w:szCs w:val="21"/>
        </w:rPr>
      </w:pPr>
    </w:p>
    <w:p>
      <w:pPr>
        <w:adjustRightInd w:val="0"/>
        <w:snapToGrid w:val="0"/>
        <w:rPr>
          <w:rFonts w:hint="eastAsia" w:ascii="宋体" w:hAnsi="宋体"/>
          <w:szCs w:val="21"/>
        </w:rPr>
      </w:pPr>
    </w:p>
    <w:p>
      <w:pPr>
        <w:adjustRightInd w:val="0"/>
        <w:snapToGrid w:val="0"/>
        <w:rPr>
          <w:rFonts w:hint="eastAsia" w:ascii="宋体" w:hAnsi="宋体"/>
          <w:szCs w:val="21"/>
        </w:rPr>
      </w:pPr>
    </w:p>
    <w:p>
      <w:pPr>
        <w:adjustRightInd w:val="0"/>
        <w:snapToGrid w:val="0"/>
        <w:rPr>
          <w:rFonts w:hint="eastAsia" w:ascii="宋体" w:hAnsi="宋体"/>
          <w:b/>
          <w:sz w:val="30"/>
          <w:szCs w:val="30"/>
        </w:rPr>
      </w:pPr>
      <w:r>
        <w:rPr>
          <w:rFonts w:ascii="宋体" w:hAnsi="宋体"/>
          <w:b/>
          <w:sz w:val="30"/>
          <w:szCs w:val="30"/>
        </w:rPr>
        <w:br w:type="page"/>
      </w:r>
    </w:p>
    <w:p>
      <w:pPr>
        <w:numPr>
          <w:ilvl w:val="2"/>
          <w:numId w:val="1"/>
        </w:numPr>
        <w:tabs>
          <w:tab w:val="left" w:pos="720"/>
          <w:tab w:val="clear" w:pos="1560"/>
        </w:tabs>
        <w:adjustRightInd w:val="0"/>
        <w:snapToGrid w:val="0"/>
        <w:ind w:hanging="1560"/>
        <w:jc w:val="center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技术规格</w:t>
      </w:r>
    </w:p>
    <w:p>
      <w:pPr>
        <w:spacing w:line="360" w:lineRule="auto"/>
        <w:ind w:left="600" w:hanging="600"/>
        <w:rPr>
          <w:rFonts w:hint="eastAsia"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一、总</w:t>
      </w:r>
      <w:r>
        <w:rPr>
          <w:rFonts w:ascii="宋体" w:hAnsi="宋体"/>
          <w:b/>
          <w:sz w:val="30"/>
          <w:szCs w:val="30"/>
        </w:rPr>
        <w:t xml:space="preserve">  </w:t>
      </w:r>
      <w:r>
        <w:rPr>
          <w:rFonts w:hint="eastAsia" w:ascii="宋体" w:hAnsi="宋体"/>
          <w:b/>
          <w:sz w:val="30"/>
          <w:szCs w:val="30"/>
        </w:rPr>
        <w:t>则</w:t>
      </w:r>
    </w:p>
    <w:p>
      <w:pPr>
        <w:spacing w:before="156" w:beforeLines="50" w:after="156" w:afterLines="50" w:line="360" w:lineRule="auto"/>
        <w:ind w:left="601" w:hanging="601"/>
        <w:rPr>
          <w:rFonts w:ascii="宋体" w:hAnsi="宋体"/>
          <w:b/>
          <w:sz w:val="28"/>
        </w:rPr>
      </w:pPr>
      <w:r>
        <w:rPr>
          <w:rFonts w:ascii="宋体" w:hAnsi="宋体"/>
          <w:b/>
          <w:sz w:val="28"/>
        </w:rPr>
        <w:t>1</w:t>
      </w:r>
      <w:r>
        <w:rPr>
          <w:rFonts w:hint="eastAsia" w:ascii="宋体" w:hAnsi="宋体"/>
          <w:b/>
          <w:sz w:val="28"/>
        </w:rPr>
        <w:t>、投标要求</w:t>
      </w:r>
    </w:p>
    <w:p>
      <w:pPr>
        <w:spacing w:line="360" w:lineRule="auto"/>
        <w:ind w:left="554" w:hanging="554" w:hangingChars="231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 xml:space="preserve">1.1 </w:t>
      </w:r>
      <w:r>
        <w:rPr>
          <w:rFonts w:hint="eastAsia" w:ascii="宋体" w:hAnsi="宋体"/>
          <w:sz w:val="24"/>
        </w:rPr>
        <w:t xml:space="preserve"> 投标人在准备投标书时，务必在所提供的商品的技术规格文件中，标明型号、商标名称、目录号。</w:t>
      </w:r>
    </w:p>
    <w:p>
      <w:pPr>
        <w:spacing w:line="360" w:lineRule="auto"/>
        <w:ind w:left="554" w:hanging="554" w:hangingChars="231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1.2  投标人提供的货物的技术规格，应符合招标文件的要求。如与招标文件的技术规格有偏差，应提供技术规格偏差的量值或说明（偏离表）。如投标人有意隐瞒对规格要求的偏差或在开标后提出新的偏差，买方有权扣留其投标保证金或/并拒绝其投标。</w:t>
      </w:r>
    </w:p>
    <w:p>
      <w:pPr>
        <w:spacing w:line="360" w:lineRule="auto"/>
        <w:ind w:left="554" w:hanging="554" w:hangingChars="231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1.3  </w:t>
      </w:r>
      <w:r>
        <w:rPr>
          <w:rFonts w:hint="eastAsia"/>
          <w:sz w:val="24"/>
        </w:rPr>
        <w:t>投标人提供的</w:t>
      </w:r>
      <w:r>
        <w:rPr>
          <w:rFonts w:hint="eastAsia" w:ascii="宋体"/>
          <w:sz w:val="24"/>
        </w:rPr>
        <w:t>产品</w:t>
      </w:r>
      <w:r>
        <w:rPr>
          <w:rFonts w:hint="eastAsia"/>
          <w:sz w:val="24"/>
        </w:rPr>
        <w:t>样本，必须是“原件”而非复印件，</w:t>
      </w:r>
      <w:r>
        <w:rPr>
          <w:rFonts w:hint="eastAsia" w:ascii="宋体"/>
          <w:sz w:val="24"/>
        </w:rPr>
        <w:t>图表、简图、电路图以及印刷电路板图等都应</w:t>
      </w:r>
      <w:r>
        <w:rPr>
          <w:rFonts w:hint="eastAsia"/>
          <w:sz w:val="24"/>
        </w:rPr>
        <w:t>清晰易读。买方有权</w:t>
      </w:r>
      <w:r>
        <w:rPr>
          <w:rFonts w:hint="eastAsia" w:ascii="宋体"/>
          <w:sz w:val="24"/>
        </w:rPr>
        <w:t>不付任何附加费用</w:t>
      </w:r>
      <w:r>
        <w:rPr>
          <w:rFonts w:hint="eastAsia"/>
          <w:sz w:val="24"/>
        </w:rPr>
        <w:t>复制这些资料</w:t>
      </w:r>
      <w:r>
        <w:rPr>
          <w:rFonts w:hint="eastAsia" w:ascii="宋体"/>
          <w:sz w:val="24"/>
        </w:rPr>
        <w:t>以供参考。</w:t>
      </w:r>
    </w:p>
    <w:p>
      <w:pPr>
        <w:spacing w:before="156" w:beforeLines="50" w:after="156" w:afterLines="50" w:line="360" w:lineRule="auto"/>
        <w:ind w:left="601" w:hanging="601"/>
        <w:rPr>
          <w:rFonts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>2、评标标准</w:t>
      </w:r>
    </w:p>
    <w:p>
      <w:pPr>
        <w:spacing w:line="360" w:lineRule="auto"/>
        <w:ind w:left="554" w:hanging="554" w:hangingChars="231"/>
        <w:rPr>
          <w:rFonts w:hint="eastAsia" w:ascii="宋体"/>
          <w:sz w:val="24"/>
        </w:rPr>
      </w:pPr>
      <w:r>
        <w:rPr>
          <w:rFonts w:ascii="宋体" w:hAnsi="宋体"/>
          <w:sz w:val="24"/>
        </w:rPr>
        <w:t>2.</w:t>
      </w:r>
      <w:r>
        <w:rPr>
          <w:rFonts w:hint="eastAsia" w:ascii="宋体" w:hAnsi="宋体"/>
          <w:sz w:val="24"/>
        </w:rPr>
        <w:t xml:space="preserve">1  </w:t>
      </w:r>
      <w:r>
        <w:rPr>
          <w:rFonts w:hint="eastAsia"/>
          <w:sz w:val="24"/>
        </w:rPr>
        <w:t>除招标文件中指定的附件和专用工具外，</w:t>
      </w:r>
      <w:r>
        <w:rPr>
          <w:rFonts w:hint="eastAsia" w:ascii="宋体"/>
          <w:sz w:val="24"/>
        </w:rPr>
        <w:t>投标人应提供仪器设备的正常运行和常规保养所需的全套标准附件、专用工具</w:t>
      </w:r>
      <w:r>
        <w:rPr>
          <w:rFonts w:hint="eastAsia"/>
          <w:sz w:val="24"/>
        </w:rPr>
        <w:t>和消耗品</w:t>
      </w:r>
      <w:r>
        <w:rPr>
          <w:rFonts w:hint="eastAsia" w:ascii="宋体"/>
          <w:sz w:val="24"/>
        </w:rPr>
        <w:t>。投标人在投标书中需列出这些附件和工具的数量和单价的清单，这些附件和工具的报价的总值需计入投标价中。</w:t>
      </w:r>
    </w:p>
    <w:p>
      <w:pPr>
        <w:spacing w:line="360" w:lineRule="auto"/>
        <w:ind w:left="554" w:hanging="554" w:hangingChars="231"/>
        <w:rPr>
          <w:rFonts w:hint="eastAsia"/>
          <w:sz w:val="24"/>
        </w:rPr>
      </w:pPr>
      <w:r>
        <w:rPr>
          <w:rFonts w:hint="eastAsia" w:ascii="宋体" w:hAnsi="宋体"/>
          <w:sz w:val="24"/>
        </w:rPr>
        <w:t xml:space="preserve">2.2  </w:t>
      </w:r>
      <w:r>
        <w:rPr>
          <w:rFonts w:hint="eastAsia"/>
          <w:sz w:val="24"/>
        </w:rPr>
        <w:t>对于标书</w:t>
      </w:r>
      <w:r>
        <w:rPr>
          <w:rFonts w:hint="eastAsia" w:ascii="宋体"/>
          <w:sz w:val="24"/>
        </w:rPr>
        <w:t>技术规范中已列</w:t>
      </w:r>
      <w:r>
        <w:rPr>
          <w:rFonts w:hint="eastAsia"/>
          <w:sz w:val="24"/>
        </w:rPr>
        <w:t>出的作为查询选件的附件、零配件、专用工具和消耗品，投标书中</w:t>
      </w:r>
      <w:r>
        <w:rPr>
          <w:rFonts w:hint="eastAsia" w:ascii="宋体"/>
          <w:sz w:val="24"/>
        </w:rPr>
        <w:t>应列明其数量、单价、总价供买方参考。投标人也可推荐买方没有要求的附件或专用工具作为选件，并列明其数量、单价、总价供买方参考。选件价格不计入评标价中。</w:t>
      </w:r>
      <w:r>
        <w:rPr>
          <w:rFonts w:hint="eastAsia"/>
          <w:sz w:val="24"/>
        </w:rPr>
        <w:t>选件一旦为用户接受，其费用将加入合同价中。</w:t>
      </w:r>
    </w:p>
    <w:p>
      <w:pPr>
        <w:spacing w:line="360" w:lineRule="auto"/>
        <w:ind w:left="554" w:hanging="554" w:hangingChars="231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2.3  为便于用户进行接收仪器的准备工作，卖方应在合同生效后</w:t>
      </w:r>
      <w:r>
        <w:rPr>
          <w:rFonts w:hint="eastAsia" w:ascii="宋体" w:hAnsi="宋体"/>
          <w:b/>
          <w:sz w:val="24"/>
        </w:rPr>
        <w:t>60</w:t>
      </w:r>
      <w:r>
        <w:rPr>
          <w:rFonts w:hint="eastAsia" w:ascii="宋体" w:hAnsi="宋体"/>
          <w:sz w:val="24"/>
        </w:rPr>
        <w:t>天内向用户提供一套完整的使用说明书、操作手册、维修及安装说明等文件。另一套完整上述资料应在交货时随货包装提供给用户，这些费用应计入投标价中。</w:t>
      </w:r>
    </w:p>
    <w:p>
      <w:pPr>
        <w:spacing w:line="360" w:lineRule="auto"/>
        <w:ind w:left="554" w:hanging="554" w:hangingChars="231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</w:t>
      </w:r>
      <w:r>
        <w:rPr>
          <w:rFonts w:ascii="宋体" w:hAnsi="宋体"/>
          <w:sz w:val="24"/>
        </w:rPr>
        <w:t>.</w:t>
      </w:r>
      <w:r>
        <w:rPr>
          <w:rFonts w:hint="eastAsia" w:ascii="宋体" w:hAnsi="宋体"/>
          <w:sz w:val="24"/>
        </w:rPr>
        <w:t>4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 xml:space="preserve"> 关于设备的安装调试，如果有必要的安装准备条件，卖方应在合同生效后一个月内向买方提出详细的要求或计划。安装调试的费用应计入投标价中，并应单独列出，供评标使用。</w:t>
      </w:r>
    </w:p>
    <w:p>
      <w:pPr>
        <w:spacing w:line="360" w:lineRule="auto"/>
        <w:ind w:left="554" w:hanging="554" w:hangingChars="231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2.</w:t>
      </w:r>
      <w:r>
        <w:rPr>
          <w:rFonts w:hint="eastAsia" w:ascii="宋体" w:hAnsi="宋体"/>
          <w:sz w:val="24"/>
        </w:rPr>
        <w:t>5  制造厂家提供的培训指的是涉及货物的基本原理、操作使用和保养维修等有关内容的培训。培训教员的培训费、旅费、食宿费等费用和培训场地费及培训资料费均应由卖方支付。</w:t>
      </w:r>
    </w:p>
    <w:p>
      <w:pPr>
        <w:spacing w:line="360" w:lineRule="auto"/>
        <w:ind w:left="554" w:hanging="554" w:hangingChars="231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</w:t>
      </w:r>
      <w:r>
        <w:rPr>
          <w:rFonts w:ascii="宋体" w:hAnsi="宋体"/>
          <w:sz w:val="24"/>
        </w:rPr>
        <w:t>.</w:t>
      </w:r>
      <w:r>
        <w:rPr>
          <w:rFonts w:hint="eastAsia" w:ascii="宋体" w:hAnsi="宋体"/>
          <w:sz w:val="24"/>
        </w:rPr>
        <w:t xml:space="preserve">6  </w:t>
      </w:r>
      <w:r>
        <w:rPr>
          <w:rFonts w:hint="eastAsia"/>
          <w:sz w:val="24"/>
        </w:rPr>
        <w:t>在评标过程中，买方有权向投标人索取任何与评标有关的资料，投标人务必在接到此类要求后，在规定时间内予以答复。对于无答复的投标人，买方有权拒绝其投标。</w:t>
      </w:r>
    </w:p>
    <w:p>
      <w:pPr>
        <w:spacing w:before="156" w:beforeLines="50" w:after="156" w:afterLines="50" w:line="360" w:lineRule="auto"/>
        <w:ind w:left="601" w:hanging="601"/>
        <w:rPr>
          <w:rFonts w:hint="eastAsia"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>3、工作条件</w:t>
      </w:r>
    </w:p>
    <w:p>
      <w:pPr>
        <w:spacing w:after="312" w:afterLines="100"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除非在技术规格中另有说明，所有仪器、设备和系统都应符合下列要求：</w:t>
      </w:r>
      <w:r>
        <w:rPr>
          <w:rFonts w:ascii="宋体" w:hAnsi="宋体"/>
          <w:sz w:val="24"/>
        </w:rPr>
        <w:t xml:space="preserve"> </w:t>
      </w:r>
    </w:p>
    <w:p>
      <w:pPr>
        <w:spacing w:line="360" w:lineRule="auto"/>
        <w:ind w:left="554" w:hanging="554" w:hangingChars="231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3.1  适于在气温为摄氏</w:t>
      </w:r>
      <w:r>
        <w:rPr>
          <w:rFonts w:ascii="宋体" w:hAnsi="宋体"/>
          <w:b/>
          <w:sz w:val="24"/>
        </w:rPr>
        <w:t>-40</w:t>
      </w:r>
      <w:r>
        <w:rPr>
          <w:rFonts w:hint="eastAsia" w:ascii="宋体" w:hAnsi="宋体"/>
          <w:b/>
          <w:sz w:val="24"/>
        </w:rPr>
        <w:t>℃～＋</w:t>
      </w:r>
      <w:r>
        <w:rPr>
          <w:rFonts w:ascii="宋体" w:hAnsi="宋体"/>
          <w:b/>
          <w:sz w:val="24"/>
        </w:rPr>
        <w:t>50</w:t>
      </w:r>
      <w:r>
        <w:rPr>
          <w:rFonts w:hint="eastAsia" w:ascii="宋体" w:hAnsi="宋体"/>
          <w:b/>
          <w:sz w:val="24"/>
        </w:rPr>
        <w:t>℃</w:t>
      </w:r>
      <w:r>
        <w:rPr>
          <w:rFonts w:hint="eastAsia" w:ascii="宋体" w:hAnsi="宋体"/>
          <w:sz w:val="24"/>
        </w:rPr>
        <w:t>和相对湿度为</w:t>
      </w:r>
      <w:r>
        <w:rPr>
          <w:rFonts w:ascii="宋体" w:hAnsi="宋体"/>
          <w:b/>
          <w:sz w:val="24"/>
        </w:rPr>
        <w:t>90</w:t>
      </w:r>
      <w:r>
        <w:rPr>
          <w:rFonts w:hint="eastAsia" w:ascii="宋体" w:hAnsi="宋体"/>
          <w:b/>
          <w:sz w:val="24"/>
        </w:rPr>
        <w:t>％</w:t>
      </w:r>
      <w:r>
        <w:rPr>
          <w:rFonts w:hint="eastAsia" w:ascii="宋体" w:hAnsi="宋体"/>
          <w:sz w:val="24"/>
        </w:rPr>
        <w:t>的环境条件下运输和贮存。</w:t>
      </w:r>
    </w:p>
    <w:p>
      <w:pPr>
        <w:spacing w:line="360" w:lineRule="auto"/>
        <w:ind w:left="554" w:hanging="554" w:hangingChars="231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3.2  适于在电源</w:t>
      </w:r>
      <w:r>
        <w:rPr>
          <w:rFonts w:ascii="宋体" w:hAnsi="宋体"/>
          <w:b/>
          <w:sz w:val="24"/>
        </w:rPr>
        <w:t>220V</w:t>
      </w:r>
      <w:r>
        <w:rPr>
          <w:rFonts w:hint="eastAsia" w:ascii="宋体" w:hAnsi="宋体"/>
          <w:b/>
          <w:sz w:val="24"/>
        </w:rPr>
        <w:t>（</w:t>
      </w:r>
      <w:r>
        <w:rPr>
          <w:rFonts w:ascii="宋体" w:hAnsi="宋体"/>
          <w:b/>
          <w:sz w:val="24"/>
        </w:rPr>
        <w:sym w:font="Symbol" w:char="F0B1"/>
      </w:r>
      <w:r>
        <w:rPr>
          <w:rFonts w:ascii="宋体" w:hAnsi="宋体"/>
          <w:b/>
          <w:sz w:val="24"/>
        </w:rPr>
        <w:t>10</w:t>
      </w:r>
      <w:r>
        <w:rPr>
          <w:rFonts w:hint="eastAsia" w:ascii="宋体" w:hAnsi="宋体"/>
          <w:b/>
          <w:sz w:val="24"/>
        </w:rPr>
        <w:t>％）</w:t>
      </w:r>
      <w:r>
        <w:rPr>
          <w:rFonts w:ascii="宋体" w:hAnsi="宋体"/>
          <w:b/>
          <w:sz w:val="24"/>
        </w:rPr>
        <w:t>/50Hz</w:t>
      </w:r>
      <w:r>
        <w:rPr>
          <w:rFonts w:hint="eastAsia" w:ascii="宋体" w:hAnsi="宋体"/>
          <w:sz w:val="24"/>
        </w:rPr>
        <w:t>、气温摄氏</w:t>
      </w:r>
      <w:r>
        <w:rPr>
          <w:rFonts w:hint="eastAsia" w:ascii="宋体" w:hAnsi="宋体"/>
          <w:b/>
          <w:sz w:val="24"/>
        </w:rPr>
        <w:t>+1</w:t>
      </w:r>
      <w:r>
        <w:rPr>
          <w:rFonts w:ascii="宋体" w:hAnsi="宋体"/>
          <w:b/>
          <w:sz w:val="24"/>
        </w:rPr>
        <w:t>5</w:t>
      </w:r>
      <w:r>
        <w:rPr>
          <w:rFonts w:hint="eastAsia" w:ascii="宋体" w:hAnsi="宋体"/>
          <w:b/>
          <w:sz w:val="24"/>
        </w:rPr>
        <w:t>℃～＋3</w:t>
      </w:r>
      <w:r>
        <w:rPr>
          <w:rFonts w:ascii="宋体" w:hAnsi="宋体"/>
          <w:b/>
          <w:sz w:val="24"/>
        </w:rPr>
        <w:t>0</w:t>
      </w:r>
      <w:r>
        <w:rPr>
          <w:rFonts w:hint="eastAsia" w:ascii="宋体" w:hAnsi="宋体"/>
          <w:b/>
          <w:sz w:val="24"/>
        </w:rPr>
        <w:t>℃</w:t>
      </w:r>
      <w:r>
        <w:rPr>
          <w:rFonts w:hint="eastAsia" w:ascii="宋体" w:hAnsi="宋体"/>
          <w:sz w:val="24"/>
        </w:rPr>
        <w:t>和相对湿度小于</w:t>
      </w:r>
      <w:r>
        <w:rPr>
          <w:rFonts w:ascii="宋体" w:hAnsi="宋体"/>
          <w:b/>
          <w:sz w:val="24"/>
        </w:rPr>
        <w:t>8</w:t>
      </w:r>
      <w:r>
        <w:rPr>
          <w:rFonts w:hint="eastAsia" w:ascii="宋体" w:hAnsi="宋体"/>
          <w:b/>
          <w:sz w:val="24"/>
        </w:rPr>
        <w:t>0％</w:t>
      </w:r>
      <w:r>
        <w:rPr>
          <w:rFonts w:hint="eastAsia" w:ascii="宋体" w:hAnsi="宋体"/>
          <w:sz w:val="24"/>
        </w:rPr>
        <w:t>的环境条件下运行。</w:t>
      </w:r>
      <w:r>
        <w:rPr>
          <w:rFonts w:hint="eastAsia" w:ascii="宋体" w:hAnsi="宋体"/>
          <w:b/>
          <w:sz w:val="24"/>
        </w:rPr>
        <w:t>能够连续正常工作。</w:t>
      </w:r>
    </w:p>
    <w:p>
      <w:pPr>
        <w:spacing w:line="360" w:lineRule="auto"/>
        <w:ind w:left="554" w:hanging="554" w:hangingChars="231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3.3  配置符合中国有关标准要求的插头，如果没有这样的插头，则需</w:t>
      </w:r>
      <w:r>
        <w:rPr>
          <w:rFonts w:hint="eastAsia" w:ascii="宋体"/>
          <w:sz w:val="24"/>
        </w:rPr>
        <w:t>提供适当的转</w:t>
      </w:r>
      <w:r>
        <w:rPr>
          <w:rFonts w:hint="eastAsia" w:ascii="宋体" w:hAnsi="宋体"/>
          <w:sz w:val="24"/>
        </w:rPr>
        <w:t>换插座。</w:t>
      </w:r>
    </w:p>
    <w:p>
      <w:pPr>
        <w:spacing w:line="360" w:lineRule="auto"/>
        <w:ind w:left="554" w:hanging="554" w:hangingChars="231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3.4  如产品达不到上述要求，投标人应注明其偏差。如仪器设备需要特殊工作条件（如水、电源、磁场强度、温度、湿度、动强度等）投标人应在投标书中加以说明。</w:t>
      </w:r>
    </w:p>
    <w:p>
      <w:pPr>
        <w:rPr>
          <w:rFonts w:hint="eastAsia" w:eastAsia="黑体"/>
          <w:b/>
          <w:bCs/>
          <w:kern w:val="44"/>
          <w:sz w:val="24"/>
        </w:rPr>
      </w:pPr>
    </w:p>
    <w:p>
      <w:pPr>
        <w:spacing w:before="156" w:beforeLines="50" w:after="156" w:afterLines="50" w:line="360" w:lineRule="auto"/>
        <w:ind w:left="601" w:hanging="601"/>
        <w:rPr>
          <w:rFonts w:hint="eastAsia"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>4、验收标准</w:t>
      </w:r>
    </w:p>
    <w:p>
      <w:pPr>
        <w:spacing w:after="312" w:afterLines="100"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除非在技术规格中另有说明，所有仪器、设备和系统按下列要求进行验收：</w:t>
      </w:r>
      <w:r>
        <w:rPr>
          <w:rFonts w:ascii="宋体" w:hAnsi="宋体"/>
          <w:sz w:val="24"/>
        </w:rPr>
        <w:t xml:space="preserve"> </w:t>
      </w:r>
    </w:p>
    <w:p>
      <w:pPr>
        <w:spacing w:line="360" w:lineRule="auto"/>
        <w:ind w:left="554" w:hanging="554" w:hangingChars="231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4.1  仪器设备运抵安装现场后，买方将与卖方共同开箱验收</w:t>
      </w:r>
      <w:r>
        <w:rPr>
          <w:rFonts w:ascii="宋体" w:hAnsi="宋体"/>
          <w:sz w:val="24"/>
        </w:rPr>
        <w:t xml:space="preserve">, </w:t>
      </w:r>
      <w:r>
        <w:rPr>
          <w:rFonts w:hint="eastAsia" w:ascii="宋体" w:hAnsi="宋体"/>
          <w:sz w:val="24"/>
        </w:rPr>
        <w:t>如卖方届时不派人来</w:t>
      </w:r>
      <w:r>
        <w:rPr>
          <w:rFonts w:ascii="宋体" w:hAnsi="宋体"/>
          <w:sz w:val="24"/>
        </w:rPr>
        <w:t xml:space="preserve">, </w:t>
      </w:r>
      <w:r>
        <w:rPr>
          <w:rFonts w:hint="eastAsia" w:ascii="宋体" w:hAnsi="宋体"/>
          <w:sz w:val="24"/>
        </w:rPr>
        <w:t>则验收结果应以买方的验收报告为最终验收结果。验收时发现短缺、破损</w:t>
      </w:r>
      <w:r>
        <w:rPr>
          <w:rFonts w:ascii="宋体" w:hAnsi="宋体"/>
          <w:sz w:val="24"/>
        </w:rPr>
        <w:t xml:space="preserve">, </w:t>
      </w:r>
      <w:r>
        <w:rPr>
          <w:rFonts w:hint="eastAsia" w:ascii="宋体" w:hAnsi="宋体"/>
          <w:sz w:val="24"/>
        </w:rPr>
        <w:t>买方有权要求卖方负责更换。</w:t>
      </w:r>
    </w:p>
    <w:p>
      <w:pPr>
        <w:spacing w:line="360" w:lineRule="auto"/>
        <w:ind w:left="554" w:hanging="554" w:hangingChars="231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4.2  </w:t>
      </w:r>
      <w:r>
        <w:rPr>
          <w:rFonts w:hint="eastAsia"/>
          <w:sz w:val="24"/>
        </w:rPr>
        <w:t>验收标准以中标人提供的投标文件中所列的指标为准（该指标应不低于招标文件所要求的指标）。任何虚假指标响应一经发现即作废标，卖方必须承担由此给买方带来的一切经济损失和其它相关责任。</w:t>
      </w:r>
    </w:p>
    <w:p>
      <w:pPr>
        <w:spacing w:line="360" w:lineRule="auto"/>
        <w:ind w:left="554" w:hanging="554" w:hangingChars="231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4.3  </w:t>
      </w:r>
      <w:r>
        <w:rPr>
          <w:rFonts w:ascii="宋体" w:hAnsi="宋体"/>
          <w:sz w:val="24"/>
        </w:rPr>
        <w:t>验收由采购人、中标人及相关人员依国家有关标准、合同及有关附件要求进行，验收完毕由采购人及中标人在验收报告上签名。</w:t>
      </w:r>
    </w:p>
    <w:p>
      <w:pPr>
        <w:pStyle w:val="2"/>
        <w:spacing w:line="360" w:lineRule="auto"/>
        <w:ind w:left="410" w:hanging="410" w:hangingChars="170"/>
        <w:rPr>
          <w:rFonts w:hint="eastAsia" w:hAnsi="宋体"/>
          <w:b/>
          <w:sz w:val="24"/>
          <w:szCs w:val="24"/>
        </w:rPr>
      </w:pPr>
    </w:p>
    <w:p>
      <w:pPr>
        <w:pStyle w:val="2"/>
        <w:spacing w:line="360" w:lineRule="auto"/>
        <w:ind w:left="410" w:hanging="410" w:hangingChars="170"/>
        <w:rPr>
          <w:rFonts w:hint="eastAsia" w:hAnsi="宋体"/>
          <w:b/>
          <w:sz w:val="24"/>
          <w:szCs w:val="24"/>
        </w:rPr>
      </w:pPr>
      <w:r>
        <w:rPr>
          <w:rFonts w:hint="eastAsia" w:hAnsi="宋体"/>
          <w:b/>
          <w:sz w:val="24"/>
          <w:szCs w:val="24"/>
        </w:rPr>
        <w:t>5、本技术规格书中标注“*”号的为关键技术参数，对这些关键技术参数的任何负偏离将导致废标。</w:t>
      </w:r>
    </w:p>
    <w:p>
      <w:pPr>
        <w:pStyle w:val="2"/>
        <w:spacing w:line="360" w:lineRule="auto"/>
        <w:rPr>
          <w:rFonts w:hint="eastAsia" w:hAnsi="宋体"/>
          <w:b/>
          <w:sz w:val="24"/>
          <w:szCs w:val="24"/>
        </w:rPr>
      </w:pPr>
    </w:p>
    <w:p>
      <w:pPr>
        <w:pStyle w:val="2"/>
        <w:spacing w:line="360" w:lineRule="auto"/>
        <w:rPr>
          <w:rFonts w:hint="eastAsia" w:hAnsi="宋体"/>
          <w:b/>
          <w:sz w:val="24"/>
          <w:szCs w:val="24"/>
        </w:rPr>
      </w:pPr>
      <w:r>
        <w:rPr>
          <w:rFonts w:hint="eastAsia" w:hAnsi="宋体"/>
          <w:b/>
          <w:sz w:val="24"/>
          <w:szCs w:val="24"/>
        </w:rPr>
        <w:t>6、如在具体技术规格中有本总则不一致之处，以具体技术规格中的要求为准。</w:t>
      </w:r>
    </w:p>
    <w:p>
      <w:pPr>
        <w:spacing w:after="156" w:afterLines="50"/>
        <w:ind w:left="601" w:hanging="601"/>
        <w:rPr>
          <w:rFonts w:hint="eastAsia" w:ascii="宋体" w:hAnsi="宋体"/>
          <w:b/>
          <w:sz w:val="28"/>
        </w:rPr>
      </w:pPr>
      <w:r>
        <w:rPr>
          <w:rFonts w:ascii="宋体" w:hAnsi="宋体"/>
          <w:b/>
          <w:sz w:val="28"/>
        </w:rPr>
        <w:br w:type="page"/>
      </w:r>
      <w:r>
        <w:rPr>
          <w:rFonts w:hint="eastAsia" w:ascii="宋体" w:hAnsi="宋体"/>
          <w:b/>
          <w:sz w:val="28"/>
        </w:rPr>
        <w:t>二、具体技术规格</w:t>
      </w:r>
    </w:p>
    <w:p>
      <w:pPr>
        <w:pStyle w:val="7"/>
        <w:numPr>
          <w:ilvl w:val="0"/>
          <w:numId w:val="2"/>
        </w:numPr>
        <w:spacing w:line="360" w:lineRule="auto"/>
        <w:ind w:firstLineChars="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设备名称：差示扫描量热仪</w:t>
      </w:r>
    </w:p>
    <w:p>
      <w:pPr>
        <w:pStyle w:val="7"/>
        <w:numPr>
          <w:ilvl w:val="0"/>
          <w:numId w:val="2"/>
        </w:numPr>
        <w:spacing w:line="360" w:lineRule="auto"/>
        <w:ind w:firstLineChars="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技术要求：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1、工作条件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1.1工作电压：电源</w:t>
      </w:r>
      <w:r>
        <w:rPr>
          <w:rFonts w:ascii="宋体" w:hAnsi="宋体"/>
          <w:sz w:val="24"/>
        </w:rPr>
        <w:t>220V</w:t>
      </w:r>
      <w:r>
        <w:rPr>
          <w:rFonts w:hint="eastAsia" w:ascii="宋体" w:hAnsi="宋体"/>
          <w:sz w:val="24"/>
        </w:rPr>
        <w:t>（</w:t>
      </w:r>
      <w:r>
        <w:rPr>
          <w:rFonts w:ascii="宋体" w:hAnsi="宋体"/>
          <w:sz w:val="24"/>
        </w:rPr>
        <w:sym w:font="Symbol" w:char="F0B1"/>
      </w:r>
      <w:r>
        <w:rPr>
          <w:rFonts w:ascii="宋体" w:hAnsi="宋体"/>
          <w:sz w:val="24"/>
        </w:rPr>
        <w:t>10</w:t>
      </w:r>
      <w:r>
        <w:rPr>
          <w:rFonts w:hint="eastAsia" w:ascii="宋体" w:hAnsi="宋体"/>
          <w:sz w:val="24"/>
        </w:rPr>
        <w:t>％）</w:t>
      </w:r>
      <w:r>
        <w:rPr>
          <w:rFonts w:ascii="宋体" w:hAnsi="宋体"/>
          <w:sz w:val="24"/>
        </w:rPr>
        <w:t>/50Hz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1.2工作温度：+1</w:t>
      </w:r>
      <w:r>
        <w:rPr>
          <w:rFonts w:ascii="宋体" w:hAnsi="宋体"/>
          <w:sz w:val="24"/>
        </w:rPr>
        <w:t>5</w:t>
      </w:r>
      <w:r>
        <w:rPr>
          <w:rFonts w:hint="eastAsia" w:ascii="宋体" w:hAnsi="宋体"/>
          <w:sz w:val="24"/>
        </w:rPr>
        <w:t>℃～＋3</w:t>
      </w:r>
      <w:r>
        <w:rPr>
          <w:rFonts w:ascii="宋体" w:hAnsi="宋体"/>
          <w:sz w:val="24"/>
        </w:rPr>
        <w:t>0</w:t>
      </w:r>
      <w:r>
        <w:rPr>
          <w:rFonts w:hint="eastAsia" w:ascii="宋体" w:hAnsi="宋体"/>
          <w:sz w:val="24"/>
        </w:rPr>
        <w:t>℃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1.3相对湿度：相对湿度小于</w:t>
      </w:r>
      <w:r>
        <w:rPr>
          <w:rFonts w:ascii="宋体" w:hAnsi="宋体"/>
          <w:sz w:val="24"/>
        </w:rPr>
        <w:t>8</w:t>
      </w:r>
      <w:r>
        <w:rPr>
          <w:rFonts w:hint="eastAsia" w:ascii="宋体" w:hAnsi="宋体"/>
          <w:sz w:val="24"/>
        </w:rPr>
        <w:t>0％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、总体性能要求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能够在宽温区范围内实现相变潜热、比热、热扩散系数、导热系数的测量，其中相变潜热和比热在-</w:t>
      </w:r>
      <w:r>
        <w:rPr>
          <w:rFonts w:ascii="宋体" w:hAnsi="宋体"/>
          <w:sz w:val="24"/>
        </w:rPr>
        <w:t>180</w:t>
      </w:r>
      <w:r>
        <w:rPr>
          <w:rFonts w:hint="eastAsia" w:ascii="宋体" w:hAnsi="宋体"/>
          <w:sz w:val="24"/>
        </w:rPr>
        <w:t>℃～＋</w:t>
      </w:r>
      <w:r>
        <w:rPr>
          <w:rFonts w:ascii="宋体" w:hAnsi="宋体"/>
          <w:sz w:val="24"/>
        </w:rPr>
        <w:t>550</w:t>
      </w:r>
      <w:r>
        <w:rPr>
          <w:rFonts w:hint="eastAsia" w:ascii="宋体" w:hAnsi="宋体"/>
          <w:sz w:val="24"/>
        </w:rPr>
        <w:t>℃温度范围内；热扩散系数、导热系数在-</w:t>
      </w:r>
      <w:r>
        <w:rPr>
          <w:rFonts w:ascii="宋体" w:hAnsi="宋体"/>
          <w:sz w:val="24"/>
        </w:rPr>
        <w:t>150</w:t>
      </w:r>
      <w:r>
        <w:rPr>
          <w:rFonts w:hint="eastAsia" w:ascii="宋体" w:hAnsi="宋体"/>
          <w:sz w:val="24"/>
        </w:rPr>
        <w:t>℃～＋</w:t>
      </w:r>
      <w:r>
        <w:rPr>
          <w:rFonts w:ascii="宋体" w:hAnsi="宋体"/>
          <w:sz w:val="24"/>
        </w:rPr>
        <w:t>550</w:t>
      </w:r>
      <w:r>
        <w:rPr>
          <w:rFonts w:hint="eastAsia" w:ascii="宋体" w:hAnsi="宋体"/>
          <w:sz w:val="24"/>
        </w:rPr>
        <w:t>℃温度范围内。可结合差式扫描量热D</w:t>
      </w:r>
      <w:r>
        <w:rPr>
          <w:rFonts w:ascii="宋体" w:hAnsi="宋体"/>
          <w:sz w:val="24"/>
        </w:rPr>
        <w:t>SC与导热仪DXF功能</w:t>
      </w:r>
      <w:r>
        <w:rPr>
          <w:rFonts w:hint="eastAsia" w:ascii="宋体" w:hAnsi="宋体"/>
          <w:sz w:val="24"/>
        </w:rPr>
        <w:t>，联合应用。</w:t>
      </w: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3、性能指标</w:t>
      </w:r>
    </w:p>
    <w:p>
      <w:pPr>
        <w:numPr>
          <w:ilvl w:val="0"/>
          <w:numId w:val="3"/>
        </w:numPr>
        <w:rPr>
          <w:rFonts w:ascii="宋体" w:hAnsi="宋体"/>
          <w:sz w:val="24"/>
        </w:rPr>
      </w:pPr>
      <w:r>
        <w:rPr>
          <w:rFonts w:ascii="宋体" w:hAnsi="宋体"/>
          <w:sz w:val="24"/>
        </w:rPr>
        <w:t>DSC传感器设计：在样品台和参比台之间有一对热电偶，采用扩散融合技术。</w:t>
      </w:r>
    </w:p>
    <w:p>
      <w:pPr>
        <w:numPr>
          <w:ilvl w:val="0"/>
          <w:numId w:val="3"/>
        </w:numPr>
        <w:rPr>
          <w:rFonts w:ascii="宋体" w:hAnsi="宋体"/>
          <w:sz w:val="24"/>
        </w:rPr>
      </w:pPr>
      <w:r>
        <w:rPr>
          <w:rFonts w:ascii="宋体" w:hAnsi="宋体"/>
          <w:sz w:val="24"/>
        </w:rPr>
        <w:t>*温度范围：仪器设计（-180到725℃）：配自动液氮制冷系统-180到550℃，可以在-180℃进行恒温实验</w:t>
      </w:r>
    </w:p>
    <w:p>
      <w:pPr>
        <w:numPr>
          <w:ilvl w:val="0"/>
          <w:numId w:val="3"/>
        </w:numPr>
        <w:rPr>
          <w:rFonts w:ascii="宋体" w:hAnsi="宋体"/>
          <w:sz w:val="24"/>
        </w:rPr>
      </w:pPr>
      <w:r>
        <w:rPr>
          <w:rFonts w:ascii="宋体" w:hAnsi="宋体"/>
          <w:sz w:val="24"/>
        </w:rPr>
        <w:t>参比端和样品端：可以直接测量样品温度</w:t>
      </w:r>
    </w:p>
    <w:p>
      <w:pPr>
        <w:numPr>
          <w:ilvl w:val="0"/>
          <w:numId w:val="3"/>
        </w:numPr>
        <w:rPr>
          <w:rFonts w:ascii="宋体" w:hAnsi="宋体"/>
          <w:sz w:val="24"/>
        </w:rPr>
      </w:pPr>
      <w:r>
        <w:rPr>
          <w:rFonts w:ascii="宋体" w:hAnsi="宋体"/>
          <w:sz w:val="24"/>
        </w:rPr>
        <w:t>温度准确度：±0.1℃</w:t>
      </w:r>
    </w:p>
    <w:p>
      <w:pPr>
        <w:numPr>
          <w:ilvl w:val="0"/>
          <w:numId w:val="3"/>
        </w:numPr>
        <w:rPr>
          <w:rFonts w:ascii="宋体" w:hAnsi="宋体"/>
          <w:sz w:val="24"/>
        </w:rPr>
      </w:pPr>
      <w:r>
        <w:rPr>
          <w:rFonts w:ascii="宋体" w:hAnsi="宋体"/>
          <w:sz w:val="24"/>
        </w:rPr>
        <w:t>温度精确度：±0.05℃</w:t>
      </w:r>
    </w:p>
    <w:p>
      <w:pPr>
        <w:numPr>
          <w:ilvl w:val="0"/>
          <w:numId w:val="3"/>
        </w:numPr>
        <w:rPr>
          <w:rFonts w:ascii="宋体" w:hAnsi="宋体"/>
          <w:sz w:val="24"/>
        </w:rPr>
      </w:pPr>
      <w:r>
        <w:rPr>
          <w:rFonts w:ascii="宋体" w:hAnsi="宋体"/>
          <w:sz w:val="24"/>
        </w:rPr>
        <w:t>量热重现性（铟标准金属）：± 1％</w:t>
      </w:r>
    </w:p>
    <w:p>
      <w:pPr>
        <w:numPr>
          <w:ilvl w:val="0"/>
          <w:numId w:val="3"/>
        </w:numPr>
        <w:rPr>
          <w:rFonts w:ascii="宋体" w:hAnsi="宋体"/>
          <w:sz w:val="24"/>
        </w:rPr>
      </w:pPr>
      <w:r>
        <w:rPr>
          <w:rFonts w:ascii="宋体" w:hAnsi="宋体"/>
          <w:sz w:val="24"/>
        </w:rPr>
        <w:t>量热精确性（铟标准金属）：±0.1％</w:t>
      </w:r>
    </w:p>
    <w:p>
      <w:pPr>
        <w:numPr>
          <w:ilvl w:val="0"/>
          <w:numId w:val="3"/>
        </w:numPr>
        <w:rPr>
          <w:rFonts w:ascii="宋体" w:hAnsi="宋体"/>
          <w:sz w:val="24"/>
        </w:rPr>
      </w:pPr>
      <w:r>
        <w:rPr>
          <w:rFonts w:ascii="宋体" w:hAnsi="宋体"/>
          <w:sz w:val="24"/>
        </w:rPr>
        <w:t>线性降温速率（自动液氮制冷系统）： 2℃/min可达-180℃</w:t>
      </w:r>
    </w:p>
    <w:p>
      <w:pPr>
        <w:numPr>
          <w:ilvl w:val="0"/>
          <w:numId w:val="3"/>
        </w:numPr>
        <w:rPr>
          <w:rFonts w:ascii="宋体" w:hAnsi="宋体"/>
          <w:sz w:val="24"/>
        </w:rPr>
      </w:pPr>
      <w:r>
        <w:rPr>
          <w:rFonts w:ascii="宋体" w:hAnsi="宋体"/>
          <w:sz w:val="24"/>
        </w:rPr>
        <w:t>配置调制DSC功能</w:t>
      </w:r>
    </w:p>
    <w:p>
      <w:pPr>
        <w:numPr>
          <w:ilvl w:val="0"/>
          <w:numId w:val="3"/>
        </w:numPr>
        <w:rPr>
          <w:rFonts w:ascii="宋体" w:hAnsi="宋体"/>
          <w:sz w:val="24"/>
        </w:rPr>
      </w:pPr>
      <w:r>
        <w:rPr>
          <w:rFonts w:ascii="宋体" w:hAnsi="宋体"/>
          <w:sz w:val="24"/>
        </w:rPr>
        <w:t>一体化数字式质量流量控制：需要内置2路以上载气质量流量控制并对载气预热，并可进行两路气体切换流速软件切换；能在0-240ml/min内以1ml/min 调节。系统需内置氮气、氦气、空气、氧气的校正因子并可随用户需要添加。</w:t>
      </w:r>
    </w:p>
    <w:p>
      <w:pPr>
        <w:numPr>
          <w:ilvl w:val="0"/>
          <w:numId w:val="3"/>
        </w:numPr>
        <w:rPr>
          <w:rFonts w:ascii="宋体" w:hAnsi="宋体"/>
          <w:sz w:val="24"/>
        </w:rPr>
      </w:pPr>
      <w:r>
        <w:rPr>
          <w:rFonts w:ascii="宋体" w:hAnsi="宋体"/>
          <w:sz w:val="24"/>
        </w:rPr>
        <w:t>*温度测量：可以直接测量样品和参比的实际温度，不是通过样品和参比的温差来得到</w:t>
      </w:r>
    </w:p>
    <w:p>
      <w:pPr>
        <w:numPr>
          <w:ilvl w:val="0"/>
          <w:numId w:val="3"/>
        </w:num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#</w:t>
      </w:r>
      <w:r>
        <w:rPr>
          <w:rFonts w:ascii="宋体" w:hAnsi="宋体"/>
          <w:sz w:val="24"/>
        </w:rPr>
        <w:t>实验过程中能调整未进行的实验步骤，并出示修改实验步骤界面为证；能自动规划安排各种校正、检验及诊断测试；能完成实验后可自动email 指定邮箱。</w:t>
      </w:r>
    </w:p>
    <w:p>
      <w:pPr>
        <w:pStyle w:val="7"/>
        <w:numPr>
          <w:ilvl w:val="0"/>
          <w:numId w:val="3"/>
        </w:numPr>
        <w:autoSpaceDE w:val="0"/>
        <w:autoSpaceDN w:val="0"/>
        <w:adjustRightInd w:val="0"/>
        <w:ind w:firstLineChars="0"/>
        <w:jc w:val="left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导热仪 (DXF)</w:t>
      </w:r>
    </w:p>
    <w:p>
      <w:pPr>
        <w:pStyle w:val="7"/>
        <w:numPr>
          <w:ilvl w:val="0"/>
          <w:numId w:val="3"/>
        </w:numPr>
        <w:autoSpaceDE w:val="0"/>
        <w:autoSpaceDN w:val="0"/>
        <w:adjustRightInd w:val="0"/>
        <w:ind w:firstLineChars="0"/>
        <w:jc w:val="left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配置：立式结构</w:t>
      </w:r>
    </w:p>
    <w:p>
      <w:pPr>
        <w:pStyle w:val="7"/>
        <w:numPr>
          <w:ilvl w:val="0"/>
          <w:numId w:val="3"/>
        </w:numPr>
        <w:autoSpaceDE w:val="0"/>
        <w:autoSpaceDN w:val="0"/>
        <w:adjustRightInd w:val="0"/>
        <w:ind w:firstLineChars="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#</w:t>
      </w:r>
      <w:r>
        <w:rPr>
          <w:rFonts w:ascii="宋体" w:hAnsi="宋体"/>
          <w:sz w:val="24"/>
          <w:szCs w:val="24"/>
        </w:rPr>
        <w:t>辐射源：高速氙灯脉冲</w:t>
      </w:r>
    </w:p>
    <w:p>
      <w:pPr>
        <w:pStyle w:val="7"/>
        <w:numPr>
          <w:ilvl w:val="0"/>
          <w:numId w:val="3"/>
        </w:numPr>
        <w:autoSpaceDE w:val="0"/>
        <w:autoSpaceDN w:val="0"/>
        <w:adjustRightInd w:val="0"/>
        <w:ind w:firstLineChars="0"/>
        <w:jc w:val="left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脉宽： 400 μs 至 600 μs</w:t>
      </w:r>
    </w:p>
    <w:p>
      <w:pPr>
        <w:pStyle w:val="7"/>
        <w:numPr>
          <w:ilvl w:val="0"/>
          <w:numId w:val="3"/>
        </w:numPr>
        <w:autoSpaceDE w:val="0"/>
        <w:autoSpaceDN w:val="0"/>
        <w:adjustRightInd w:val="0"/>
        <w:ind w:firstLineChars="0"/>
        <w:jc w:val="left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脉冲能量 (可变)：最大 15 J</w:t>
      </w:r>
    </w:p>
    <w:p>
      <w:pPr>
        <w:pStyle w:val="7"/>
        <w:numPr>
          <w:ilvl w:val="0"/>
          <w:numId w:val="3"/>
        </w:numPr>
        <w:autoSpaceDE w:val="0"/>
        <w:autoSpaceDN w:val="0"/>
        <w:adjustRightInd w:val="0"/>
        <w:ind w:firstLineChars="0"/>
        <w:jc w:val="left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热扩散系数范围： 0.01 至 1000 mm2/s</w:t>
      </w:r>
    </w:p>
    <w:p>
      <w:pPr>
        <w:pStyle w:val="7"/>
        <w:numPr>
          <w:ilvl w:val="0"/>
          <w:numId w:val="3"/>
        </w:numPr>
        <w:autoSpaceDE w:val="0"/>
        <w:autoSpaceDN w:val="0"/>
        <w:adjustRightInd w:val="0"/>
        <w:ind w:firstLineChars="0"/>
        <w:jc w:val="left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导热系数范围：  0.10 至 2000 W/(m·K)</w:t>
      </w:r>
    </w:p>
    <w:p>
      <w:pPr>
        <w:pStyle w:val="7"/>
        <w:numPr>
          <w:ilvl w:val="0"/>
          <w:numId w:val="3"/>
        </w:numPr>
        <w:autoSpaceDE w:val="0"/>
        <w:autoSpaceDN w:val="0"/>
        <w:adjustRightInd w:val="0"/>
        <w:ind w:firstLineChars="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#</w:t>
      </w:r>
      <w:r>
        <w:rPr>
          <w:rFonts w:ascii="宋体" w:hAnsi="宋体"/>
          <w:sz w:val="24"/>
          <w:szCs w:val="24"/>
        </w:rPr>
        <w:t>温度范围： -150℃ 至 200℃</w:t>
      </w:r>
    </w:p>
    <w:p>
      <w:pPr>
        <w:pStyle w:val="7"/>
        <w:numPr>
          <w:ilvl w:val="0"/>
          <w:numId w:val="3"/>
        </w:numPr>
        <w:autoSpaceDE w:val="0"/>
        <w:autoSpaceDN w:val="0"/>
        <w:adjustRightInd w:val="0"/>
        <w:ind w:firstLineChars="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#</w:t>
      </w:r>
      <w:r>
        <w:rPr>
          <w:rFonts w:ascii="宋体" w:hAnsi="宋体"/>
          <w:sz w:val="24"/>
          <w:szCs w:val="24"/>
        </w:rPr>
        <w:t>热扩散系数准确度：不超过±2.3%</w:t>
      </w:r>
    </w:p>
    <w:p>
      <w:pPr>
        <w:pStyle w:val="7"/>
        <w:numPr>
          <w:ilvl w:val="0"/>
          <w:numId w:val="3"/>
        </w:numPr>
        <w:autoSpaceDE w:val="0"/>
        <w:autoSpaceDN w:val="0"/>
        <w:adjustRightInd w:val="0"/>
        <w:ind w:firstLineChars="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#</w:t>
      </w:r>
      <w:r>
        <w:rPr>
          <w:rFonts w:ascii="宋体" w:hAnsi="宋体"/>
          <w:sz w:val="24"/>
          <w:szCs w:val="24"/>
        </w:rPr>
        <w:t>比热准确度：不超过±4%</w:t>
      </w:r>
    </w:p>
    <w:p>
      <w:pPr>
        <w:pStyle w:val="7"/>
        <w:numPr>
          <w:ilvl w:val="0"/>
          <w:numId w:val="3"/>
        </w:numPr>
        <w:ind w:firstLineChars="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#</w:t>
      </w:r>
      <w:r>
        <w:rPr>
          <w:rFonts w:ascii="宋体" w:hAnsi="宋体"/>
          <w:sz w:val="24"/>
          <w:szCs w:val="24"/>
        </w:rPr>
        <w:t>导热系数</w:t>
      </w:r>
      <w:r>
        <w:rPr>
          <w:rFonts w:hint="eastAsia" w:ascii="宋体" w:hAnsi="宋体"/>
          <w:sz w:val="24"/>
          <w:szCs w:val="24"/>
        </w:rPr>
        <w:t>准确度</w:t>
      </w:r>
      <w:r>
        <w:rPr>
          <w:rFonts w:ascii="宋体" w:hAnsi="宋体"/>
          <w:sz w:val="24"/>
          <w:szCs w:val="24"/>
        </w:rPr>
        <w:t>：不超过±5%</w:t>
      </w:r>
    </w:p>
    <w:p>
      <w:pPr>
        <w:pStyle w:val="7"/>
        <w:numPr>
          <w:ilvl w:val="0"/>
          <w:numId w:val="3"/>
        </w:numPr>
        <w:ind w:firstLineChars="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气氛：空气、惰性气体。</w:t>
      </w:r>
    </w:p>
    <w:p>
      <w:pPr>
        <w:pStyle w:val="7"/>
        <w:numPr>
          <w:ilvl w:val="0"/>
          <w:numId w:val="3"/>
        </w:numPr>
        <w:autoSpaceDE w:val="0"/>
        <w:autoSpaceDN w:val="0"/>
        <w:adjustRightInd w:val="0"/>
        <w:ind w:firstLineChars="0"/>
        <w:jc w:val="left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样品量： 2个</w:t>
      </w:r>
    </w:p>
    <w:p>
      <w:pPr>
        <w:pStyle w:val="7"/>
        <w:numPr>
          <w:ilvl w:val="0"/>
          <w:numId w:val="3"/>
        </w:numPr>
        <w:autoSpaceDE w:val="0"/>
        <w:autoSpaceDN w:val="0"/>
        <w:adjustRightInd w:val="0"/>
        <w:ind w:firstLineChars="0"/>
        <w:jc w:val="left"/>
        <w:rPr>
          <w:rFonts w:ascii="宋体" w:hAnsi="宋体"/>
          <w:kern w:val="0"/>
          <w:sz w:val="24"/>
          <w:szCs w:val="24"/>
        </w:rPr>
      </w:pPr>
      <w:r>
        <w:rPr>
          <w:rFonts w:ascii="宋体" w:hAnsi="宋体"/>
          <w:sz w:val="24"/>
          <w:szCs w:val="24"/>
        </w:rPr>
        <w:t>样品尺寸：</w:t>
      </w:r>
      <w:r>
        <w:rPr>
          <w:rFonts w:ascii="宋体" w:hAnsi="宋体"/>
          <w:kern w:val="0"/>
          <w:sz w:val="24"/>
          <w:szCs w:val="24"/>
        </w:rPr>
        <w:t>12.7/25.4 mm (直径) 最大6 mm (厚度)</w:t>
      </w: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4、配置要求：</w:t>
      </w:r>
    </w:p>
    <w:p>
      <w:pPr>
        <w:numPr>
          <w:ilvl w:val="0"/>
          <w:numId w:val="4"/>
        </w:numPr>
        <w:rPr>
          <w:rFonts w:ascii="宋体" w:hAnsi="宋体"/>
          <w:sz w:val="24"/>
        </w:rPr>
      </w:pPr>
      <w:r>
        <w:rPr>
          <w:rFonts w:ascii="宋体" w:hAnsi="宋体"/>
          <w:sz w:val="24"/>
        </w:rPr>
        <w:t>差示扫描量热仪主机：含仪器安装校正包；</w:t>
      </w:r>
    </w:p>
    <w:p>
      <w:pPr>
        <w:numPr>
          <w:ilvl w:val="0"/>
          <w:numId w:val="4"/>
        </w:num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*</w:t>
      </w:r>
      <w:r>
        <w:rPr>
          <w:rFonts w:ascii="宋体" w:hAnsi="宋体"/>
          <w:sz w:val="24"/>
        </w:rPr>
        <w:t>软件：可以进行自由转换的中英文控制/分析软件，并可免费升级，至少可以安装在10台电脑以上</w:t>
      </w:r>
      <w:r>
        <w:rPr>
          <w:rFonts w:hint="eastAsia" w:ascii="宋体" w:hAnsi="宋体"/>
          <w:sz w:val="24"/>
        </w:rPr>
        <w:t>；</w:t>
      </w:r>
    </w:p>
    <w:p>
      <w:pPr>
        <w:numPr>
          <w:ilvl w:val="0"/>
          <w:numId w:val="4"/>
        </w:num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#</w:t>
      </w:r>
      <w:r>
        <w:rPr>
          <w:rFonts w:ascii="宋体" w:hAnsi="宋体"/>
          <w:sz w:val="24"/>
        </w:rPr>
        <w:t>自动液氮制冷系统：-180℃～550℃，可在-90℃进行恒温实验</w:t>
      </w:r>
      <w:r>
        <w:rPr>
          <w:rFonts w:hint="eastAsia" w:ascii="宋体" w:hAnsi="宋体"/>
          <w:sz w:val="24"/>
        </w:rPr>
        <w:t>；</w:t>
      </w:r>
    </w:p>
    <w:p>
      <w:pPr>
        <w:numPr>
          <w:ilvl w:val="0"/>
          <w:numId w:val="4"/>
        </w:numPr>
        <w:rPr>
          <w:rFonts w:ascii="宋体" w:hAnsi="宋体"/>
          <w:sz w:val="24"/>
        </w:rPr>
      </w:pPr>
      <w:r>
        <w:rPr>
          <w:rFonts w:ascii="宋体" w:hAnsi="宋体"/>
          <w:sz w:val="24"/>
        </w:rPr>
        <w:t>样品压样机：具有4种以上压头，能完成普通铝盘，带边铝盘，液体用铝盘，大体积铝盘的密封，普通密封盘需要耐压不小于300kpa。适合固体、液体、粉末和胶体样品；压头具有磁性，避免滑丝；压头具有和样品一样的标记区分</w:t>
      </w:r>
      <w:r>
        <w:rPr>
          <w:rFonts w:hint="eastAsia" w:ascii="宋体" w:hAnsi="宋体"/>
          <w:sz w:val="24"/>
        </w:rPr>
        <w:t>；</w:t>
      </w:r>
    </w:p>
    <w:p>
      <w:pPr>
        <w:numPr>
          <w:ilvl w:val="0"/>
          <w:numId w:val="4"/>
        </w:num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#</w:t>
      </w:r>
      <w:r>
        <w:rPr>
          <w:rFonts w:ascii="宋体" w:hAnsi="宋体"/>
          <w:sz w:val="24"/>
        </w:rPr>
        <w:t>提供固体盘不少于100对，液体盘不少于100对；</w:t>
      </w:r>
    </w:p>
    <w:p>
      <w:pPr>
        <w:numPr>
          <w:ilvl w:val="0"/>
          <w:numId w:val="4"/>
        </w:num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*</w:t>
      </w:r>
      <w:r>
        <w:rPr>
          <w:rFonts w:ascii="宋体" w:hAnsi="宋体"/>
          <w:sz w:val="24"/>
        </w:rPr>
        <w:t>显微附件1套</w:t>
      </w:r>
      <w:r>
        <w:rPr>
          <w:rFonts w:hint="eastAsia" w:ascii="宋体" w:hAnsi="宋体"/>
          <w:sz w:val="24"/>
        </w:rPr>
        <w:t>；</w:t>
      </w:r>
    </w:p>
    <w:p>
      <w:pPr>
        <w:numPr>
          <w:ilvl w:val="0"/>
          <w:numId w:val="4"/>
        </w:num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#</w:t>
      </w:r>
      <w:r>
        <w:rPr>
          <w:rFonts w:ascii="宋体" w:hAnsi="宋体"/>
          <w:sz w:val="24"/>
        </w:rPr>
        <w:t>高压附件1套</w:t>
      </w:r>
      <w:r>
        <w:rPr>
          <w:rFonts w:hint="eastAsia" w:ascii="宋体" w:hAnsi="宋体"/>
          <w:sz w:val="24"/>
        </w:rPr>
        <w:t>；</w:t>
      </w:r>
    </w:p>
    <w:p>
      <w:pPr>
        <w:pStyle w:val="7"/>
        <w:numPr>
          <w:ilvl w:val="0"/>
          <w:numId w:val="4"/>
        </w:numPr>
        <w:ind w:firstLineChars="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导热仪主机：立式氙灯光源系统；</w:t>
      </w:r>
    </w:p>
    <w:p>
      <w:pPr>
        <w:pStyle w:val="7"/>
        <w:numPr>
          <w:ilvl w:val="0"/>
          <w:numId w:val="4"/>
        </w:numPr>
        <w:ind w:firstLineChars="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#</w:t>
      </w:r>
      <w:r>
        <w:rPr>
          <w:rFonts w:ascii="宋体" w:hAnsi="宋体"/>
          <w:sz w:val="24"/>
          <w:szCs w:val="24"/>
        </w:rPr>
        <w:t>炉体：-150℃ 至 200℃；</w:t>
      </w:r>
    </w:p>
    <w:p>
      <w:pPr>
        <w:pStyle w:val="7"/>
        <w:numPr>
          <w:ilvl w:val="0"/>
          <w:numId w:val="4"/>
        </w:numPr>
        <w:ind w:firstLineChars="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石墨喷剂：1个；</w:t>
      </w:r>
    </w:p>
    <w:p>
      <w:pPr>
        <w:pStyle w:val="7"/>
        <w:numPr>
          <w:ilvl w:val="0"/>
          <w:numId w:val="4"/>
        </w:numPr>
        <w:ind w:firstLineChars="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面内测试套件；</w:t>
      </w:r>
    </w:p>
    <w:p>
      <w:pPr>
        <w:pStyle w:val="7"/>
        <w:numPr>
          <w:ilvl w:val="0"/>
          <w:numId w:val="4"/>
        </w:numPr>
        <w:ind w:firstLineChars="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流体测试盒</w:t>
      </w:r>
    </w:p>
    <w:p>
      <w:pPr>
        <w:spacing w:line="360" w:lineRule="auto"/>
        <w:rPr>
          <w:rFonts w:ascii="宋体" w:hAnsi="宋体"/>
          <w:sz w:val="24"/>
        </w:rPr>
      </w:pPr>
    </w:p>
    <w:p>
      <w:pPr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5、售后服务条款</w:t>
      </w:r>
    </w:p>
    <w:p>
      <w:pPr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生产厂家到最终用户现场安装、调试合格后验收。</w:t>
      </w:r>
    </w:p>
    <w:p>
      <w:pPr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由生产厂家为用户提供现场2人，2个工作日的设备仪器使用、维护技术培训。</w:t>
      </w:r>
    </w:p>
    <w:p>
      <w:pPr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产品质量按中华人民共和国有关质量标准实行“三包”服务。</w:t>
      </w:r>
    </w:p>
    <w:p>
      <w:pPr>
        <w:rPr>
          <w:rFonts w:ascii="宋体" w:hAnsi="宋体"/>
          <w:sz w:val="24"/>
        </w:rPr>
      </w:pPr>
      <w:r>
        <w:rPr>
          <w:rFonts w:ascii="宋体" w:hAnsi="宋体"/>
          <w:sz w:val="24"/>
        </w:rPr>
        <w:t>生产厂为用户提供产品终身技术服务。产品出现故障在24小时内响应，72小时内到现场履行维修服务义务。</w:t>
      </w:r>
    </w:p>
    <w:p>
      <w:pPr>
        <w:rPr>
          <w:rFonts w:ascii="宋体" w:hAnsi="宋体"/>
          <w:sz w:val="24"/>
        </w:rPr>
      </w:pPr>
      <w:r>
        <w:rPr>
          <w:rFonts w:ascii="宋体" w:hAnsi="宋体"/>
          <w:sz w:val="24"/>
        </w:rPr>
        <w:t>厂家每个月提供培训班服务，客户可免费参加。</w:t>
      </w: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6、订货数量：1套7、交货地点：北京市海淀区中关村东路29号中科院理化所1号楼</w:t>
      </w:r>
    </w:p>
    <w:p>
      <w:pPr>
        <w:spacing w:line="360" w:lineRule="auto"/>
        <w:rPr>
          <w:rFonts w:ascii="宋体" w:hAnsi="宋体" w:cs="宋体"/>
          <w:kern w:val="0"/>
          <w:sz w:val="24"/>
        </w:rPr>
      </w:pPr>
    </w:p>
    <w:p>
      <w:pPr>
        <w:spacing w:after="156" w:afterLines="50"/>
        <w:ind w:left="601" w:hanging="601"/>
        <w:rPr>
          <w:rFonts w:hint="eastAsia" w:ascii="宋体" w:hAnsi="宋体"/>
          <w:b/>
          <w:sz w:val="28"/>
        </w:rPr>
      </w:pPr>
    </w:p>
    <w:p>
      <w:bookmarkStart w:id="0" w:name="_GoBack"/>
      <w:bookmarkEnd w:id="0"/>
    </w:p>
    <w:sectPr>
      <w:footerReference r:id="rId5" w:type="first"/>
      <w:headerReference r:id="rId3" w:type="default"/>
      <w:footerReference r:id="rId4" w:type="default"/>
      <w:pgSz w:w="11906" w:h="16838"/>
      <w:pgMar w:top="1418" w:right="1418" w:bottom="1418" w:left="1418" w:header="851" w:footer="992" w:gutter="0"/>
      <w:pgNumType w:start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19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</w:pPr>
    <w:r>
      <w:rPr>
        <w:rFonts w:hint="eastAsia"/>
        <w:i/>
      </w:rPr>
      <w:t>中国科学院理化技术研究所招标文件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C5D90"/>
    <w:multiLevelType w:val="multilevel"/>
    <w:tmpl w:val="3D8C5D90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0823179"/>
    <w:multiLevelType w:val="multilevel"/>
    <w:tmpl w:val="60823179"/>
    <w:lvl w:ilvl="0" w:tentative="0">
      <w:start w:val="1"/>
      <w:numFmt w:val="japaneseCounting"/>
      <w:lvlText w:val="%1."/>
      <w:lvlJc w:val="left"/>
      <w:pPr>
        <w:ind w:left="405" w:hanging="405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2047435"/>
    <w:multiLevelType w:val="multilevel"/>
    <w:tmpl w:val="62047435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8F84946"/>
    <w:multiLevelType w:val="multilevel"/>
    <w:tmpl w:val="68F84946"/>
    <w:lvl w:ilvl="0" w:tentative="0">
      <w:start w:val="1"/>
      <w:numFmt w:val="decimal"/>
      <w:lvlText w:val="%1）"/>
      <w:lvlJc w:val="left"/>
      <w:pPr>
        <w:tabs>
          <w:tab w:val="left" w:pos="1896"/>
        </w:tabs>
        <w:ind w:left="1896" w:hanging="396"/>
      </w:pPr>
      <w:rPr>
        <w:rFonts w:hint="eastAsia" w:eastAsia="仿宋_GB2312"/>
        <w:b w:val="0"/>
        <w:i w:val="0"/>
        <w:color w:val="auto"/>
      </w:rPr>
    </w:lvl>
    <w:lvl w:ilvl="1" w:tentative="0">
      <w:start w:val="8"/>
      <w:numFmt w:val="japaneseCounting"/>
      <w:lvlText w:val="第%2章"/>
      <w:lvlJc w:val="left"/>
      <w:pPr>
        <w:tabs>
          <w:tab w:val="left" w:pos="1935"/>
        </w:tabs>
        <w:ind w:left="1935" w:hanging="1515"/>
      </w:pPr>
      <w:rPr>
        <w:rFonts w:hint="default"/>
      </w:rPr>
    </w:lvl>
    <w:lvl w:ilvl="2" w:tentative="0">
      <w:start w:val="1"/>
      <w:numFmt w:val="japaneseCounting"/>
      <w:lvlText w:val="%3、"/>
      <w:lvlJc w:val="left"/>
      <w:pPr>
        <w:tabs>
          <w:tab w:val="left" w:pos="1560"/>
        </w:tabs>
        <w:ind w:left="1560" w:hanging="72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29E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/>
      <w:szCs w:val="20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媛儿</cp:lastModifiedBy>
  <dcterms:modified xsi:type="dcterms:W3CDTF">2019-10-08T08:58:44Z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