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6" w:beforeLines="300"/>
        <w:jc w:val="center"/>
        <w:rPr>
          <w:rFonts w:hint="eastAsia" w:ascii="黑体" w:eastAsia="黑体"/>
          <w:b/>
          <w:kern w:val="44"/>
          <w:sz w:val="48"/>
          <w:szCs w:val="20"/>
        </w:rPr>
      </w:pPr>
      <w:r>
        <w:rPr>
          <w:rFonts w:hint="eastAsia" w:ascii="黑体" w:eastAsia="黑体"/>
          <w:b/>
          <w:kern w:val="44"/>
          <w:sz w:val="48"/>
          <w:szCs w:val="20"/>
        </w:rPr>
        <w:t>第八部分  技术部分</w:t>
      </w:r>
      <w:r>
        <w:rPr>
          <w:rFonts w:ascii="黑体" w:eastAsia="黑体"/>
          <w:b/>
          <w:kern w:val="44"/>
          <w:sz w:val="48"/>
          <w:szCs w:val="20"/>
        </w:rPr>
        <w:br w:type="page"/>
      </w:r>
    </w:p>
    <w:p>
      <w:pPr>
        <w:numPr>
          <w:ilvl w:val="2"/>
          <w:numId w:val="1"/>
        </w:numPr>
        <w:adjustRightInd w:val="0"/>
        <w:snapToGrid w:val="0"/>
        <w:jc w:val="center"/>
        <w:rPr>
          <w:rFonts w:hint="eastAsia" w:ascii="宋体" w:hAnsi="宋体"/>
          <w:b/>
          <w:sz w:val="30"/>
          <w:szCs w:val="30"/>
        </w:rPr>
      </w:pPr>
      <w:r>
        <w:rPr>
          <w:rFonts w:hint="eastAsia" w:ascii="宋体" w:hAnsi="宋体"/>
          <w:b/>
          <w:sz w:val="30"/>
          <w:szCs w:val="30"/>
        </w:rPr>
        <w:t>货物需求一览表</w:t>
      </w:r>
    </w:p>
    <w:p>
      <w:pPr>
        <w:adjustRightInd w:val="0"/>
        <w:snapToGrid w:val="0"/>
        <w:jc w:val="center"/>
        <w:rPr>
          <w:rFonts w:hint="eastAsia" w:ascii="宋体" w:hAnsi="宋体"/>
          <w:b/>
          <w:sz w:val="30"/>
          <w:szCs w:val="30"/>
        </w:rPr>
      </w:pPr>
    </w:p>
    <w:tbl>
      <w:tblPr>
        <w:tblStyle w:val="7"/>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sz w:val="24"/>
              </w:rPr>
            </w:pPr>
            <w:r>
              <w:rPr>
                <w:rFonts w:hint="eastAsia" w:ascii="宋体" w:hAnsi="Bookman Old Style"/>
                <w:sz w:val="24"/>
              </w:rPr>
              <w:t>包号</w:t>
            </w:r>
          </w:p>
        </w:tc>
        <w:tc>
          <w:tcPr>
            <w:tcW w:w="2640" w:type="dxa"/>
            <w:noWrap w:val="0"/>
            <w:vAlign w:val="center"/>
          </w:tcPr>
          <w:p>
            <w:pPr>
              <w:jc w:val="center"/>
              <w:rPr>
                <w:rFonts w:ascii="宋体" w:hAnsi="Bookman Old Style"/>
                <w:sz w:val="24"/>
              </w:rPr>
            </w:pPr>
            <w:r>
              <w:rPr>
                <w:rFonts w:hint="eastAsia" w:ascii="宋体" w:hAnsi="Bookman Old Style"/>
                <w:sz w:val="24"/>
              </w:rPr>
              <w:t>货物名称</w:t>
            </w:r>
          </w:p>
        </w:tc>
        <w:tc>
          <w:tcPr>
            <w:tcW w:w="635" w:type="dxa"/>
            <w:noWrap w:val="0"/>
            <w:vAlign w:val="center"/>
          </w:tcPr>
          <w:p>
            <w:pPr>
              <w:jc w:val="center"/>
              <w:rPr>
                <w:rFonts w:ascii="宋体" w:hAnsi="Bookman Old Style"/>
                <w:sz w:val="24"/>
              </w:rPr>
            </w:pPr>
            <w:r>
              <w:rPr>
                <w:rFonts w:hint="eastAsia" w:ascii="宋体" w:hAnsi="Bookman Old Style"/>
                <w:sz w:val="24"/>
              </w:rPr>
              <w:t>数量</w:t>
            </w:r>
          </w:p>
        </w:tc>
        <w:tc>
          <w:tcPr>
            <w:tcW w:w="1320" w:type="dxa"/>
            <w:noWrap w:val="0"/>
            <w:vAlign w:val="center"/>
          </w:tcPr>
          <w:p>
            <w:pPr>
              <w:jc w:val="center"/>
              <w:rPr>
                <w:rFonts w:ascii="宋体" w:hAnsi="Bookman Old Style"/>
                <w:sz w:val="24"/>
              </w:rPr>
            </w:pPr>
            <w:r>
              <w:rPr>
                <w:rFonts w:hint="eastAsia" w:ascii="宋体" w:hAnsi="Bookman Old Style"/>
                <w:sz w:val="24"/>
              </w:rPr>
              <w:t>交货期</w:t>
            </w:r>
          </w:p>
        </w:tc>
        <w:tc>
          <w:tcPr>
            <w:tcW w:w="1765" w:type="dxa"/>
            <w:noWrap w:val="0"/>
            <w:vAlign w:val="center"/>
          </w:tcPr>
          <w:p>
            <w:pPr>
              <w:jc w:val="center"/>
              <w:rPr>
                <w:rFonts w:hint="eastAsia" w:ascii="宋体" w:hAnsi="Bookman Old Style"/>
                <w:sz w:val="24"/>
              </w:rPr>
            </w:pPr>
            <w:r>
              <w:rPr>
                <w:rFonts w:hint="eastAsia" w:ascii="宋体" w:hAnsi="Bookman Old Style"/>
                <w:sz w:val="24"/>
              </w:rPr>
              <w:t>指定到货港</w:t>
            </w:r>
          </w:p>
        </w:tc>
        <w:tc>
          <w:tcPr>
            <w:tcW w:w="2520"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sz w:val="24"/>
              </w:rPr>
            </w:pPr>
            <w:r>
              <w:rPr>
                <w:rFonts w:hint="eastAsia" w:ascii="宋体"/>
                <w:sz w:val="24"/>
              </w:rPr>
              <w:t>1</w:t>
            </w:r>
          </w:p>
        </w:tc>
        <w:tc>
          <w:tcPr>
            <w:tcW w:w="2640" w:type="dxa"/>
            <w:noWrap w:val="0"/>
            <w:vAlign w:val="center"/>
          </w:tcPr>
          <w:p>
            <w:pPr>
              <w:jc w:val="center"/>
              <w:rPr>
                <w:rFonts w:hint="eastAsia" w:ascii="Bookman Old Style" w:hAnsi="Bookman Old Style"/>
                <w:sz w:val="24"/>
              </w:rPr>
            </w:pPr>
            <w:r>
              <w:rPr>
                <w:rFonts w:hint="eastAsia" w:ascii="Bookman Old Style" w:hAnsi="Bookman Old Style"/>
                <w:sz w:val="24"/>
              </w:rPr>
              <w:t>电感耦合等离子体质谱</w:t>
            </w:r>
          </w:p>
        </w:tc>
        <w:tc>
          <w:tcPr>
            <w:tcW w:w="635" w:type="dxa"/>
            <w:noWrap w:val="0"/>
            <w:vAlign w:val="center"/>
          </w:tcPr>
          <w:p>
            <w:pPr>
              <w:jc w:val="center"/>
              <w:rPr>
                <w:rFonts w:hint="eastAsia" w:ascii="宋体" w:hAnsi="Bookman Old Style"/>
                <w:sz w:val="24"/>
              </w:rPr>
            </w:pPr>
            <w:r>
              <w:rPr>
                <w:rFonts w:hint="eastAsia" w:ascii="宋体" w:hAnsi="Bookman Old Style"/>
                <w:sz w:val="24"/>
              </w:rPr>
              <w:t>1套</w:t>
            </w:r>
          </w:p>
        </w:tc>
        <w:tc>
          <w:tcPr>
            <w:tcW w:w="1320" w:type="dxa"/>
            <w:noWrap w:val="0"/>
            <w:vAlign w:val="center"/>
          </w:tcPr>
          <w:p>
            <w:pPr>
              <w:jc w:val="center"/>
              <w:rPr>
                <w:rFonts w:hint="eastAsia" w:ascii="宋体" w:hAnsi="Bookman Old Style"/>
                <w:sz w:val="24"/>
              </w:rPr>
            </w:pPr>
            <w:r>
              <w:rPr>
                <w:rFonts w:hint="eastAsia"/>
                <w:sz w:val="24"/>
              </w:rPr>
              <w:t>合同签订后90天内到货</w:t>
            </w:r>
          </w:p>
        </w:tc>
        <w:tc>
          <w:tcPr>
            <w:tcW w:w="1765" w:type="dxa"/>
            <w:noWrap w:val="0"/>
            <w:vAlign w:val="center"/>
          </w:tcPr>
          <w:p>
            <w:pPr>
              <w:jc w:val="center"/>
              <w:rPr>
                <w:rFonts w:hint="eastAsia"/>
                <w:sz w:val="24"/>
              </w:rPr>
            </w:pPr>
            <w:r>
              <w:rPr>
                <w:rFonts w:hint="eastAsia"/>
                <w:sz w:val="24"/>
              </w:rPr>
              <w:t>北京机场</w:t>
            </w:r>
          </w:p>
        </w:tc>
        <w:tc>
          <w:tcPr>
            <w:tcW w:w="2520" w:type="dxa"/>
            <w:noWrap w:val="0"/>
            <w:vAlign w:val="center"/>
          </w:tcPr>
          <w:p>
            <w:pPr>
              <w:jc w:val="center"/>
              <w:rPr>
                <w:rFonts w:hint="eastAsia" w:ascii="宋体" w:hAnsi="Bookman Old Style"/>
                <w:sz w:val="24"/>
              </w:rPr>
            </w:pPr>
            <w:r>
              <w:rPr>
                <w:rFonts w:hint="eastAsia" w:ascii="宋体" w:hAnsi="Bookman Old Style"/>
                <w:sz w:val="24"/>
              </w:rPr>
              <w:t>国家纳米科学中心</w:t>
            </w:r>
          </w:p>
        </w:tc>
      </w:tr>
    </w:tbl>
    <w:p>
      <w:pPr>
        <w:adjustRightInd w:val="0"/>
        <w:snapToGrid w:val="0"/>
        <w:jc w:val="center"/>
        <w:rPr>
          <w:rFonts w:hint="eastAsia" w:ascii="宋体" w:hAnsi="宋体"/>
          <w:b/>
          <w:sz w:val="30"/>
          <w:szCs w:val="30"/>
        </w:rPr>
      </w:pPr>
    </w:p>
    <w:p>
      <w:pPr>
        <w:adjustRightInd w:val="0"/>
        <w:snapToGrid w:val="0"/>
        <w:jc w:val="center"/>
        <w:rPr>
          <w:rFonts w:hint="eastAsia" w:ascii="宋体" w:hAnsi="宋体"/>
          <w:b/>
          <w:sz w:val="30"/>
          <w:szCs w:val="30"/>
        </w:rPr>
      </w:pPr>
    </w:p>
    <w:p>
      <w:pPr>
        <w:adjustRightInd w:val="0"/>
        <w:snapToGrid w:val="0"/>
        <w:jc w:val="center"/>
        <w:rPr>
          <w:rFonts w:hint="eastAsia" w:ascii="宋体" w:hAnsi="宋体"/>
          <w:b/>
          <w:sz w:val="30"/>
          <w:szCs w:val="30"/>
        </w:rPr>
      </w:pPr>
    </w:p>
    <w:p>
      <w:pPr>
        <w:rPr>
          <w:rFonts w:hint="eastAsia" w:ascii="Bookman Old Style" w:hAnsi="Bookman Old Style"/>
          <w:sz w:val="24"/>
        </w:rPr>
      </w:pPr>
      <w:r>
        <w:rPr>
          <w:rFonts w:hint="eastAsia"/>
          <w:sz w:val="24"/>
        </w:rPr>
        <w:t>注：投标人须对上述投标内容中完整的一包或几包进行投标，</w:t>
      </w:r>
      <w:r>
        <w:rPr>
          <w:rFonts w:hint="eastAsia" w:ascii="Bookman Old Style" w:hAnsi="Bookman Old Style"/>
          <w:sz w:val="24"/>
        </w:rPr>
        <w:t>不完整的投标将视为非响应性投标予以拒绝。</w:t>
      </w: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hint="eastAsia"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hint="eastAsia"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sz w:val="24"/>
        </w:rPr>
      </w:pPr>
      <w:r>
        <w:rPr>
          <w:rFonts w:hint="eastAsia" w:ascii="宋体" w:hAns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hint="eastAsia"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hint="eastAsia"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b/>
          <w:sz w:val="28"/>
        </w:rPr>
      </w:pPr>
      <w:r>
        <w:rPr>
          <w:rFonts w:hint="eastAsia" w:ascii="宋体" w:hAnsi="宋体"/>
          <w:b/>
          <w:sz w:val="28"/>
        </w:rPr>
        <w:t>3、工作条件</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hint="eastAsia"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hint="eastAsia"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hint="eastAsia"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hint="eastAsia" w:eastAsia="黑体"/>
          <w:b/>
          <w:bCs/>
          <w:kern w:val="44"/>
          <w:sz w:val="24"/>
        </w:rPr>
      </w:pPr>
    </w:p>
    <w:p>
      <w:pPr>
        <w:spacing w:before="156" w:beforeLines="50" w:after="156" w:afterLines="50" w:line="360" w:lineRule="auto"/>
        <w:ind w:left="601" w:hanging="601"/>
        <w:rPr>
          <w:rFonts w:hint="eastAsia" w:ascii="宋体" w:hAnsi="宋体"/>
          <w:b/>
          <w:sz w:val="28"/>
        </w:rPr>
      </w:pPr>
      <w:r>
        <w:rPr>
          <w:rFonts w:hint="eastAsia" w:ascii="宋体" w:hAnsi="宋体"/>
          <w:b/>
          <w:sz w:val="28"/>
        </w:rPr>
        <w:t>4、验收标准</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hint="eastAsia"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3"/>
        <w:spacing w:line="360" w:lineRule="auto"/>
        <w:ind w:left="410" w:hanging="410" w:hangingChars="170"/>
        <w:rPr>
          <w:rFonts w:hint="eastAsia" w:hAnsi="宋体"/>
          <w:b/>
          <w:sz w:val="24"/>
          <w:szCs w:val="24"/>
        </w:rPr>
      </w:pPr>
    </w:p>
    <w:p>
      <w:pPr>
        <w:pStyle w:val="3"/>
        <w:spacing w:line="360" w:lineRule="auto"/>
        <w:ind w:left="410" w:hanging="410" w:hangingChars="170"/>
        <w:rPr>
          <w:rFonts w:hint="eastAsia" w:hAnsi="宋体"/>
          <w:b/>
          <w:sz w:val="24"/>
          <w:szCs w:val="24"/>
        </w:rPr>
      </w:pPr>
      <w:r>
        <w:rPr>
          <w:rFonts w:hint="eastAsia" w:hAnsi="宋体"/>
          <w:b/>
          <w:sz w:val="24"/>
          <w:szCs w:val="24"/>
        </w:rPr>
        <w:t>5、本技术规格书中标注“*”号的为关键技术参数，对这些关键技术参数的任何负偏离将导致废标。</w:t>
      </w:r>
    </w:p>
    <w:p>
      <w:pPr>
        <w:pStyle w:val="3"/>
        <w:spacing w:line="360" w:lineRule="auto"/>
        <w:rPr>
          <w:rFonts w:hint="eastAsia" w:hAnsi="宋体"/>
          <w:b/>
          <w:sz w:val="24"/>
          <w:szCs w:val="24"/>
        </w:rPr>
      </w:pPr>
    </w:p>
    <w:p>
      <w:pPr>
        <w:pStyle w:val="3"/>
        <w:spacing w:line="360" w:lineRule="auto"/>
        <w:rPr>
          <w:rFonts w:hint="eastAsia" w:hAnsi="宋体"/>
          <w:b/>
          <w:sz w:val="24"/>
          <w:szCs w:val="24"/>
        </w:rPr>
      </w:pPr>
      <w:r>
        <w:rPr>
          <w:rFonts w:hint="eastAsia" w:hAnsi="宋体"/>
          <w:b/>
          <w:sz w:val="24"/>
          <w:szCs w:val="24"/>
        </w:rPr>
        <w:t>6、如在具体技术规格中有本总则不一致之处，以具体技术规格中的要求为准。</w:t>
      </w:r>
    </w:p>
    <w:p>
      <w:pPr>
        <w:spacing w:after="156" w:afterLines="50"/>
        <w:ind w:left="601" w:hanging="601"/>
        <w:rPr>
          <w:rFonts w:hint="eastAsia" w:ascii="宋体" w:hAnsi="宋体"/>
          <w:b/>
          <w:sz w:val="28"/>
        </w:rPr>
      </w:pPr>
      <w:r>
        <w:rPr>
          <w:rFonts w:ascii="宋体" w:hAnsi="宋体"/>
          <w:b/>
          <w:sz w:val="28"/>
        </w:rPr>
        <w:br w:type="page"/>
      </w:r>
      <w:r>
        <w:rPr>
          <w:rFonts w:hint="eastAsia" w:ascii="宋体" w:hAnsi="宋体"/>
          <w:b/>
          <w:sz w:val="28"/>
        </w:rPr>
        <w:t>二、具体技术规格</w:t>
      </w:r>
    </w:p>
    <w:p>
      <w:pPr>
        <w:spacing w:line="360" w:lineRule="auto"/>
        <w:jc w:val="center"/>
        <w:rPr>
          <w:rFonts w:ascii="Arial" w:hAnsi="Arial" w:cs="Arial"/>
          <w:b/>
          <w:sz w:val="24"/>
        </w:rPr>
      </w:pPr>
      <w:r>
        <w:rPr>
          <w:rFonts w:ascii="Arial" w:hAnsi="Arial" w:cs="Arial"/>
          <w:b/>
          <w:sz w:val="24"/>
        </w:rPr>
        <w:t>电感耦合等离子体质谱技术指标</w:t>
      </w:r>
    </w:p>
    <w:p>
      <w:pPr>
        <w:spacing w:line="360" w:lineRule="auto"/>
        <w:jc w:val="left"/>
        <w:rPr>
          <w:rFonts w:ascii="Arial" w:hAnsi="Arial" w:cs="Arial"/>
          <w:b/>
          <w:bCs/>
          <w:sz w:val="24"/>
        </w:rPr>
      </w:pPr>
      <w:bookmarkStart w:id="0" w:name="OLE_LINK64"/>
      <w:bookmarkStart w:id="1" w:name="OLE_LINK65"/>
      <w:r>
        <w:rPr>
          <w:rFonts w:ascii="Arial" w:hAnsi="Arial" w:cs="Arial"/>
          <w:b/>
          <w:bCs/>
          <w:sz w:val="24"/>
        </w:rPr>
        <w:t>1基本用途</w:t>
      </w:r>
    </w:p>
    <w:p>
      <w:pPr>
        <w:spacing w:line="360" w:lineRule="auto"/>
        <w:ind w:firstLine="484" w:firstLineChars="202"/>
        <w:rPr>
          <w:rFonts w:ascii="Arial" w:hAnsi="Arial" w:cs="Arial"/>
          <w:sz w:val="24"/>
        </w:rPr>
      </w:pPr>
      <w:bookmarkStart w:id="2" w:name="OLE_LINK43"/>
      <w:bookmarkStart w:id="3" w:name="OLE_LINK44"/>
      <w:r>
        <w:rPr>
          <w:rFonts w:ascii="Arial" w:hAnsi="Arial" w:cs="Arial"/>
          <w:sz w:val="24"/>
        </w:rPr>
        <w:t>1.1适用于多种金属及非金属元素及其同位素的高通量、确证分析，要求检测灵敏度高，分析速度快，背景噪音低，消除干扰效果好，仪器性能稳定耐用。</w:t>
      </w:r>
    </w:p>
    <w:p>
      <w:pPr>
        <w:spacing w:line="360" w:lineRule="auto"/>
        <w:ind w:firstLine="484" w:firstLineChars="202"/>
        <w:rPr>
          <w:rFonts w:ascii="Arial" w:hAnsi="Arial" w:cs="Arial"/>
          <w:sz w:val="24"/>
        </w:rPr>
      </w:pPr>
      <w:r>
        <w:rPr>
          <w:rFonts w:ascii="Arial" w:hAnsi="Arial" w:cs="Arial"/>
          <w:sz w:val="24"/>
        </w:rPr>
        <w:t>1.2适合于复杂基质及高盐度样品的分析。</w:t>
      </w:r>
    </w:p>
    <w:p>
      <w:pPr>
        <w:tabs>
          <w:tab w:val="left" w:pos="0"/>
        </w:tabs>
        <w:spacing w:line="360" w:lineRule="auto"/>
        <w:ind w:firstLine="484" w:firstLineChars="202"/>
        <w:rPr>
          <w:rFonts w:ascii="Arial" w:hAnsi="Arial" w:cs="Arial"/>
          <w:sz w:val="24"/>
        </w:rPr>
      </w:pPr>
      <w:r>
        <w:rPr>
          <w:rFonts w:ascii="Arial" w:hAnsi="Arial" w:cs="Arial"/>
          <w:sz w:val="24"/>
        </w:rPr>
        <w:t>1.3 可与液相色谱仪、气相色谱仪、离子色谱仪等色谱技术联用，适合于各种样品中砷、汞、铬、铅等元素形态、价态的分析。</w:t>
      </w:r>
    </w:p>
    <w:bookmarkEnd w:id="2"/>
    <w:bookmarkEnd w:id="3"/>
    <w:p>
      <w:pPr>
        <w:tabs>
          <w:tab w:val="left" w:pos="0"/>
        </w:tabs>
        <w:spacing w:line="360" w:lineRule="auto"/>
        <w:ind w:firstLine="484" w:firstLineChars="202"/>
        <w:rPr>
          <w:rFonts w:ascii="Arial" w:hAnsi="Arial" w:cs="Arial"/>
          <w:sz w:val="24"/>
        </w:rPr>
      </w:pPr>
      <w:r>
        <w:rPr>
          <w:rFonts w:hint="eastAsia" w:ascii="Arial" w:hAnsi="Arial" w:cs="Arial"/>
          <w:sz w:val="24"/>
        </w:rPr>
        <w:t>投标所用的串接</w:t>
      </w:r>
      <w:r>
        <w:rPr>
          <w:rFonts w:ascii="Arial" w:hAnsi="Arial" w:cs="Arial"/>
          <w:sz w:val="24"/>
        </w:rPr>
        <w:t>三重四极杆电感耦合等离子体质谱</w:t>
      </w:r>
      <w:r>
        <w:rPr>
          <w:rFonts w:hint="eastAsia" w:ascii="Arial" w:hAnsi="Arial" w:cs="Arial"/>
          <w:sz w:val="24"/>
        </w:rPr>
        <w:t>（ICP-MS/MS）型号需具有广泛的用户基础及应用前景，投标商须提供不少于20篇2017年至2021年发表的使用该型号进行应用研究的外文应用文献。</w:t>
      </w:r>
    </w:p>
    <w:p>
      <w:pPr>
        <w:spacing w:line="360" w:lineRule="auto"/>
        <w:rPr>
          <w:rFonts w:ascii="Arial" w:hAnsi="Arial" w:cs="Arial"/>
          <w:b/>
          <w:sz w:val="24"/>
        </w:rPr>
      </w:pPr>
      <w:r>
        <w:rPr>
          <w:rFonts w:ascii="Arial" w:hAnsi="Arial" w:cs="Arial"/>
          <w:b/>
          <w:sz w:val="24"/>
        </w:rPr>
        <w:t>2仪器工作环境</w:t>
      </w:r>
    </w:p>
    <w:p>
      <w:pPr>
        <w:spacing w:line="360" w:lineRule="auto"/>
        <w:ind w:firstLine="420"/>
        <w:rPr>
          <w:rFonts w:ascii="Arial" w:hAnsi="Arial" w:cs="Arial"/>
          <w:sz w:val="24"/>
        </w:rPr>
      </w:pPr>
      <w:r>
        <w:rPr>
          <w:rFonts w:ascii="Arial" w:hAnsi="Arial" w:cs="Arial"/>
          <w:sz w:val="24"/>
        </w:rPr>
        <w:t>2.1工作环境温度：15-30</w:t>
      </w:r>
      <w:r>
        <w:rPr>
          <w:rFonts w:hint="eastAsia" w:ascii="宋体" w:hAnsi="宋体" w:cs="宋体"/>
          <w:sz w:val="24"/>
        </w:rPr>
        <w:t>℃</w:t>
      </w:r>
      <w:r>
        <w:rPr>
          <w:rFonts w:ascii="Arial" w:hAnsi="Arial" w:cs="Arial"/>
          <w:sz w:val="24"/>
        </w:rPr>
        <w:t>.</w:t>
      </w:r>
    </w:p>
    <w:p>
      <w:pPr>
        <w:spacing w:line="360" w:lineRule="auto"/>
        <w:ind w:firstLine="420"/>
        <w:rPr>
          <w:rFonts w:ascii="Arial" w:hAnsi="Arial" w:cs="Arial"/>
          <w:sz w:val="24"/>
        </w:rPr>
      </w:pPr>
      <w:r>
        <w:rPr>
          <w:rFonts w:ascii="Arial" w:hAnsi="Arial" w:cs="Arial"/>
          <w:sz w:val="24"/>
        </w:rPr>
        <w:t>2.2工作环境湿度：&lt; 80% (无冷凝)</w:t>
      </w:r>
      <w:r>
        <w:rPr>
          <w:rFonts w:hint="eastAsia" w:ascii="Arial" w:hAnsi="Arial" w:cs="Arial"/>
          <w:sz w:val="24"/>
        </w:rPr>
        <w:t xml:space="preserve"> 相对湿度</w:t>
      </w:r>
    </w:p>
    <w:p>
      <w:pPr>
        <w:spacing w:line="360" w:lineRule="auto"/>
        <w:ind w:firstLine="420"/>
        <w:jc w:val="left"/>
        <w:rPr>
          <w:rFonts w:ascii="Arial" w:hAnsi="Arial" w:cs="Arial"/>
          <w:sz w:val="24"/>
        </w:rPr>
      </w:pPr>
      <w:r>
        <w:rPr>
          <w:rFonts w:ascii="Arial" w:hAnsi="Arial" w:cs="Arial"/>
          <w:sz w:val="24"/>
        </w:rPr>
        <w:t>2.3电源：单相200-240</w:t>
      </w:r>
      <w:r>
        <w:rPr>
          <w:rFonts w:hint="eastAsia" w:ascii="Arial" w:hAnsi="Arial" w:cs="Arial"/>
          <w:sz w:val="24"/>
        </w:rPr>
        <w:t xml:space="preserve"> </w:t>
      </w:r>
      <w:r>
        <w:rPr>
          <w:rFonts w:ascii="Arial" w:hAnsi="Arial" w:cs="Arial"/>
          <w:sz w:val="24"/>
        </w:rPr>
        <w:t>V，50 Hz</w:t>
      </w:r>
    </w:p>
    <w:p>
      <w:pPr>
        <w:spacing w:line="360" w:lineRule="auto"/>
        <w:rPr>
          <w:rFonts w:ascii="Arial" w:hAnsi="Arial" w:cs="Arial"/>
          <w:b/>
          <w:sz w:val="24"/>
        </w:rPr>
      </w:pPr>
      <w:r>
        <w:rPr>
          <w:rFonts w:ascii="Arial" w:hAnsi="Arial" w:cs="Arial"/>
          <w:b/>
          <w:sz w:val="24"/>
        </w:rPr>
        <w:t>3技术性能及指标</w:t>
      </w:r>
    </w:p>
    <w:p>
      <w:pPr>
        <w:spacing w:line="360" w:lineRule="auto"/>
        <w:rPr>
          <w:rFonts w:ascii="Arial" w:hAnsi="Arial" w:cs="Arial"/>
          <w:b/>
          <w:sz w:val="24"/>
        </w:rPr>
      </w:pPr>
      <w:r>
        <w:rPr>
          <w:rFonts w:ascii="Arial" w:hAnsi="Arial" w:cs="Arial"/>
          <w:b/>
          <w:sz w:val="24"/>
        </w:rPr>
        <w:t>3.1 仪器硬件</w:t>
      </w:r>
    </w:p>
    <w:p>
      <w:pPr>
        <w:spacing w:line="360" w:lineRule="auto"/>
        <w:ind w:firstLine="420"/>
        <w:rPr>
          <w:rFonts w:ascii="Arial" w:hAnsi="Arial" w:cs="Arial"/>
          <w:sz w:val="24"/>
        </w:rPr>
      </w:pPr>
      <w:bookmarkStart w:id="4" w:name="OLE_LINK42"/>
      <w:bookmarkStart w:id="5" w:name="OLE_LINK41"/>
      <w:r>
        <w:rPr>
          <w:rFonts w:ascii="Arial" w:hAnsi="Arial" w:cs="Arial"/>
          <w:sz w:val="24"/>
        </w:rPr>
        <w:t>产品应采用</w:t>
      </w:r>
      <w:r>
        <w:rPr>
          <w:rFonts w:hint="eastAsia" w:ascii="Arial" w:hAnsi="Arial" w:cs="Arial"/>
          <w:sz w:val="24"/>
        </w:rPr>
        <w:t>串接</w:t>
      </w:r>
      <w:r>
        <w:rPr>
          <w:rFonts w:ascii="Arial" w:hAnsi="Arial" w:cs="Arial"/>
          <w:sz w:val="24"/>
        </w:rPr>
        <w:t>三重四极杆结构设计，即分析腔内具备三套可实现质量数筛选功能的四极杆：通过第一重四极杆质量分析器去除进入碰撞反应池内的非目标离子；利用第二重四极杆——碰撞反应池内发生的碰撞或化学反应去除多原子干扰；经过第三重四极杆</w:t>
      </w:r>
      <w:bookmarkStart w:id="6" w:name="OLE_LINK37"/>
      <w:bookmarkStart w:id="7" w:name="OLE_LINK38"/>
      <w:r>
        <w:rPr>
          <w:rFonts w:ascii="Arial" w:hAnsi="Arial" w:cs="Arial"/>
          <w:sz w:val="24"/>
        </w:rPr>
        <w:t>质量分析器</w:t>
      </w:r>
      <w:bookmarkEnd w:id="6"/>
      <w:bookmarkEnd w:id="7"/>
      <w:r>
        <w:rPr>
          <w:rFonts w:ascii="Arial" w:hAnsi="Arial" w:cs="Arial"/>
          <w:sz w:val="24"/>
        </w:rPr>
        <w:t>进一步保证目标离子的通过，以实现干扰物的充分消除。</w:t>
      </w:r>
    </w:p>
    <w:bookmarkEnd w:id="4"/>
    <w:bookmarkEnd w:id="5"/>
    <w:p>
      <w:pPr>
        <w:spacing w:line="360" w:lineRule="auto"/>
        <w:ind w:firstLine="420"/>
        <w:rPr>
          <w:rFonts w:ascii="Arial" w:hAnsi="Arial" w:cs="Arial"/>
          <w:sz w:val="24"/>
        </w:rPr>
      </w:pPr>
      <w:r>
        <w:rPr>
          <w:rFonts w:hint="eastAsia" w:ascii="Arial" w:hAnsi="Arial" w:cs="Arial"/>
          <w:sz w:val="24"/>
        </w:rPr>
        <w:t>ICP-MS/MS具有以下分析能力：</w:t>
      </w:r>
    </w:p>
    <w:p>
      <w:pPr>
        <w:spacing w:line="360" w:lineRule="auto"/>
        <w:ind w:firstLine="420"/>
        <w:rPr>
          <w:rFonts w:ascii="Arial" w:hAnsi="Arial" w:cs="Arial"/>
          <w:sz w:val="24"/>
        </w:rPr>
      </w:pPr>
      <w:r>
        <w:rPr>
          <w:rFonts w:hint="eastAsia" w:ascii="Arial" w:hAnsi="Arial" w:cs="Arial"/>
          <w:sz w:val="24"/>
        </w:rPr>
        <w:t>1) 通过离子的荷质比以及同位素比指纹进行定性分析的能力；</w:t>
      </w:r>
    </w:p>
    <w:p>
      <w:pPr>
        <w:spacing w:line="360" w:lineRule="auto"/>
        <w:ind w:firstLine="420"/>
        <w:rPr>
          <w:rFonts w:ascii="Arial" w:hAnsi="Arial" w:cs="Arial"/>
          <w:sz w:val="24"/>
        </w:rPr>
      </w:pPr>
      <w:r>
        <w:rPr>
          <w:rFonts w:hint="eastAsia" w:ascii="Arial" w:hAnsi="Arial" w:cs="Arial"/>
          <w:sz w:val="24"/>
        </w:rPr>
        <w:t>2) 可选择特定母离子进入碰撞反应池，再进行子离子扫描，杜绝副反应对分析结果的影响，无视基体的多元素准确定量分析能力；</w:t>
      </w:r>
    </w:p>
    <w:p>
      <w:pPr>
        <w:spacing w:line="360" w:lineRule="auto"/>
        <w:ind w:firstLine="420"/>
        <w:rPr>
          <w:rFonts w:ascii="Arial" w:hAnsi="Arial" w:cs="Arial"/>
          <w:sz w:val="24"/>
        </w:rPr>
      </w:pPr>
      <w:r>
        <w:rPr>
          <w:rFonts w:hint="eastAsia" w:ascii="Arial" w:hAnsi="Arial" w:cs="Arial"/>
          <w:sz w:val="24"/>
        </w:rPr>
        <w:t>3) 不需要标准工作曲线，通过全谱扫描对所有元素进行较准确的半定量分析的能力，可能的未知的多种干扰可采用碰撞/反应池技术直接排除；</w:t>
      </w:r>
    </w:p>
    <w:p>
      <w:pPr>
        <w:spacing w:line="360" w:lineRule="auto"/>
        <w:ind w:firstLine="420"/>
        <w:rPr>
          <w:rFonts w:ascii="Arial" w:hAnsi="Arial" w:cs="Arial"/>
          <w:sz w:val="24"/>
        </w:rPr>
      </w:pPr>
      <w:r>
        <w:rPr>
          <w:rFonts w:hint="eastAsia" w:ascii="Arial" w:hAnsi="Arial" w:cs="Arial"/>
          <w:sz w:val="24"/>
        </w:rPr>
        <w:t>4) 同位素比测定能力以及同位素稀释法精确定量能力；</w:t>
      </w:r>
    </w:p>
    <w:p>
      <w:pPr>
        <w:spacing w:line="360" w:lineRule="auto"/>
        <w:ind w:firstLine="420"/>
        <w:rPr>
          <w:rFonts w:ascii="Arial" w:hAnsi="Arial" w:cs="Arial"/>
          <w:sz w:val="24"/>
        </w:rPr>
      </w:pPr>
      <w:r>
        <w:rPr>
          <w:rFonts w:hint="eastAsia" w:ascii="Arial" w:hAnsi="Arial" w:cs="Arial"/>
          <w:sz w:val="24"/>
        </w:rPr>
        <w:t>5) 可以与色谱技术联机进行形态分析。</w:t>
      </w:r>
    </w:p>
    <w:p>
      <w:pPr>
        <w:spacing w:line="360" w:lineRule="auto"/>
        <w:rPr>
          <w:rFonts w:ascii="Arial" w:hAnsi="Arial" w:cs="Arial"/>
          <w:b/>
          <w:sz w:val="24"/>
        </w:rPr>
      </w:pPr>
      <w:r>
        <w:rPr>
          <w:rFonts w:ascii="Arial" w:hAnsi="Arial" w:cs="Arial"/>
          <w:b/>
          <w:sz w:val="24"/>
        </w:rPr>
        <w:t>3.1.1进样系统</w:t>
      </w:r>
    </w:p>
    <w:p>
      <w:pPr>
        <w:spacing w:line="360" w:lineRule="auto"/>
        <w:ind w:firstLine="424" w:firstLineChars="177"/>
        <w:rPr>
          <w:rFonts w:ascii="Arial" w:hAnsi="Arial" w:cs="Arial"/>
          <w:sz w:val="24"/>
        </w:rPr>
      </w:pPr>
      <w:r>
        <w:rPr>
          <w:rFonts w:ascii="Arial" w:hAnsi="Arial" w:cs="Arial"/>
          <w:sz w:val="24"/>
        </w:rPr>
        <w:t>3.1.1.1具备低样品流速的高性能进样系统及耐高基体接口，适合于高盐量样品连续稳定分析。</w:t>
      </w:r>
      <w:r>
        <w:rPr>
          <w:rFonts w:hint="eastAsia" w:ascii="Arial" w:hAnsi="Arial" w:cs="Arial"/>
          <w:sz w:val="24"/>
        </w:rPr>
        <w:t>带有在线氩气稀释耐高盐功能，自动气体稀释倍数不低于1</w:t>
      </w:r>
      <w:r>
        <w:rPr>
          <w:rFonts w:ascii="Arial" w:hAnsi="Arial" w:cs="Arial"/>
          <w:sz w:val="24"/>
        </w:rPr>
        <w:t>00</w:t>
      </w:r>
      <w:r>
        <w:rPr>
          <w:rFonts w:hint="eastAsia" w:ascii="Arial" w:hAnsi="Arial" w:cs="Arial"/>
          <w:sz w:val="24"/>
        </w:rPr>
        <w:t>倍</w:t>
      </w:r>
      <w:r>
        <w:rPr>
          <w:rFonts w:ascii="Arial" w:hAnsi="Arial" w:cs="Arial"/>
          <w:sz w:val="24"/>
        </w:rPr>
        <w:t>。</w:t>
      </w:r>
    </w:p>
    <w:p>
      <w:pPr>
        <w:pStyle w:val="2"/>
        <w:spacing w:line="360" w:lineRule="auto"/>
        <w:ind w:firstLine="424" w:firstLineChars="177"/>
        <w:rPr>
          <w:rFonts w:ascii="Arial" w:hAnsi="Arial" w:cs="Arial"/>
        </w:rPr>
      </w:pPr>
      <w:r>
        <w:rPr>
          <w:rFonts w:ascii="Arial" w:hAnsi="Arial" w:cs="Arial"/>
        </w:rPr>
        <w:t>3.1.1.2雾化器: 耐高盐、高精度、高效雾化器。</w:t>
      </w:r>
    </w:p>
    <w:p>
      <w:pPr>
        <w:pStyle w:val="2"/>
        <w:spacing w:line="360" w:lineRule="auto"/>
        <w:ind w:firstLine="424" w:firstLineChars="177"/>
        <w:rPr>
          <w:rFonts w:ascii="Arial" w:hAnsi="Arial" w:cs="Arial"/>
        </w:rPr>
      </w:pPr>
      <w:r>
        <w:rPr>
          <w:rFonts w:ascii="Arial" w:hAnsi="Arial" w:cs="Arial"/>
        </w:rPr>
        <w:t>#3.1.1.3矩管：</w:t>
      </w:r>
      <w:r>
        <w:rPr>
          <w:rFonts w:hint="eastAsia" w:ascii="Arial" w:hAnsi="Arial" w:cs="Arial"/>
        </w:rPr>
        <w:t>一体式炬管或</w:t>
      </w:r>
      <w:r>
        <w:rPr>
          <w:rFonts w:ascii="Arial" w:hAnsi="Arial" w:cs="Arial"/>
        </w:rPr>
        <w:t>可拆卸式炬管结构，中心管及外层管可单独更换或清洗，降低耗材使用成本。</w:t>
      </w:r>
    </w:p>
    <w:p>
      <w:pPr>
        <w:pStyle w:val="2"/>
        <w:spacing w:line="360" w:lineRule="auto"/>
        <w:ind w:firstLine="424" w:firstLineChars="177"/>
        <w:rPr>
          <w:rFonts w:ascii="Arial" w:hAnsi="Arial" w:cs="Arial"/>
        </w:rPr>
      </w:pPr>
      <w:r>
        <w:rPr>
          <w:rFonts w:ascii="Arial" w:hAnsi="Arial" w:cs="Arial"/>
        </w:rPr>
        <w:t xml:space="preserve">#3.1.1.4雾化室:配置高效半导体控温装置，控温温度连续可调，制冷温度≤ </w:t>
      </w:r>
      <w:r>
        <w:rPr>
          <w:rFonts w:hint="eastAsia" w:ascii="Arial" w:hAnsi="Arial" w:cs="Arial"/>
        </w:rPr>
        <w:t>-8</w:t>
      </w:r>
      <w:r>
        <w:rPr>
          <w:rFonts w:hint="eastAsia" w:cs="宋体"/>
        </w:rPr>
        <w:t>℃</w:t>
      </w:r>
      <w:r>
        <w:rPr>
          <w:rFonts w:ascii="Arial" w:hAnsi="Arial" w:cs="Arial"/>
        </w:rPr>
        <w:t>。</w:t>
      </w:r>
    </w:p>
    <w:p>
      <w:pPr>
        <w:spacing w:line="360" w:lineRule="auto"/>
        <w:jc w:val="left"/>
        <w:rPr>
          <w:rFonts w:ascii="Arial" w:hAnsi="Arial" w:cs="Arial"/>
          <w:b/>
          <w:sz w:val="24"/>
        </w:rPr>
      </w:pPr>
      <w:r>
        <w:rPr>
          <w:rFonts w:ascii="Arial" w:hAnsi="Arial" w:cs="Arial"/>
          <w:b/>
          <w:sz w:val="24"/>
        </w:rPr>
        <w:t>3.1.2等离子体及射频发生器</w:t>
      </w:r>
    </w:p>
    <w:p>
      <w:pPr>
        <w:spacing w:line="360" w:lineRule="auto"/>
        <w:ind w:firstLine="424" w:firstLineChars="177"/>
        <w:rPr>
          <w:rFonts w:ascii="Arial" w:hAnsi="Arial" w:cs="Arial"/>
          <w:sz w:val="24"/>
        </w:rPr>
      </w:pPr>
      <w:r>
        <w:rPr>
          <w:rFonts w:ascii="Arial" w:hAnsi="Arial" w:cs="Arial"/>
          <w:sz w:val="24"/>
        </w:rPr>
        <w:t>3.1.2.1仪器应配备高速射频匹配的RF发生器及屏蔽炬系统或其他类似技术，可变频设计。</w:t>
      </w:r>
    </w:p>
    <w:p>
      <w:pPr>
        <w:pStyle w:val="9"/>
        <w:spacing w:line="360" w:lineRule="auto"/>
        <w:ind w:firstLine="480"/>
        <w:rPr>
          <w:rFonts w:ascii="Arial" w:hAnsi="Arial" w:cs="Arial"/>
          <w:sz w:val="24"/>
          <w:szCs w:val="24"/>
        </w:rPr>
      </w:pPr>
      <w:r>
        <w:rPr>
          <w:rFonts w:hint="eastAsia" w:ascii="Arial" w:hAnsi="Arial" w:cs="Arial"/>
          <w:sz w:val="24"/>
          <w:szCs w:val="24"/>
        </w:rPr>
        <w:t>#</w:t>
      </w:r>
      <w:r>
        <w:rPr>
          <w:rFonts w:ascii="Arial" w:hAnsi="Arial" w:cs="Arial"/>
          <w:sz w:val="24"/>
          <w:szCs w:val="24"/>
        </w:rPr>
        <w:t>3.1.2.2具备等离子体可视系统，可以实时通过电脑显示器监控等离子体及锥口和中心管的状态，便于及时判断仪器是否需要维护。</w:t>
      </w:r>
    </w:p>
    <w:p>
      <w:pPr>
        <w:spacing w:line="360" w:lineRule="auto"/>
        <w:ind w:firstLine="424" w:firstLineChars="177"/>
        <w:rPr>
          <w:rFonts w:ascii="Arial" w:hAnsi="Arial" w:cs="Arial"/>
          <w:sz w:val="24"/>
        </w:rPr>
      </w:pPr>
      <w:r>
        <w:rPr>
          <w:rFonts w:ascii="Arial" w:hAnsi="Arial" w:cs="Arial"/>
          <w:bCs/>
          <w:sz w:val="24"/>
        </w:rPr>
        <w:t>3.1.2.3</w:t>
      </w:r>
      <w:r>
        <w:rPr>
          <w:rFonts w:ascii="Arial" w:hAnsi="Arial" w:cs="Arial"/>
          <w:sz w:val="24"/>
        </w:rPr>
        <w:t>射频功率最高可达1.6 kW，连续可调。射频频率需≤2</w:t>
      </w:r>
      <w:r>
        <w:rPr>
          <w:rFonts w:hint="eastAsia" w:ascii="Arial" w:hAnsi="Arial" w:cs="Arial"/>
          <w:sz w:val="24"/>
        </w:rPr>
        <w:t xml:space="preserve">8 </w:t>
      </w:r>
      <w:r>
        <w:rPr>
          <w:rFonts w:ascii="Arial" w:hAnsi="Arial" w:cs="Arial"/>
          <w:sz w:val="24"/>
        </w:rPr>
        <w:t>MHz。</w:t>
      </w:r>
    </w:p>
    <w:p>
      <w:pPr>
        <w:spacing w:line="360" w:lineRule="auto"/>
        <w:ind w:firstLine="424" w:firstLineChars="177"/>
        <w:rPr>
          <w:rFonts w:ascii="Arial" w:hAnsi="Arial" w:cs="Arial"/>
          <w:sz w:val="24"/>
        </w:rPr>
      </w:pPr>
      <w:r>
        <w:rPr>
          <w:rFonts w:ascii="Arial" w:hAnsi="Arial" w:cs="Arial"/>
          <w:bCs/>
          <w:sz w:val="24"/>
        </w:rPr>
        <w:t>3.1.2.4</w:t>
      </w:r>
      <w:r>
        <w:rPr>
          <w:rFonts w:ascii="Arial" w:hAnsi="Arial" w:cs="Arial"/>
          <w:sz w:val="24"/>
        </w:rPr>
        <w:t>等离子体炬位调整，由计算机自动三维(X，Y，Z方向)控制。</w:t>
      </w:r>
    </w:p>
    <w:p>
      <w:pPr>
        <w:spacing w:line="360" w:lineRule="auto"/>
        <w:ind w:firstLine="424" w:firstLineChars="177"/>
        <w:rPr>
          <w:rFonts w:ascii="Arial" w:hAnsi="Arial" w:cs="Arial"/>
          <w:sz w:val="24"/>
        </w:rPr>
      </w:pPr>
      <w:r>
        <w:rPr>
          <w:rFonts w:hint="eastAsia" w:ascii="Arial" w:hAnsi="Arial" w:cs="Arial"/>
          <w:sz w:val="24"/>
        </w:rPr>
        <w:t>#</w:t>
      </w:r>
      <w:r>
        <w:rPr>
          <w:rFonts w:ascii="Arial" w:hAnsi="Arial" w:cs="Arial"/>
          <w:sz w:val="24"/>
        </w:rPr>
        <w:t>3.1.2.5具有工作线圈和接口的二次放电消除功能，优先选择采用无需屏蔽炬设计的虚拟接地技术，保证仪器最佳性能的同时减少不必要的消耗品——屏蔽</w:t>
      </w:r>
      <w:bookmarkStart w:id="8" w:name="OLE_LINK2"/>
      <w:bookmarkStart w:id="9" w:name="OLE_LINK1"/>
      <w:r>
        <w:rPr>
          <w:rFonts w:ascii="Arial" w:hAnsi="Arial" w:cs="Arial"/>
          <w:sz w:val="24"/>
        </w:rPr>
        <w:t>炬</w:t>
      </w:r>
      <w:bookmarkEnd w:id="8"/>
      <w:bookmarkEnd w:id="9"/>
      <w:r>
        <w:rPr>
          <w:rFonts w:ascii="Arial" w:hAnsi="Arial" w:cs="Arial"/>
          <w:sz w:val="24"/>
        </w:rPr>
        <w:t>。（对使用屏蔽炬技术的产品，需配备</w:t>
      </w:r>
      <w:r>
        <w:rPr>
          <w:rFonts w:hint="eastAsia" w:ascii="Arial" w:hAnsi="Arial" w:cs="Arial"/>
          <w:sz w:val="24"/>
        </w:rPr>
        <w:t>1</w:t>
      </w:r>
      <w:r>
        <w:rPr>
          <w:rFonts w:ascii="Arial" w:hAnsi="Arial" w:cs="Arial"/>
          <w:sz w:val="24"/>
        </w:rPr>
        <w:t>套屏蔽炬以备更换。</w:t>
      </w:r>
      <w:r>
        <w:rPr>
          <w:rFonts w:hint="eastAsia" w:ascii="Arial" w:hAnsi="Arial" w:cs="Arial"/>
          <w:sz w:val="24"/>
        </w:rPr>
        <w:t>如非采用屏蔽矩物理接地技术，需额外多配1套工作线圈，以预防意外放电造成的工作线圈击穿。</w:t>
      </w:r>
      <w:r>
        <w:rPr>
          <w:rFonts w:ascii="Arial" w:hAnsi="Arial" w:cs="Arial"/>
          <w:sz w:val="24"/>
        </w:rPr>
        <w:t>）</w:t>
      </w:r>
    </w:p>
    <w:p>
      <w:pPr>
        <w:spacing w:line="360" w:lineRule="auto"/>
        <w:jc w:val="left"/>
        <w:rPr>
          <w:rFonts w:ascii="Arial" w:hAnsi="Arial" w:cs="Arial"/>
          <w:b/>
          <w:sz w:val="24"/>
        </w:rPr>
      </w:pPr>
      <w:r>
        <w:rPr>
          <w:rFonts w:ascii="Arial" w:hAnsi="Arial" w:cs="Arial"/>
          <w:b/>
          <w:sz w:val="24"/>
        </w:rPr>
        <w:t>3.1.3气体控制器</w:t>
      </w:r>
    </w:p>
    <w:p>
      <w:pPr>
        <w:spacing w:line="360" w:lineRule="auto"/>
        <w:ind w:firstLine="424" w:firstLineChars="177"/>
        <w:rPr>
          <w:rFonts w:ascii="Arial" w:hAnsi="Arial" w:cs="Arial"/>
          <w:sz w:val="24"/>
        </w:rPr>
      </w:pPr>
      <w:r>
        <w:rPr>
          <w:rFonts w:ascii="Arial" w:hAnsi="Arial" w:cs="Arial"/>
          <w:sz w:val="24"/>
        </w:rPr>
        <w:t>仪器主机包含</w:t>
      </w:r>
      <w:r>
        <w:rPr>
          <w:rFonts w:hint="eastAsia" w:ascii="Arial" w:hAnsi="Arial" w:cs="Arial"/>
          <w:sz w:val="24"/>
        </w:rPr>
        <w:t>不低于</w:t>
      </w:r>
      <w:r>
        <w:rPr>
          <w:rFonts w:ascii="Arial" w:hAnsi="Arial" w:cs="Arial"/>
          <w:sz w:val="24"/>
        </w:rPr>
        <w:t>8路由高精度的质量流量计控制的气路模块，分别为等离子气，辅助气，雾化气，附加气以及4路碰撞反应池气路。</w:t>
      </w:r>
    </w:p>
    <w:p>
      <w:pPr>
        <w:spacing w:line="360" w:lineRule="auto"/>
        <w:jc w:val="left"/>
        <w:rPr>
          <w:rFonts w:ascii="Arial" w:hAnsi="Arial" w:cs="Arial"/>
          <w:b/>
          <w:sz w:val="24"/>
        </w:rPr>
      </w:pPr>
      <w:r>
        <w:rPr>
          <w:rFonts w:ascii="Arial" w:hAnsi="Arial" w:cs="Arial"/>
          <w:b/>
          <w:sz w:val="24"/>
        </w:rPr>
        <w:t>3.1.4接口透镜系统</w:t>
      </w:r>
    </w:p>
    <w:p>
      <w:pPr>
        <w:pStyle w:val="2"/>
        <w:spacing w:line="360" w:lineRule="auto"/>
        <w:ind w:firstLine="420"/>
        <w:rPr>
          <w:rFonts w:ascii="Arial" w:hAnsi="Arial" w:cs="Arial"/>
        </w:rPr>
      </w:pPr>
      <w:r>
        <w:rPr>
          <w:rFonts w:ascii="Arial" w:hAnsi="Arial" w:cs="Arial"/>
        </w:rPr>
        <w:t>3.1.4.1双锥设计。要求减少高基体样品进入仪器真空腔同时保证高基体样品分析时的灵敏度水平。保持质谱系统长期稳定，减少真空腔内的维护。</w:t>
      </w:r>
      <w:r>
        <w:rPr>
          <w:rFonts w:hint="eastAsia" w:ascii="Arial" w:hAnsi="Arial" w:cs="Arial"/>
        </w:rPr>
        <w:t>在保证灵敏度的前提下锥孔尽可能小，采样锥孔径≤1.</w:t>
      </w:r>
      <w:r>
        <w:rPr>
          <w:rFonts w:ascii="Arial" w:hAnsi="Arial" w:cs="Arial"/>
        </w:rPr>
        <w:t>1</w:t>
      </w:r>
      <w:r>
        <w:rPr>
          <w:rFonts w:hint="eastAsia" w:ascii="Arial" w:hAnsi="Arial" w:cs="Arial"/>
        </w:rPr>
        <w:t>mm，截取锥孔径≤0.</w:t>
      </w:r>
      <w:r>
        <w:rPr>
          <w:rFonts w:ascii="Arial" w:hAnsi="Arial" w:cs="Arial"/>
        </w:rPr>
        <w:t>5</w:t>
      </w:r>
      <w:r>
        <w:rPr>
          <w:rFonts w:hint="eastAsia" w:ascii="Arial" w:hAnsi="Arial" w:cs="Arial"/>
        </w:rPr>
        <w:t>mm ；</w:t>
      </w:r>
    </w:p>
    <w:p>
      <w:pPr>
        <w:pStyle w:val="4"/>
        <w:adjustRightInd w:val="0"/>
        <w:snapToGrid w:val="0"/>
        <w:spacing w:line="360" w:lineRule="auto"/>
        <w:ind w:left="1" w:firstLine="480" w:firstLineChars="200"/>
        <w:rPr>
          <w:rFonts w:ascii="Arial" w:hAnsi="Arial" w:cs="Arial"/>
          <w:sz w:val="24"/>
          <w:szCs w:val="24"/>
        </w:rPr>
      </w:pPr>
      <w:r>
        <w:rPr>
          <w:rFonts w:ascii="Arial" w:hAnsi="Arial" w:cs="Arial"/>
          <w:sz w:val="24"/>
          <w:szCs w:val="24"/>
        </w:rPr>
        <w:t>3.1.4.2为避免分析腔内碰撞反应池和质量分析器的样品沉积，仪器应在接口后部配置正交离子偏转聚焦系统。通过电场作用使样品离子产生90°偏转并与未解离的中性粒子和光子实现完全分离，以降低仪器背景噪音；中性粒子和光子应通过分子泵排出而无需采用任何挡板技术阻挡，避免后期对该系统的维护，提供仪器设计和分离原理图证明；</w:t>
      </w:r>
    </w:p>
    <w:p>
      <w:pPr>
        <w:pStyle w:val="4"/>
        <w:adjustRightInd w:val="0"/>
        <w:snapToGrid w:val="0"/>
        <w:spacing w:line="360" w:lineRule="auto"/>
        <w:ind w:left="1" w:firstLine="480" w:firstLineChars="200"/>
        <w:rPr>
          <w:rFonts w:ascii="Arial" w:hAnsi="Arial" w:cs="Arial"/>
          <w:sz w:val="24"/>
          <w:szCs w:val="24"/>
        </w:rPr>
      </w:pPr>
      <w:r>
        <w:rPr>
          <w:rFonts w:ascii="Arial" w:hAnsi="Arial" w:cs="Arial"/>
          <w:sz w:val="24"/>
          <w:szCs w:val="24"/>
        </w:rPr>
        <w:t>3.1.4.3该偏转聚焦系统应具备抑制离子束展宽的功能。可在系统内形成空间三维电场分布，保证样品离子在进行90°偏转的同时实现三维方向的离子束聚焦，抑制空间电荷效应带来的展宽，提高样品离子的传递效率进而保证仪器的灵敏度水平，提供仪器设计和三维压缩原理图证明。</w:t>
      </w:r>
    </w:p>
    <w:p>
      <w:pPr>
        <w:adjustRightInd w:val="0"/>
        <w:snapToGrid w:val="0"/>
        <w:spacing w:line="360" w:lineRule="auto"/>
        <w:jc w:val="left"/>
        <w:rPr>
          <w:rFonts w:ascii="Arial" w:hAnsi="Arial" w:cs="Arial"/>
          <w:b/>
          <w:sz w:val="24"/>
        </w:rPr>
      </w:pPr>
      <w:r>
        <w:rPr>
          <w:rFonts w:ascii="Arial" w:hAnsi="Arial" w:cs="Arial"/>
          <w:b/>
          <w:sz w:val="24"/>
        </w:rPr>
        <w:t>3.1.5第一重四极杆：质量分析器</w:t>
      </w:r>
    </w:p>
    <w:p>
      <w:pPr>
        <w:pStyle w:val="4"/>
        <w:adjustRightInd w:val="0"/>
        <w:snapToGrid w:val="0"/>
        <w:spacing w:line="360" w:lineRule="auto"/>
        <w:ind w:firstLine="480" w:firstLineChars="200"/>
        <w:rPr>
          <w:rFonts w:ascii="Arial" w:hAnsi="Arial" w:cs="Arial"/>
          <w:sz w:val="24"/>
          <w:szCs w:val="24"/>
        </w:rPr>
      </w:pPr>
      <w:r>
        <w:rPr>
          <w:rFonts w:ascii="Arial" w:hAnsi="Arial" w:cs="Arial"/>
          <w:sz w:val="24"/>
          <w:szCs w:val="24"/>
        </w:rPr>
        <w:t>*3.1.5.1四极杆质量分析器，可实现精确质量数筛选，</w:t>
      </w:r>
      <w:r>
        <w:rPr>
          <w:rFonts w:hint="eastAsia" w:ascii="Arial" w:hAnsi="Arial" w:cs="Arial"/>
          <w:sz w:val="24"/>
          <w:szCs w:val="24"/>
        </w:rPr>
        <w:t>使非选定质量的离子无法进入碰撞反应池，</w:t>
      </w:r>
      <w:r>
        <w:rPr>
          <w:rFonts w:ascii="Arial" w:hAnsi="Arial" w:cs="Arial"/>
          <w:sz w:val="24"/>
          <w:szCs w:val="24"/>
        </w:rPr>
        <w:t>质量分辨率：≤1amu。</w:t>
      </w:r>
    </w:p>
    <w:p>
      <w:pPr>
        <w:pStyle w:val="4"/>
        <w:adjustRightInd w:val="0"/>
        <w:snapToGrid w:val="0"/>
        <w:spacing w:line="360" w:lineRule="auto"/>
        <w:ind w:firstLine="480" w:firstLineChars="200"/>
        <w:rPr>
          <w:rFonts w:ascii="Arial" w:hAnsi="Arial" w:cs="Arial"/>
          <w:sz w:val="24"/>
          <w:szCs w:val="24"/>
        </w:rPr>
      </w:pPr>
      <w:r>
        <w:rPr>
          <w:rFonts w:ascii="Arial" w:hAnsi="Arial" w:cs="Arial"/>
          <w:sz w:val="24"/>
          <w:szCs w:val="24"/>
        </w:rPr>
        <w:t>#3.1.5.2高端质量数不低于2</w:t>
      </w:r>
      <w:r>
        <w:rPr>
          <w:rFonts w:hint="eastAsia" w:ascii="Arial" w:hAnsi="Arial" w:cs="Arial"/>
          <w:sz w:val="24"/>
          <w:szCs w:val="24"/>
        </w:rPr>
        <w:t>4</w:t>
      </w:r>
      <w:r>
        <w:rPr>
          <w:rFonts w:ascii="Arial" w:hAnsi="Arial" w:cs="Arial"/>
          <w:sz w:val="24"/>
          <w:szCs w:val="24"/>
        </w:rPr>
        <w:t>0</w:t>
      </w:r>
      <w:r>
        <w:rPr>
          <w:rFonts w:hint="eastAsia" w:ascii="Arial" w:hAnsi="Arial" w:cs="Arial"/>
          <w:sz w:val="24"/>
          <w:szCs w:val="24"/>
        </w:rPr>
        <w:t xml:space="preserve"> </w:t>
      </w:r>
      <w:r>
        <w:rPr>
          <w:rFonts w:ascii="Arial" w:hAnsi="Arial" w:cs="Arial"/>
          <w:sz w:val="24"/>
          <w:szCs w:val="24"/>
        </w:rPr>
        <w:t>amu，驱动频率</w:t>
      </w:r>
      <w:r>
        <w:rPr>
          <w:rFonts w:hint="eastAsia" w:ascii="Arial" w:hAnsi="Arial" w:cs="Arial"/>
          <w:sz w:val="24"/>
          <w:szCs w:val="24"/>
        </w:rPr>
        <w:t xml:space="preserve"> </w:t>
      </w:r>
      <w:r>
        <w:rPr>
          <w:rFonts w:ascii="Arial" w:hAnsi="Arial" w:cs="Arial"/>
          <w:sz w:val="24"/>
          <w:szCs w:val="24"/>
        </w:rPr>
        <w:t>4.0MHz。</w:t>
      </w:r>
    </w:p>
    <w:p>
      <w:pPr>
        <w:spacing w:line="360" w:lineRule="auto"/>
        <w:rPr>
          <w:rFonts w:ascii="Arial" w:hAnsi="Arial" w:cs="Arial"/>
          <w:b/>
          <w:sz w:val="24"/>
        </w:rPr>
      </w:pPr>
      <w:r>
        <w:rPr>
          <w:rFonts w:ascii="Arial" w:hAnsi="Arial" w:cs="Arial"/>
          <w:b/>
          <w:sz w:val="24"/>
        </w:rPr>
        <w:t>3.1.6第二重四极杆：碰撞反应池</w:t>
      </w:r>
    </w:p>
    <w:p>
      <w:pPr>
        <w:adjustRightInd w:val="0"/>
        <w:snapToGrid w:val="0"/>
        <w:spacing w:line="360" w:lineRule="auto"/>
        <w:ind w:firstLine="480" w:firstLineChars="200"/>
        <w:rPr>
          <w:rFonts w:ascii="Arial" w:hAnsi="Arial" w:cs="Arial"/>
          <w:sz w:val="24"/>
        </w:rPr>
      </w:pPr>
      <w:r>
        <w:rPr>
          <w:rFonts w:ascii="Arial" w:hAnsi="Arial" w:cs="Arial"/>
          <w:sz w:val="24"/>
        </w:rPr>
        <w:t>3.1.6.1</w:t>
      </w:r>
      <w:r>
        <w:rPr>
          <w:rFonts w:hint="eastAsia" w:ascii="Arial" w:hAnsi="Arial" w:cs="Arial"/>
          <w:sz w:val="24"/>
        </w:rPr>
        <w:t>离子束进入池之前已由第一级四级杆Q1滤除了选定质量数之外的全部离子，具有卓越的抗干扰能力，</w:t>
      </w:r>
      <w:r>
        <w:rPr>
          <w:rFonts w:ascii="Arial" w:hAnsi="Arial" w:cs="Arial"/>
          <w:sz w:val="24"/>
        </w:rPr>
        <w:t>池体采用一套可实现质量筛选功能的四极杆或</w:t>
      </w:r>
      <w:r>
        <w:rPr>
          <w:rFonts w:hint="eastAsia" w:ascii="Arial" w:hAnsi="Arial" w:cs="Arial"/>
          <w:sz w:val="24"/>
        </w:rPr>
        <w:t>六</w:t>
      </w:r>
      <w:r>
        <w:rPr>
          <w:rFonts w:ascii="Arial" w:hAnsi="Arial" w:cs="Arial"/>
          <w:sz w:val="24"/>
        </w:rPr>
        <w:t>极杆以上的碰撞/反应池系统，针对不同的被测元素可通过控制软件分别自动给出相应元素所需的质量筛选区段，更好的去除二次多原子离子干扰或反应副产物；</w:t>
      </w:r>
    </w:p>
    <w:p>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3.1.6.2池内可使用标准模式（STD模式）、碰撞模式（KED模式）和反应模式（CCT模式）进行干扰的消除和样品分析，可实现不同气体和工作模式的全自动切换。</w:t>
      </w:r>
      <w:r>
        <w:rPr>
          <w:rFonts w:hint="eastAsia" w:ascii="Arial" w:hAnsi="Arial" w:cs="Arial"/>
          <w:sz w:val="24"/>
        </w:rPr>
        <w:t>不同气体模式切换，抽空和平衡所需切换时间小于10秒。</w:t>
      </w:r>
    </w:p>
    <w:p>
      <w:pPr>
        <w:adjustRightInd w:val="0"/>
        <w:snapToGrid w:val="0"/>
        <w:spacing w:line="360" w:lineRule="auto"/>
        <w:ind w:firstLine="480" w:firstLineChars="200"/>
        <w:rPr>
          <w:rFonts w:ascii="Arial" w:hAnsi="Arial" w:cs="Arial"/>
          <w:sz w:val="24"/>
        </w:rPr>
      </w:pPr>
      <w:r>
        <w:rPr>
          <w:rFonts w:ascii="Arial" w:hAnsi="Arial" w:cs="Arial"/>
          <w:sz w:val="24"/>
        </w:rPr>
        <w:t>3.1.6.3碰撞反应池系统必须具备4路气体质量流量控制器以实现多种类型工作气体的同时接入，可使用包括纯He气，纯H</w:t>
      </w:r>
      <w:r>
        <w:rPr>
          <w:rFonts w:ascii="Arial" w:hAnsi="Arial" w:cs="Arial"/>
          <w:sz w:val="24"/>
          <w:vertAlign w:val="subscript"/>
        </w:rPr>
        <w:t>2</w:t>
      </w:r>
      <w:r>
        <w:rPr>
          <w:rFonts w:ascii="Arial" w:hAnsi="Arial" w:cs="Arial"/>
          <w:sz w:val="24"/>
        </w:rPr>
        <w:t>气，纯NH</w:t>
      </w:r>
      <w:r>
        <w:rPr>
          <w:rFonts w:ascii="Arial" w:hAnsi="Arial" w:cs="Arial"/>
          <w:sz w:val="24"/>
          <w:vertAlign w:val="subscript"/>
        </w:rPr>
        <w:t>3</w:t>
      </w:r>
      <w:r>
        <w:rPr>
          <w:rFonts w:ascii="Arial" w:hAnsi="Arial" w:cs="Arial"/>
          <w:sz w:val="24"/>
        </w:rPr>
        <w:t>气及纯O</w:t>
      </w:r>
      <w:r>
        <w:rPr>
          <w:rFonts w:ascii="Arial" w:hAnsi="Arial" w:cs="Arial"/>
          <w:sz w:val="24"/>
          <w:vertAlign w:val="subscript"/>
        </w:rPr>
        <w:t>2</w:t>
      </w:r>
      <w:r>
        <w:rPr>
          <w:rFonts w:ascii="Arial" w:hAnsi="Arial" w:cs="Arial"/>
          <w:sz w:val="24"/>
        </w:rPr>
        <w:t>气在内的多种工作气体。</w:t>
      </w:r>
    </w:p>
    <w:p>
      <w:pPr>
        <w:pStyle w:val="2"/>
        <w:spacing w:line="360" w:lineRule="auto"/>
        <w:rPr>
          <w:rFonts w:ascii="Arial" w:hAnsi="Arial" w:cs="Arial"/>
          <w:b/>
        </w:rPr>
      </w:pPr>
      <w:r>
        <w:rPr>
          <w:rFonts w:ascii="Arial" w:hAnsi="Arial" w:cs="Arial"/>
          <w:b/>
        </w:rPr>
        <w:t>3.1.7 第三重四级杆：二级质谱质量分析器</w:t>
      </w:r>
    </w:p>
    <w:p>
      <w:pPr>
        <w:adjustRightInd w:val="0"/>
        <w:snapToGrid w:val="0"/>
        <w:spacing w:line="360" w:lineRule="auto"/>
        <w:ind w:firstLine="480" w:firstLineChars="200"/>
        <w:rPr>
          <w:rFonts w:ascii="Arial" w:hAnsi="Arial" w:cs="Arial"/>
          <w:sz w:val="24"/>
        </w:rPr>
      </w:pPr>
      <w:r>
        <w:rPr>
          <w:rFonts w:ascii="Arial" w:hAnsi="Arial" w:cs="Arial"/>
          <w:sz w:val="24"/>
        </w:rPr>
        <w:t>3.1.7.1提供双曲面电势场保证最佳的质量轴分辨率、丰度灵敏度</w:t>
      </w:r>
      <w:r>
        <w:rPr>
          <w:rFonts w:hint="eastAsia" w:ascii="Arial" w:hAnsi="Arial" w:cs="Arial"/>
          <w:sz w:val="24"/>
        </w:rPr>
        <w:t>，可以进行单质量数过滤，使非目标质量元素无法进入检测器。</w:t>
      </w:r>
    </w:p>
    <w:p>
      <w:pPr>
        <w:adjustRightInd w:val="0"/>
        <w:snapToGrid w:val="0"/>
        <w:spacing w:line="360" w:lineRule="auto"/>
        <w:ind w:firstLine="480" w:firstLineChars="200"/>
        <w:rPr>
          <w:rFonts w:ascii="Arial" w:hAnsi="Arial" w:cs="Arial"/>
          <w:sz w:val="24"/>
        </w:rPr>
      </w:pPr>
      <w:r>
        <w:rPr>
          <w:rFonts w:ascii="Arial" w:hAnsi="Arial" w:cs="Arial"/>
          <w:sz w:val="24"/>
        </w:rPr>
        <w:t>#3.1.7.2四极杆驱动频率≤</w:t>
      </w:r>
      <w:r>
        <w:rPr>
          <w:rFonts w:hint="eastAsia" w:ascii="Arial" w:hAnsi="Arial" w:cs="Arial"/>
          <w:sz w:val="24"/>
        </w:rPr>
        <w:t xml:space="preserve">3 </w:t>
      </w:r>
      <w:r>
        <w:rPr>
          <w:rFonts w:ascii="Arial" w:hAnsi="Arial" w:cs="Arial"/>
          <w:sz w:val="24"/>
        </w:rPr>
        <w:t>MHz以获得更宽的质谱分析范围和更优异的质量轴稳定性；</w:t>
      </w:r>
    </w:p>
    <w:p>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3.1.7.3质谱范围：</w:t>
      </w:r>
      <w:r>
        <w:rPr>
          <w:rFonts w:hint="eastAsia" w:ascii="Arial" w:hAnsi="Arial" w:cs="Arial"/>
          <w:sz w:val="24"/>
        </w:rPr>
        <w:t>包括3-250 amu，</w:t>
      </w:r>
      <w:r>
        <w:rPr>
          <w:rFonts w:ascii="Arial" w:hAnsi="Arial" w:cs="Arial"/>
          <w:sz w:val="24"/>
        </w:rPr>
        <w:t>高端质量数不低于2</w:t>
      </w:r>
      <w:r>
        <w:rPr>
          <w:rFonts w:hint="eastAsia" w:ascii="Arial" w:hAnsi="Arial" w:cs="Arial"/>
          <w:sz w:val="24"/>
        </w:rPr>
        <w:t>50</w:t>
      </w:r>
      <w:r>
        <w:rPr>
          <w:rFonts w:ascii="Arial" w:hAnsi="Arial" w:cs="Arial"/>
          <w:sz w:val="24"/>
        </w:rPr>
        <w:t xml:space="preserve"> amu。</w:t>
      </w:r>
    </w:p>
    <w:p>
      <w:pPr>
        <w:adjustRightInd w:val="0"/>
        <w:snapToGrid w:val="0"/>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3.1.7.</w:t>
      </w:r>
      <w:r>
        <w:rPr>
          <w:rFonts w:hint="eastAsia" w:ascii="Arial" w:hAnsi="Arial" w:cs="Arial"/>
          <w:sz w:val="24"/>
        </w:rPr>
        <w:t>4</w:t>
      </w:r>
      <w:r>
        <w:rPr>
          <w:rFonts w:ascii="Arial" w:hAnsi="Arial" w:cs="Arial"/>
          <w:sz w:val="24"/>
        </w:rPr>
        <w:t>仪器应具备分析UOOO</w:t>
      </w:r>
      <w:r>
        <w:rPr>
          <w:rFonts w:ascii="Arial" w:hAnsi="Arial" w:cs="Arial"/>
          <w:sz w:val="24"/>
          <w:vertAlign w:val="superscript"/>
        </w:rPr>
        <w:t>+</w:t>
      </w:r>
      <w:r>
        <w:rPr>
          <w:rFonts w:ascii="Arial" w:hAnsi="Arial" w:cs="Arial"/>
          <w:sz w:val="24"/>
        </w:rPr>
        <w:t>离子的能力。</w:t>
      </w:r>
    </w:p>
    <w:p>
      <w:pPr>
        <w:adjustRightInd w:val="0"/>
        <w:snapToGrid w:val="0"/>
        <w:spacing w:line="360" w:lineRule="auto"/>
        <w:ind w:firstLine="480" w:firstLineChars="200"/>
        <w:rPr>
          <w:rFonts w:ascii="Arial" w:hAnsi="Arial" w:cs="Arial"/>
          <w:sz w:val="24"/>
        </w:rPr>
      </w:pPr>
      <w:r>
        <w:rPr>
          <w:rFonts w:ascii="Arial" w:hAnsi="Arial" w:cs="Arial"/>
          <w:sz w:val="24"/>
        </w:rPr>
        <w:t>*3.1.7.</w:t>
      </w:r>
      <w:r>
        <w:rPr>
          <w:rFonts w:hint="eastAsia" w:ascii="Arial" w:hAnsi="Arial" w:cs="Arial"/>
          <w:sz w:val="24"/>
        </w:rPr>
        <w:t>5</w:t>
      </w:r>
      <w:r>
        <w:rPr>
          <w:rFonts w:ascii="Arial" w:hAnsi="Arial" w:cs="Arial"/>
          <w:sz w:val="24"/>
        </w:rPr>
        <w:t>质量分辨率：0.3-1amu。</w:t>
      </w:r>
    </w:p>
    <w:p>
      <w:pPr>
        <w:adjustRightInd w:val="0"/>
        <w:snapToGrid w:val="0"/>
        <w:spacing w:line="360" w:lineRule="auto"/>
        <w:rPr>
          <w:rFonts w:ascii="Arial" w:hAnsi="Arial" w:cs="Arial"/>
          <w:b/>
          <w:sz w:val="24"/>
        </w:rPr>
      </w:pPr>
      <w:r>
        <w:rPr>
          <w:rFonts w:ascii="Arial" w:hAnsi="Arial" w:cs="Arial"/>
          <w:b/>
          <w:sz w:val="24"/>
        </w:rPr>
        <w:t>3.1.</w:t>
      </w:r>
      <w:r>
        <w:rPr>
          <w:rFonts w:hint="eastAsia" w:ascii="Arial" w:hAnsi="Arial" w:cs="Arial"/>
          <w:b/>
          <w:sz w:val="24"/>
        </w:rPr>
        <w:t>8检测器：</w:t>
      </w:r>
    </w:p>
    <w:p>
      <w:pPr>
        <w:adjustRightInd w:val="0"/>
        <w:snapToGrid w:val="0"/>
        <w:spacing w:line="360" w:lineRule="auto"/>
        <w:ind w:firstLine="420"/>
        <w:rPr>
          <w:rFonts w:ascii="Arial" w:hAnsi="Arial" w:cs="Arial"/>
          <w:sz w:val="24"/>
        </w:rPr>
      </w:pPr>
      <w:r>
        <w:rPr>
          <w:rFonts w:ascii="Arial" w:hAnsi="Arial" w:cs="Arial"/>
          <w:sz w:val="24"/>
        </w:rPr>
        <w:t>脉冲模拟双模式同时型电子倍增器两种模式可以自动切换，必须可以在一次进样过程中同时完成扫描和跳峰分析（定性和定量分析），</w:t>
      </w:r>
      <w:r>
        <w:rPr>
          <w:rFonts w:hint="eastAsia" w:ascii="Arial" w:hAnsi="Arial" w:cs="Arial"/>
          <w:sz w:val="24"/>
        </w:rPr>
        <w:t>线性动态范围不低于10个数量级</w:t>
      </w:r>
      <w:r>
        <w:rPr>
          <w:rFonts w:ascii="Arial" w:hAnsi="Arial" w:cs="Arial"/>
          <w:sz w:val="24"/>
        </w:rPr>
        <w:t>且两种模式分析过程中的驻留时间可达0.1ms</w:t>
      </w:r>
    </w:p>
    <w:p>
      <w:pPr>
        <w:adjustRightInd w:val="0"/>
        <w:snapToGrid w:val="0"/>
        <w:spacing w:line="360" w:lineRule="auto"/>
        <w:rPr>
          <w:rFonts w:ascii="Arial" w:hAnsi="Arial" w:cs="Arial"/>
          <w:b/>
          <w:sz w:val="24"/>
        </w:rPr>
      </w:pPr>
      <w:r>
        <w:rPr>
          <w:rFonts w:ascii="Arial" w:hAnsi="Arial" w:cs="Arial"/>
          <w:b/>
          <w:sz w:val="24"/>
        </w:rPr>
        <w:t>3.1.</w:t>
      </w:r>
      <w:r>
        <w:rPr>
          <w:rFonts w:hint="eastAsia" w:ascii="Arial" w:hAnsi="Arial" w:cs="Arial"/>
          <w:b/>
          <w:sz w:val="24"/>
        </w:rPr>
        <w:t>9 真空系统：包括分子涡轮泵和机械泵</w:t>
      </w:r>
    </w:p>
    <w:p>
      <w:pPr>
        <w:adjustRightInd w:val="0"/>
        <w:snapToGrid w:val="0"/>
        <w:spacing w:line="360" w:lineRule="auto"/>
        <w:ind w:firstLine="480" w:firstLineChars="200"/>
        <w:rPr>
          <w:rFonts w:ascii="Arial" w:hAnsi="Arial" w:cs="Arial"/>
          <w:sz w:val="24"/>
        </w:rPr>
      </w:pPr>
      <w:r>
        <w:rPr>
          <w:rFonts w:ascii="Arial" w:hAnsi="Arial" w:cs="Arial"/>
          <w:sz w:val="24"/>
        </w:rPr>
        <w:t>阀门关闭状态</w:t>
      </w:r>
      <w:r>
        <w:rPr>
          <w:rFonts w:hint="eastAsia" w:ascii="Arial" w:hAnsi="Arial" w:cs="Arial"/>
          <w:sz w:val="24"/>
        </w:rPr>
        <w:t>真空度</w:t>
      </w:r>
      <w:r>
        <w:rPr>
          <w:rFonts w:ascii="Arial" w:hAnsi="Arial" w:cs="Arial"/>
          <w:sz w:val="24"/>
        </w:rPr>
        <w:t>：</w:t>
      </w:r>
      <w:r>
        <w:rPr>
          <w:rFonts w:hint="eastAsia" w:ascii="Arial" w:hAnsi="Arial" w:cs="Arial"/>
          <w:sz w:val="24"/>
        </w:rPr>
        <w:t>≤</w:t>
      </w:r>
      <w:r>
        <w:rPr>
          <w:rFonts w:ascii="Arial" w:hAnsi="Arial" w:cs="Arial"/>
          <w:sz w:val="24"/>
        </w:rPr>
        <w:t>3*10-7mbar</w:t>
      </w:r>
    </w:p>
    <w:p>
      <w:pPr>
        <w:adjustRightInd w:val="0"/>
        <w:snapToGrid w:val="0"/>
        <w:spacing w:line="360" w:lineRule="auto"/>
        <w:ind w:firstLine="480" w:firstLineChars="200"/>
        <w:rPr>
          <w:rFonts w:ascii="Arial" w:hAnsi="Arial" w:cs="Arial"/>
          <w:sz w:val="24"/>
        </w:rPr>
      </w:pPr>
      <w:r>
        <w:rPr>
          <w:rFonts w:ascii="Arial" w:hAnsi="Arial" w:cs="Arial"/>
          <w:sz w:val="24"/>
        </w:rPr>
        <w:t>工作状态</w:t>
      </w:r>
      <w:r>
        <w:rPr>
          <w:rFonts w:hint="eastAsia" w:ascii="Arial" w:hAnsi="Arial" w:cs="Arial"/>
          <w:sz w:val="24"/>
        </w:rPr>
        <w:t>真空度</w:t>
      </w:r>
      <w:r>
        <w:rPr>
          <w:rFonts w:ascii="Arial" w:hAnsi="Arial" w:cs="Arial"/>
          <w:sz w:val="24"/>
        </w:rPr>
        <w:t>：</w:t>
      </w:r>
      <w:r>
        <w:rPr>
          <w:rFonts w:hint="eastAsia" w:ascii="Arial" w:hAnsi="Arial" w:cs="Arial"/>
          <w:sz w:val="24"/>
        </w:rPr>
        <w:t>≤</w:t>
      </w:r>
      <w:r>
        <w:rPr>
          <w:rFonts w:ascii="Arial" w:hAnsi="Arial" w:cs="Arial"/>
          <w:sz w:val="24"/>
        </w:rPr>
        <w:t>9*10-7mbar</w:t>
      </w:r>
    </w:p>
    <w:p>
      <w:pPr>
        <w:pStyle w:val="2"/>
        <w:spacing w:line="360" w:lineRule="auto"/>
        <w:rPr>
          <w:rFonts w:ascii="Arial" w:hAnsi="Arial" w:cs="Arial"/>
          <w:b/>
        </w:rPr>
      </w:pPr>
      <w:r>
        <w:rPr>
          <w:rFonts w:ascii="Arial" w:hAnsi="Arial" w:cs="Arial"/>
          <w:b/>
        </w:rPr>
        <w:t>*3.1.</w:t>
      </w:r>
      <w:r>
        <w:rPr>
          <w:rFonts w:hint="eastAsia" w:ascii="Arial" w:hAnsi="Arial" w:cs="Arial"/>
          <w:b/>
        </w:rPr>
        <w:t>10</w:t>
      </w:r>
      <w:r>
        <w:rPr>
          <w:rFonts w:ascii="Arial" w:hAnsi="Arial" w:cs="Arial"/>
          <w:b/>
        </w:rPr>
        <w:t>具备纳米颗粒及单细胞分析所用的进样系统，配备低流量注射泵、专用雾化室及雾化器以及常规样品分析使用的自动进样器。</w:t>
      </w:r>
    </w:p>
    <w:p>
      <w:pPr>
        <w:adjustRightInd w:val="0"/>
        <w:snapToGrid w:val="0"/>
        <w:spacing w:line="360" w:lineRule="auto"/>
        <w:rPr>
          <w:rFonts w:ascii="Arial" w:hAnsi="Arial" w:cs="Arial"/>
          <w:b/>
          <w:sz w:val="24"/>
        </w:rPr>
      </w:pPr>
      <w:r>
        <w:rPr>
          <w:rFonts w:ascii="Arial" w:hAnsi="Arial" w:cs="Arial"/>
          <w:b/>
          <w:sz w:val="24"/>
        </w:rPr>
        <w:t>3.2 软件：</w:t>
      </w:r>
    </w:p>
    <w:p>
      <w:pPr>
        <w:adjustRightInd w:val="0"/>
        <w:snapToGrid w:val="0"/>
        <w:spacing w:line="360" w:lineRule="auto"/>
        <w:ind w:firstLine="480" w:firstLineChars="200"/>
        <w:rPr>
          <w:rFonts w:ascii="Arial" w:hAnsi="Arial" w:cs="Arial"/>
          <w:sz w:val="24"/>
        </w:rPr>
      </w:pPr>
      <w:r>
        <w:rPr>
          <w:rFonts w:ascii="Arial" w:hAnsi="Arial" w:cs="Arial"/>
          <w:sz w:val="24"/>
        </w:rPr>
        <w:t>3.2.1 操作系统：知名品牌商用电脑， Microsoft ® Windows 10</w:t>
      </w:r>
      <w:r>
        <w:rPr>
          <w:rFonts w:hint="eastAsia" w:ascii="Arial" w:hAnsi="Arial" w:cs="Arial"/>
          <w:sz w:val="24"/>
        </w:rPr>
        <w:t>，</w:t>
      </w:r>
      <w:r>
        <w:rPr>
          <w:rFonts w:ascii="Arial" w:hAnsi="Arial" w:cs="Arial"/>
          <w:sz w:val="24"/>
        </w:rPr>
        <w:t>多任务</w:t>
      </w:r>
      <w:r>
        <w:rPr>
          <w:rFonts w:hint="eastAsia" w:ascii="Arial" w:hAnsi="Arial" w:cs="Arial"/>
          <w:sz w:val="24"/>
        </w:rPr>
        <w:t>，</w:t>
      </w:r>
      <w:r>
        <w:rPr>
          <w:rFonts w:ascii="Arial" w:hAnsi="Arial" w:cs="Arial"/>
          <w:sz w:val="24"/>
        </w:rPr>
        <w:t>多用户系统软件。</w:t>
      </w:r>
    </w:p>
    <w:p>
      <w:pPr>
        <w:adjustRightInd w:val="0"/>
        <w:snapToGrid w:val="0"/>
        <w:spacing w:line="360" w:lineRule="auto"/>
        <w:ind w:left="-15" w:leftChars="-7" w:firstLine="480" w:firstLineChars="200"/>
        <w:rPr>
          <w:rFonts w:ascii="Arial" w:hAnsi="Arial" w:cs="Arial"/>
          <w:sz w:val="24"/>
        </w:rPr>
      </w:pPr>
      <w:r>
        <w:rPr>
          <w:rFonts w:ascii="Arial" w:hAnsi="Arial" w:cs="Arial"/>
          <w:sz w:val="24"/>
        </w:rPr>
        <w:t>3.2.2 全自动分析功能(启动关闭仪器 ,炬位调整, 等离子体参数, 离子透镜, 标准等离子体条件与冷等离子体条件切换,标准技术与碰撞池技术切换等)</w:t>
      </w:r>
      <w:r>
        <w:rPr>
          <w:rFonts w:hint="eastAsia" w:ascii="Arial" w:hAnsi="Arial" w:cs="Arial"/>
          <w:sz w:val="24"/>
        </w:rPr>
        <w:t>。</w:t>
      </w:r>
    </w:p>
    <w:p>
      <w:pPr>
        <w:adjustRightInd w:val="0"/>
        <w:snapToGrid w:val="0"/>
        <w:spacing w:line="360" w:lineRule="auto"/>
        <w:ind w:firstLine="480" w:firstLineChars="200"/>
        <w:rPr>
          <w:rFonts w:ascii="Arial" w:hAnsi="Arial" w:cs="Arial"/>
          <w:sz w:val="24"/>
        </w:rPr>
      </w:pPr>
      <w:r>
        <w:rPr>
          <w:rFonts w:ascii="Arial" w:hAnsi="Arial" w:cs="Arial"/>
          <w:sz w:val="24"/>
        </w:rPr>
        <w:t>3.2.3实时数据显示,和实时报告显示。</w:t>
      </w:r>
    </w:p>
    <w:p>
      <w:pPr>
        <w:adjustRightInd w:val="0"/>
        <w:snapToGrid w:val="0"/>
        <w:spacing w:line="360" w:lineRule="auto"/>
        <w:ind w:firstLine="480" w:firstLineChars="200"/>
        <w:rPr>
          <w:rFonts w:ascii="Arial" w:hAnsi="Arial" w:cs="Arial"/>
          <w:bCs/>
          <w:sz w:val="24"/>
        </w:rPr>
      </w:pPr>
      <w:r>
        <w:rPr>
          <w:rFonts w:ascii="Arial" w:hAnsi="Arial" w:cs="Arial"/>
          <w:bCs/>
          <w:sz w:val="24"/>
        </w:rPr>
        <w:t>3.2.4操作软件可以安装于个人计算机上，样品分析数据可以使用此软件进行离线数据处理并生成报告。</w:t>
      </w:r>
    </w:p>
    <w:p>
      <w:pPr>
        <w:adjustRightInd w:val="0"/>
        <w:snapToGrid w:val="0"/>
        <w:spacing w:line="360" w:lineRule="auto"/>
        <w:ind w:firstLine="480" w:firstLineChars="200"/>
        <w:rPr>
          <w:rFonts w:ascii="Arial" w:hAnsi="Arial" w:cs="Arial"/>
          <w:bCs/>
          <w:sz w:val="24"/>
        </w:rPr>
      </w:pPr>
      <w:r>
        <w:rPr>
          <w:rFonts w:ascii="Arial" w:hAnsi="Arial" w:cs="Arial"/>
          <w:bCs/>
          <w:sz w:val="24"/>
        </w:rPr>
        <w:t>3.2.5配有纳米颗粒及单细胞专用数据分析处理软件。</w:t>
      </w:r>
    </w:p>
    <w:p>
      <w:pPr>
        <w:tabs>
          <w:tab w:val="left" w:pos="1133"/>
          <w:tab w:val="left" w:pos="2402"/>
          <w:tab w:val="left" w:pos="3562"/>
          <w:tab w:val="left" w:pos="5743"/>
          <w:tab w:val="left" w:pos="6986"/>
          <w:tab w:val="left" w:pos="8131"/>
        </w:tabs>
        <w:autoSpaceDE w:val="0"/>
        <w:autoSpaceDN w:val="0"/>
        <w:adjustRightInd w:val="0"/>
        <w:spacing w:line="360" w:lineRule="auto"/>
        <w:rPr>
          <w:rFonts w:ascii="Arial" w:hAnsi="Arial" w:cs="Arial"/>
          <w:b/>
          <w:sz w:val="24"/>
        </w:rPr>
      </w:pPr>
      <w:r>
        <w:rPr>
          <w:rFonts w:hint="eastAsia" w:ascii="Arial" w:hAnsi="Arial" w:cs="Arial"/>
          <w:b/>
          <w:sz w:val="24"/>
        </w:rPr>
        <w:t>*</w:t>
      </w:r>
      <w:bookmarkStart w:id="10" w:name="OLE_LINK46"/>
      <w:bookmarkStart w:id="11" w:name="OLE_LINK45"/>
      <w:r>
        <w:rPr>
          <w:rFonts w:ascii="Arial" w:hAnsi="Arial" w:cs="Arial"/>
          <w:b/>
          <w:sz w:val="24"/>
        </w:rPr>
        <w:t>4. 性能指标（所有指标必须为可验收指标）</w:t>
      </w:r>
    </w:p>
    <w:p>
      <w:pPr>
        <w:pStyle w:val="2"/>
        <w:spacing w:line="360" w:lineRule="auto"/>
        <w:rPr>
          <w:rFonts w:ascii="Arial" w:hAnsi="Arial" w:cs="Arial"/>
        </w:rPr>
      </w:pPr>
      <w:r>
        <w:rPr>
          <w:rFonts w:ascii="Arial" w:hAnsi="Arial" w:cs="Arial"/>
        </w:rPr>
        <w:t>标准模式下灵敏度及检出限</w:t>
      </w:r>
      <w:r>
        <w:rPr>
          <w:rFonts w:hint="eastAsia" w:ascii="Arial" w:hAnsi="Arial" w:cs="Arial"/>
        </w:rPr>
        <w:t>：</w:t>
      </w:r>
    </w:p>
    <w:p>
      <w:pPr>
        <w:pStyle w:val="2"/>
        <w:spacing w:line="360" w:lineRule="auto"/>
        <w:rPr>
          <w:rFonts w:ascii="Arial" w:hAnsi="Arial" w:cs="Arial"/>
        </w:rPr>
      </w:pPr>
      <w:r>
        <w:rPr>
          <w:rFonts w:hint="eastAsia" w:ascii="Arial" w:hAnsi="Arial" w:cs="Arial"/>
        </w:rPr>
        <w:tab/>
      </w:r>
      <w:r>
        <w:rPr>
          <w:rFonts w:hint="eastAsia" w:ascii="Arial" w:hAnsi="Arial" w:cs="Arial"/>
        </w:rPr>
        <w:t>灵敏度：</w:t>
      </w:r>
    </w:p>
    <w:p>
      <w:pPr>
        <w:pStyle w:val="2"/>
        <w:spacing w:line="360" w:lineRule="auto"/>
        <w:ind w:left="420" w:firstLine="420"/>
        <w:rPr>
          <w:rFonts w:ascii="Arial" w:hAnsi="Arial" w:cs="Arial"/>
        </w:rPr>
      </w:pPr>
      <w:r>
        <w:rPr>
          <w:rFonts w:ascii="Arial" w:hAnsi="Arial" w:cs="Arial"/>
        </w:rPr>
        <w:t>低质量数元素Li(7)或Be（9）: ≥ 150 Mcps/ppm</w:t>
      </w:r>
    </w:p>
    <w:p>
      <w:pPr>
        <w:pStyle w:val="2"/>
        <w:spacing w:line="360" w:lineRule="auto"/>
        <w:ind w:left="420" w:firstLine="420"/>
        <w:rPr>
          <w:rFonts w:ascii="Arial" w:hAnsi="Arial" w:cs="Arial"/>
        </w:rPr>
      </w:pPr>
      <w:r>
        <w:rPr>
          <w:rFonts w:ascii="Arial" w:hAnsi="Arial" w:cs="Arial"/>
        </w:rPr>
        <w:t>中质量数元素Y(89)或In（115）: ≥ 300 Mcps/ppm</w:t>
      </w:r>
    </w:p>
    <w:p>
      <w:pPr>
        <w:pStyle w:val="2"/>
        <w:spacing w:line="360" w:lineRule="auto"/>
        <w:ind w:left="420" w:firstLine="420"/>
        <w:rPr>
          <w:rFonts w:ascii="Arial" w:hAnsi="Arial" w:cs="Arial"/>
        </w:rPr>
      </w:pPr>
      <w:r>
        <w:rPr>
          <w:rFonts w:ascii="Arial" w:hAnsi="Arial" w:cs="Arial"/>
        </w:rPr>
        <w:t>重质量数元素U（238）: ≥330 Mcps/ppm</w:t>
      </w:r>
    </w:p>
    <w:p>
      <w:pPr>
        <w:pStyle w:val="2"/>
        <w:spacing w:line="360" w:lineRule="auto"/>
        <w:ind w:left="420" w:leftChars="200"/>
        <w:rPr>
          <w:rFonts w:ascii="Arial" w:hAnsi="Arial" w:cs="Arial"/>
        </w:rPr>
      </w:pPr>
      <w:r>
        <w:rPr>
          <w:rFonts w:ascii="Arial" w:hAnsi="Arial" w:cs="Arial"/>
        </w:rPr>
        <w:t xml:space="preserve">背景（No Gas）随机背景: </w:t>
      </w:r>
      <w:bookmarkStart w:id="12" w:name="OLE_LINK49"/>
      <w:bookmarkStart w:id="13" w:name="OLE_LINK50"/>
      <w:r>
        <w:rPr>
          <w:rFonts w:ascii="Arial" w:hAnsi="Arial" w:cs="Arial"/>
        </w:rPr>
        <w:t>≤</w:t>
      </w:r>
      <w:bookmarkEnd w:id="12"/>
      <w:bookmarkEnd w:id="13"/>
      <w:r>
        <w:rPr>
          <w:rFonts w:ascii="Arial" w:hAnsi="Arial" w:cs="Arial"/>
        </w:rPr>
        <w:t xml:space="preserve"> 1 cps （</w:t>
      </w:r>
      <w:r>
        <w:rPr>
          <w:rFonts w:ascii="Arial" w:hAnsi="Arial" w:cs="Arial"/>
          <w:bCs/>
        </w:rPr>
        <w:t>4.5</w:t>
      </w:r>
      <w:r>
        <w:rPr>
          <w:rFonts w:hint="eastAsia" w:ascii="Arial" w:hAnsi="Arial" w:cs="Arial"/>
          <w:bCs/>
        </w:rPr>
        <w:t xml:space="preserve">或9 </w:t>
      </w:r>
      <w:r>
        <w:rPr>
          <w:rFonts w:ascii="Arial" w:hAnsi="Arial" w:cs="Arial"/>
          <w:bCs/>
        </w:rPr>
        <w:t>amu</w:t>
      </w:r>
      <w:r>
        <w:rPr>
          <w:rFonts w:ascii="Arial" w:hAnsi="Arial" w:cs="Arial"/>
        </w:rPr>
        <w:t>处测定实际背景）</w:t>
      </w:r>
      <w:r>
        <w:rPr>
          <w:rFonts w:hint="eastAsia" w:ascii="Arial" w:hAnsi="Arial" w:cs="Arial"/>
        </w:rPr>
        <w:t>。</w:t>
      </w:r>
    </w:p>
    <w:p>
      <w:pPr>
        <w:pStyle w:val="2"/>
        <w:spacing w:line="360" w:lineRule="auto"/>
        <w:ind w:left="420" w:leftChars="200"/>
        <w:rPr>
          <w:rFonts w:ascii="Arial" w:hAnsi="Arial" w:cs="Arial"/>
        </w:rPr>
      </w:pPr>
      <w:r>
        <w:rPr>
          <w:rFonts w:ascii="Arial" w:hAnsi="Arial" w:cs="Arial"/>
        </w:rPr>
        <w:t xml:space="preserve">氧化物离子(CeO+/Ce+): ≤ 2 % </w:t>
      </w:r>
    </w:p>
    <w:p>
      <w:pPr>
        <w:pStyle w:val="2"/>
        <w:spacing w:line="360" w:lineRule="auto"/>
        <w:ind w:left="420" w:leftChars="200"/>
        <w:rPr>
          <w:rFonts w:ascii="Arial" w:hAnsi="Arial" w:cs="Arial"/>
        </w:rPr>
      </w:pPr>
      <w:r>
        <w:rPr>
          <w:rFonts w:ascii="Arial" w:hAnsi="Arial" w:cs="Arial"/>
        </w:rPr>
        <w:t>双电荷粒子（Ce++/Ce+）＜4%</w:t>
      </w:r>
      <w:r>
        <w:rPr>
          <w:rFonts w:hint="eastAsia" w:ascii="Arial" w:hAnsi="Arial" w:cs="Arial"/>
        </w:rPr>
        <w:t xml:space="preserve"> 或（Ba++/Ba+）</w:t>
      </w:r>
      <w:r>
        <w:rPr>
          <w:rFonts w:ascii="Arial" w:hAnsi="Arial" w:cs="Arial"/>
        </w:rPr>
        <w:t>:</w:t>
      </w:r>
      <w:r>
        <w:rPr>
          <w:rFonts w:hint="eastAsia" w:ascii="Arial" w:hAnsi="Arial" w:cs="Arial"/>
        </w:rPr>
        <w:t>≤ 3%</w:t>
      </w:r>
      <w:r>
        <w:rPr>
          <w:rFonts w:ascii="Arial" w:hAnsi="Arial" w:cs="Arial"/>
        </w:rPr>
        <w:t>。</w:t>
      </w:r>
    </w:p>
    <w:p>
      <w:pPr>
        <w:pStyle w:val="2"/>
        <w:spacing w:line="360" w:lineRule="auto"/>
        <w:ind w:left="420" w:leftChars="200"/>
        <w:rPr>
          <w:rFonts w:ascii="Arial" w:hAnsi="Arial" w:cs="Arial"/>
        </w:rPr>
      </w:pPr>
      <w:r>
        <w:rPr>
          <w:rFonts w:ascii="Arial" w:hAnsi="Arial" w:cs="Arial"/>
        </w:rPr>
        <w:t>检测限</w:t>
      </w:r>
      <w:r>
        <w:rPr>
          <w:rFonts w:hint="eastAsia" w:ascii="Arial" w:hAnsi="Arial" w:cs="Arial"/>
        </w:rPr>
        <w:t>：</w:t>
      </w:r>
    </w:p>
    <w:p>
      <w:pPr>
        <w:pStyle w:val="2"/>
        <w:spacing w:line="360" w:lineRule="auto"/>
        <w:ind w:left="420" w:leftChars="200" w:firstLine="420"/>
        <w:rPr>
          <w:rFonts w:ascii="Arial" w:hAnsi="Arial" w:cs="Arial"/>
        </w:rPr>
      </w:pPr>
      <w:r>
        <w:rPr>
          <w:rFonts w:ascii="Arial" w:hAnsi="Arial" w:cs="Arial"/>
        </w:rPr>
        <w:t>低质量数元素Li(7)或Be（9）: ≤ 0.5 ppt</w:t>
      </w:r>
    </w:p>
    <w:p>
      <w:pPr>
        <w:pStyle w:val="2"/>
        <w:spacing w:line="360" w:lineRule="auto"/>
        <w:ind w:left="420" w:leftChars="200" w:firstLine="420"/>
        <w:rPr>
          <w:rFonts w:ascii="Arial" w:hAnsi="Arial" w:cs="Arial"/>
        </w:rPr>
      </w:pPr>
      <w:r>
        <w:rPr>
          <w:rFonts w:ascii="Arial" w:hAnsi="Arial" w:cs="Arial"/>
        </w:rPr>
        <w:t>中质量数元素Y(89)或In（115）: ≤ 0.1 ppt</w:t>
      </w:r>
    </w:p>
    <w:p>
      <w:pPr>
        <w:pStyle w:val="2"/>
        <w:spacing w:line="360" w:lineRule="auto"/>
        <w:ind w:left="420" w:leftChars="200" w:firstLine="420"/>
        <w:rPr>
          <w:rFonts w:ascii="Arial" w:hAnsi="Arial" w:cs="Arial"/>
        </w:rPr>
      </w:pPr>
      <w:r>
        <w:rPr>
          <w:rFonts w:ascii="Arial" w:hAnsi="Arial" w:cs="Arial"/>
        </w:rPr>
        <w:t>重质量数元素Bi(209)或U（238）: ≤ 0.1 ppt</w:t>
      </w:r>
    </w:p>
    <w:p>
      <w:pPr>
        <w:pStyle w:val="2"/>
        <w:spacing w:line="360" w:lineRule="auto"/>
        <w:ind w:left="420" w:leftChars="200"/>
        <w:rPr>
          <w:rFonts w:ascii="Arial" w:hAnsi="Arial" w:cs="Arial"/>
        </w:rPr>
      </w:pPr>
      <w:r>
        <w:rPr>
          <w:rFonts w:ascii="Arial" w:hAnsi="Arial" w:cs="Arial"/>
        </w:rPr>
        <w:t>稳定性 10min (RSD): &lt;2%</w:t>
      </w:r>
      <w:r>
        <w:rPr>
          <w:rFonts w:hint="eastAsia" w:ascii="Arial" w:hAnsi="Arial" w:cs="Arial"/>
        </w:rPr>
        <w:t>，长期稳定性≤4% RSD（4小时）</w:t>
      </w:r>
      <w:r>
        <w:rPr>
          <w:rFonts w:ascii="Arial" w:hAnsi="Arial" w:cs="Arial"/>
        </w:rPr>
        <w:t>。</w:t>
      </w:r>
    </w:p>
    <w:p>
      <w:pPr>
        <w:pStyle w:val="2"/>
        <w:spacing w:line="360" w:lineRule="auto"/>
        <w:rPr>
          <w:rFonts w:ascii="Arial" w:hAnsi="Arial" w:cs="Arial"/>
        </w:rPr>
      </w:pPr>
      <w:r>
        <w:rPr>
          <w:rFonts w:ascii="Arial" w:hAnsi="Arial" w:cs="Arial"/>
        </w:rPr>
        <w:t>碰撞反应模式灵敏度以及检出限：</w:t>
      </w:r>
    </w:p>
    <w:p>
      <w:pPr>
        <w:adjustRightInd w:val="0"/>
        <w:snapToGrid w:val="0"/>
        <w:spacing w:line="360" w:lineRule="auto"/>
        <w:ind w:firstLine="480" w:firstLineChars="200"/>
        <w:rPr>
          <w:rFonts w:ascii="Arial" w:hAnsi="Arial" w:cs="Arial"/>
          <w:sz w:val="24"/>
        </w:rPr>
      </w:pPr>
      <w:r>
        <w:rPr>
          <w:rFonts w:ascii="Arial" w:hAnsi="Arial" w:cs="Arial"/>
          <w:sz w:val="24"/>
        </w:rPr>
        <w:t xml:space="preserve">中质量数(Co): ≥ 40Mcps/ppm   </w:t>
      </w:r>
    </w:p>
    <w:p>
      <w:pPr>
        <w:adjustRightInd w:val="0"/>
        <w:snapToGrid w:val="0"/>
        <w:spacing w:line="360" w:lineRule="auto"/>
        <w:ind w:firstLine="480" w:firstLineChars="200"/>
        <w:rPr>
          <w:rFonts w:ascii="Arial" w:hAnsi="Arial" w:cs="Arial"/>
          <w:sz w:val="24"/>
        </w:rPr>
      </w:pPr>
      <w:r>
        <w:rPr>
          <w:rFonts w:ascii="Arial" w:hAnsi="Arial" w:cs="Arial"/>
          <w:sz w:val="24"/>
        </w:rPr>
        <w:t>碰撞模式下仪器检出限</w:t>
      </w:r>
      <w:r>
        <w:rPr>
          <w:rFonts w:hint="eastAsia" w:ascii="Arial" w:hAnsi="Arial" w:cs="Arial"/>
          <w:sz w:val="24"/>
        </w:rPr>
        <w:t>：</w:t>
      </w:r>
    </w:p>
    <w:p>
      <w:pPr>
        <w:adjustRightInd w:val="0"/>
        <w:snapToGrid w:val="0"/>
        <w:spacing w:line="360" w:lineRule="auto"/>
        <w:ind w:left="420" w:firstLine="480" w:firstLineChars="200"/>
        <w:rPr>
          <w:rFonts w:ascii="Arial" w:hAnsi="Arial" w:cs="Arial"/>
          <w:sz w:val="24"/>
        </w:rPr>
      </w:pPr>
      <w:r>
        <w:rPr>
          <w:rFonts w:ascii="Arial" w:hAnsi="Arial" w:cs="Arial"/>
          <w:sz w:val="24"/>
        </w:rPr>
        <w:t xml:space="preserve">轻质量元素:＜0.5ppt        </w:t>
      </w:r>
    </w:p>
    <w:p>
      <w:pPr>
        <w:adjustRightInd w:val="0"/>
        <w:snapToGrid w:val="0"/>
        <w:spacing w:line="360" w:lineRule="auto"/>
        <w:ind w:left="420" w:firstLine="480" w:firstLineChars="200"/>
        <w:rPr>
          <w:rFonts w:ascii="Arial" w:hAnsi="Arial" w:cs="Arial"/>
          <w:sz w:val="24"/>
        </w:rPr>
      </w:pPr>
      <w:r>
        <w:rPr>
          <w:rFonts w:ascii="Arial" w:hAnsi="Arial" w:cs="Arial"/>
          <w:sz w:val="24"/>
        </w:rPr>
        <w:t xml:space="preserve">中质量数元素:＜0.1ppt      </w:t>
      </w:r>
    </w:p>
    <w:p>
      <w:pPr>
        <w:adjustRightInd w:val="0"/>
        <w:snapToGrid w:val="0"/>
        <w:spacing w:line="360" w:lineRule="auto"/>
        <w:ind w:left="420" w:firstLine="480" w:firstLineChars="200"/>
        <w:rPr>
          <w:rFonts w:ascii="Arial" w:hAnsi="Arial" w:cs="Arial"/>
          <w:sz w:val="24"/>
        </w:rPr>
      </w:pPr>
      <w:r>
        <w:rPr>
          <w:rFonts w:ascii="Arial" w:hAnsi="Arial" w:cs="Arial"/>
          <w:sz w:val="24"/>
        </w:rPr>
        <w:t xml:space="preserve">高质量数元素:＜0.1ppt  </w:t>
      </w:r>
    </w:p>
    <w:p>
      <w:pPr>
        <w:adjustRightInd w:val="0"/>
        <w:snapToGrid w:val="0"/>
        <w:spacing w:line="360" w:lineRule="auto"/>
        <w:ind w:firstLine="480" w:firstLineChars="200"/>
        <w:rPr>
          <w:rFonts w:ascii="Arial" w:hAnsi="Arial" w:cs="Arial"/>
          <w:sz w:val="24"/>
        </w:rPr>
      </w:pPr>
      <w:r>
        <w:rPr>
          <w:rFonts w:ascii="Arial" w:hAnsi="Arial" w:cs="Arial"/>
          <w:sz w:val="24"/>
        </w:rPr>
        <w:t>碰撞模式下（KED）随机背景：＜0.5 cps (4.5amu)</w:t>
      </w:r>
    </w:p>
    <w:p>
      <w:pPr>
        <w:adjustRightInd w:val="0"/>
        <w:snapToGrid w:val="0"/>
        <w:spacing w:line="360" w:lineRule="auto"/>
        <w:rPr>
          <w:rFonts w:ascii="Arial" w:hAnsi="Arial" w:cs="Arial"/>
          <w:sz w:val="24"/>
        </w:rPr>
      </w:pPr>
      <w:r>
        <w:rPr>
          <w:rFonts w:ascii="Arial" w:hAnsi="Arial" w:cs="Arial"/>
          <w:sz w:val="24"/>
        </w:rPr>
        <w:t>三重四极杆模式下检出限参数</w:t>
      </w:r>
      <w:r>
        <w:rPr>
          <w:rFonts w:hint="eastAsia" w:ascii="Arial" w:hAnsi="Arial" w:cs="Arial"/>
          <w:sz w:val="24"/>
        </w:rPr>
        <w:t>：</w:t>
      </w:r>
    </w:p>
    <w:p>
      <w:pPr>
        <w:adjustRightInd w:val="0"/>
        <w:snapToGrid w:val="0"/>
        <w:spacing w:line="360" w:lineRule="auto"/>
        <w:ind w:firstLine="480" w:firstLineChars="200"/>
        <w:rPr>
          <w:rFonts w:ascii="Arial" w:hAnsi="Arial" w:cs="Arial"/>
          <w:sz w:val="24"/>
        </w:rPr>
      </w:pPr>
      <w:r>
        <w:rPr>
          <w:rFonts w:ascii="Arial" w:hAnsi="Arial" w:cs="Arial"/>
          <w:sz w:val="24"/>
        </w:rPr>
        <w:t>硫元素（32S或SO+）检出限:＜200ppt</w:t>
      </w:r>
    </w:p>
    <w:p>
      <w:pPr>
        <w:adjustRightInd w:val="0"/>
        <w:snapToGrid w:val="0"/>
        <w:spacing w:line="360" w:lineRule="auto"/>
        <w:ind w:firstLine="480" w:firstLineChars="200"/>
        <w:rPr>
          <w:rFonts w:ascii="Arial" w:hAnsi="Arial" w:cs="Arial"/>
          <w:sz w:val="24"/>
        </w:rPr>
      </w:pPr>
      <w:r>
        <w:rPr>
          <w:rFonts w:ascii="Arial" w:hAnsi="Arial" w:cs="Arial"/>
          <w:sz w:val="24"/>
        </w:rPr>
        <w:t>磷元素（31P或PO+）检出限:＜50ppt</w:t>
      </w:r>
    </w:p>
    <w:p>
      <w:pPr>
        <w:adjustRightInd w:val="0"/>
        <w:snapToGrid w:val="0"/>
        <w:spacing w:line="360" w:lineRule="auto"/>
        <w:ind w:firstLine="480" w:firstLineChars="200"/>
        <w:rPr>
          <w:rFonts w:ascii="Arial" w:hAnsi="Arial" w:cs="Arial"/>
          <w:sz w:val="24"/>
        </w:rPr>
      </w:pPr>
      <w:r>
        <w:rPr>
          <w:rFonts w:ascii="Arial" w:hAnsi="Arial" w:cs="Arial"/>
          <w:sz w:val="24"/>
        </w:rPr>
        <w:t>硒元素（78Se）检出限:＜1ppt</w:t>
      </w:r>
    </w:p>
    <w:p>
      <w:pPr>
        <w:pStyle w:val="2"/>
        <w:spacing w:line="360" w:lineRule="auto"/>
        <w:rPr>
          <w:rFonts w:ascii="Arial" w:hAnsi="Arial" w:cs="Arial"/>
        </w:rPr>
      </w:pPr>
      <w:bookmarkStart w:id="14" w:name="OLE_LINK36"/>
      <w:bookmarkStart w:id="15" w:name="OLE_LINK35"/>
      <w:r>
        <w:rPr>
          <w:rFonts w:ascii="Arial" w:hAnsi="Arial" w:cs="Arial"/>
        </w:rPr>
        <w:t>仪器线性范围</w:t>
      </w:r>
      <w:r>
        <w:rPr>
          <w:rFonts w:hint="eastAsia" w:ascii="Arial" w:hAnsi="Arial" w:cs="Arial"/>
        </w:rPr>
        <w:t>（包括检测器动态范围）</w:t>
      </w:r>
      <w:r>
        <w:rPr>
          <w:rFonts w:ascii="Arial" w:hAnsi="Arial" w:cs="Arial"/>
        </w:rPr>
        <w:t>：≥ 10个数量级</w:t>
      </w:r>
      <w:bookmarkEnd w:id="10"/>
      <w:bookmarkEnd w:id="11"/>
    </w:p>
    <w:bookmarkEnd w:id="14"/>
    <w:bookmarkEnd w:id="15"/>
    <w:p>
      <w:pPr>
        <w:adjustRightInd w:val="0"/>
        <w:snapToGrid w:val="0"/>
        <w:spacing w:line="360" w:lineRule="auto"/>
        <w:rPr>
          <w:rFonts w:ascii="Arial" w:hAnsi="Arial" w:cs="Arial"/>
          <w:b/>
          <w:sz w:val="24"/>
        </w:rPr>
      </w:pPr>
      <w:r>
        <w:rPr>
          <w:rFonts w:ascii="Arial" w:hAnsi="Arial" w:cs="Arial"/>
          <w:b/>
          <w:sz w:val="24"/>
        </w:rPr>
        <w:t>5．配置清单</w:t>
      </w:r>
    </w:p>
    <w:p>
      <w:pPr>
        <w:adjustRightInd w:val="0"/>
        <w:snapToGrid w:val="0"/>
        <w:spacing w:line="360" w:lineRule="auto"/>
        <w:ind w:firstLine="480" w:firstLineChars="200"/>
        <w:rPr>
          <w:rFonts w:ascii="Arial" w:hAnsi="Arial" w:cs="Arial"/>
          <w:sz w:val="24"/>
        </w:rPr>
      </w:pPr>
      <w:r>
        <w:rPr>
          <w:rFonts w:ascii="Arial" w:hAnsi="Arial" w:cs="Arial"/>
          <w:sz w:val="24"/>
        </w:rPr>
        <w:t>5.1三重四极杆电感耦合等离子体质谱主机 1套</w:t>
      </w:r>
      <w:r>
        <w:rPr>
          <w:rFonts w:hint="eastAsia" w:hAnsi="宋体"/>
          <w:sz w:val="24"/>
        </w:rPr>
        <w:t>（包括开机正常分析的进样系统必须耗材，如泵管，雾化器，雾化室，炬管，锥等等）</w:t>
      </w:r>
    </w:p>
    <w:p>
      <w:pPr>
        <w:adjustRightInd w:val="0"/>
        <w:snapToGrid w:val="0"/>
        <w:spacing w:line="360" w:lineRule="auto"/>
        <w:ind w:firstLine="480" w:firstLineChars="200"/>
        <w:rPr>
          <w:rFonts w:ascii="Arial" w:hAnsi="Arial" w:cs="Arial"/>
          <w:sz w:val="24"/>
        </w:rPr>
      </w:pPr>
      <w:r>
        <w:rPr>
          <w:rFonts w:ascii="Arial" w:hAnsi="Arial" w:cs="Arial"/>
          <w:sz w:val="24"/>
        </w:rPr>
        <w:t>5.2石英矩管 ≥</w:t>
      </w:r>
      <w:r>
        <w:rPr>
          <w:rFonts w:hint="eastAsia" w:ascii="Arial" w:hAnsi="Arial" w:cs="Arial"/>
          <w:sz w:val="24"/>
        </w:rPr>
        <w:t xml:space="preserve"> 1</w:t>
      </w:r>
      <w:r>
        <w:rPr>
          <w:rFonts w:ascii="Arial" w:hAnsi="Arial" w:cs="Arial"/>
          <w:sz w:val="24"/>
        </w:rPr>
        <w:t>套</w:t>
      </w:r>
    </w:p>
    <w:p>
      <w:pPr>
        <w:adjustRightInd w:val="0"/>
        <w:snapToGrid w:val="0"/>
        <w:spacing w:line="360" w:lineRule="auto"/>
        <w:ind w:firstLine="480" w:firstLineChars="200"/>
        <w:rPr>
          <w:rFonts w:ascii="Arial" w:hAnsi="Arial" w:cs="Arial"/>
          <w:sz w:val="24"/>
        </w:rPr>
      </w:pPr>
      <w:r>
        <w:rPr>
          <w:rFonts w:ascii="Arial" w:hAnsi="Arial" w:cs="Arial"/>
          <w:sz w:val="24"/>
        </w:rPr>
        <w:t>5.3石英中心管≥</w:t>
      </w:r>
      <w:r>
        <w:rPr>
          <w:rFonts w:hint="eastAsia" w:ascii="Arial" w:hAnsi="Arial" w:cs="Arial"/>
          <w:sz w:val="24"/>
        </w:rPr>
        <w:t xml:space="preserve"> 1</w:t>
      </w:r>
      <w:r>
        <w:rPr>
          <w:rFonts w:ascii="Arial" w:hAnsi="Arial" w:cs="Arial"/>
          <w:sz w:val="24"/>
        </w:rPr>
        <w:t>套</w:t>
      </w:r>
    </w:p>
    <w:p>
      <w:pPr>
        <w:adjustRightInd w:val="0"/>
        <w:snapToGrid w:val="0"/>
        <w:spacing w:line="360" w:lineRule="auto"/>
        <w:ind w:firstLine="480" w:firstLineChars="200"/>
        <w:rPr>
          <w:rFonts w:ascii="Arial" w:hAnsi="Arial" w:cs="Arial"/>
          <w:sz w:val="24"/>
        </w:rPr>
      </w:pPr>
      <w:r>
        <w:rPr>
          <w:rFonts w:ascii="Arial" w:hAnsi="Arial" w:cs="Arial"/>
          <w:sz w:val="24"/>
        </w:rPr>
        <w:t>5.4 采样锥≥</w:t>
      </w:r>
      <w:r>
        <w:rPr>
          <w:rFonts w:hint="eastAsia" w:ascii="Arial" w:hAnsi="Arial" w:cs="Arial"/>
          <w:sz w:val="24"/>
        </w:rPr>
        <w:t xml:space="preserve"> 1</w:t>
      </w:r>
      <w:r>
        <w:rPr>
          <w:rFonts w:ascii="Arial" w:hAnsi="Arial" w:cs="Arial"/>
          <w:sz w:val="24"/>
        </w:rPr>
        <w:t>套</w:t>
      </w:r>
    </w:p>
    <w:p>
      <w:pPr>
        <w:adjustRightInd w:val="0"/>
        <w:snapToGrid w:val="0"/>
        <w:spacing w:line="360" w:lineRule="auto"/>
        <w:ind w:firstLine="480" w:firstLineChars="200"/>
        <w:rPr>
          <w:rFonts w:ascii="Arial" w:hAnsi="Arial" w:cs="Arial"/>
          <w:sz w:val="24"/>
        </w:rPr>
      </w:pPr>
      <w:r>
        <w:rPr>
          <w:rFonts w:ascii="Arial" w:hAnsi="Arial" w:cs="Arial"/>
          <w:sz w:val="24"/>
        </w:rPr>
        <w:t>5.5截取锥≥</w:t>
      </w:r>
      <w:r>
        <w:rPr>
          <w:rFonts w:hint="eastAsia" w:ascii="Arial" w:hAnsi="Arial" w:cs="Arial"/>
          <w:sz w:val="24"/>
        </w:rPr>
        <w:t xml:space="preserve"> 1</w:t>
      </w:r>
      <w:r>
        <w:rPr>
          <w:rFonts w:ascii="Arial" w:hAnsi="Arial" w:cs="Arial"/>
          <w:sz w:val="24"/>
        </w:rPr>
        <w:t>套</w:t>
      </w:r>
      <w:r>
        <w:rPr>
          <w:rFonts w:hint="eastAsia" w:hAnsi="宋体"/>
          <w:sz w:val="24"/>
        </w:rPr>
        <w:t>(如有嵌片或</w:t>
      </w:r>
      <w:r>
        <w:rPr>
          <w:rFonts w:ascii="Arial" w:hAnsi="Arial" w:cs="Arial"/>
          <w:sz w:val="24"/>
        </w:rPr>
        <w:t>高基体截取锥</w:t>
      </w:r>
      <w:r>
        <w:rPr>
          <w:rFonts w:hint="eastAsia" w:hAnsi="宋体"/>
          <w:sz w:val="24"/>
        </w:rPr>
        <w:t>，需各配齐1套)</w:t>
      </w:r>
    </w:p>
    <w:p>
      <w:pPr>
        <w:adjustRightInd w:val="0"/>
        <w:snapToGrid w:val="0"/>
        <w:spacing w:line="360" w:lineRule="auto"/>
        <w:ind w:firstLine="480" w:firstLineChars="200"/>
        <w:rPr>
          <w:rFonts w:ascii="Arial" w:hAnsi="Arial" w:cs="Arial"/>
          <w:sz w:val="24"/>
        </w:rPr>
      </w:pPr>
      <w:r>
        <w:rPr>
          <w:rFonts w:ascii="Arial" w:hAnsi="Arial" w:cs="Arial"/>
          <w:sz w:val="24"/>
        </w:rPr>
        <w:t>5.</w:t>
      </w:r>
      <w:r>
        <w:rPr>
          <w:rFonts w:hint="eastAsia" w:ascii="Arial" w:hAnsi="Arial" w:cs="Arial"/>
          <w:sz w:val="24"/>
        </w:rPr>
        <w:t>6</w:t>
      </w:r>
      <w:r>
        <w:rPr>
          <w:rFonts w:ascii="Arial" w:hAnsi="Arial" w:cs="Arial"/>
          <w:sz w:val="24"/>
        </w:rPr>
        <w:t>雾化室及雾化器2套</w:t>
      </w:r>
    </w:p>
    <w:p>
      <w:pPr>
        <w:adjustRightInd w:val="0"/>
        <w:snapToGrid w:val="0"/>
        <w:spacing w:line="360" w:lineRule="auto"/>
        <w:ind w:firstLine="480" w:firstLineChars="200"/>
        <w:rPr>
          <w:rFonts w:ascii="Arial" w:hAnsi="Arial" w:cs="Arial"/>
          <w:sz w:val="24"/>
        </w:rPr>
      </w:pPr>
      <w:r>
        <w:rPr>
          <w:rFonts w:ascii="Arial" w:hAnsi="Arial" w:cs="Arial"/>
          <w:sz w:val="24"/>
        </w:rPr>
        <w:t>5.</w:t>
      </w:r>
      <w:r>
        <w:rPr>
          <w:rFonts w:hint="eastAsia" w:ascii="Arial" w:hAnsi="Arial" w:cs="Arial"/>
          <w:sz w:val="24"/>
        </w:rPr>
        <w:t>7</w:t>
      </w:r>
      <w:r>
        <w:rPr>
          <w:rFonts w:ascii="Arial" w:hAnsi="Arial" w:cs="Arial"/>
          <w:sz w:val="24"/>
        </w:rPr>
        <w:t>进样泵管2包</w:t>
      </w:r>
      <w:r>
        <w:rPr>
          <w:rFonts w:hint="eastAsia" w:ascii="Arial" w:hAnsi="Arial" w:cs="Arial"/>
          <w:sz w:val="24"/>
        </w:rPr>
        <w:t>或12根</w:t>
      </w:r>
    </w:p>
    <w:p>
      <w:pPr>
        <w:adjustRightInd w:val="0"/>
        <w:snapToGrid w:val="0"/>
        <w:spacing w:line="360" w:lineRule="auto"/>
        <w:ind w:firstLine="480" w:firstLineChars="200"/>
        <w:rPr>
          <w:rFonts w:ascii="Arial" w:hAnsi="Arial" w:cs="Arial"/>
          <w:sz w:val="24"/>
        </w:rPr>
      </w:pPr>
      <w:r>
        <w:rPr>
          <w:rFonts w:ascii="Arial" w:hAnsi="Arial" w:cs="Arial"/>
          <w:sz w:val="24"/>
        </w:rPr>
        <w:t>5.</w:t>
      </w:r>
      <w:r>
        <w:rPr>
          <w:rFonts w:hint="eastAsia" w:ascii="Arial" w:hAnsi="Arial" w:cs="Arial"/>
          <w:sz w:val="24"/>
        </w:rPr>
        <w:t>8</w:t>
      </w:r>
      <w:r>
        <w:rPr>
          <w:rFonts w:ascii="Arial" w:hAnsi="Arial" w:cs="Arial"/>
          <w:sz w:val="24"/>
        </w:rPr>
        <w:t>废液管2包</w:t>
      </w:r>
      <w:r>
        <w:rPr>
          <w:rFonts w:hint="eastAsia" w:ascii="Arial" w:hAnsi="Arial" w:cs="Arial"/>
          <w:sz w:val="24"/>
        </w:rPr>
        <w:t>或12根</w:t>
      </w:r>
    </w:p>
    <w:p>
      <w:pPr>
        <w:adjustRightInd w:val="0"/>
        <w:snapToGrid w:val="0"/>
        <w:spacing w:line="360" w:lineRule="auto"/>
        <w:ind w:firstLine="480" w:firstLineChars="200"/>
        <w:rPr>
          <w:rFonts w:ascii="Arial" w:hAnsi="Arial" w:cs="Arial"/>
          <w:sz w:val="24"/>
        </w:rPr>
      </w:pPr>
      <w:r>
        <w:rPr>
          <w:rFonts w:ascii="Arial" w:hAnsi="Arial" w:cs="Arial"/>
          <w:sz w:val="24"/>
        </w:rPr>
        <w:t>5.</w:t>
      </w:r>
      <w:r>
        <w:rPr>
          <w:rFonts w:hint="eastAsia" w:ascii="Arial" w:hAnsi="Arial" w:cs="Arial"/>
          <w:sz w:val="24"/>
        </w:rPr>
        <w:t>9</w:t>
      </w:r>
      <w:r>
        <w:rPr>
          <w:rFonts w:ascii="Arial" w:hAnsi="Arial" w:cs="Arial"/>
          <w:sz w:val="24"/>
        </w:rPr>
        <w:t>特氟龙材质毛细管2包</w:t>
      </w:r>
      <w:r>
        <w:rPr>
          <w:rFonts w:hint="eastAsia" w:ascii="Arial" w:hAnsi="Arial" w:cs="Arial"/>
          <w:sz w:val="24"/>
        </w:rPr>
        <w:t>或5m</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0</w:t>
      </w:r>
      <w:r>
        <w:rPr>
          <w:rFonts w:ascii="Arial" w:hAnsi="Arial" w:cs="Arial"/>
          <w:sz w:val="24"/>
        </w:rPr>
        <w:t>采样锥石墨垫圈1包</w:t>
      </w:r>
      <w:r>
        <w:rPr>
          <w:rFonts w:hint="eastAsia" w:ascii="Arial" w:hAnsi="Arial" w:cs="Arial"/>
          <w:sz w:val="24"/>
        </w:rPr>
        <w:t>或3片</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1</w:t>
      </w:r>
      <w:r>
        <w:rPr>
          <w:rFonts w:ascii="Arial" w:hAnsi="Arial" w:cs="Arial"/>
          <w:sz w:val="24"/>
        </w:rPr>
        <w:t>机械泵油1瓶</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2</w:t>
      </w:r>
      <w:r>
        <w:rPr>
          <w:rFonts w:ascii="Arial" w:hAnsi="Arial" w:cs="Arial"/>
          <w:sz w:val="24"/>
        </w:rPr>
        <w:t>三通1套</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3</w:t>
      </w:r>
      <w:r>
        <w:rPr>
          <w:rFonts w:ascii="Arial" w:hAnsi="Arial" w:cs="Arial"/>
          <w:sz w:val="24"/>
        </w:rPr>
        <w:t>调谐液1套</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4</w:t>
      </w:r>
      <w:r>
        <w:rPr>
          <w:rFonts w:ascii="Arial" w:hAnsi="Arial" w:cs="Arial"/>
          <w:sz w:val="24"/>
        </w:rPr>
        <w:t>校正液1套</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5</w:t>
      </w:r>
      <w:r>
        <w:rPr>
          <w:rFonts w:ascii="Arial" w:hAnsi="Arial" w:cs="Arial"/>
          <w:sz w:val="24"/>
        </w:rPr>
        <w:t>转接头2套</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6</w:t>
      </w:r>
      <w:r>
        <w:rPr>
          <w:rFonts w:ascii="Arial" w:hAnsi="Arial" w:cs="Arial"/>
          <w:sz w:val="24"/>
        </w:rPr>
        <w:t>泵管1包</w:t>
      </w:r>
    </w:p>
    <w:p>
      <w:pPr>
        <w:adjustRightInd w:val="0"/>
        <w:snapToGrid w:val="0"/>
        <w:spacing w:line="360" w:lineRule="auto"/>
        <w:ind w:firstLine="480" w:firstLineChars="200"/>
        <w:rPr>
          <w:rFonts w:ascii="Arial" w:hAnsi="Arial" w:cs="Arial"/>
          <w:sz w:val="24"/>
        </w:rPr>
      </w:pPr>
      <w:r>
        <w:rPr>
          <w:rFonts w:ascii="Arial" w:hAnsi="Arial" w:cs="Arial"/>
          <w:sz w:val="24"/>
        </w:rPr>
        <w:t>5.1</w:t>
      </w:r>
      <w:r>
        <w:rPr>
          <w:rFonts w:hint="eastAsia" w:ascii="Arial" w:hAnsi="Arial" w:cs="Arial"/>
          <w:sz w:val="24"/>
        </w:rPr>
        <w:t>7</w:t>
      </w:r>
      <w:r>
        <w:rPr>
          <w:rFonts w:ascii="Arial" w:hAnsi="Arial" w:cs="Arial"/>
          <w:sz w:val="24"/>
        </w:rPr>
        <w:t>自动进样器1套</w:t>
      </w:r>
    </w:p>
    <w:p>
      <w:pPr>
        <w:adjustRightInd w:val="0"/>
        <w:snapToGrid w:val="0"/>
        <w:spacing w:line="360" w:lineRule="auto"/>
        <w:ind w:firstLine="480" w:firstLineChars="200"/>
        <w:rPr>
          <w:rFonts w:ascii="Arial" w:hAnsi="Arial" w:cs="Arial"/>
          <w:sz w:val="24"/>
        </w:rPr>
      </w:pPr>
      <w:r>
        <w:rPr>
          <w:rFonts w:ascii="Arial" w:hAnsi="Arial" w:cs="Arial"/>
          <w:sz w:val="24"/>
        </w:rPr>
        <w:t>5.</w:t>
      </w:r>
      <w:r>
        <w:rPr>
          <w:rFonts w:hint="eastAsia" w:ascii="Arial" w:hAnsi="Arial" w:cs="Arial"/>
          <w:sz w:val="24"/>
        </w:rPr>
        <w:t>18</w:t>
      </w:r>
      <w:r>
        <w:rPr>
          <w:rFonts w:ascii="Arial" w:hAnsi="Arial" w:cs="Arial"/>
          <w:sz w:val="24"/>
        </w:rPr>
        <w:t>纳米颗粒及单细胞分析进样系统和数据分析软件1套</w:t>
      </w:r>
    </w:p>
    <w:p>
      <w:pPr>
        <w:adjustRightInd w:val="0"/>
        <w:snapToGrid w:val="0"/>
        <w:spacing w:line="360" w:lineRule="auto"/>
        <w:ind w:firstLine="480" w:firstLineChars="200"/>
        <w:rPr>
          <w:rFonts w:ascii="Arial" w:hAnsi="Arial" w:cs="Arial"/>
          <w:sz w:val="24"/>
        </w:rPr>
      </w:pPr>
      <w:r>
        <w:rPr>
          <w:rFonts w:ascii="Arial" w:hAnsi="Arial" w:cs="Arial"/>
          <w:sz w:val="24"/>
        </w:rPr>
        <w:t>5.</w:t>
      </w:r>
      <w:r>
        <w:rPr>
          <w:rFonts w:hint="eastAsia" w:ascii="Arial" w:hAnsi="Arial" w:cs="Arial"/>
          <w:sz w:val="24"/>
        </w:rPr>
        <w:t>19</w:t>
      </w:r>
      <w:r>
        <w:rPr>
          <w:rFonts w:ascii="Arial" w:hAnsi="Arial" w:cs="Arial"/>
          <w:sz w:val="24"/>
        </w:rPr>
        <w:t>冷却循环水装置1套</w:t>
      </w:r>
    </w:p>
    <w:p>
      <w:pPr>
        <w:adjustRightInd w:val="0"/>
        <w:snapToGrid w:val="0"/>
        <w:spacing w:line="360" w:lineRule="auto"/>
        <w:ind w:firstLine="480" w:firstLineChars="200"/>
        <w:rPr>
          <w:rFonts w:ascii="Arial" w:hAnsi="Arial" w:cs="Arial"/>
          <w:sz w:val="24"/>
        </w:rPr>
      </w:pPr>
      <w:r>
        <w:rPr>
          <w:rFonts w:ascii="Arial" w:hAnsi="Arial" w:cs="Arial"/>
          <w:sz w:val="24"/>
        </w:rPr>
        <w:t>5.2</w:t>
      </w:r>
      <w:r>
        <w:rPr>
          <w:rFonts w:hint="eastAsia" w:ascii="Arial" w:hAnsi="Arial" w:cs="Arial"/>
          <w:sz w:val="24"/>
        </w:rPr>
        <w:t>0 UPS</w:t>
      </w:r>
      <w:r>
        <w:rPr>
          <w:rFonts w:ascii="Arial" w:hAnsi="Arial" w:cs="Arial"/>
          <w:sz w:val="24"/>
        </w:rPr>
        <w:t>1套</w:t>
      </w:r>
      <w:r>
        <w:rPr>
          <w:rFonts w:hint="eastAsia" w:ascii="Arial" w:hAnsi="Arial" w:cs="Arial"/>
          <w:sz w:val="24"/>
        </w:rPr>
        <w:t>（可以支持设备&gt;1小时的待机时间）</w:t>
      </w:r>
    </w:p>
    <w:p>
      <w:pPr>
        <w:adjustRightInd w:val="0"/>
        <w:snapToGrid w:val="0"/>
        <w:spacing w:line="360" w:lineRule="auto"/>
        <w:ind w:firstLine="480" w:firstLineChars="200"/>
        <w:rPr>
          <w:rFonts w:ascii="Arial" w:hAnsi="Arial" w:cs="Arial"/>
          <w:sz w:val="24"/>
        </w:rPr>
      </w:pPr>
      <w:r>
        <w:rPr>
          <w:rFonts w:ascii="Arial" w:hAnsi="Arial" w:cs="Arial"/>
          <w:sz w:val="24"/>
        </w:rPr>
        <w:t>5.2</w:t>
      </w:r>
      <w:r>
        <w:rPr>
          <w:rFonts w:hint="eastAsia" w:ascii="Arial" w:hAnsi="Arial" w:cs="Arial"/>
          <w:sz w:val="24"/>
        </w:rPr>
        <w:t>1</w:t>
      </w:r>
      <w:r>
        <w:rPr>
          <w:rFonts w:ascii="Arial" w:hAnsi="Arial" w:cs="Arial"/>
          <w:sz w:val="24"/>
        </w:rPr>
        <w:t>氩气钢瓶及减压阀4套</w:t>
      </w:r>
    </w:p>
    <w:p>
      <w:pPr>
        <w:adjustRightInd w:val="0"/>
        <w:snapToGrid w:val="0"/>
        <w:spacing w:line="360" w:lineRule="auto"/>
        <w:ind w:firstLine="480" w:firstLineChars="200"/>
        <w:rPr>
          <w:rFonts w:ascii="Arial" w:hAnsi="Arial" w:cs="Arial"/>
          <w:sz w:val="24"/>
        </w:rPr>
      </w:pPr>
      <w:r>
        <w:rPr>
          <w:rFonts w:ascii="Arial" w:hAnsi="Arial" w:cs="Arial"/>
          <w:sz w:val="24"/>
        </w:rPr>
        <w:t>5.2</w:t>
      </w:r>
      <w:r>
        <w:rPr>
          <w:rFonts w:hint="eastAsia" w:ascii="Arial" w:hAnsi="Arial" w:cs="Arial"/>
          <w:sz w:val="24"/>
        </w:rPr>
        <w:t>2</w:t>
      </w:r>
      <w:r>
        <w:rPr>
          <w:rFonts w:ascii="Arial" w:hAnsi="Arial" w:cs="Arial"/>
          <w:sz w:val="24"/>
        </w:rPr>
        <w:t>氦气钢瓶及减压阀1套</w:t>
      </w:r>
    </w:p>
    <w:p>
      <w:pPr>
        <w:adjustRightInd w:val="0"/>
        <w:snapToGrid w:val="0"/>
        <w:spacing w:line="360" w:lineRule="auto"/>
        <w:ind w:firstLine="480" w:firstLineChars="200"/>
        <w:rPr>
          <w:rFonts w:ascii="Arial" w:hAnsi="Arial" w:cs="Arial"/>
          <w:sz w:val="24"/>
        </w:rPr>
      </w:pPr>
      <w:r>
        <w:rPr>
          <w:rFonts w:ascii="Arial" w:hAnsi="Arial" w:cs="Arial"/>
          <w:sz w:val="24"/>
        </w:rPr>
        <w:t>5.2</w:t>
      </w:r>
      <w:r>
        <w:rPr>
          <w:rFonts w:hint="eastAsia" w:ascii="Arial" w:hAnsi="Arial" w:cs="Arial"/>
          <w:sz w:val="24"/>
        </w:rPr>
        <w:t>3</w:t>
      </w:r>
      <w:r>
        <w:rPr>
          <w:rFonts w:ascii="Arial" w:hAnsi="Arial" w:cs="Arial"/>
          <w:sz w:val="24"/>
        </w:rPr>
        <w:t>氧气钢瓶及减压阀1套</w:t>
      </w:r>
    </w:p>
    <w:p>
      <w:pPr>
        <w:adjustRightInd w:val="0"/>
        <w:snapToGrid w:val="0"/>
        <w:spacing w:line="360" w:lineRule="auto"/>
        <w:rPr>
          <w:rFonts w:ascii="Arial" w:hAnsi="Arial" w:cs="Arial"/>
          <w:b/>
          <w:sz w:val="24"/>
        </w:rPr>
      </w:pPr>
      <w:r>
        <w:rPr>
          <w:rFonts w:ascii="Arial" w:hAnsi="Arial" w:cs="Arial"/>
          <w:b/>
          <w:sz w:val="24"/>
        </w:rPr>
        <w:t>6. 技术服务和培训</w:t>
      </w:r>
    </w:p>
    <w:p>
      <w:pPr>
        <w:adjustRightInd w:val="0"/>
        <w:snapToGrid w:val="0"/>
        <w:spacing w:line="360" w:lineRule="auto"/>
        <w:ind w:firstLine="401"/>
        <w:rPr>
          <w:rFonts w:ascii="Arial" w:hAnsi="Arial" w:cs="Arial"/>
          <w:sz w:val="24"/>
        </w:rPr>
      </w:pPr>
      <w:bookmarkStart w:id="16" w:name="OLE_LINK39"/>
      <w:bookmarkStart w:id="17" w:name="OLE_LINK40"/>
      <w:r>
        <w:rPr>
          <w:rFonts w:ascii="Arial" w:hAnsi="Arial" w:cs="Arial"/>
          <w:sz w:val="24"/>
        </w:rPr>
        <w:t>6.1交货期：</w:t>
      </w:r>
      <w:r>
        <w:rPr>
          <w:rFonts w:hint="eastAsia" w:ascii="Arial" w:hAnsi="Arial" w:cs="Arial"/>
          <w:sz w:val="24"/>
        </w:rPr>
        <w:t>根据客户要求或</w:t>
      </w:r>
      <w:r>
        <w:rPr>
          <w:rFonts w:ascii="Arial" w:hAnsi="Arial" w:cs="Arial"/>
          <w:sz w:val="24"/>
        </w:rPr>
        <w:t>收到信用证及许可证后90天内到货。</w:t>
      </w:r>
    </w:p>
    <w:bookmarkEnd w:id="16"/>
    <w:bookmarkEnd w:id="17"/>
    <w:p>
      <w:pPr>
        <w:adjustRightInd w:val="0"/>
        <w:snapToGrid w:val="0"/>
        <w:spacing w:line="360" w:lineRule="auto"/>
        <w:ind w:left="401"/>
        <w:rPr>
          <w:rFonts w:ascii="Arial" w:hAnsi="Arial" w:cs="Arial"/>
          <w:sz w:val="24"/>
        </w:rPr>
      </w:pPr>
      <w:r>
        <w:rPr>
          <w:rFonts w:ascii="Arial" w:hAnsi="Arial" w:cs="Arial"/>
          <w:sz w:val="24"/>
        </w:rPr>
        <w:t xml:space="preserve">6.1卖方须在交货日期30天内到买方提供的现场免费安装、调试设备并验收。直至技术指标与标书符合。 </w:t>
      </w:r>
    </w:p>
    <w:p>
      <w:pPr>
        <w:adjustRightInd w:val="0"/>
        <w:snapToGrid w:val="0"/>
        <w:spacing w:line="360" w:lineRule="auto"/>
        <w:ind w:left="401"/>
        <w:rPr>
          <w:rFonts w:ascii="Arial" w:hAnsi="Arial" w:cs="Arial"/>
          <w:sz w:val="24"/>
        </w:rPr>
      </w:pPr>
      <w:r>
        <w:rPr>
          <w:rFonts w:ascii="Arial" w:hAnsi="Arial" w:cs="Arial"/>
          <w:sz w:val="24"/>
        </w:rPr>
        <w:t>6.2免费提供现场培训，人数不限。内容包括仪器的基本原理、操作应用及仪器的维护保养知识，直到用户能正常使用和维护仪器。</w:t>
      </w:r>
    </w:p>
    <w:p>
      <w:pPr>
        <w:adjustRightInd w:val="0"/>
        <w:snapToGrid w:val="0"/>
        <w:spacing w:line="360" w:lineRule="auto"/>
        <w:ind w:firstLine="480" w:firstLineChars="200"/>
        <w:rPr>
          <w:rFonts w:ascii="Arial" w:hAnsi="Arial" w:cs="Arial"/>
          <w:sz w:val="24"/>
        </w:rPr>
      </w:pPr>
      <w:r>
        <w:rPr>
          <w:rFonts w:ascii="Arial" w:hAnsi="Arial" w:cs="Arial"/>
          <w:sz w:val="24"/>
        </w:rPr>
        <w:t>6.3两名人员免费的提高操作培训，培训地点北京或上海</w:t>
      </w:r>
      <w:r>
        <w:rPr>
          <w:rFonts w:hint="eastAsia" w:ascii="Arial" w:hAnsi="Arial" w:cs="Arial"/>
          <w:sz w:val="24"/>
        </w:rPr>
        <w:t>。</w:t>
      </w:r>
    </w:p>
    <w:p>
      <w:pPr>
        <w:adjustRightInd w:val="0"/>
        <w:snapToGrid w:val="0"/>
        <w:spacing w:line="360" w:lineRule="auto"/>
        <w:ind w:firstLine="480" w:firstLineChars="200"/>
        <w:rPr>
          <w:rFonts w:ascii="Arial" w:hAnsi="Arial" w:cs="Arial"/>
          <w:sz w:val="24"/>
        </w:rPr>
      </w:pPr>
      <w:r>
        <w:rPr>
          <w:rFonts w:hint="eastAsia" w:ascii="Arial" w:hAnsi="Arial" w:cs="Arial"/>
          <w:sz w:val="24"/>
        </w:rPr>
        <w:t xml:space="preserve"># </w:t>
      </w:r>
      <w:r>
        <w:rPr>
          <w:rFonts w:ascii="Arial" w:hAnsi="Arial" w:cs="Arial"/>
          <w:sz w:val="24"/>
        </w:rPr>
        <w:t>6.4 厂家提供仪器</w:t>
      </w:r>
      <w:r>
        <w:rPr>
          <w:rFonts w:hint="eastAsia" w:ascii="Arial" w:hAnsi="Arial" w:cs="Arial"/>
          <w:sz w:val="24"/>
        </w:rPr>
        <w:t>两年</w:t>
      </w:r>
      <w:r>
        <w:rPr>
          <w:rFonts w:ascii="Arial" w:hAnsi="Arial" w:cs="Arial"/>
          <w:sz w:val="24"/>
        </w:rPr>
        <w:t>的保修期</w:t>
      </w:r>
      <w:r>
        <w:rPr>
          <w:rFonts w:hint="eastAsia" w:ascii="Arial" w:hAnsi="Arial" w:cs="Arial"/>
          <w:sz w:val="24"/>
        </w:rPr>
        <w:t>。</w:t>
      </w:r>
    </w:p>
    <w:p>
      <w:pPr>
        <w:adjustRightInd w:val="0"/>
        <w:snapToGrid w:val="0"/>
        <w:spacing w:line="360" w:lineRule="auto"/>
        <w:ind w:left="401" w:right="29"/>
        <w:rPr>
          <w:rFonts w:ascii="Arial" w:hAnsi="Arial" w:cs="Arial"/>
          <w:sz w:val="24"/>
        </w:rPr>
      </w:pPr>
      <w:r>
        <w:rPr>
          <w:rFonts w:ascii="Arial" w:hAnsi="Arial" w:cs="Arial"/>
          <w:sz w:val="24"/>
        </w:rPr>
        <w:t>6.5厂家长期提供技术支持，并免费提供所有公开发表的应用文献和最新仪器有关资料、通讯和用户论文集等，并协助用户进行方法开发。</w:t>
      </w:r>
    </w:p>
    <w:p>
      <w:pPr>
        <w:adjustRightInd w:val="0"/>
        <w:snapToGrid w:val="0"/>
        <w:spacing w:line="360" w:lineRule="auto"/>
        <w:ind w:firstLine="480" w:firstLineChars="200"/>
        <w:rPr>
          <w:rFonts w:ascii="Arial" w:hAnsi="Arial" w:cs="Arial"/>
          <w:sz w:val="24"/>
        </w:rPr>
      </w:pPr>
      <w:r>
        <w:rPr>
          <w:rFonts w:ascii="Arial" w:hAnsi="Arial" w:cs="Arial"/>
          <w:sz w:val="24"/>
        </w:rPr>
        <w:t>6.6免费提供仪器使用手册、培训教材、应用文章等。</w:t>
      </w:r>
      <w:bookmarkEnd w:id="0"/>
      <w:bookmarkEnd w:id="1"/>
    </w:p>
    <w:p>
      <w:bookmarkStart w:id="18" w:name="_GoBack"/>
      <w:bookmarkEnd w:id="18"/>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C4C66"/>
    <w:rsid w:val="7E6C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tabs>
        <w:tab w:val="left" w:pos="567"/>
      </w:tabs>
      <w:spacing w:before="120" w:line="22" w:lineRule="atLeast"/>
    </w:pPr>
    <w:rPr>
      <w:rFonts w:ascii="宋体" w:hAnsi="宋体"/>
      <w:sz w:val="24"/>
    </w:rPr>
  </w:style>
  <w:style w:type="paragraph" w:styleId="3">
    <w:name w:val="Plain Text"/>
    <w:basedOn w:val="1"/>
    <w:qFormat/>
    <w:uiPriority w:val="0"/>
    <w:rPr>
      <w:rFonts w:ascii="宋体" w:hAnsi="Courier New"/>
      <w:szCs w:val="20"/>
    </w:rPr>
  </w:style>
  <w:style w:type="paragraph" w:styleId="4">
    <w:name w:val="Date"/>
    <w:basedOn w:val="1"/>
    <w:next w:val="1"/>
    <w:uiPriority w:val="0"/>
    <w:rPr>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2021-07-15T07:32:00Z</dcterms:created>
  <dc:creator>媛儿</dc:creator>
  <cp:lastModifiedBy>媛儿</cp:lastModifiedBy>
  <dcterms:modified xsi:type="dcterms:W3CDTF">2021-07-15T07:32:42Z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2F605E5BA9A246ECA9DAA2F69C5E5648</vt:lpwstr>
  </property>
</Properties>
</file>